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8DB" w:rsidRDefault="002A08D5">
      <w:pPr>
        <w:pStyle w:val="Title"/>
        <w:jc w:val="left"/>
      </w:pPr>
      <w:r>
        <w:rPr>
          <w:rFonts w:ascii="Calibri" w:eastAsia="Calibri" w:hAnsi="Calibri"/>
        </w:rPr>
        <w:t>Multimodal and Hybrid Image Analysis of</w:t>
      </w:r>
      <w:r>
        <w:rPr>
          <w:rFonts w:ascii="Calibri" w:eastAsia="Calibri" w:hAnsi="Calibri"/>
        </w:rPr>
        <w:br/>
        <w:t>Synthetic Fluorescence Microscopy Images</w:t>
      </w:r>
    </w:p>
    <w:p w:rsidR="000B68DB" w:rsidRDefault="002A08D5">
      <w:pPr>
        <w:pStyle w:val="Heading1"/>
        <w:pBdr>
          <w:bottom w:val="single" w:sz="6" w:space="5" w:color="5B9BD5"/>
        </w:pBdr>
        <w:jc w:val="left"/>
      </w:pPr>
      <w:r>
        <w:rPr>
          <w:rFonts w:ascii="Calibri" w:eastAsia="Calibri" w:hAnsi="Calibri"/>
        </w:rPr>
        <w:t>1. Methods and Task Results</w:t>
      </w:r>
    </w:p>
    <w:p w:rsidR="000B68DB" w:rsidRDefault="002A08D5">
      <w:r>
        <w:t xml:space="preserve">A synthetic nuclei dataset (80 train, 20 validation, 12 unseen test images) was processed as 256×256 grayscale images. The workflow combined </w:t>
      </w:r>
      <w:r>
        <w:t>direct multimodal description, classical Otsu segmentation, U-Net segmentation and a structured LLM interpretation pipeline.</w:t>
      </w:r>
    </w:p>
    <w:p w:rsidR="000B68DB" w:rsidRDefault="002A08D5">
      <w:pPr>
        <w:pStyle w:val="Heading2"/>
        <w:jc w:val="left"/>
      </w:pPr>
      <w:r>
        <w:rPr>
          <w:rFonts w:ascii="Calibri" w:eastAsia="Calibri" w:hAnsi="Calibri"/>
        </w:rPr>
        <w:t>Task 1 — Direct multimodal description</w:t>
      </w:r>
    </w:p>
    <w:p w:rsidR="000B68DB" w:rsidRDefault="002A08D5">
      <w:r>
        <w:t>The representative image was selected by mean-intensity proximity to the dataset mean. A nai</w:t>
      </w:r>
      <w:r>
        <w:t>ve prompt produced an unsupported “electron microscope” interpretation, whereas the constrained prompt returned fluorescence microscopy, tissue_type = “uncertain”, visible features and image-quality fields. Llama 3.2 Vision was attempted but failed locally</w:t>
      </w:r>
      <w:r>
        <w:t xml:space="preserve"> with the Ollama mllama architecture error; Qwen2.5-VL 3B was therefore used with the same procedure.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78"/>
        <w:gridCol w:w="4466"/>
        <w:gridCol w:w="756"/>
      </w:tblGrid>
      <w:tr w:rsidR="000B68DB">
        <w:trPr>
          <w:cantSplit/>
          <w:jc w:val="center"/>
        </w:trPr>
        <w:tc>
          <w:tcPr>
            <w:tcW w:w="10454" w:type="dxa"/>
            <w:gridSpan w:val="3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:rsidR="000B68DB" w:rsidRDefault="001B343A">
            <w:pPr>
              <w:pStyle w:val="PromptBox"/>
              <w:spacing w:after="0" w:line="240" w:lineRule="auto"/>
              <w:jc w:val="both"/>
              <w:rPr>
                <w:rFonts w:hint="eastAsia"/>
              </w:rPr>
            </w:pPr>
            <w:r>
              <w:rPr>
                <w:rFonts w:ascii="Calibri" w:eastAsia="Calibri" w:hAnsi="Calibri"/>
                <w:b/>
                <w:color w:val="000000"/>
                <w:sz w:val="18"/>
              </w:rPr>
              <w:t xml:space="preserve">Optimised Task 1 </w:t>
            </w:r>
            <w:r w:rsidR="002A08D5">
              <w:rPr>
                <w:rFonts w:ascii="Calibri" w:eastAsia="Calibri" w:hAnsi="Calibri"/>
                <w:b/>
                <w:color w:val="000000"/>
                <w:sz w:val="18"/>
              </w:rPr>
              <w:t xml:space="preserve">:  </w:t>
            </w:r>
            <w:r w:rsidR="002A08D5">
              <w:rPr>
                <w:rFonts w:ascii="Calibri" w:eastAsia="Calibri" w:hAnsi="Calibri"/>
                <w:color w:val="000000"/>
                <w:sz w:val="18"/>
              </w:rPr>
              <w:t>Describe only visible evidence; do not diagnose or invent tissue, organ, stain, species or acquisition method. If unsupported, r</w:t>
            </w:r>
            <w:r w:rsidR="002A08D5">
              <w:rPr>
                <w:rFonts w:ascii="Calibri" w:eastAsia="Calibri" w:hAnsi="Calibri"/>
                <w:color w:val="000000"/>
                <w:sz w:val="18"/>
              </w:rPr>
              <w:t>eturn “uncertain”. Return valid JSON with modality, tissue_type, notable_features and image_quality {overall, contrast, noise, issues}.</w:t>
            </w:r>
          </w:p>
        </w:tc>
      </w:tr>
      <w:tr w:rsidR="000B68DB">
        <w:trPr>
          <w:gridAfter w:val="1"/>
          <w:wAfter w:w="1094" w:type="dxa"/>
          <w:jc w:val="center"/>
        </w:trPr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724557" cy="172455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557" cy="1724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313432" cy="147960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432" cy="1479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8DB">
        <w:trPr>
          <w:gridAfter w:val="1"/>
          <w:wAfter w:w="1094" w:type="dxa"/>
          <w:jc w:val="center"/>
        </w:trPr>
        <w:tc>
          <w:tcPr>
            <w:tcW w:w="964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22929" cy="205319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929" cy="2053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B68DB" w:rsidRDefault="002A08D5">
      <w:pPr>
        <w:pStyle w:val="CaptionSmall"/>
        <w:spacing w:before="20" w:after="40"/>
      </w:pPr>
      <w:r>
        <w:t>Figure 1. Representative VLM image, sample grayscale images and training intensity distribution.</w:t>
      </w:r>
    </w:p>
    <w:p w:rsidR="000B68DB" w:rsidRDefault="002A08D5">
      <w:pPr>
        <w:pStyle w:val="Heading2"/>
        <w:jc w:val="left"/>
      </w:pPr>
      <w:r>
        <w:rPr>
          <w:rFonts w:ascii="Calibri" w:eastAsia="Calibri" w:hAnsi="Calibri"/>
        </w:rPr>
        <w:t xml:space="preserve">Task 2 — </w:t>
      </w:r>
      <w:r>
        <w:rPr>
          <w:rFonts w:ascii="Calibri" w:eastAsia="Calibri" w:hAnsi="Calibri"/>
        </w:rPr>
        <w:t>Classical segmentation and numbers-first LLM</w:t>
      </w:r>
    </w:p>
    <w:p w:rsidR="000B68DB" w:rsidRDefault="002A08D5">
      <w:r>
        <w:t>Otsu thresholding, morphology and connected-component labelling were followed by regionprops_table. The representative image contained 24 objects (mean area 172.75 px, eccentricity 0.703, solidity 0.955, foregro</w:t>
      </w:r>
      <w:r>
        <w:t>und fraction 0.063). Only these deterministic measurements were passed to the LLM, making the numbers-first description auditable.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0"/>
      </w:tblGrid>
      <w:tr w:rsidR="000B68DB">
        <w:trPr>
          <w:cantSplit/>
          <w:jc w:val="center"/>
        </w:trPr>
        <w:tc>
          <w:tcPr>
            <w:tcW w:w="1045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:rsidR="000B68DB" w:rsidRDefault="001B343A">
            <w:pPr>
              <w:spacing w:after="0"/>
            </w:pPr>
            <w:r>
              <w:rPr>
                <w:b/>
                <w:sz w:val="18"/>
              </w:rPr>
              <w:t xml:space="preserve">Optimised Task 2 </w:t>
            </w:r>
            <w:r w:rsidR="002A08D5">
              <w:rPr>
                <w:b/>
                <w:sz w:val="18"/>
              </w:rPr>
              <w:t xml:space="preserve">:  </w:t>
            </w:r>
            <w:r w:rsidR="002A08D5">
              <w:rPr>
                <w:sz w:val="18"/>
              </w:rPr>
              <w:t>Use only supplied numerical measurements; do not invent tissue, disease, organ, cell type, stain, s</w:t>
            </w:r>
            <w:r w:rsidR="002A08D5">
              <w:rPr>
                <w:sz w:val="18"/>
              </w:rPr>
              <w:t>pecies or acquisition method. Return valid JSON with description, n_objects, density_class, shape_regularity and quality_flag; Python-derived values must not be changed.</w:t>
            </w:r>
          </w:p>
        </w:tc>
      </w:tr>
    </w:tbl>
    <w:p w:rsidR="000B68DB" w:rsidRDefault="002A08D5">
      <w:pPr>
        <w:spacing w:after="0"/>
      </w:pPr>
      <w:r>
        <w:br w:type="page"/>
      </w:r>
    </w:p>
    <w:p w:rsidR="000B68DB" w:rsidRDefault="002A08D5">
      <w:pPr>
        <w:pStyle w:val="Heading1"/>
        <w:pBdr>
          <w:bottom w:val="single" w:sz="6" w:space="5" w:color="5B9BD5"/>
        </w:pBdr>
        <w:jc w:val="left"/>
      </w:pPr>
      <w:r>
        <w:rPr>
          <w:rFonts w:ascii="Calibri" w:eastAsia="Calibri" w:hAnsi="Calibri"/>
        </w:rPr>
        <w:lastRenderedPageBreak/>
        <w:t>Task 3 — U-Net segmentation</w:t>
      </w:r>
    </w:p>
    <w:p w:rsidR="000B68DB" w:rsidRDefault="002A08D5">
      <w:r>
        <w:t>A small PyTorch U-Net (483,153 trainable parameters) wa</w:t>
      </w:r>
      <w:r>
        <w:t>s trained for 15 epochs with Adam and BCE + Dice loss. Evaluation used the untouched 20-image validation set.</w:t>
      </w:r>
    </w:p>
    <w:tbl>
      <w:tblPr>
        <w:tblW w:w="0" w:type="auto"/>
        <w:jc w:val="center"/>
        <w:tblBorders>
          <w:top w:val="single" w:sz="5" w:space="0" w:color="7AA6C2"/>
          <w:left w:val="single" w:sz="5" w:space="0" w:color="7AA6C2"/>
          <w:bottom w:val="single" w:sz="5" w:space="0" w:color="7AA6C2"/>
          <w:right w:val="single" w:sz="5" w:space="0" w:color="7AA6C2"/>
          <w:insideH w:val="single" w:sz="5" w:space="0" w:color="7AA6C2"/>
          <w:insideV w:val="single" w:sz="5" w:space="0" w:color="7AA6C2"/>
        </w:tblBorders>
        <w:tblLook w:val="04A0" w:firstRow="1" w:lastRow="0" w:firstColumn="1" w:lastColumn="0" w:noHBand="0" w:noVBand="1"/>
      </w:tblPr>
      <w:tblGrid>
        <w:gridCol w:w="3216"/>
        <w:gridCol w:w="3152"/>
        <w:gridCol w:w="3152"/>
      </w:tblGrid>
      <w:tr w:rsidR="000B68DB">
        <w:trPr>
          <w:cantSplit/>
          <w:jc w:val="center"/>
        </w:trPr>
        <w:tc>
          <w:tcPr>
            <w:tcW w:w="348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348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rPr>
                <w:b/>
              </w:rPr>
              <w:t>Mean Dice</w:t>
            </w:r>
          </w:p>
        </w:tc>
        <w:tc>
          <w:tcPr>
            <w:tcW w:w="348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rPr>
                <w:b/>
              </w:rPr>
              <w:t>Mean IoU</w:t>
            </w:r>
          </w:p>
        </w:tc>
      </w:tr>
      <w:tr w:rsidR="000B68DB">
        <w:trPr>
          <w:cantSplit/>
          <w:jc w:val="center"/>
        </w:trPr>
        <w:tc>
          <w:tcPr>
            <w:tcW w:w="348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t>Otsu</w:t>
            </w:r>
          </w:p>
        </w:tc>
        <w:tc>
          <w:tcPr>
            <w:tcW w:w="348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t>0.9782 ± 0.0027</w:t>
            </w:r>
          </w:p>
        </w:tc>
        <w:tc>
          <w:tcPr>
            <w:tcW w:w="348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t>0.9574 ± 0.0052</w:t>
            </w:r>
          </w:p>
        </w:tc>
      </w:tr>
      <w:tr w:rsidR="000B68DB">
        <w:trPr>
          <w:cantSplit/>
          <w:jc w:val="center"/>
        </w:trPr>
        <w:tc>
          <w:tcPr>
            <w:tcW w:w="348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t>U-Net</w:t>
            </w:r>
          </w:p>
        </w:tc>
        <w:tc>
          <w:tcPr>
            <w:tcW w:w="348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rPr>
                <w:b/>
              </w:rPr>
              <w:t>0.9960</w:t>
            </w:r>
          </w:p>
        </w:tc>
        <w:tc>
          <w:tcPr>
            <w:tcW w:w="348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rPr>
                <w:b/>
              </w:rPr>
              <w:t>0.9921</w:t>
            </w:r>
          </w:p>
        </w:tc>
      </w:tr>
      <w:tr w:rsidR="000B68DB">
        <w:trPr>
          <w:cantSplit/>
          <w:jc w:val="center"/>
        </w:trPr>
        <w:tc>
          <w:tcPr>
            <w:tcW w:w="348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t>Improvement</w:t>
            </w:r>
          </w:p>
        </w:tc>
        <w:tc>
          <w:tcPr>
            <w:tcW w:w="348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rPr>
                <w:b/>
              </w:rPr>
              <w:t>+0.0178</w:t>
            </w:r>
          </w:p>
        </w:tc>
        <w:tc>
          <w:tcPr>
            <w:tcW w:w="348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rPr>
                <w:b/>
              </w:rPr>
              <w:t>+0.0348</w:t>
            </w:r>
          </w:p>
        </w:tc>
      </w:tr>
    </w:tbl>
    <w:p w:rsidR="000B68DB" w:rsidRDefault="002A08D5">
      <w:r>
        <w:t xml:space="preserve">U-Net achieved higher Dice on </w:t>
      </w:r>
      <w:r>
        <w:t>all 20 validation images. Otsu remained a strong baseline because foreground and background were well separated, but U-Net better preserved spatial boundaries.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0"/>
        <w:gridCol w:w="4700"/>
      </w:tblGrid>
      <w:tr w:rsidR="000B68DB">
        <w:trPr>
          <w:cantSplit/>
          <w:jc w:val="center"/>
        </w:trPr>
        <w:tc>
          <w:tcPr>
            <w:tcW w:w="522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:rsidR="000B68DB" w:rsidRDefault="002A08D5">
            <w:pPr>
              <w:spacing w:after="60"/>
              <w:jc w:val="center"/>
            </w:pPr>
            <w:r>
              <w:rPr>
                <w:b/>
                <w:noProof/>
              </w:rPr>
              <w:drawing>
                <wp:inline distT="0" distB="0" distL="0" distR="0">
                  <wp:extent cx="2681478" cy="189994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478" cy="189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:rsidR="000B68DB" w:rsidRDefault="002A08D5">
            <w:pPr>
              <w:spacing w:after="60"/>
              <w:jc w:val="center"/>
            </w:pPr>
            <w:r>
              <w:rPr>
                <w:b/>
                <w:noProof/>
              </w:rPr>
              <w:drawing>
                <wp:inline distT="0" distB="0" distL="0" distR="0">
                  <wp:extent cx="2681478" cy="189792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478" cy="1897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B68DB" w:rsidRDefault="002A08D5">
      <w:pPr>
        <w:pStyle w:val="CaptionSmall"/>
        <w:spacing w:after="80"/>
      </w:pPr>
      <w:r>
        <w:t>Figure 2a. Training/validation loss and Dice curves.</w:t>
      </w:r>
    </w:p>
    <w:p w:rsidR="000B68DB" w:rsidRDefault="002A08D5">
      <w:pPr>
        <w:spacing w:after="0"/>
      </w:pPr>
      <w:r>
        <w:rPr>
          <w:noProof/>
        </w:rPr>
        <w:drawing>
          <wp:inline distT="0" distB="0" distL="0" distR="0">
            <wp:extent cx="4352544" cy="45394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2544" cy="453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8DB" w:rsidRDefault="002A08D5">
      <w:pPr>
        <w:pStyle w:val="CaptionSmall"/>
        <w:spacing w:after="80"/>
      </w:pPr>
      <w:r>
        <w:lastRenderedPageBreak/>
        <w:t xml:space="preserve">Figure 2b. Input | ground truth | </w:t>
      </w:r>
      <w:r>
        <w:t>U-Net prediction on three validation images.</w:t>
      </w:r>
    </w:p>
    <w:p w:rsidR="000B68DB" w:rsidRDefault="002A08D5">
      <w:r>
        <w:t>Extra credit — loss ablation: BCE, Dice and BCE+Dice were compared in matched short runs. BCE achieved the highest validation Dice (0.9954) for this dataset/configuration.</w:t>
      </w:r>
    </w:p>
    <w:p w:rsidR="000B68DB" w:rsidRDefault="002A08D5">
      <w:pPr>
        <w:pStyle w:val="Heading1"/>
        <w:pBdr>
          <w:bottom w:val="single" w:sz="6" w:space="5" w:color="5B9BD5"/>
        </w:pBdr>
        <w:jc w:val="left"/>
      </w:pPr>
      <w:r>
        <w:rPr>
          <w:rFonts w:ascii="Calibri" w:eastAsia="Calibri" w:hAnsi="Calibri"/>
        </w:rPr>
        <w:t>Task 4 — Hybrid pipeline</w:t>
      </w:r>
    </w:p>
    <w:p w:rsidR="000B68DB" w:rsidRDefault="002A08D5">
      <w:r>
        <w:t xml:space="preserve">All 12 unseen </w:t>
      </w:r>
      <w:r>
        <w:t>test images were processed as: image → U-Net mask → connected components → regionprops → deterministic source record → constrained LLM JSON → narrative → DataFrame/CSV. Python computed image_id, n_objects, mean_area, density_class and quality_flag; the LLM</w:t>
      </w:r>
      <w:r>
        <w:t xml:space="preserve"> was not allowed to change them. Structured-output validation passed for 100% of test records.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4"/>
        <w:gridCol w:w="3119"/>
        <w:gridCol w:w="3157"/>
      </w:tblGrid>
      <w:tr w:rsidR="000B68DB">
        <w:trPr>
          <w:cantSplit/>
          <w:jc w:val="center"/>
        </w:trPr>
        <w:tc>
          <w:tcPr>
            <w:tcW w:w="10454" w:type="dxa"/>
            <w:gridSpan w:val="3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:rsidR="000B68DB" w:rsidRDefault="001B343A">
            <w:pPr>
              <w:pStyle w:val="PromptBox"/>
              <w:spacing w:after="0" w:line="240" w:lineRule="auto"/>
              <w:jc w:val="both"/>
              <w:rPr>
                <w:rFonts w:hint="eastAsia"/>
              </w:rPr>
            </w:pPr>
            <w:r>
              <w:rPr>
                <w:rFonts w:ascii="Calibri" w:eastAsia="Calibri" w:hAnsi="Calibri"/>
                <w:b/>
                <w:color w:val="000000"/>
                <w:sz w:val="18"/>
              </w:rPr>
              <w:t xml:space="preserve">Optimised Task 4 </w:t>
            </w:r>
            <w:r w:rsidR="002A08D5">
              <w:rPr>
                <w:rFonts w:ascii="Calibri" w:eastAsia="Calibri" w:hAnsi="Calibri"/>
                <w:b/>
                <w:color w:val="000000"/>
                <w:sz w:val="18"/>
              </w:rPr>
              <w:t xml:space="preserve">:  </w:t>
            </w:r>
            <w:r w:rsidR="002A08D5">
              <w:rPr>
                <w:rFonts w:ascii="Calibri" w:eastAsia="Calibri" w:hAnsi="Calibri"/>
                <w:color w:val="000000"/>
                <w:sz w:val="18"/>
              </w:rPr>
              <w:t>Treat the supplied U-Net/Python record as the source of truth. Return JSON containing exactly image_id, n_objects, mean_area, density_c</w:t>
            </w:r>
            <w:r w:rsidR="002A08D5">
              <w:rPr>
                <w:rFonts w:ascii="Calibri" w:eastAsia="Calibri" w:hAnsi="Calibri"/>
                <w:color w:val="000000"/>
                <w:sz w:val="18"/>
              </w:rPr>
              <w:t>lass, quality_flag and one concise narrative. Do not change source fields or invent tissue, disease, organ, stain, species or biological identity.</w:t>
            </w:r>
          </w:p>
        </w:tc>
      </w:tr>
      <w:tr w:rsidR="000B68DB">
        <w:tblPrEx>
          <w:tblBorders>
            <w:top w:val="single" w:sz="4" w:space="0" w:color="D0DCE6"/>
            <w:left w:val="single" w:sz="4" w:space="0" w:color="D0DCE6"/>
            <w:bottom w:val="single" w:sz="4" w:space="0" w:color="D0DCE6"/>
            <w:right w:val="single" w:sz="4" w:space="0" w:color="D0DCE6"/>
            <w:insideH w:val="single" w:sz="4" w:space="0" w:color="D0DCE6"/>
            <w:insideV w:val="single" w:sz="4" w:space="0" w:color="D0DCE6"/>
          </w:tblBorders>
        </w:tblPrEx>
        <w:trPr>
          <w:cantSplit/>
          <w:jc w:val="center"/>
        </w:trPr>
        <w:tc>
          <w:tcPr>
            <w:tcW w:w="348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rPr>
                <w:b/>
              </w:rPr>
              <w:t>Mean objects</w:t>
            </w:r>
            <w:r>
              <w:rPr>
                <w:b/>
              </w:rPr>
              <w:br/>
              <w:t>20.67</w:t>
            </w:r>
          </w:p>
        </w:tc>
        <w:tc>
          <w:tcPr>
            <w:tcW w:w="348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rPr>
                <w:b/>
              </w:rPr>
              <w:t>Mean area</w:t>
            </w:r>
            <w:r>
              <w:rPr>
                <w:b/>
              </w:rPr>
              <w:br/>
              <w:t>254.83 px</w:t>
            </w:r>
          </w:p>
        </w:tc>
        <w:tc>
          <w:tcPr>
            <w:tcW w:w="348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B68DB" w:rsidRDefault="002A08D5">
            <w:pPr>
              <w:spacing w:after="0"/>
              <w:jc w:val="center"/>
            </w:pPr>
            <w:r>
              <w:rPr>
                <w:b/>
              </w:rPr>
              <w:t>Density split</w:t>
            </w:r>
            <w:r>
              <w:rPr>
                <w:b/>
              </w:rPr>
              <w:br/>
              <w:t>6 low / 6 moderate</w:t>
            </w:r>
          </w:p>
        </w:tc>
      </w:tr>
    </w:tbl>
    <w:p w:rsidR="000B68DB" w:rsidRDefault="002A08D5">
      <w:pPr>
        <w:pStyle w:val="Heading1"/>
        <w:pBdr>
          <w:bottom w:val="single" w:sz="6" w:space="5" w:color="5B9BD5"/>
        </w:pBdr>
        <w:jc w:val="left"/>
      </w:pPr>
      <w:r>
        <w:rPr>
          <w:rFonts w:ascii="Calibri" w:eastAsia="Calibri" w:hAnsi="Calibri"/>
        </w:rPr>
        <w:t xml:space="preserve">2. Critical Analysis and Required </w:t>
      </w:r>
      <w:r>
        <w:rPr>
          <w:rFonts w:ascii="Calibri" w:eastAsia="Calibri" w:hAnsi="Calibri"/>
        </w:rPr>
        <w:t>Questions</w:t>
      </w:r>
    </w:p>
    <w:p w:rsidR="000B68DB" w:rsidRDefault="002A08D5">
      <w:pPr>
        <w:spacing w:before="80" w:after="20"/>
      </w:pPr>
      <w:r>
        <w:rPr>
          <w:b/>
        </w:rPr>
        <w:t>1. Which description was more useful and which was more trustworthy?</w:t>
      </w:r>
    </w:p>
    <w:p w:rsidR="000B68DB" w:rsidRDefault="002A08D5">
      <w:r>
        <w:t>The direct VLM was more useful for visual appearance, but the numbers-first description was more trustworthy and auditable. The naive VLM hallucinated electron microscopy and po</w:t>
      </w:r>
      <w:r>
        <w:t>ssible microorganisms, while the numbers-first LLM was anchored to Python measurements. The optimised VLM improved reliability by permitting “uncertain”.</w:t>
      </w:r>
    </w:p>
    <w:p w:rsidR="000B68DB" w:rsidRDefault="002A08D5">
      <w:pPr>
        <w:spacing w:before="80" w:after="20"/>
      </w:pPr>
      <w:r>
        <w:rPr>
          <w:b/>
        </w:rPr>
        <w:t>2. Did U-Net improve on Otsu?</w:t>
      </w:r>
    </w:p>
    <w:p w:rsidR="000B68DB" w:rsidRDefault="002A08D5">
      <w:r>
        <w:t xml:space="preserve">Yes. Mean Dice increased from 0.9782 to 0.9960 and mean IoU from 0.9574 </w:t>
      </w:r>
      <w:r>
        <w:t>to 0.9921. U-Net was better on every validation image. Otsu remained strong on high-contrast synthetic images, but a single global threshold is less flexible when intensity or object boundaries vary.</w:t>
      </w:r>
    </w:p>
    <w:p w:rsidR="000B68DB" w:rsidRDefault="002A08D5">
      <w:pPr>
        <w:spacing w:before="80" w:after="20"/>
      </w:pPr>
      <w:r>
        <w:rPr>
          <w:b/>
        </w:rPr>
        <w:t>3. What do the Dice and IoU values mean, and where did e</w:t>
      </w:r>
      <w:r>
        <w:rPr>
          <w:b/>
        </w:rPr>
        <w:t>rrors occur?</w:t>
      </w:r>
    </w:p>
    <w:p w:rsidR="000B68DB" w:rsidRDefault="002A08D5">
      <w:r>
        <w:t>Dice and IoU measure overlap between predicted and ground-truth masks; values near 1 indicate strong agreement. Dice 0.9960 and IoU 0.9921 therefore show near-complete overlap on this validation set. Remaining errors were mainly small boundary</w:t>
      </w:r>
      <w:r>
        <w:t xml:space="preserve"> and low-intensity edge differences.</w:t>
      </w:r>
    </w:p>
    <w:p w:rsidR="000B68DB" w:rsidRDefault="002A08D5">
      <w:pPr>
        <w:spacing w:before="80" w:after="20"/>
      </w:pPr>
      <w:r>
        <w:rPr>
          <w:b/>
        </w:rPr>
        <w:t>4. Where can the LLM hallucinate, and how was this reduced?</w:t>
      </w:r>
    </w:p>
    <w:p w:rsidR="000B68DB" w:rsidRDefault="002A08D5">
      <w:r>
        <w:t>Risk is highest in direct image description and open-ended narrative generation. Mitigations were explicit non-diagnostic constraints, uncertainty language, de</w:t>
      </w:r>
      <w:r>
        <w:t>terministic numerical source fields, strict JSON schemas, post-generation validation and a deterministic fallback.</w:t>
      </w:r>
    </w:p>
    <w:p w:rsidR="000B68DB" w:rsidRDefault="002A08D5">
      <w:pPr>
        <w:spacing w:before="80" w:after="20"/>
      </w:pPr>
      <w:r>
        <w:rPr>
          <w:b/>
        </w:rPr>
        <w:t>5. Would this system be trusted clinically, and what would most improve trustworthiness?</w:t>
      </w:r>
    </w:p>
    <w:p w:rsidR="000B68DB" w:rsidRDefault="002A08D5">
      <w:r>
        <w:t>No. Strong synthetic validation performance does not</w:t>
      </w:r>
      <w:r>
        <w:t xml:space="preserve"> establish clinical generalisation. The single most useful improvement would be independent validation on a large, diverse, expertly annotated real microscopy dataset across laboratories and imaging systems, with uncertainty calibration and human review.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0"/>
      </w:tblGrid>
      <w:tr w:rsidR="000B68DB">
        <w:trPr>
          <w:cantSplit/>
          <w:jc w:val="center"/>
        </w:trPr>
        <w:tc>
          <w:tcPr>
            <w:tcW w:w="1045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:rsidR="000B68DB" w:rsidRDefault="002A08D5">
            <w:pPr>
              <w:spacing w:after="0"/>
            </w:pPr>
            <w:r>
              <w:rPr>
                <w:b/>
                <w:sz w:val="18"/>
              </w:rPr>
              <w:t xml:space="preserve">Interpretation note: </w:t>
            </w:r>
            <w:r>
              <w:rPr>
                <w:sz w:val="18"/>
              </w:rPr>
              <w:t>Density, shape and quality categories were project-defined analytical bins, not clinically validated biological classifications.</w:t>
            </w:r>
          </w:p>
        </w:tc>
      </w:tr>
    </w:tbl>
    <w:p w:rsidR="000B68DB" w:rsidRDefault="002A08D5">
      <w:pPr>
        <w:spacing w:after="0"/>
      </w:pPr>
      <w:r>
        <w:br w:type="page"/>
      </w:r>
    </w:p>
    <w:p w:rsidR="000B68DB" w:rsidRDefault="002A08D5">
      <w:pPr>
        <w:pStyle w:val="Heading1"/>
        <w:pBdr>
          <w:bottom w:val="single" w:sz="6" w:space="5" w:color="5B9BD5"/>
        </w:pBdr>
        <w:jc w:val="left"/>
      </w:pPr>
      <w:r>
        <w:rPr>
          <w:rFonts w:ascii="Calibri" w:eastAsia="Calibri" w:hAnsi="Calibri"/>
        </w:rPr>
        <w:lastRenderedPageBreak/>
        <w:t>3. Extra-Credit Robustness</w:t>
      </w:r>
    </w:p>
    <w:p w:rsidR="000B68DB" w:rsidRDefault="002A08D5">
      <w:r>
        <w:t>Heavy Gaussian blur (sigma = 4) was applied to one test image and propagated</w:t>
      </w:r>
      <w:r>
        <w:t xml:space="preserve"> through the complete pipeline. The clean-versus-blurred U-Net masks gave Dice = 0.7110 and IoU = 0.5516, showing a substantial segmentation change. Feature measurements and the narrative also changed, so the earliest detectable failure occurred at the seg</w:t>
      </w:r>
      <w:r>
        <w:t>mentation stage; the LLM mainly propagated altered upstream evidence.</w:t>
      </w:r>
    </w:p>
    <w:p w:rsidR="000B68DB" w:rsidRDefault="002A08D5">
      <w:pPr>
        <w:spacing w:after="0"/>
      </w:pPr>
      <w:r>
        <w:rPr>
          <w:noProof/>
        </w:rPr>
        <w:drawing>
          <wp:inline distT="0" distB="0" distL="0" distR="0">
            <wp:extent cx="5100066" cy="39453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0066" cy="394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8DB" w:rsidRDefault="002A08D5">
      <w:pPr>
        <w:pStyle w:val="CaptionSmall"/>
        <w:spacing w:after="80"/>
      </w:pPr>
      <w:r>
        <w:t>Figure 3. Clean image, heavy blur, clean U-Net mask and blurred U-Net mask.</w:t>
      </w:r>
    </w:p>
    <w:p w:rsidR="000B68DB" w:rsidRDefault="002A08D5">
      <w:pPr>
        <w:pStyle w:val="Heading1"/>
        <w:pBdr>
          <w:bottom w:val="single" w:sz="6" w:space="5" w:color="5B9BD5"/>
        </w:pBdr>
        <w:jc w:val="left"/>
      </w:pPr>
      <w:r>
        <w:rPr>
          <w:rFonts w:ascii="Calibri" w:eastAsia="Calibri" w:hAnsi="Calibri"/>
        </w:rPr>
        <w:t>4. Conclusion</w:t>
      </w:r>
    </w:p>
    <w:p w:rsidR="000B68DB" w:rsidRDefault="002A08D5">
      <w:r>
        <w:t>The hybrid pipeline combined interpretable classical measurements with high-accuracy U-Net seg</w:t>
      </w:r>
      <w:r>
        <w:t xml:space="preserve">mentation and constrained LLM reporting. U-Net clearly improved on Otsu, while numbers-first prompting and JSON validation reduced hallucination risk. The results are promising for a controlled synthetic dataset but are </w:t>
      </w:r>
      <w:bookmarkStart w:id="0" w:name="_GoBack"/>
      <w:bookmarkEnd w:id="0"/>
      <w:r>
        <w:t>not evidence of clinical readiness.</w:t>
      </w:r>
    </w:p>
    <w:p w:rsidR="000B68DB" w:rsidRDefault="002A08D5">
      <w:pPr>
        <w:pStyle w:val="Heading1"/>
        <w:pBdr>
          <w:bottom w:val="single" w:sz="6" w:space="5" w:color="5B9BD5"/>
        </w:pBdr>
        <w:jc w:val="left"/>
      </w:pPr>
      <w:r>
        <w:rPr>
          <w:rFonts w:ascii="Calibri" w:eastAsia="Calibri" w:hAnsi="Calibri"/>
        </w:rPr>
        <w:t>5. References</w:t>
      </w:r>
    </w:p>
    <w:p w:rsidR="000B68DB" w:rsidRDefault="002A08D5">
      <w:pPr>
        <w:ind w:left="216" w:hanging="216"/>
      </w:pPr>
      <w:r>
        <w:t>1. Otsu, N. (1979). A threshold selection method from gray-level histograms. IEEE Transactions on Systems, Man, and Cybernetics, 9(1), 62–66.</w:t>
      </w:r>
    </w:p>
    <w:p w:rsidR="000B68DB" w:rsidRDefault="002A08D5">
      <w:pPr>
        <w:ind w:left="216" w:hanging="216"/>
      </w:pPr>
      <w:r>
        <w:t>2. Ronneberger, O., Fischer, P. &amp; Brox, T. (2015). U-Net: Convolutional Networks for Biomedical Imag</w:t>
      </w:r>
      <w:r>
        <w:t>e Segmentation. MICCAI 2015, 234–241.</w:t>
      </w:r>
    </w:p>
    <w:p w:rsidR="000B68DB" w:rsidRDefault="002A08D5">
      <w:pPr>
        <w:ind w:left="216" w:hanging="216"/>
      </w:pPr>
      <w:r>
        <w:t>3. Korabel, N. (2026). Lecture 3: Multimodal LLMs. Data Analysis with AI, University of Hertfordshire.</w:t>
      </w:r>
    </w:p>
    <w:p w:rsidR="001B343A" w:rsidRDefault="002A08D5" w:rsidP="001B343A">
      <w:pPr>
        <w:ind w:left="216" w:hanging="216"/>
      </w:pPr>
      <w:r>
        <w:t>4. Bhattacharya, S. (2026). Prompt Engineering, Evaluation &amp; Code Generation with Large Language Models. Data Analy</w:t>
      </w:r>
      <w:r>
        <w:t>sis with AI, University of Hertfordshire.</w:t>
      </w:r>
    </w:p>
    <w:p w:rsidR="00B1107A" w:rsidRDefault="00B1107A" w:rsidP="00B1107A"/>
    <w:p w:rsidR="001B343A" w:rsidRPr="001B343A" w:rsidRDefault="001B343A" w:rsidP="00B1107A">
      <w:pPr>
        <w:rPr>
          <w:color w:val="548DD4" w:themeColor="text2" w:themeTint="99"/>
        </w:rPr>
      </w:pPr>
      <w:r w:rsidRPr="001B343A">
        <w:rPr>
          <w:sz w:val="28"/>
          <w:szCs w:val="28"/>
        </w:rPr>
        <w:t>GitHub Link :</w:t>
      </w:r>
      <w:r>
        <w:t xml:space="preserve"> </w:t>
      </w:r>
      <w:hyperlink r:id="rId16" w:history="1">
        <w:r w:rsidRPr="001B343A">
          <w:rPr>
            <w:rStyle w:val="Hyperlink"/>
            <w:color w:val="548DD4" w:themeColor="text2" w:themeTint="99"/>
            <w:sz w:val="24"/>
            <w:szCs w:val="24"/>
          </w:rPr>
          <w:t>https://github.com/gautam25aas/AI-imaging-Coding-Case-Study-and-Report</w:t>
        </w:r>
      </w:hyperlink>
    </w:p>
    <w:sectPr w:rsidR="001B343A" w:rsidRPr="001B343A" w:rsidSect="00034616">
      <w:footerReference w:type="default" r:id="rId17"/>
      <w:pgSz w:w="12240" w:h="15840"/>
      <w:pgMar w:top="720" w:right="1440" w:bottom="720" w:left="1440" w:header="360" w:footer="360" w:gutter="0"/>
      <w:pgBorders w:offsetFrom="page">
        <w:top w:val="double" w:sz="12" w:space="10" w:color="000000"/>
        <w:left w:val="double" w:sz="12" w:space="10" w:color="000000"/>
        <w:bottom w:val="double" w:sz="12" w:space="10" w:color="000000"/>
        <w:right w:val="double" w:sz="12" w:space="10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08D5" w:rsidRDefault="002A08D5">
      <w:pPr>
        <w:spacing w:after="0"/>
      </w:pPr>
      <w:r>
        <w:separator/>
      </w:r>
    </w:p>
  </w:endnote>
  <w:endnote w:type="continuationSeparator" w:id="0">
    <w:p w:rsidR="002A08D5" w:rsidRDefault="002A08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8DB" w:rsidRDefault="000B68D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08D5" w:rsidRDefault="002A08D5">
      <w:pPr>
        <w:spacing w:after="0"/>
      </w:pPr>
      <w:r>
        <w:separator/>
      </w:r>
    </w:p>
  </w:footnote>
  <w:footnote w:type="continuationSeparator" w:id="0">
    <w:p w:rsidR="002A08D5" w:rsidRDefault="002A08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68DB"/>
    <w:rsid w:val="0015074B"/>
    <w:rsid w:val="001B343A"/>
    <w:rsid w:val="0029639D"/>
    <w:rsid w:val="002A08D5"/>
    <w:rsid w:val="00326F90"/>
    <w:rsid w:val="004E557C"/>
    <w:rsid w:val="00AA1D8D"/>
    <w:rsid w:val="00B1107A"/>
    <w:rsid w:val="00B47730"/>
    <w:rsid w:val="00B91A4A"/>
    <w:rsid w:val="00CB0664"/>
    <w:rsid w:val="00EA54E7"/>
    <w:rsid w:val="00FC693F"/>
    <w:rsid w:val="00FF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  <w:jc w:val="both"/>
    </w:pPr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200"/>
      <w:outlineLvl w:val="0"/>
    </w:pPr>
    <w:rPr>
      <w:rFonts w:asciiTheme="majorHAnsi" w:eastAsiaTheme="majorEastAsia" w:hAnsiTheme="majorHAnsi" w:cstheme="majorBidi"/>
      <w:b/>
      <w:bCs/>
      <w:color w:val="182B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182B4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60" w:after="120"/>
      <w:jc w:val="center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ox">
    <w:name w:val="PromptBox"/>
    <w:pPr>
      <w:spacing w:after="20" w:line="228" w:lineRule="auto"/>
    </w:pPr>
    <w:rPr>
      <w:rFonts w:ascii="Aptos" w:hAnsi="Aptos"/>
      <w:color w:val="333333"/>
      <w:sz w:val="15"/>
    </w:rPr>
  </w:style>
  <w:style w:type="paragraph" w:customStyle="1" w:styleId="CaptionSmall">
    <w:name w:val="CaptionSmall"/>
    <w:pPr>
      <w:spacing w:before="60" w:after="120" w:line="240" w:lineRule="auto"/>
      <w:jc w:val="center"/>
    </w:pPr>
    <w:rPr>
      <w:rFonts w:ascii="Calibri" w:eastAsia="Calibri" w:hAnsi="Calibri"/>
      <w:b/>
      <w:color w:val="000000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43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43A"/>
    <w:rPr>
      <w:rFonts w:ascii="Tahoma" w:eastAsia="Calibri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B343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  <w:jc w:val="both"/>
    </w:pPr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200"/>
      <w:outlineLvl w:val="0"/>
    </w:pPr>
    <w:rPr>
      <w:rFonts w:asciiTheme="majorHAnsi" w:eastAsiaTheme="majorEastAsia" w:hAnsiTheme="majorHAnsi" w:cstheme="majorBidi"/>
      <w:b/>
      <w:bCs/>
      <w:color w:val="182B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182B4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60" w:after="120"/>
      <w:jc w:val="center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ox">
    <w:name w:val="PromptBox"/>
    <w:pPr>
      <w:spacing w:after="20" w:line="228" w:lineRule="auto"/>
    </w:pPr>
    <w:rPr>
      <w:rFonts w:ascii="Aptos" w:hAnsi="Aptos"/>
      <w:color w:val="333333"/>
      <w:sz w:val="15"/>
    </w:rPr>
  </w:style>
  <w:style w:type="paragraph" w:customStyle="1" w:styleId="CaptionSmall">
    <w:name w:val="CaptionSmall"/>
    <w:pPr>
      <w:spacing w:before="60" w:after="120" w:line="240" w:lineRule="auto"/>
      <w:jc w:val="center"/>
    </w:pPr>
    <w:rPr>
      <w:rFonts w:ascii="Calibri" w:eastAsia="Calibri" w:hAnsi="Calibri"/>
      <w:b/>
      <w:color w:val="000000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43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43A"/>
    <w:rPr>
      <w:rFonts w:ascii="Tahoma" w:eastAsia="Calibri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B34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gautam25aas/AI-imaging-Coding-Case-Study-and-Repor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8D4672-91B9-4691-B39B-8626D9583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Multimodal and Hybrid Image Analysis of Synthetic Fluorescence Microscopy Images</vt:lpstr>
    </vt:vector>
  </TitlesOfParts>
  <Company/>
  <LinksUpToDate>false</LinksUpToDate>
  <CharactersWithSpaces>7080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Multimodal and Hybrid Image Analysis of Synthetic Fluorescence Microscopy Images</dc:title>
  <dc:subject>Data Analysis with AI Assignment Report</dc:subject>
  <dc:creator>python-docx</dc:creator>
  <dc:description>generated by python-docx</dc:description>
  <cp:lastModifiedBy>Abcd</cp:lastModifiedBy>
  <cp:revision>2</cp:revision>
  <cp:lastPrinted>2026-08-13T22:20:00Z</cp:lastPrinted>
  <dcterms:created xsi:type="dcterms:W3CDTF">2026-08-13T22:44:00Z</dcterms:created>
  <dcterms:modified xsi:type="dcterms:W3CDTF">2026-08-13T22:44:00Z</dcterms:modified>
</cp:coreProperties>
</file>