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before="75"/>
        <w:ind w:left="0" w:right="415"/>
        <w:jc w:val="center"/>
      </w:pPr>
      <w:r>
        <w:rPr/>
        <w:t>CỘNG HÒA XÃ HỘI CHỦ NGHĨA VIỆT NAM</w:t>
      </w:r>
    </w:p>
    <w:p>
      <w:pPr>
        <w:spacing w:before="1"/>
        <w:ind w:left="0" w:right="412" w:firstLine="0"/>
        <w:jc w:val="center"/>
        <w:rPr>
          <w:i/>
          <w:sz w:val="26"/>
        </w:rPr>
      </w:pPr>
      <w:r>
        <w:rPr>
          <w:i/>
          <w:sz w:val="26"/>
        </w:rPr>
        <w:t>Độc lập - Tự do - Hạnh Phúc</w:t>
      </w:r>
    </w:p>
    <w:p>
      <w:pPr>
        <w:pStyle w:val="BodyText"/>
        <w:spacing w:before="7"/>
        <w:ind w:left="0" w:firstLine="0"/>
        <w:jc w:val="left"/>
        <w:rPr>
          <w:i/>
          <w:sz w:val="11"/>
        </w:rPr>
      </w:pPr>
      <w:r>
        <w:rPr/>
        <w:pict>
          <v:shape style="position:absolute;margin-left:281.329987pt;margin-top:9.166568pt;width:77.8pt;height:.1pt;mso-position-horizontal-relative:page;mso-position-vertical-relative:paragraph;z-index:-15728640;mso-wrap-distance-left:0;mso-wrap-distance-right:0" coordorigin="5627,183" coordsize="1556,0" path="m5627,183l7182,183e" filled="false" stroked="true" strokeweight=".95904pt" strokecolor="#000000">
            <v:path arrowok="t"/>
            <v:stroke dashstyle="dash"/>
            <w10:wrap type="topAndBottom"/>
          </v:shape>
        </w:pict>
      </w:r>
    </w:p>
    <w:p>
      <w:pPr>
        <w:pStyle w:val="BodyText"/>
        <w:ind w:left="0" w:firstLine="0"/>
        <w:jc w:val="left"/>
        <w:rPr>
          <w:i/>
          <w:sz w:val="20"/>
        </w:rPr>
      </w:pPr>
    </w:p>
    <w:p>
      <w:pPr>
        <w:pStyle w:val="Heading1"/>
        <w:spacing w:before="238"/>
        <w:ind w:left="0" w:right="408"/>
        <w:jc w:val="center"/>
      </w:pPr>
      <w:r>
        <w:rPr/>
        <w:t>HỢP ĐỒNG TRÔNG GIỮ PHƯƠNG TIỆN</w:t>
      </w:r>
    </w:p>
    <w:p>
      <w:pPr>
        <w:spacing w:before="121"/>
        <w:ind w:left="0" w:right="409" w:firstLine="0"/>
        <w:jc w:val="center"/>
        <w:rPr>
          <w:b/>
          <w:i/>
          <w:sz w:val="26"/>
        </w:rPr>
      </w:pPr>
      <w:r>
        <w:rPr>
          <w:b/>
          <w:i/>
          <w:sz w:val="26"/>
        </w:rPr>
        <w:t>Số:[…]</w:t>
      </w:r>
    </w:p>
    <w:p>
      <w:pPr>
        <w:pStyle w:val="BodyText"/>
        <w:spacing w:before="10"/>
        <w:ind w:left="0" w:firstLine="0"/>
        <w:jc w:val="left"/>
        <w:rPr>
          <w:b/>
          <w:i/>
          <w:sz w:val="38"/>
        </w:rPr>
      </w:pPr>
    </w:p>
    <w:p>
      <w:pPr>
        <w:spacing w:before="0"/>
        <w:ind w:left="122" w:right="0" w:firstLine="0"/>
        <w:jc w:val="left"/>
        <w:rPr>
          <w:i/>
          <w:sz w:val="26"/>
        </w:rPr>
      </w:pPr>
      <w:r>
        <w:rPr>
          <w:i/>
          <w:sz w:val="26"/>
        </w:rPr>
        <w:t>Căn cứ Bộ luật dân sự năm 2015;</w:t>
      </w:r>
    </w:p>
    <w:p>
      <w:pPr>
        <w:spacing w:line="288" w:lineRule="auto" w:before="59"/>
        <w:ind w:left="122" w:right="375" w:firstLine="0"/>
        <w:jc w:val="left"/>
        <w:rPr>
          <w:i/>
          <w:sz w:val="26"/>
        </w:rPr>
      </w:pPr>
      <w:r>
        <w:rPr>
          <w:i/>
          <w:sz w:val="26"/>
        </w:rPr>
        <w:t>Căn cứ Quyết định số [….]/QĐ-UBND ngày </w:t>
      </w:r>
      <w:r>
        <w:rPr>
          <w:i/>
          <w:sz w:val="28"/>
        </w:rPr>
        <w:t>[…] </w:t>
      </w:r>
      <w:r>
        <w:rPr>
          <w:i/>
          <w:sz w:val="26"/>
        </w:rPr>
        <w:t>của UBND Thành phố […] về việc thu </w:t>
      </w:r>
      <w:r>
        <w:rPr>
          <w:i/>
          <w:sz w:val="26"/>
        </w:rPr>
        <w:t>phí trông giữ xe máy, xe đạp, ô tô trên địa bàn Thành phố […] ;</w:t>
      </w:r>
    </w:p>
    <w:p>
      <w:pPr>
        <w:spacing w:before="1"/>
        <w:ind w:left="122" w:right="0" w:firstLine="0"/>
        <w:jc w:val="left"/>
        <w:rPr>
          <w:i/>
          <w:sz w:val="26"/>
        </w:rPr>
      </w:pPr>
      <w:r>
        <w:rPr>
          <w:i/>
          <w:sz w:val="26"/>
        </w:rPr>
        <w:t>Căn cứ vào nhu cầu và khả năng của các bên.</w:t>
      </w:r>
    </w:p>
    <w:p>
      <w:pPr>
        <w:pStyle w:val="BodyText"/>
        <w:ind w:left="0" w:firstLine="0"/>
        <w:jc w:val="left"/>
        <w:rPr>
          <w:i/>
        </w:rPr>
      </w:pPr>
    </w:p>
    <w:p>
      <w:pPr>
        <w:spacing w:before="1"/>
        <w:ind w:left="841" w:right="0" w:firstLine="0"/>
        <w:jc w:val="left"/>
        <w:rPr>
          <w:b/>
          <w:i/>
          <w:sz w:val="26"/>
        </w:rPr>
      </w:pPr>
      <w:r>
        <w:rPr>
          <w:b/>
          <w:i/>
          <w:sz w:val="26"/>
        </w:rPr>
        <w:t>Hôm nay, ngày </w:t>
      </w:r>
      <w:r>
        <w:rPr>
          <w:i/>
          <w:sz w:val="28"/>
        </w:rPr>
        <w:t>[…] </w:t>
      </w:r>
      <w:r>
        <w:rPr>
          <w:b/>
          <w:i/>
          <w:sz w:val="26"/>
        </w:rPr>
        <w:t>tháng </w:t>
      </w:r>
      <w:r>
        <w:rPr>
          <w:i/>
          <w:sz w:val="28"/>
        </w:rPr>
        <w:t>[…] </w:t>
      </w:r>
      <w:r>
        <w:rPr>
          <w:b/>
          <w:i/>
          <w:sz w:val="26"/>
        </w:rPr>
        <w:t>năm </w:t>
      </w:r>
      <w:r>
        <w:rPr>
          <w:i/>
          <w:sz w:val="28"/>
        </w:rPr>
        <w:t>[…] </w:t>
      </w:r>
      <w:r>
        <w:rPr>
          <w:b/>
          <w:i/>
          <w:sz w:val="26"/>
        </w:rPr>
        <w:t>, tại </w:t>
      </w:r>
      <w:r>
        <w:rPr>
          <w:i/>
          <w:sz w:val="28"/>
        </w:rPr>
        <w:t>[…] </w:t>
      </w:r>
      <w:r>
        <w:rPr>
          <w:b/>
          <w:i/>
          <w:sz w:val="26"/>
        </w:rPr>
        <w:t>, chúng tôi gồm:</w:t>
      </w:r>
    </w:p>
    <w:p>
      <w:pPr>
        <w:pStyle w:val="BodyText"/>
        <w:spacing w:before="5"/>
        <w:ind w:left="0" w:firstLine="0"/>
        <w:jc w:val="left"/>
        <w:rPr>
          <w:b/>
          <w:i/>
        </w:rPr>
      </w:pPr>
    </w:p>
    <w:p>
      <w:pPr>
        <w:spacing w:line="322" w:lineRule="exact" w:before="0"/>
        <w:ind w:left="122" w:right="0" w:firstLine="0"/>
        <w:jc w:val="left"/>
        <w:rPr>
          <w:sz w:val="28"/>
        </w:rPr>
      </w:pPr>
      <w:r>
        <w:rPr>
          <w:b/>
          <w:sz w:val="26"/>
        </w:rPr>
        <w:t>BÊN A: </w:t>
      </w:r>
      <w:r>
        <w:rPr>
          <w:sz w:val="28"/>
        </w:rPr>
        <w:t>[…]</w:t>
      </w:r>
    </w:p>
    <w:p>
      <w:pPr>
        <w:pStyle w:val="ListParagraph"/>
        <w:numPr>
          <w:ilvl w:val="0"/>
          <w:numId w:val="1"/>
        </w:numPr>
        <w:tabs>
          <w:tab w:pos="481" w:val="left" w:leader="none"/>
          <w:tab w:pos="482" w:val="left" w:leader="none"/>
          <w:tab w:pos="2281" w:val="left" w:leader="none"/>
          <w:tab w:pos="5090" w:val="left" w:leader="none"/>
        </w:tabs>
        <w:spacing w:line="240" w:lineRule="auto" w:before="0" w:after="0"/>
        <w:ind w:left="482" w:right="0" w:hanging="360"/>
        <w:jc w:val="left"/>
        <w:rPr>
          <w:sz w:val="28"/>
        </w:rPr>
      </w:pPr>
      <w:r>
        <w:rPr>
          <w:sz w:val="26"/>
        </w:rPr>
        <w:t>Đại</w:t>
      </w:r>
      <w:r>
        <w:rPr>
          <w:spacing w:val="-3"/>
          <w:sz w:val="26"/>
        </w:rPr>
        <w:t> </w:t>
      </w:r>
      <w:r>
        <w:rPr>
          <w:sz w:val="26"/>
        </w:rPr>
        <w:t>diện</w:t>
        <w:tab/>
        <w:t>: </w:t>
      </w:r>
      <w:r>
        <w:rPr>
          <w:spacing w:val="5"/>
          <w:sz w:val="26"/>
        </w:rPr>
        <w:t> </w:t>
      </w:r>
      <w:r>
        <w:rPr>
          <w:sz w:val="28"/>
        </w:rPr>
        <w:t>[…]</w:t>
        <w:tab/>
      </w:r>
      <w:r>
        <w:rPr>
          <w:sz w:val="26"/>
        </w:rPr>
        <w:t>Chức vụ:</w:t>
      </w:r>
      <w:r>
        <w:rPr>
          <w:spacing w:val="-1"/>
          <w:sz w:val="26"/>
        </w:rPr>
        <w:t> </w:t>
      </w:r>
      <w:r>
        <w:rPr>
          <w:sz w:val="28"/>
        </w:rPr>
        <w:t>[…]</w:t>
      </w:r>
    </w:p>
    <w:p>
      <w:pPr>
        <w:pStyle w:val="ListParagraph"/>
        <w:numPr>
          <w:ilvl w:val="0"/>
          <w:numId w:val="1"/>
        </w:numPr>
        <w:tabs>
          <w:tab w:pos="481" w:val="left" w:leader="none"/>
          <w:tab w:pos="482" w:val="left" w:leader="none"/>
          <w:tab w:pos="2281" w:val="left" w:leader="none"/>
        </w:tabs>
        <w:spacing w:line="322" w:lineRule="exact" w:before="2" w:after="0"/>
        <w:ind w:left="482" w:right="0" w:hanging="360"/>
        <w:jc w:val="left"/>
        <w:rPr>
          <w:sz w:val="28"/>
        </w:rPr>
      </w:pPr>
      <w:r>
        <w:rPr>
          <w:sz w:val="26"/>
        </w:rPr>
        <w:t>Địa</w:t>
      </w:r>
      <w:r>
        <w:rPr>
          <w:spacing w:val="-3"/>
          <w:sz w:val="26"/>
        </w:rPr>
        <w:t> </w:t>
      </w:r>
      <w:r>
        <w:rPr>
          <w:sz w:val="26"/>
        </w:rPr>
        <w:t>chỉ</w:t>
        <w:tab/>
        <w:t>: </w:t>
      </w:r>
      <w:r>
        <w:rPr>
          <w:spacing w:val="1"/>
          <w:sz w:val="26"/>
        </w:rPr>
        <w:t> </w:t>
      </w:r>
      <w:r>
        <w:rPr>
          <w:sz w:val="28"/>
        </w:rPr>
        <w:t>[…]</w:t>
      </w:r>
    </w:p>
    <w:p>
      <w:pPr>
        <w:pStyle w:val="ListParagraph"/>
        <w:numPr>
          <w:ilvl w:val="0"/>
          <w:numId w:val="1"/>
        </w:numPr>
        <w:tabs>
          <w:tab w:pos="481" w:val="left" w:leader="none"/>
          <w:tab w:pos="482" w:val="left" w:leader="none"/>
          <w:tab w:pos="2281" w:val="left" w:leader="none"/>
        </w:tabs>
        <w:spacing w:line="322" w:lineRule="exact" w:before="0" w:after="0"/>
        <w:ind w:left="482" w:right="0" w:hanging="360"/>
        <w:jc w:val="left"/>
        <w:rPr>
          <w:sz w:val="28"/>
        </w:rPr>
      </w:pPr>
      <w:r>
        <w:rPr>
          <w:sz w:val="26"/>
        </w:rPr>
        <w:t>Điện</w:t>
      </w:r>
      <w:r>
        <w:rPr>
          <w:spacing w:val="61"/>
          <w:sz w:val="26"/>
        </w:rPr>
        <w:t> </w:t>
      </w:r>
      <w:r>
        <w:rPr>
          <w:sz w:val="26"/>
        </w:rPr>
        <w:t>thoại</w:t>
        <w:tab/>
        <w:t>: </w:t>
      </w:r>
      <w:r>
        <w:rPr>
          <w:spacing w:val="1"/>
          <w:sz w:val="26"/>
        </w:rPr>
        <w:t> </w:t>
      </w:r>
      <w:r>
        <w:rPr>
          <w:sz w:val="28"/>
        </w:rPr>
        <w:t>[…]</w:t>
      </w:r>
    </w:p>
    <w:p>
      <w:pPr>
        <w:pStyle w:val="ListParagraph"/>
        <w:numPr>
          <w:ilvl w:val="0"/>
          <w:numId w:val="1"/>
        </w:numPr>
        <w:tabs>
          <w:tab w:pos="481" w:val="left" w:leader="none"/>
          <w:tab w:pos="482" w:val="left" w:leader="none"/>
          <w:tab w:pos="2281" w:val="left" w:leader="none"/>
        </w:tabs>
        <w:spacing w:line="322" w:lineRule="exact" w:before="0" w:after="0"/>
        <w:ind w:left="482" w:right="0" w:hanging="360"/>
        <w:jc w:val="left"/>
        <w:rPr>
          <w:sz w:val="28"/>
        </w:rPr>
      </w:pPr>
      <w:r>
        <w:rPr>
          <w:sz w:val="26"/>
        </w:rPr>
        <w:t>Tài</w:t>
      </w:r>
      <w:r>
        <w:rPr>
          <w:spacing w:val="-2"/>
          <w:sz w:val="26"/>
        </w:rPr>
        <w:t> </w:t>
      </w:r>
      <w:r>
        <w:rPr>
          <w:sz w:val="26"/>
        </w:rPr>
        <w:t>khoản</w:t>
        <w:tab/>
        <w:t>: </w:t>
      </w:r>
      <w:r>
        <w:rPr>
          <w:spacing w:val="1"/>
          <w:sz w:val="26"/>
        </w:rPr>
        <w:t> </w:t>
      </w:r>
      <w:r>
        <w:rPr>
          <w:sz w:val="28"/>
        </w:rPr>
        <w:t>[…]</w:t>
      </w:r>
    </w:p>
    <w:p>
      <w:pPr>
        <w:pStyle w:val="ListParagraph"/>
        <w:numPr>
          <w:ilvl w:val="0"/>
          <w:numId w:val="1"/>
        </w:numPr>
        <w:tabs>
          <w:tab w:pos="481" w:val="left" w:leader="none"/>
          <w:tab w:pos="482" w:val="left" w:leader="none"/>
          <w:tab w:pos="2281" w:val="left" w:leader="none"/>
        </w:tabs>
        <w:spacing w:line="322" w:lineRule="exact" w:before="0" w:after="0"/>
        <w:ind w:left="482" w:right="0" w:hanging="360"/>
        <w:jc w:val="left"/>
        <w:rPr>
          <w:sz w:val="28"/>
        </w:rPr>
      </w:pPr>
      <w:r>
        <w:rPr>
          <w:sz w:val="26"/>
        </w:rPr>
        <w:t>Tại</w:t>
      </w:r>
      <w:r>
        <w:rPr>
          <w:spacing w:val="-3"/>
          <w:sz w:val="26"/>
        </w:rPr>
        <w:t> </w:t>
      </w:r>
      <w:r>
        <w:rPr>
          <w:sz w:val="26"/>
        </w:rPr>
        <w:t>Ngân</w:t>
      </w:r>
      <w:r>
        <w:rPr>
          <w:spacing w:val="-2"/>
          <w:sz w:val="26"/>
        </w:rPr>
        <w:t> </w:t>
      </w:r>
      <w:r>
        <w:rPr>
          <w:sz w:val="26"/>
        </w:rPr>
        <w:t>hàng</w:t>
        <w:tab/>
        <w:t>: </w:t>
      </w:r>
      <w:r>
        <w:rPr>
          <w:spacing w:val="1"/>
          <w:sz w:val="26"/>
        </w:rPr>
        <w:t> </w:t>
      </w:r>
      <w:r>
        <w:rPr>
          <w:sz w:val="28"/>
        </w:rPr>
        <w:t>[…]</w:t>
      </w:r>
    </w:p>
    <w:p>
      <w:pPr>
        <w:pStyle w:val="ListParagraph"/>
        <w:numPr>
          <w:ilvl w:val="0"/>
          <w:numId w:val="1"/>
        </w:numPr>
        <w:tabs>
          <w:tab w:pos="481" w:val="left" w:leader="none"/>
          <w:tab w:pos="482" w:val="left" w:leader="none"/>
          <w:tab w:pos="2281" w:val="left" w:leader="none"/>
        </w:tabs>
        <w:spacing w:line="240" w:lineRule="auto" w:before="0" w:after="0"/>
        <w:ind w:left="482" w:right="0" w:hanging="360"/>
        <w:jc w:val="left"/>
        <w:rPr>
          <w:sz w:val="28"/>
        </w:rPr>
      </w:pPr>
      <w:r>
        <w:rPr>
          <w:sz w:val="26"/>
        </w:rPr>
        <w:t>Mã</w:t>
      </w:r>
      <w:r>
        <w:rPr>
          <w:spacing w:val="-3"/>
          <w:sz w:val="26"/>
        </w:rPr>
        <w:t> </w:t>
      </w:r>
      <w:r>
        <w:rPr>
          <w:sz w:val="26"/>
        </w:rPr>
        <w:t>số</w:t>
      </w:r>
      <w:r>
        <w:rPr>
          <w:spacing w:val="-2"/>
          <w:sz w:val="26"/>
        </w:rPr>
        <w:t> </w:t>
      </w:r>
      <w:r>
        <w:rPr>
          <w:sz w:val="26"/>
        </w:rPr>
        <w:t>thuế</w:t>
        <w:tab/>
        <w:t>: </w:t>
      </w:r>
      <w:r>
        <w:rPr>
          <w:spacing w:val="1"/>
          <w:sz w:val="26"/>
        </w:rPr>
        <w:t> </w:t>
      </w:r>
      <w:r>
        <w:rPr>
          <w:sz w:val="28"/>
        </w:rPr>
        <w:t>[…]</w:t>
      </w:r>
    </w:p>
    <w:p>
      <w:pPr>
        <w:spacing w:line="322" w:lineRule="exact" w:before="0"/>
        <w:ind w:left="122" w:right="0" w:firstLine="0"/>
        <w:jc w:val="left"/>
        <w:rPr>
          <w:sz w:val="28"/>
        </w:rPr>
      </w:pPr>
      <w:r>
        <w:rPr>
          <w:b/>
          <w:sz w:val="26"/>
        </w:rPr>
        <w:t>BÊN B: </w:t>
      </w:r>
      <w:r>
        <w:rPr>
          <w:sz w:val="28"/>
        </w:rPr>
        <w:t>[…]</w:t>
      </w:r>
    </w:p>
    <w:p>
      <w:pPr>
        <w:pStyle w:val="ListParagraph"/>
        <w:numPr>
          <w:ilvl w:val="0"/>
          <w:numId w:val="1"/>
        </w:numPr>
        <w:tabs>
          <w:tab w:pos="481" w:val="left" w:leader="none"/>
          <w:tab w:pos="482" w:val="left" w:leader="none"/>
          <w:tab w:pos="2281" w:val="left" w:leader="none"/>
          <w:tab w:pos="5150" w:val="left" w:leader="none"/>
        </w:tabs>
        <w:spacing w:line="240" w:lineRule="auto" w:before="0" w:after="0"/>
        <w:ind w:left="482" w:right="0" w:hanging="360"/>
        <w:jc w:val="left"/>
        <w:rPr>
          <w:sz w:val="28"/>
        </w:rPr>
      </w:pPr>
      <w:r>
        <w:rPr>
          <w:sz w:val="26"/>
        </w:rPr>
        <w:t>Đại</w:t>
      </w:r>
      <w:r>
        <w:rPr>
          <w:spacing w:val="-3"/>
          <w:sz w:val="26"/>
        </w:rPr>
        <w:t> </w:t>
      </w:r>
      <w:r>
        <w:rPr>
          <w:sz w:val="26"/>
        </w:rPr>
        <w:t>diện</w:t>
        <w:tab/>
        <w:t>:</w:t>
      </w:r>
      <w:r>
        <w:rPr>
          <w:spacing w:val="1"/>
          <w:sz w:val="26"/>
        </w:rPr>
        <w:t> </w:t>
      </w:r>
      <w:r>
        <w:rPr>
          <w:sz w:val="28"/>
        </w:rPr>
        <w:t>[…]</w:t>
        <w:tab/>
      </w:r>
      <w:r>
        <w:rPr>
          <w:sz w:val="26"/>
        </w:rPr>
        <w:t>Chức vụ:</w:t>
      </w:r>
      <w:r>
        <w:rPr>
          <w:spacing w:val="1"/>
          <w:sz w:val="26"/>
        </w:rPr>
        <w:t> </w:t>
      </w:r>
      <w:r>
        <w:rPr>
          <w:sz w:val="28"/>
        </w:rPr>
        <w:t>[…]</w:t>
      </w:r>
    </w:p>
    <w:p>
      <w:pPr>
        <w:pStyle w:val="ListParagraph"/>
        <w:numPr>
          <w:ilvl w:val="0"/>
          <w:numId w:val="1"/>
        </w:numPr>
        <w:tabs>
          <w:tab w:pos="481" w:val="left" w:leader="none"/>
          <w:tab w:pos="482" w:val="left" w:leader="none"/>
          <w:tab w:pos="2281" w:val="left" w:leader="none"/>
        </w:tabs>
        <w:spacing w:line="322" w:lineRule="exact" w:before="2" w:after="0"/>
        <w:ind w:left="482" w:right="0" w:hanging="360"/>
        <w:jc w:val="left"/>
        <w:rPr>
          <w:sz w:val="28"/>
        </w:rPr>
      </w:pPr>
      <w:r>
        <w:rPr>
          <w:sz w:val="26"/>
        </w:rPr>
        <w:t>Địa</w:t>
      </w:r>
      <w:r>
        <w:rPr>
          <w:spacing w:val="-3"/>
          <w:sz w:val="26"/>
        </w:rPr>
        <w:t> </w:t>
      </w:r>
      <w:r>
        <w:rPr>
          <w:sz w:val="26"/>
        </w:rPr>
        <w:t>chỉ</w:t>
        <w:tab/>
        <w:t>:</w:t>
      </w:r>
      <w:r>
        <w:rPr>
          <w:spacing w:val="1"/>
          <w:sz w:val="26"/>
        </w:rPr>
        <w:t> </w:t>
      </w:r>
      <w:r>
        <w:rPr>
          <w:sz w:val="28"/>
        </w:rPr>
        <w:t>[…]</w:t>
      </w:r>
    </w:p>
    <w:p>
      <w:pPr>
        <w:pStyle w:val="ListParagraph"/>
        <w:numPr>
          <w:ilvl w:val="0"/>
          <w:numId w:val="1"/>
        </w:numPr>
        <w:tabs>
          <w:tab w:pos="481" w:val="left" w:leader="none"/>
          <w:tab w:pos="482" w:val="left" w:leader="none"/>
          <w:tab w:pos="2281" w:val="left" w:leader="none"/>
        </w:tabs>
        <w:spacing w:line="322" w:lineRule="exact" w:before="0" w:after="0"/>
        <w:ind w:left="482" w:right="0" w:hanging="360"/>
        <w:jc w:val="left"/>
        <w:rPr>
          <w:sz w:val="28"/>
        </w:rPr>
      </w:pPr>
      <w:r>
        <w:rPr>
          <w:sz w:val="26"/>
        </w:rPr>
        <w:t>Điện</w:t>
      </w:r>
      <w:r>
        <w:rPr>
          <w:spacing w:val="-3"/>
          <w:sz w:val="26"/>
        </w:rPr>
        <w:t> </w:t>
      </w:r>
      <w:r>
        <w:rPr>
          <w:sz w:val="26"/>
        </w:rPr>
        <w:t>thoại</w:t>
        <w:tab/>
        <w:t>:</w:t>
      </w:r>
      <w:r>
        <w:rPr>
          <w:spacing w:val="1"/>
          <w:sz w:val="26"/>
        </w:rPr>
        <w:t> </w:t>
      </w:r>
      <w:r>
        <w:rPr>
          <w:sz w:val="28"/>
        </w:rPr>
        <w:t>[…]</w:t>
      </w:r>
    </w:p>
    <w:p>
      <w:pPr>
        <w:pStyle w:val="ListParagraph"/>
        <w:numPr>
          <w:ilvl w:val="0"/>
          <w:numId w:val="1"/>
        </w:numPr>
        <w:tabs>
          <w:tab w:pos="481" w:val="left" w:leader="none"/>
          <w:tab w:pos="482" w:val="left" w:leader="none"/>
          <w:tab w:pos="2281" w:val="left" w:leader="none"/>
        </w:tabs>
        <w:spacing w:line="240" w:lineRule="auto" w:before="0" w:after="0"/>
        <w:ind w:left="482" w:right="0" w:hanging="360"/>
        <w:jc w:val="left"/>
        <w:rPr>
          <w:sz w:val="28"/>
        </w:rPr>
      </w:pPr>
      <w:r>
        <w:rPr>
          <w:sz w:val="26"/>
        </w:rPr>
        <w:t>Mã</w:t>
      </w:r>
      <w:r>
        <w:rPr>
          <w:spacing w:val="-3"/>
          <w:sz w:val="26"/>
        </w:rPr>
        <w:t> </w:t>
      </w:r>
      <w:r>
        <w:rPr>
          <w:sz w:val="26"/>
        </w:rPr>
        <w:t>số</w:t>
      </w:r>
      <w:r>
        <w:rPr>
          <w:spacing w:val="-2"/>
          <w:sz w:val="26"/>
        </w:rPr>
        <w:t> </w:t>
      </w:r>
      <w:r>
        <w:rPr>
          <w:sz w:val="26"/>
        </w:rPr>
        <w:t>thuế</w:t>
        <w:tab/>
        <w:t>:</w:t>
      </w:r>
      <w:r>
        <w:rPr>
          <w:spacing w:val="1"/>
          <w:sz w:val="26"/>
        </w:rPr>
        <w:t> </w:t>
      </w:r>
      <w:r>
        <w:rPr>
          <w:sz w:val="28"/>
        </w:rPr>
        <w:t>[…]</w:t>
      </w:r>
    </w:p>
    <w:p>
      <w:pPr>
        <w:spacing w:before="1"/>
        <w:ind w:left="122" w:right="0" w:firstLine="0"/>
        <w:jc w:val="left"/>
        <w:rPr>
          <w:i/>
          <w:sz w:val="26"/>
        </w:rPr>
      </w:pPr>
      <w:r>
        <w:rPr>
          <w:i/>
          <w:sz w:val="26"/>
        </w:rPr>
        <w:t>Hai bên nêu trên thống nhất ký hợp đồng trông giữ phương tiện này (sau đây gọi là “</w:t>
      </w:r>
      <w:r>
        <w:rPr>
          <w:b/>
          <w:i/>
          <w:sz w:val="26"/>
        </w:rPr>
        <w:t>Hợp </w:t>
      </w:r>
      <w:r>
        <w:rPr>
          <w:b/>
          <w:i/>
          <w:sz w:val="26"/>
        </w:rPr>
        <w:t>Đồng</w:t>
      </w:r>
      <w:r>
        <w:rPr>
          <w:i/>
          <w:sz w:val="26"/>
        </w:rPr>
        <w:t>”) với những điều khoản và điều kiện sau:</w:t>
      </w:r>
    </w:p>
    <w:p>
      <w:pPr>
        <w:pStyle w:val="Heading1"/>
        <w:spacing w:line="299" w:lineRule="exact" w:before="240"/>
      </w:pPr>
      <w:r>
        <w:rPr>
          <w:b w:val="0"/>
          <w:spacing w:val="-65"/>
          <w:w w:val="99"/>
          <w:u w:val="thick"/>
        </w:rPr>
        <w:t> </w:t>
      </w:r>
      <w:r>
        <w:rPr>
          <w:u w:val="thick"/>
        </w:rPr>
        <w:t>Điều I</w:t>
      </w:r>
      <w:r>
        <w:rPr/>
        <w:t>: Nội dung</w:t>
      </w:r>
    </w:p>
    <w:p>
      <w:pPr>
        <w:pStyle w:val="ListParagraph"/>
        <w:numPr>
          <w:ilvl w:val="1"/>
          <w:numId w:val="2"/>
        </w:numPr>
        <w:tabs>
          <w:tab w:pos="830" w:val="left" w:leader="none"/>
        </w:tabs>
        <w:spacing w:line="240" w:lineRule="auto" w:before="0" w:after="0"/>
        <w:ind w:left="830" w:right="531" w:hanging="708"/>
        <w:jc w:val="both"/>
        <w:rPr>
          <w:sz w:val="26"/>
        </w:rPr>
      </w:pPr>
      <w:r>
        <w:rPr>
          <w:sz w:val="26"/>
        </w:rPr>
        <w:t>Kể từ ngày </w:t>
      </w:r>
      <w:r>
        <w:rPr>
          <w:sz w:val="28"/>
        </w:rPr>
        <w:t>[…] </w:t>
      </w:r>
      <w:r>
        <w:rPr>
          <w:sz w:val="26"/>
        </w:rPr>
        <w:t>tháng </w:t>
      </w:r>
      <w:r>
        <w:rPr>
          <w:sz w:val="28"/>
        </w:rPr>
        <w:t>[…] </w:t>
      </w:r>
      <w:r>
        <w:rPr>
          <w:sz w:val="26"/>
        </w:rPr>
        <w:t>năm </w:t>
      </w:r>
      <w:r>
        <w:rPr>
          <w:sz w:val="28"/>
        </w:rPr>
        <w:t>[…]  </w:t>
      </w:r>
      <w:r>
        <w:rPr>
          <w:sz w:val="26"/>
        </w:rPr>
        <w:t>bên A đồng ý tổ chức trông giữ  các  phương tiện di chuyển bao gồm xe mô tô </w:t>
      </w:r>
      <w:r>
        <w:rPr>
          <w:sz w:val="28"/>
        </w:rPr>
        <w:t>[…] </w:t>
      </w:r>
      <w:r>
        <w:rPr>
          <w:sz w:val="26"/>
        </w:rPr>
        <w:t>bánh, xe mô tô </w:t>
      </w:r>
      <w:r>
        <w:rPr>
          <w:sz w:val="28"/>
        </w:rPr>
        <w:t>[…] </w:t>
      </w:r>
      <w:r>
        <w:rPr>
          <w:sz w:val="26"/>
        </w:rPr>
        <w:t>bánh, xe máy điện, xe đạp điện, xe đạp, và các loại xe tương tự (sau đây gọi là “</w:t>
      </w:r>
      <w:r>
        <w:rPr>
          <w:b/>
          <w:sz w:val="26"/>
        </w:rPr>
        <w:t>Phương Tiện</w:t>
      </w:r>
      <w:r>
        <w:rPr>
          <w:sz w:val="26"/>
        </w:rPr>
        <w:t>”) cho nhân viên, người lao động, hoặc người khác được bên B cho phép (“</w:t>
      </w:r>
      <w:r>
        <w:rPr>
          <w:b/>
          <w:sz w:val="26"/>
        </w:rPr>
        <w:t>Chủ Phương Tiện</w:t>
      </w:r>
      <w:r>
        <w:rPr>
          <w:sz w:val="26"/>
        </w:rPr>
        <w:t>”) lưu Phương Tiện tại Bãi Gửi Xe quy định tại Điều 1.2 Hợp</w:t>
      </w:r>
      <w:r>
        <w:rPr>
          <w:spacing w:val="-24"/>
          <w:sz w:val="26"/>
        </w:rPr>
        <w:t> </w:t>
      </w:r>
      <w:r>
        <w:rPr>
          <w:sz w:val="26"/>
        </w:rPr>
        <w:t>Đồng.</w:t>
      </w:r>
    </w:p>
    <w:p>
      <w:pPr>
        <w:pStyle w:val="ListParagraph"/>
        <w:numPr>
          <w:ilvl w:val="1"/>
          <w:numId w:val="2"/>
        </w:numPr>
        <w:tabs>
          <w:tab w:pos="830" w:val="left" w:leader="none"/>
        </w:tabs>
        <w:spacing w:line="240" w:lineRule="auto" w:before="0" w:after="0"/>
        <w:ind w:left="830" w:right="533" w:hanging="708"/>
        <w:jc w:val="both"/>
        <w:rPr>
          <w:sz w:val="26"/>
        </w:rPr>
      </w:pPr>
      <w:r>
        <w:rPr>
          <w:sz w:val="26"/>
        </w:rPr>
        <w:t>Bãi Gửi Xe: là diện tích đất đặt tại địa chỉ </w:t>
      </w:r>
      <w:r>
        <w:rPr>
          <w:sz w:val="28"/>
        </w:rPr>
        <w:t>[…] </w:t>
      </w:r>
      <w:r>
        <w:rPr>
          <w:sz w:val="26"/>
        </w:rPr>
        <w:t>mà Bên A có quyền sử dụng để cung cấp dịch vụ trông giữ Phương Tiện phù hợp với văn bản chấp thuận của cơ quan nhà nước có thẩm</w:t>
      </w:r>
      <w:r>
        <w:rPr>
          <w:spacing w:val="-2"/>
          <w:sz w:val="26"/>
        </w:rPr>
        <w:t> </w:t>
      </w:r>
      <w:r>
        <w:rPr>
          <w:sz w:val="26"/>
        </w:rPr>
        <w:t>quyền.</w:t>
      </w:r>
    </w:p>
    <w:p>
      <w:pPr>
        <w:pStyle w:val="ListParagraph"/>
        <w:numPr>
          <w:ilvl w:val="1"/>
          <w:numId w:val="2"/>
        </w:numPr>
        <w:tabs>
          <w:tab w:pos="830" w:val="left" w:leader="none"/>
        </w:tabs>
        <w:spacing w:line="240" w:lineRule="auto" w:before="1" w:after="0"/>
        <w:ind w:left="830" w:right="0" w:hanging="708"/>
        <w:jc w:val="both"/>
        <w:rPr>
          <w:sz w:val="26"/>
        </w:rPr>
      </w:pPr>
      <w:r>
        <w:rPr>
          <w:sz w:val="26"/>
        </w:rPr>
        <w:t>Yêu cầu đối với dịch vụ quy định tại Hợp Đồng như</w:t>
      </w:r>
      <w:r>
        <w:rPr>
          <w:spacing w:val="-4"/>
          <w:sz w:val="26"/>
        </w:rPr>
        <w:t> </w:t>
      </w:r>
      <w:r>
        <w:rPr>
          <w:sz w:val="26"/>
        </w:rPr>
        <w:t>sau:</w:t>
      </w: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9"/>
        <w:gridCol w:w="2638"/>
        <w:gridCol w:w="1065"/>
        <w:gridCol w:w="1471"/>
        <w:gridCol w:w="1043"/>
        <w:gridCol w:w="1108"/>
        <w:gridCol w:w="1832"/>
      </w:tblGrid>
      <w:tr>
        <w:trPr>
          <w:trHeight w:val="973" w:hRule="atLeast"/>
        </w:trPr>
        <w:tc>
          <w:tcPr>
            <w:tcW w:w="679" w:type="dxa"/>
          </w:tcPr>
          <w:p>
            <w:pPr>
              <w:pStyle w:val="TableParagraph"/>
              <w:spacing w:before="4"/>
              <w:rPr>
                <w:sz w:val="29"/>
              </w:rPr>
            </w:pPr>
          </w:p>
          <w:p>
            <w:pPr>
              <w:pStyle w:val="TableParagraph"/>
              <w:ind w:left="105"/>
              <w:rPr>
                <w:sz w:val="26"/>
              </w:rPr>
            </w:pPr>
            <w:r>
              <w:rPr>
                <w:sz w:val="26"/>
              </w:rPr>
              <w:t>STT</w:t>
            </w:r>
          </w:p>
        </w:tc>
        <w:tc>
          <w:tcPr>
            <w:tcW w:w="2638" w:type="dxa"/>
          </w:tcPr>
          <w:p>
            <w:pPr>
              <w:pStyle w:val="TableParagraph"/>
              <w:spacing w:before="4"/>
              <w:rPr>
                <w:sz w:val="29"/>
              </w:rPr>
            </w:pPr>
          </w:p>
          <w:p>
            <w:pPr>
              <w:pStyle w:val="TableParagraph"/>
              <w:ind w:left="811"/>
              <w:rPr>
                <w:sz w:val="26"/>
              </w:rPr>
            </w:pPr>
            <w:r>
              <w:rPr>
                <w:sz w:val="26"/>
              </w:rPr>
              <w:t>Thời gian</w:t>
            </w:r>
          </w:p>
        </w:tc>
        <w:tc>
          <w:tcPr>
            <w:tcW w:w="1065" w:type="dxa"/>
          </w:tcPr>
          <w:p>
            <w:pPr>
              <w:pStyle w:val="TableParagraph"/>
              <w:spacing w:before="40"/>
              <w:ind w:left="175" w:right="165" w:firstLine="48"/>
              <w:jc w:val="both"/>
              <w:rPr>
                <w:sz w:val="26"/>
              </w:rPr>
            </w:pPr>
            <w:r>
              <w:rPr>
                <w:sz w:val="26"/>
              </w:rPr>
              <w:t>Số lợt ra vào mỗi xe</w:t>
            </w:r>
          </w:p>
        </w:tc>
        <w:tc>
          <w:tcPr>
            <w:tcW w:w="1471" w:type="dxa"/>
          </w:tcPr>
          <w:p>
            <w:pPr>
              <w:pStyle w:val="TableParagraph"/>
              <w:spacing w:before="189"/>
              <w:ind w:left="123" w:firstLine="220"/>
              <w:rPr>
                <w:sz w:val="26"/>
              </w:rPr>
            </w:pPr>
            <w:r>
              <w:rPr>
                <w:sz w:val="26"/>
              </w:rPr>
              <w:t>đơn giá </w:t>
            </w:r>
            <w:r>
              <w:rPr>
                <w:w w:val="95"/>
                <w:sz w:val="26"/>
              </w:rPr>
              <w:t>(l</w:t>
            </w:r>
            <w:r>
              <w:rPr>
                <w:rFonts w:ascii="Arial" w:hAnsi="Arial"/>
                <w:w w:val="95"/>
                <w:sz w:val="26"/>
              </w:rPr>
              <w:t>ư</w:t>
            </w:r>
            <w:r>
              <w:rPr>
                <w:w w:val="95"/>
                <w:sz w:val="26"/>
              </w:rPr>
              <w:t>ợt/đồng)</w:t>
            </w:r>
          </w:p>
        </w:tc>
        <w:tc>
          <w:tcPr>
            <w:tcW w:w="1043" w:type="dxa"/>
          </w:tcPr>
          <w:p>
            <w:pPr>
              <w:pStyle w:val="TableParagraph"/>
              <w:spacing w:before="189"/>
              <w:ind w:left="399" w:right="85" w:hanging="281"/>
              <w:rPr>
                <w:sz w:val="26"/>
              </w:rPr>
            </w:pPr>
            <w:r>
              <w:rPr>
                <w:sz w:val="26"/>
              </w:rPr>
              <w:t>Số lợng xe</w:t>
            </w:r>
          </w:p>
        </w:tc>
        <w:tc>
          <w:tcPr>
            <w:tcW w:w="1108" w:type="dxa"/>
          </w:tcPr>
          <w:p>
            <w:pPr>
              <w:pStyle w:val="TableParagraph"/>
              <w:spacing w:before="40"/>
              <w:ind w:left="266" w:hanging="132"/>
              <w:rPr>
                <w:sz w:val="26"/>
              </w:rPr>
            </w:pPr>
            <w:r>
              <w:rPr>
                <w:sz w:val="26"/>
              </w:rPr>
              <w:t>Số ngày trong tháng</w:t>
            </w:r>
          </w:p>
        </w:tc>
        <w:tc>
          <w:tcPr>
            <w:tcW w:w="1832" w:type="dxa"/>
          </w:tcPr>
          <w:p>
            <w:pPr>
              <w:pStyle w:val="TableParagraph"/>
              <w:spacing w:before="189"/>
              <w:ind w:left="224" w:right="191" w:firstLine="136"/>
              <w:rPr>
                <w:sz w:val="26"/>
              </w:rPr>
            </w:pPr>
            <w:r>
              <w:rPr>
                <w:sz w:val="26"/>
              </w:rPr>
              <w:t>Thành tiền (VNĐ/tháng)</w:t>
            </w:r>
          </w:p>
        </w:tc>
      </w:tr>
    </w:tbl>
    <w:p>
      <w:pPr>
        <w:spacing w:after="0"/>
        <w:rPr>
          <w:sz w:val="26"/>
        </w:rPr>
        <w:sectPr>
          <w:type w:val="continuous"/>
          <w:pgSz w:w="12240" w:h="15840"/>
          <w:pgMar w:top="1060" w:bottom="280" w:left="1580" w:right="600"/>
        </w:sectPr>
      </w:pPr>
    </w:p>
    <w:tbl>
      <w:tblPr>
        <w:tblW w:w="0" w:type="auto"/>
        <w:jc w:val="left"/>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9"/>
        <w:gridCol w:w="2638"/>
        <w:gridCol w:w="1065"/>
        <w:gridCol w:w="1471"/>
        <w:gridCol w:w="1043"/>
        <w:gridCol w:w="1108"/>
        <w:gridCol w:w="1832"/>
      </w:tblGrid>
      <w:tr>
        <w:trPr>
          <w:trHeight w:val="525" w:hRule="atLeast"/>
        </w:trPr>
        <w:tc>
          <w:tcPr>
            <w:tcW w:w="679" w:type="dxa"/>
            <w:tcBorders>
              <w:top w:val="nil"/>
            </w:tcBorders>
          </w:tcPr>
          <w:p>
            <w:pPr>
              <w:pStyle w:val="TableParagraph"/>
              <w:spacing w:before="107"/>
              <w:ind w:left="270"/>
              <w:rPr>
                <w:sz w:val="26"/>
              </w:rPr>
            </w:pPr>
            <w:r>
              <w:rPr>
                <w:w w:val="99"/>
                <w:sz w:val="26"/>
              </w:rPr>
              <w:t>1</w:t>
            </w:r>
          </w:p>
        </w:tc>
        <w:tc>
          <w:tcPr>
            <w:tcW w:w="2638" w:type="dxa"/>
            <w:tcBorders>
              <w:top w:val="nil"/>
            </w:tcBorders>
          </w:tcPr>
          <w:p>
            <w:pPr>
              <w:pStyle w:val="TableParagraph"/>
              <w:spacing w:before="96"/>
              <w:ind w:left="1082"/>
              <w:rPr>
                <w:sz w:val="28"/>
              </w:rPr>
            </w:pPr>
            <w:r>
              <w:rPr>
                <w:sz w:val="28"/>
              </w:rPr>
              <w:t>[…]</w:t>
            </w:r>
          </w:p>
        </w:tc>
        <w:tc>
          <w:tcPr>
            <w:tcW w:w="1065" w:type="dxa"/>
            <w:tcBorders>
              <w:top w:val="nil"/>
            </w:tcBorders>
          </w:tcPr>
          <w:p>
            <w:pPr>
              <w:pStyle w:val="TableParagraph"/>
              <w:spacing w:before="96"/>
              <w:ind w:left="297"/>
              <w:rPr>
                <w:sz w:val="28"/>
              </w:rPr>
            </w:pPr>
            <w:r>
              <w:rPr>
                <w:sz w:val="28"/>
              </w:rPr>
              <w:t>[…]</w:t>
            </w:r>
          </w:p>
        </w:tc>
        <w:tc>
          <w:tcPr>
            <w:tcW w:w="1471" w:type="dxa"/>
            <w:tcBorders>
              <w:top w:val="nil"/>
            </w:tcBorders>
          </w:tcPr>
          <w:p>
            <w:pPr>
              <w:pStyle w:val="TableParagraph"/>
              <w:spacing w:before="96"/>
              <w:ind w:left="480" w:right="473"/>
              <w:jc w:val="center"/>
              <w:rPr>
                <w:sz w:val="28"/>
              </w:rPr>
            </w:pPr>
            <w:r>
              <w:rPr>
                <w:sz w:val="28"/>
              </w:rPr>
              <w:t>[…]</w:t>
            </w:r>
          </w:p>
        </w:tc>
        <w:tc>
          <w:tcPr>
            <w:tcW w:w="1043" w:type="dxa"/>
            <w:tcBorders>
              <w:top w:val="nil"/>
            </w:tcBorders>
          </w:tcPr>
          <w:p>
            <w:pPr>
              <w:pStyle w:val="TableParagraph"/>
              <w:spacing w:before="96"/>
              <w:ind w:left="289"/>
              <w:rPr>
                <w:sz w:val="28"/>
              </w:rPr>
            </w:pPr>
            <w:r>
              <w:rPr>
                <w:sz w:val="28"/>
              </w:rPr>
              <w:t>[…]</w:t>
            </w:r>
          </w:p>
        </w:tc>
        <w:tc>
          <w:tcPr>
            <w:tcW w:w="1108" w:type="dxa"/>
            <w:tcBorders>
              <w:top w:val="nil"/>
            </w:tcBorders>
          </w:tcPr>
          <w:p>
            <w:pPr>
              <w:pStyle w:val="TableParagraph"/>
              <w:spacing w:before="96"/>
              <w:ind w:left="302" w:right="289"/>
              <w:jc w:val="center"/>
              <w:rPr>
                <w:sz w:val="28"/>
              </w:rPr>
            </w:pPr>
            <w:r>
              <w:rPr>
                <w:sz w:val="28"/>
              </w:rPr>
              <w:t>[…]</w:t>
            </w:r>
          </w:p>
        </w:tc>
        <w:tc>
          <w:tcPr>
            <w:tcW w:w="1832" w:type="dxa"/>
            <w:tcBorders>
              <w:top w:val="nil"/>
            </w:tcBorders>
          </w:tcPr>
          <w:p>
            <w:pPr>
              <w:pStyle w:val="TableParagraph"/>
              <w:spacing w:before="96"/>
              <w:ind w:right="666"/>
              <w:jc w:val="right"/>
              <w:rPr>
                <w:sz w:val="28"/>
              </w:rPr>
            </w:pPr>
            <w:r>
              <w:rPr>
                <w:sz w:val="28"/>
              </w:rPr>
              <w:t>[…]</w:t>
            </w:r>
          </w:p>
        </w:tc>
      </w:tr>
      <w:tr>
        <w:trPr>
          <w:trHeight w:val="525" w:hRule="atLeast"/>
        </w:trPr>
        <w:tc>
          <w:tcPr>
            <w:tcW w:w="679" w:type="dxa"/>
          </w:tcPr>
          <w:p>
            <w:pPr>
              <w:pStyle w:val="TableParagraph"/>
              <w:spacing w:before="107"/>
              <w:ind w:left="270"/>
              <w:rPr>
                <w:sz w:val="26"/>
              </w:rPr>
            </w:pPr>
            <w:r>
              <w:rPr>
                <w:w w:val="99"/>
                <w:sz w:val="26"/>
              </w:rPr>
              <w:t>2</w:t>
            </w:r>
          </w:p>
        </w:tc>
        <w:tc>
          <w:tcPr>
            <w:tcW w:w="2638" w:type="dxa"/>
          </w:tcPr>
          <w:p>
            <w:pPr>
              <w:pStyle w:val="TableParagraph"/>
              <w:spacing w:before="96"/>
              <w:ind w:left="1082"/>
              <w:rPr>
                <w:sz w:val="28"/>
              </w:rPr>
            </w:pPr>
            <w:r>
              <w:rPr>
                <w:sz w:val="28"/>
              </w:rPr>
              <w:t>[…]</w:t>
            </w:r>
          </w:p>
        </w:tc>
        <w:tc>
          <w:tcPr>
            <w:tcW w:w="1065" w:type="dxa"/>
          </w:tcPr>
          <w:p>
            <w:pPr>
              <w:pStyle w:val="TableParagraph"/>
              <w:spacing w:before="96"/>
              <w:ind w:left="300"/>
              <w:rPr>
                <w:sz w:val="28"/>
              </w:rPr>
            </w:pPr>
            <w:r>
              <w:rPr>
                <w:sz w:val="28"/>
              </w:rPr>
              <w:t>[…]</w:t>
            </w:r>
          </w:p>
        </w:tc>
        <w:tc>
          <w:tcPr>
            <w:tcW w:w="1471" w:type="dxa"/>
          </w:tcPr>
          <w:p>
            <w:pPr>
              <w:pStyle w:val="TableParagraph"/>
              <w:spacing w:before="96"/>
              <w:ind w:left="480" w:right="473"/>
              <w:jc w:val="center"/>
              <w:rPr>
                <w:sz w:val="28"/>
              </w:rPr>
            </w:pPr>
            <w:r>
              <w:rPr>
                <w:sz w:val="28"/>
              </w:rPr>
              <w:t>[…]</w:t>
            </w:r>
          </w:p>
        </w:tc>
        <w:tc>
          <w:tcPr>
            <w:tcW w:w="1043" w:type="dxa"/>
          </w:tcPr>
          <w:p>
            <w:pPr>
              <w:pStyle w:val="TableParagraph"/>
              <w:spacing w:before="96"/>
              <w:ind w:left="289"/>
              <w:rPr>
                <w:sz w:val="28"/>
              </w:rPr>
            </w:pPr>
            <w:r>
              <w:rPr>
                <w:sz w:val="28"/>
              </w:rPr>
              <w:t>[…]</w:t>
            </w:r>
          </w:p>
        </w:tc>
        <w:tc>
          <w:tcPr>
            <w:tcW w:w="1108" w:type="dxa"/>
          </w:tcPr>
          <w:p>
            <w:pPr>
              <w:pStyle w:val="TableParagraph"/>
              <w:spacing w:before="96"/>
              <w:ind w:left="302" w:right="289"/>
              <w:jc w:val="center"/>
              <w:rPr>
                <w:sz w:val="28"/>
              </w:rPr>
            </w:pPr>
            <w:r>
              <w:rPr>
                <w:sz w:val="28"/>
              </w:rPr>
              <w:t>[…]</w:t>
            </w:r>
          </w:p>
        </w:tc>
        <w:tc>
          <w:tcPr>
            <w:tcW w:w="1832" w:type="dxa"/>
          </w:tcPr>
          <w:p>
            <w:pPr>
              <w:pStyle w:val="TableParagraph"/>
              <w:spacing w:before="96"/>
              <w:ind w:right="666"/>
              <w:jc w:val="right"/>
              <w:rPr>
                <w:sz w:val="28"/>
              </w:rPr>
            </w:pPr>
            <w:r>
              <w:rPr>
                <w:sz w:val="28"/>
              </w:rPr>
              <w:t>[…]</w:t>
            </w:r>
          </w:p>
        </w:tc>
      </w:tr>
      <w:tr>
        <w:trPr>
          <w:trHeight w:val="359" w:hRule="atLeast"/>
        </w:trPr>
        <w:tc>
          <w:tcPr>
            <w:tcW w:w="679" w:type="dxa"/>
            <w:tcBorders>
              <w:right w:val="nil"/>
            </w:tcBorders>
          </w:tcPr>
          <w:p>
            <w:pPr>
              <w:pStyle w:val="TableParagraph"/>
              <w:rPr>
                <w:sz w:val="26"/>
              </w:rPr>
            </w:pPr>
          </w:p>
        </w:tc>
        <w:tc>
          <w:tcPr>
            <w:tcW w:w="2638" w:type="dxa"/>
            <w:tcBorders>
              <w:left w:val="nil"/>
              <w:right w:val="nil"/>
            </w:tcBorders>
          </w:tcPr>
          <w:p>
            <w:pPr>
              <w:pStyle w:val="TableParagraph"/>
              <w:rPr>
                <w:sz w:val="26"/>
              </w:rPr>
            </w:pPr>
          </w:p>
        </w:tc>
        <w:tc>
          <w:tcPr>
            <w:tcW w:w="1065" w:type="dxa"/>
            <w:tcBorders>
              <w:left w:val="nil"/>
              <w:right w:val="nil"/>
            </w:tcBorders>
          </w:tcPr>
          <w:p>
            <w:pPr>
              <w:pStyle w:val="TableParagraph"/>
              <w:spacing w:before="25"/>
              <w:ind w:left="441"/>
              <w:rPr>
                <w:i/>
                <w:sz w:val="26"/>
              </w:rPr>
            </w:pPr>
            <w:r>
              <w:rPr>
                <w:i/>
                <w:sz w:val="26"/>
              </w:rPr>
              <w:t>Cộng</w:t>
            </w:r>
          </w:p>
        </w:tc>
        <w:tc>
          <w:tcPr>
            <w:tcW w:w="1471" w:type="dxa"/>
            <w:tcBorders>
              <w:left w:val="nil"/>
              <w:right w:val="nil"/>
            </w:tcBorders>
          </w:tcPr>
          <w:p>
            <w:pPr>
              <w:pStyle w:val="TableParagraph"/>
              <w:rPr>
                <w:sz w:val="26"/>
              </w:rPr>
            </w:pPr>
          </w:p>
        </w:tc>
        <w:tc>
          <w:tcPr>
            <w:tcW w:w="1043" w:type="dxa"/>
            <w:tcBorders>
              <w:left w:val="nil"/>
              <w:right w:val="nil"/>
            </w:tcBorders>
          </w:tcPr>
          <w:p>
            <w:pPr>
              <w:pStyle w:val="TableParagraph"/>
              <w:rPr>
                <w:sz w:val="26"/>
              </w:rPr>
            </w:pPr>
          </w:p>
        </w:tc>
        <w:tc>
          <w:tcPr>
            <w:tcW w:w="1108" w:type="dxa"/>
            <w:tcBorders>
              <w:left w:val="nil"/>
              <w:right w:val="nil"/>
            </w:tcBorders>
          </w:tcPr>
          <w:p>
            <w:pPr>
              <w:pStyle w:val="TableParagraph"/>
              <w:rPr>
                <w:sz w:val="26"/>
              </w:rPr>
            </w:pPr>
          </w:p>
        </w:tc>
        <w:tc>
          <w:tcPr>
            <w:tcW w:w="1832" w:type="dxa"/>
            <w:tcBorders>
              <w:left w:val="nil"/>
            </w:tcBorders>
          </w:tcPr>
          <w:p>
            <w:pPr>
              <w:pStyle w:val="TableParagraph"/>
              <w:spacing w:before="12"/>
              <w:ind w:right="666"/>
              <w:jc w:val="right"/>
              <w:rPr>
                <w:sz w:val="28"/>
              </w:rPr>
            </w:pPr>
            <w:r>
              <w:rPr>
                <w:sz w:val="28"/>
              </w:rPr>
              <w:t>[…]</w:t>
            </w:r>
          </w:p>
        </w:tc>
      </w:tr>
      <w:tr>
        <w:trPr>
          <w:trHeight w:val="359" w:hRule="atLeast"/>
        </w:trPr>
        <w:tc>
          <w:tcPr>
            <w:tcW w:w="679" w:type="dxa"/>
            <w:tcBorders>
              <w:right w:val="nil"/>
            </w:tcBorders>
          </w:tcPr>
          <w:p>
            <w:pPr>
              <w:pStyle w:val="TableParagraph"/>
              <w:rPr>
                <w:sz w:val="26"/>
              </w:rPr>
            </w:pPr>
          </w:p>
        </w:tc>
        <w:tc>
          <w:tcPr>
            <w:tcW w:w="2638" w:type="dxa"/>
            <w:tcBorders>
              <w:left w:val="nil"/>
              <w:right w:val="nil"/>
            </w:tcBorders>
          </w:tcPr>
          <w:p>
            <w:pPr>
              <w:pStyle w:val="TableParagraph"/>
              <w:rPr>
                <w:sz w:val="26"/>
              </w:rPr>
            </w:pPr>
          </w:p>
        </w:tc>
        <w:tc>
          <w:tcPr>
            <w:tcW w:w="2536" w:type="dxa"/>
            <w:gridSpan w:val="2"/>
            <w:tcBorders>
              <w:left w:val="nil"/>
              <w:right w:val="nil"/>
            </w:tcBorders>
          </w:tcPr>
          <w:p>
            <w:pPr>
              <w:pStyle w:val="TableParagraph"/>
              <w:spacing w:before="25"/>
              <w:ind w:left="221"/>
              <w:rPr>
                <w:i/>
                <w:sz w:val="26"/>
              </w:rPr>
            </w:pPr>
            <w:r>
              <w:rPr>
                <w:i/>
                <w:sz w:val="26"/>
              </w:rPr>
              <w:t>VAT 10%</w:t>
            </w:r>
          </w:p>
        </w:tc>
        <w:tc>
          <w:tcPr>
            <w:tcW w:w="1043" w:type="dxa"/>
            <w:tcBorders>
              <w:left w:val="nil"/>
              <w:right w:val="nil"/>
            </w:tcBorders>
          </w:tcPr>
          <w:p>
            <w:pPr>
              <w:pStyle w:val="TableParagraph"/>
              <w:rPr>
                <w:sz w:val="26"/>
              </w:rPr>
            </w:pPr>
          </w:p>
        </w:tc>
        <w:tc>
          <w:tcPr>
            <w:tcW w:w="1108" w:type="dxa"/>
            <w:tcBorders>
              <w:left w:val="nil"/>
              <w:right w:val="nil"/>
            </w:tcBorders>
          </w:tcPr>
          <w:p>
            <w:pPr>
              <w:pStyle w:val="TableParagraph"/>
              <w:rPr>
                <w:sz w:val="26"/>
              </w:rPr>
            </w:pPr>
          </w:p>
        </w:tc>
        <w:tc>
          <w:tcPr>
            <w:tcW w:w="1832" w:type="dxa"/>
            <w:tcBorders>
              <w:left w:val="nil"/>
            </w:tcBorders>
          </w:tcPr>
          <w:p>
            <w:pPr>
              <w:pStyle w:val="TableParagraph"/>
              <w:spacing w:before="12"/>
              <w:ind w:right="666"/>
              <w:jc w:val="right"/>
              <w:rPr>
                <w:sz w:val="28"/>
              </w:rPr>
            </w:pPr>
            <w:r>
              <w:rPr>
                <w:sz w:val="28"/>
              </w:rPr>
              <w:t>[…]</w:t>
            </w:r>
          </w:p>
        </w:tc>
      </w:tr>
      <w:tr>
        <w:trPr>
          <w:trHeight w:val="450" w:hRule="atLeast"/>
        </w:trPr>
        <w:tc>
          <w:tcPr>
            <w:tcW w:w="679" w:type="dxa"/>
            <w:tcBorders>
              <w:right w:val="nil"/>
            </w:tcBorders>
          </w:tcPr>
          <w:p>
            <w:pPr>
              <w:pStyle w:val="TableParagraph"/>
              <w:rPr>
                <w:sz w:val="26"/>
              </w:rPr>
            </w:pPr>
          </w:p>
        </w:tc>
        <w:tc>
          <w:tcPr>
            <w:tcW w:w="2638" w:type="dxa"/>
            <w:tcBorders>
              <w:left w:val="nil"/>
              <w:right w:val="nil"/>
            </w:tcBorders>
          </w:tcPr>
          <w:p>
            <w:pPr>
              <w:pStyle w:val="TableParagraph"/>
              <w:rPr>
                <w:sz w:val="26"/>
              </w:rPr>
            </w:pPr>
          </w:p>
        </w:tc>
        <w:tc>
          <w:tcPr>
            <w:tcW w:w="2536" w:type="dxa"/>
            <w:gridSpan w:val="2"/>
            <w:tcBorders>
              <w:left w:val="nil"/>
              <w:right w:val="nil"/>
            </w:tcBorders>
          </w:tcPr>
          <w:p>
            <w:pPr>
              <w:pStyle w:val="TableParagraph"/>
              <w:spacing w:before="71"/>
              <w:ind w:left="141"/>
              <w:rPr>
                <w:b/>
                <w:sz w:val="26"/>
              </w:rPr>
            </w:pPr>
            <w:r>
              <w:rPr>
                <w:b/>
                <w:sz w:val="26"/>
              </w:rPr>
              <w:t>Tổng cộng</w:t>
            </w:r>
          </w:p>
        </w:tc>
        <w:tc>
          <w:tcPr>
            <w:tcW w:w="1043" w:type="dxa"/>
            <w:tcBorders>
              <w:left w:val="nil"/>
              <w:right w:val="nil"/>
            </w:tcBorders>
          </w:tcPr>
          <w:p>
            <w:pPr>
              <w:pStyle w:val="TableParagraph"/>
              <w:rPr>
                <w:sz w:val="26"/>
              </w:rPr>
            </w:pPr>
          </w:p>
        </w:tc>
        <w:tc>
          <w:tcPr>
            <w:tcW w:w="1108" w:type="dxa"/>
            <w:tcBorders>
              <w:left w:val="nil"/>
              <w:right w:val="nil"/>
            </w:tcBorders>
          </w:tcPr>
          <w:p>
            <w:pPr>
              <w:pStyle w:val="TableParagraph"/>
              <w:rPr>
                <w:sz w:val="26"/>
              </w:rPr>
            </w:pPr>
          </w:p>
        </w:tc>
        <w:tc>
          <w:tcPr>
            <w:tcW w:w="1832" w:type="dxa"/>
            <w:tcBorders>
              <w:left w:val="nil"/>
            </w:tcBorders>
          </w:tcPr>
          <w:p>
            <w:pPr>
              <w:pStyle w:val="TableParagraph"/>
              <w:spacing w:before="57"/>
              <w:ind w:right="666"/>
              <w:jc w:val="right"/>
              <w:rPr>
                <w:sz w:val="28"/>
              </w:rPr>
            </w:pPr>
            <w:r>
              <w:rPr>
                <w:sz w:val="28"/>
              </w:rPr>
              <w:t>[…]</w:t>
            </w:r>
          </w:p>
        </w:tc>
      </w:tr>
      <w:tr>
        <w:trPr>
          <w:trHeight w:val="539" w:hRule="atLeast"/>
        </w:trPr>
        <w:tc>
          <w:tcPr>
            <w:tcW w:w="679" w:type="dxa"/>
            <w:tcBorders>
              <w:right w:val="nil"/>
            </w:tcBorders>
          </w:tcPr>
          <w:p>
            <w:pPr>
              <w:pStyle w:val="TableParagraph"/>
              <w:rPr>
                <w:sz w:val="26"/>
              </w:rPr>
            </w:pPr>
          </w:p>
        </w:tc>
        <w:tc>
          <w:tcPr>
            <w:tcW w:w="2638" w:type="dxa"/>
            <w:tcBorders>
              <w:left w:val="nil"/>
              <w:right w:val="nil"/>
            </w:tcBorders>
          </w:tcPr>
          <w:p>
            <w:pPr>
              <w:pStyle w:val="TableParagraph"/>
              <w:spacing w:before="123"/>
              <w:ind w:left="1555"/>
              <w:rPr>
                <w:b/>
                <w:i/>
                <w:sz w:val="24"/>
              </w:rPr>
            </w:pPr>
            <w:r>
              <w:rPr>
                <w:b/>
                <w:i/>
                <w:sz w:val="24"/>
              </w:rPr>
              <w:t>Bằng chữ</w:t>
            </w:r>
          </w:p>
        </w:tc>
        <w:tc>
          <w:tcPr>
            <w:tcW w:w="1065" w:type="dxa"/>
            <w:tcBorders>
              <w:left w:val="nil"/>
              <w:right w:val="nil"/>
            </w:tcBorders>
          </w:tcPr>
          <w:p>
            <w:pPr>
              <w:pStyle w:val="TableParagraph"/>
              <w:rPr>
                <w:sz w:val="26"/>
              </w:rPr>
            </w:pPr>
          </w:p>
        </w:tc>
        <w:tc>
          <w:tcPr>
            <w:tcW w:w="1471" w:type="dxa"/>
            <w:tcBorders>
              <w:left w:val="nil"/>
              <w:right w:val="nil"/>
            </w:tcBorders>
          </w:tcPr>
          <w:p>
            <w:pPr>
              <w:pStyle w:val="TableParagraph"/>
              <w:rPr>
                <w:sz w:val="26"/>
              </w:rPr>
            </w:pPr>
          </w:p>
        </w:tc>
        <w:tc>
          <w:tcPr>
            <w:tcW w:w="1043" w:type="dxa"/>
            <w:tcBorders>
              <w:left w:val="nil"/>
              <w:right w:val="nil"/>
            </w:tcBorders>
          </w:tcPr>
          <w:p>
            <w:pPr>
              <w:pStyle w:val="TableParagraph"/>
              <w:spacing w:before="103"/>
              <w:ind w:left="498"/>
              <w:rPr>
                <w:sz w:val="28"/>
              </w:rPr>
            </w:pPr>
            <w:r>
              <w:rPr>
                <w:sz w:val="28"/>
              </w:rPr>
              <w:t>[…]</w:t>
            </w:r>
          </w:p>
        </w:tc>
        <w:tc>
          <w:tcPr>
            <w:tcW w:w="1108" w:type="dxa"/>
            <w:tcBorders>
              <w:left w:val="nil"/>
              <w:right w:val="nil"/>
            </w:tcBorders>
          </w:tcPr>
          <w:p>
            <w:pPr>
              <w:pStyle w:val="TableParagraph"/>
              <w:rPr>
                <w:sz w:val="26"/>
              </w:rPr>
            </w:pPr>
          </w:p>
        </w:tc>
        <w:tc>
          <w:tcPr>
            <w:tcW w:w="1832" w:type="dxa"/>
            <w:tcBorders>
              <w:left w:val="nil"/>
            </w:tcBorders>
          </w:tcPr>
          <w:p>
            <w:pPr>
              <w:pStyle w:val="TableParagraph"/>
              <w:rPr>
                <w:sz w:val="26"/>
              </w:rPr>
            </w:pPr>
          </w:p>
        </w:tc>
      </w:tr>
    </w:tbl>
    <w:p>
      <w:pPr>
        <w:pStyle w:val="BodyText"/>
        <w:ind w:left="0" w:firstLine="0"/>
        <w:jc w:val="left"/>
        <w:rPr>
          <w:sz w:val="20"/>
        </w:rPr>
      </w:pPr>
    </w:p>
    <w:p>
      <w:pPr>
        <w:pStyle w:val="BodyText"/>
        <w:spacing w:before="1"/>
        <w:ind w:left="0" w:firstLine="0"/>
        <w:jc w:val="left"/>
        <w:rPr>
          <w:sz w:val="22"/>
        </w:rPr>
      </w:pPr>
    </w:p>
    <w:p>
      <w:pPr>
        <w:pStyle w:val="Heading1"/>
        <w:spacing w:before="89"/>
      </w:pPr>
      <w:r>
        <w:rPr/>
        <w:t>Điều II: Thanh toán</w:t>
      </w:r>
    </w:p>
    <w:p>
      <w:pPr>
        <w:pStyle w:val="ListParagraph"/>
        <w:numPr>
          <w:ilvl w:val="1"/>
          <w:numId w:val="3"/>
        </w:numPr>
        <w:tabs>
          <w:tab w:pos="830" w:val="left" w:leader="none"/>
        </w:tabs>
        <w:spacing w:line="240" w:lineRule="auto" w:before="2" w:after="0"/>
        <w:ind w:left="830" w:right="532" w:hanging="708"/>
        <w:jc w:val="both"/>
        <w:rPr>
          <w:sz w:val="26"/>
        </w:rPr>
      </w:pPr>
      <w:r>
        <w:rPr>
          <w:sz w:val="26"/>
        </w:rPr>
        <w:t>Giá trị Hợp Đồng, phù hợp với quy định tại Điều 1, là tổng số tiền được bên B thanh toán cho bên A bằng đồng Việt Nam trong thời hạn Hợp Đồng, và được thực hiện thanh toán theo từng tháng dương lịch với số tiền thanh toán của mỗi tháng dương lịch là </w:t>
      </w:r>
      <w:r>
        <w:rPr>
          <w:sz w:val="28"/>
        </w:rPr>
        <w:t>[…] </w:t>
      </w:r>
      <w:r>
        <w:rPr>
          <w:b/>
          <w:sz w:val="26"/>
        </w:rPr>
        <w:t>đồng </w:t>
      </w:r>
      <w:r>
        <w:rPr>
          <w:sz w:val="28"/>
        </w:rPr>
        <w:t>[…] </w:t>
      </w:r>
      <w:r>
        <w:rPr>
          <w:sz w:val="26"/>
        </w:rPr>
        <w:t>ngàn</w:t>
      </w:r>
      <w:r>
        <w:rPr>
          <w:spacing w:val="5"/>
          <w:sz w:val="26"/>
        </w:rPr>
        <w:t> </w:t>
      </w:r>
      <w:r>
        <w:rPr>
          <w:sz w:val="26"/>
        </w:rPr>
        <w:t>đồng).</w:t>
      </w:r>
    </w:p>
    <w:p>
      <w:pPr>
        <w:pStyle w:val="BodyText"/>
        <w:ind w:right="539" w:firstLine="0"/>
      </w:pPr>
      <w:r>
        <w:rPr/>
        <w:t>Giá trị Hợp Đồng quy định tại Điều này đã bao gồm thuế giá trị gia tăng (VAT 10%), và các khoản thuế, phí, lệ phí khác (nếu có).</w:t>
      </w:r>
    </w:p>
    <w:p>
      <w:pPr>
        <w:pStyle w:val="ListParagraph"/>
        <w:numPr>
          <w:ilvl w:val="1"/>
          <w:numId w:val="3"/>
        </w:numPr>
        <w:tabs>
          <w:tab w:pos="830" w:val="left" w:leader="none"/>
        </w:tabs>
        <w:spacing w:line="240" w:lineRule="auto" w:before="0" w:after="0"/>
        <w:ind w:left="830" w:right="533" w:hanging="708"/>
        <w:jc w:val="both"/>
        <w:rPr>
          <w:sz w:val="26"/>
        </w:rPr>
      </w:pPr>
      <w:r>
        <w:rPr>
          <w:sz w:val="26"/>
        </w:rPr>
        <w:t>Hình thức thanh toán: bằng tiền mặt hoặc chuyển khoản vào tài khoản của bên A quy định tại Hợp</w:t>
      </w:r>
      <w:r>
        <w:rPr>
          <w:spacing w:val="-3"/>
          <w:sz w:val="26"/>
        </w:rPr>
        <w:t> </w:t>
      </w:r>
      <w:r>
        <w:rPr>
          <w:sz w:val="26"/>
        </w:rPr>
        <w:t>Đồng.</w:t>
      </w:r>
    </w:p>
    <w:p>
      <w:pPr>
        <w:pStyle w:val="ListParagraph"/>
        <w:numPr>
          <w:ilvl w:val="1"/>
          <w:numId w:val="3"/>
        </w:numPr>
        <w:tabs>
          <w:tab w:pos="830" w:val="left" w:leader="none"/>
        </w:tabs>
        <w:spacing w:line="240" w:lineRule="auto" w:before="0" w:after="0"/>
        <w:ind w:left="830" w:right="531" w:hanging="708"/>
        <w:jc w:val="both"/>
        <w:rPr>
          <w:sz w:val="26"/>
        </w:rPr>
      </w:pPr>
      <w:r>
        <w:rPr>
          <w:sz w:val="26"/>
        </w:rPr>
        <w:t>Thời hạn thanh toán: việc thanh toán được thực hiện </w:t>
      </w:r>
      <w:r>
        <w:rPr>
          <w:sz w:val="28"/>
        </w:rPr>
        <w:t>[…]  </w:t>
      </w:r>
      <w:r>
        <w:rPr>
          <w:sz w:val="26"/>
        </w:rPr>
        <w:t>tháng  </w:t>
      </w:r>
      <w:r>
        <w:rPr>
          <w:sz w:val="28"/>
        </w:rPr>
        <w:t>[…]  </w:t>
      </w:r>
      <w:r>
        <w:rPr>
          <w:sz w:val="26"/>
        </w:rPr>
        <w:t>lần. Từ ngày </w:t>
      </w:r>
      <w:r>
        <w:rPr>
          <w:sz w:val="28"/>
        </w:rPr>
        <w:t>[…] </w:t>
      </w:r>
      <w:r>
        <w:rPr>
          <w:sz w:val="26"/>
        </w:rPr>
        <w:t>đến ngày </w:t>
      </w:r>
      <w:r>
        <w:rPr>
          <w:sz w:val="28"/>
        </w:rPr>
        <w:t>[…] </w:t>
      </w:r>
      <w:r>
        <w:rPr>
          <w:sz w:val="26"/>
        </w:rPr>
        <w:t>hàng tháng dương lịch, bên A gửi cho bên B văn bản đề nghị thanh toán kèm theo hoá đơn tài chính hợp lệ tương ứng với nghĩa vụ thanh toán của cho bên B trong tháng đó/liền kề trước đó; và bên B có trách nhiệm thanh toán cho bên A ngay sau khi nhận được hóa đơn tài chính kể trong vòng </w:t>
      </w:r>
      <w:r>
        <w:rPr>
          <w:sz w:val="28"/>
        </w:rPr>
        <w:t>[…] </w:t>
      </w:r>
      <w:r>
        <w:rPr>
          <w:sz w:val="26"/>
        </w:rPr>
        <w:t>ngày làm việc kể từ ngày bên A nhận được hóa đơn tài chính hợp lệ đó từ bên</w:t>
      </w:r>
      <w:r>
        <w:rPr>
          <w:spacing w:val="-23"/>
          <w:sz w:val="26"/>
        </w:rPr>
        <w:t> </w:t>
      </w:r>
      <w:r>
        <w:rPr>
          <w:sz w:val="26"/>
        </w:rPr>
        <w:t>B.</w:t>
      </w:r>
    </w:p>
    <w:p>
      <w:pPr>
        <w:pStyle w:val="BodyText"/>
        <w:spacing w:before="4"/>
        <w:ind w:left="0" w:firstLine="0"/>
        <w:jc w:val="left"/>
        <w:rPr>
          <w:sz w:val="24"/>
        </w:rPr>
      </w:pPr>
    </w:p>
    <w:p>
      <w:pPr>
        <w:pStyle w:val="Heading1"/>
        <w:spacing w:line="298" w:lineRule="exact"/>
      </w:pPr>
      <w:r>
        <w:rPr/>
        <w:t>Điều III: Trách nhiệm bên A</w:t>
      </w:r>
    </w:p>
    <w:p>
      <w:pPr>
        <w:pStyle w:val="ListParagraph"/>
        <w:numPr>
          <w:ilvl w:val="1"/>
          <w:numId w:val="4"/>
        </w:numPr>
        <w:tabs>
          <w:tab w:pos="830" w:val="left" w:leader="none"/>
        </w:tabs>
        <w:spacing w:line="240" w:lineRule="auto" w:before="0" w:after="0"/>
        <w:ind w:left="830" w:right="537" w:hanging="708"/>
        <w:jc w:val="both"/>
        <w:rPr>
          <w:sz w:val="26"/>
        </w:rPr>
      </w:pPr>
      <w:r>
        <w:rPr>
          <w:sz w:val="26"/>
        </w:rPr>
        <w:t>Đảm bảo bên A có đầy đủ năng lực pháp lý và giấy chứng nhận, giấy phép, chấp thuận, phê chuẩn của cơ quan nhà nước có thẩm quyền theo quy định của pháp luật Việt Nam để cung cấp dịch vụ cho bên B quy định tại Hợp</w:t>
      </w:r>
      <w:r>
        <w:rPr>
          <w:spacing w:val="-8"/>
          <w:sz w:val="26"/>
        </w:rPr>
        <w:t> </w:t>
      </w:r>
      <w:r>
        <w:rPr>
          <w:sz w:val="26"/>
        </w:rPr>
        <w:t>Đồng.</w:t>
      </w:r>
    </w:p>
    <w:p>
      <w:pPr>
        <w:pStyle w:val="ListParagraph"/>
        <w:numPr>
          <w:ilvl w:val="1"/>
          <w:numId w:val="4"/>
        </w:numPr>
        <w:tabs>
          <w:tab w:pos="830" w:val="left" w:leader="none"/>
        </w:tabs>
        <w:spacing w:line="240" w:lineRule="auto" w:before="0" w:after="0"/>
        <w:ind w:left="830" w:right="532" w:hanging="708"/>
        <w:jc w:val="both"/>
        <w:rPr>
          <w:sz w:val="26"/>
        </w:rPr>
      </w:pPr>
      <w:r>
        <w:rPr>
          <w:sz w:val="26"/>
        </w:rPr>
        <w:t>Hướng dẫn Chủ Phương Tiện lưu, đỗ Phương Tiện đúng vị trí, giữ gìn trật tự, vệ sinh tại Bãi Gửi</w:t>
      </w:r>
      <w:r>
        <w:rPr>
          <w:spacing w:val="-5"/>
          <w:sz w:val="26"/>
        </w:rPr>
        <w:t> </w:t>
      </w:r>
      <w:r>
        <w:rPr>
          <w:sz w:val="26"/>
        </w:rPr>
        <w:t>Xe;</w:t>
      </w:r>
    </w:p>
    <w:p>
      <w:pPr>
        <w:pStyle w:val="ListParagraph"/>
        <w:numPr>
          <w:ilvl w:val="1"/>
          <w:numId w:val="4"/>
        </w:numPr>
        <w:tabs>
          <w:tab w:pos="830" w:val="left" w:leader="none"/>
        </w:tabs>
        <w:spacing w:line="240" w:lineRule="auto" w:before="0" w:after="0"/>
        <w:ind w:left="830" w:right="528" w:hanging="708"/>
        <w:jc w:val="both"/>
        <w:rPr>
          <w:sz w:val="28"/>
        </w:rPr>
      </w:pPr>
      <w:r>
        <w:rPr>
          <w:sz w:val="26"/>
        </w:rPr>
        <w:t>Nhận bàn giao từ Chủ Phương Tiện và trông giữ Phương Tiện trong thời gian Phương Tiện được lưu tại Khu Vực Trông Giữ; </w:t>
      </w:r>
      <w:r>
        <w:rPr>
          <w:sz w:val="28"/>
        </w:rPr>
        <w:t>giao vé cho Chủ Phương Tiện khi nhận Phương</w:t>
      </w:r>
      <w:r>
        <w:rPr>
          <w:spacing w:val="2"/>
          <w:sz w:val="28"/>
        </w:rPr>
        <w:t> </w:t>
      </w:r>
      <w:r>
        <w:rPr>
          <w:sz w:val="28"/>
        </w:rPr>
        <w:t>Tiện</w:t>
      </w:r>
    </w:p>
    <w:p>
      <w:pPr>
        <w:pStyle w:val="ListParagraph"/>
        <w:numPr>
          <w:ilvl w:val="1"/>
          <w:numId w:val="4"/>
        </w:numPr>
        <w:tabs>
          <w:tab w:pos="830" w:val="left" w:leader="none"/>
        </w:tabs>
        <w:spacing w:line="299" w:lineRule="exact" w:before="0" w:after="0"/>
        <w:ind w:left="830" w:right="0" w:hanging="708"/>
        <w:jc w:val="both"/>
        <w:rPr>
          <w:sz w:val="26"/>
        </w:rPr>
      </w:pPr>
      <w:r>
        <w:rPr>
          <w:sz w:val="26"/>
        </w:rPr>
        <w:t>Không nhận trông giữ tài sản, tư trang có trong Phương</w:t>
      </w:r>
      <w:r>
        <w:rPr>
          <w:spacing w:val="-4"/>
          <w:sz w:val="26"/>
        </w:rPr>
        <w:t> </w:t>
      </w:r>
      <w:r>
        <w:rPr>
          <w:sz w:val="26"/>
        </w:rPr>
        <w:t>Tiện;</w:t>
      </w:r>
    </w:p>
    <w:p>
      <w:pPr>
        <w:pStyle w:val="ListParagraph"/>
        <w:numPr>
          <w:ilvl w:val="1"/>
          <w:numId w:val="4"/>
        </w:numPr>
        <w:tabs>
          <w:tab w:pos="830" w:val="left" w:leader="none"/>
        </w:tabs>
        <w:spacing w:line="240" w:lineRule="auto" w:before="0" w:after="0"/>
        <w:ind w:left="830" w:right="531" w:hanging="708"/>
        <w:jc w:val="both"/>
        <w:rPr>
          <w:sz w:val="26"/>
        </w:rPr>
      </w:pPr>
      <w:r>
        <w:rPr>
          <w:sz w:val="26"/>
        </w:rPr>
        <w:t>Bảo quản Phương Tiện cẩn thận và bồi thường </w:t>
      </w:r>
      <w:r>
        <w:rPr>
          <w:sz w:val="28"/>
        </w:rPr>
        <w:t>[…] </w:t>
      </w:r>
      <w:r>
        <w:rPr>
          <w:sz w:val="26"/>
        </w:rPr>
        <w:t>cho Chủ Phương Tiện đối với toàn bộ các thiệt hại xảy ra đối với Phương Tiện (bao gồm nhưng không giới hạn việc hư hỏng bất cứ phần nào của Phương Tiện mà mắt thường có thể nhìn thấy mà không phải tháo dỡ Phương Tiện, việc mất mát, bị đánh cắp, trộm, v.v.) phát sinh trước khi trả lại Phương Tiện cho Chủ Phương</w:t>
      </w:r>
      <w:r>
        <w:rPr>
          <w:spacing w:val="-8"/>
          <w:sz w:val="26"/>
        </w:rPr>
        <w:t> </w:t>
      </w:r>
      <w:r>
        <w:rPr>
          <w:sz w:val="26"/>
        </w:rPr>
        <w:t>Tiện;</w:t>
      </w:r>
    </w:p>
    <w:p>
      <w:pPr>
        <w:spacing w:after="0" w:line="240" w:lineRule="auto"/>
        <w:jc w:val="both"/>
        <w:rPr>
          <w:sz w:val="26"/>
        </w:rPr>
        <w:sectPr>
          <w:pgSz w:w="12240" w:h="15840"/>
          <w:pgMar w:top="1140" w:bottom="280" w:left="1580" w:right="600"/>
        </w:sectPr>
      </w:pPr>
    </w:p>
    <w:p>
      <w:pPr>
        <w:pStyle w:val="BodyText"/>
        <w:spacing w:before="75"/>
        <w:ind w:right="535" w:firstLine="0"/>
      </w:pPr>
      <w:r>
        <w:rPr/>
        <w:t>Trong vòng … ngày kể từ ngày Chủ Phương Tiện và/hoặc Bên B yêu cầu bồi thường thiệt hại biên bản xác nhận thiệt hại quy định tại Điều này có hiệu lực, bên A có trách nhiệm thực hiện nghĩa vụ bồi thường.</w:t>
      </w:r>
    </w:p>
    <w:p>
      <w:pPr>
        <w:pStyle w:val="ListParagraph"/>
        <w:numPr>
          <w:ilvl w:val="1"/>
          <w:numId w:val="4"/>
        </w:numPr>
        <w:tabs>
          <w:tab w:pos="830" w:val="left" w:leader="none"/>
        </w:tabs>
        <w:spacing w:line="240" w:lineRule="auto" w:before="1" w:after="0"/>
        <w:ind w:left="830" w:right="531" w:hanging="708"/>
        <w:jc w:val="both"/>
        <w:rPr>
          <w:sz w:val="26"/>
        </w:rPr>
      </w:pPr>
      <w:r>
        <w:rPr>
          <w:sz w:val="26"/>
        </w:rPr>
        <w:t>Trường hợp xảy ra thiệt hại theo quy định tại Điều 3.5, ngoài trách nhiệm bồi thường thiệt hại quy định tại Hợp Đồng, bên A sẽ bị phạt với mức phạt là 8% số tiền mà bên B phải thanh toán cho bên A trong tháng dương lịch mà thiệt hại đó xảy ra. Khoản tiền phạt vi phạm này sẽ được khấu trừ vào khoản thanh toán </w:t>
      </w:r>
      <w:r>
        <w:rPr>
          <w:spacing w:val="2"/>
          <w:sz w:val="26"/>
        </w:rPr>
        <w:t>trong </w:t>
      </w:r>
      <w:r>
        <w:rPr>
          <w:sz w:val="26"/>
        </w:rPr>
        <w:t>tháng tiếp theo liền kề mà bên B phải thanh toán cho bên A theo quy định của Hợp Đồng.</w:t>
      </w:r>
    </w:p>
    <w:p>
      <w:pPr>
        <w:pStyle w:val="ListParagraph"/>
        <w:numPr>
          <w:ilvl w:val="1"/>
          <w:numId w:val="4"/>
        </w:numPr>
        <w:tabs>
          <w:tab w:pos="830" w:val="left" w:leader="none"/>
        </w:tabs>
        <w:spacing w:line="240" w:lineRule="auto" w:before="0" w:after="0"/>
        <w:ind w:left="830" w:right="531" w:hanging="708"/>
        <w:jc w:val="both"/>
        <w:rPr>
          <w:sz w:val="26"/>
        </w:rPr>
      </w:pPr>
      <w:r>
        <w:rPr>
          <w:sz w:val="26"/>
        </w:rPr>
        <w:t>Chịu trách nhiệm đối với mọi hành vi của nhân viên bên A hoặc bất kỳ người nào được bên A cho phép vào Bãi Gửi Xe, ngoài Chủ Phương Tiện, có ảnh hưởng đến và/hoặc gây thiệt hại đến Phương Tiện và Chủ Phương Tiện. Theo quy định này, trường hợp có thiệt hại xảy ra, bên A sẽ chịu chế tài như quy định tại Điều </w:t>
      </w:r>
      <w:r>
        <w:rPr>
          <w:spacing w:val="2"/>
          <w:sz w:val="26"/>
        </w:rPr>
        <w:t>3.5 </w:t>
      </w:r>
      <w:r>
        <w:rPr>
          <w:sz w:val="26"/>
        </w:rPr>
        <w:t>và 3.6.</w:t>
      </w:r>
    </w:p>
    <w:p>
      <w:pPr>
        <w:pStyle w:val="BodyText"/>
        <w:spacing w:before="4"/>
        <w:ind w:left="0" w:firstLine="0"/>
        <w:jc w:val="left"/>
        <w:rPr>
          <w:sz w:val="24"/>
        </w:rPr>
      </w:pPr>
    </w:p>
    <w:p>
      <w:pPr>
        <w:pStyle w:val="Heading1"/>
        <w:spacing w:line="298" w:lineRule="exact"/>
      </w:pPr>
      <w:r>
        <w:rPr/>
        <w:t>Điều IV: Trách nhiệm bên B</w:t>
      </w:r>
    </w:p>
    <w:p>
      <w:pPr>
        <w:pStyle w:val="BodyText"/>
        <w:ind w:left="122" w:right="532" w:firstLine="0"/>
      </w:pPr>
      <w:r>
        <w:rPr/>
        <w:t>Bên B và/hoặc Chủ Phương Tiện của bên B, tùy từng trường hợp áp dụng, có trách nhiệm sau:</w:t>
      </w:r>
    </w:p>
    <w:p>
      <w:pPr>
        <w:pStyle w:val="ListParagraph"/>
        <w:numPr>
          <w:ilvl w:val="1"/>
          <w:numId w:val="5"/>
        </w:numPr>
        <w:tabs>
          <w:tab w:pos="830" w:val="left" w:leader="none"/>
        </w:tabs>
        <w:spacing w:line="299" w:lineRule="exact" w:before="0" w:after="0"/>
        <w:ind w:left="830" w:right="0" w:hanging="708"/>
        <w:jc w:val="both"/>
        <w:rPr>
          <w:sz w:val="26"/>
        </w:rPr>
      </w:pPr>
      <w:r>
        <w:rPr>
          <w:sz w:val="26"/>
        </w:rPr>
        <w:t>Đưa Phương Tiện vào Bãi Gửi Xe theo sự hướng dẫn của nhân viên của bên</w:t>
      </w:r>
      <w:r>
        <w:rPr>
          <w:spacing w:val="-10"/>
          <w:sz w:val="26"/>
        </w:rPr>
        <w:t> </w:t>
      </w:r>
      <w:r>
        <w:rPr>
          <w:sz w:val="26"/>
        </w:rPr>
        <w:t>A.</w:t>
      </w:r>
    </w:p>
    <w:p>
      <w:pPr>
        <w:pStyle w:val="ListParagraph"/>
        <w:numPr>
          <w:ilvl w:val="1"/>
          <w:numId w:val="5"/>
        </w:numPr>
        <w:tabs>
          <w:tab w:pos="830" w:val="left" w:leader="none"/>
        </w:tabs>
        <w:spacing w:line="240" w:lineRule="auto" w:before="1" w:after="0"/>
        <w:ind w:left="830" w:right="532" w:hanging="708"/>
        <w:jc w:val="both"/>
        <w:rPr>
          <w:sz w:val="26"/>
        </w:rPr>
      </w:pPr>
      <w:r>
        <w:rPr>
          <w:sz w:val="26"/>
        </w:rPr>
        <w:t>Bàn giao Phương Tiện cho nhân viên của bên A, Phương Tiện phải có đầy đủ điều kiện an toàn, không rò rỉ hệ thống nhiên liệu. Nếu do Phương Tiện không đảm bảo kỹ thuật gây cháy nổ và được nhân viên của bên A dùng phương tiện chữa cháy kịp thời, Chủ Phương Tiện phải có trách nhiệm bồi thường vật chất (kể cả thiệt hại khác do vụ cháy nổ gây</w:t>
      </w:r>
      <w:r>
        <w:rPr>
          <w:spacing w:val="-1"/>
          <w:sz w:val="26"/>
        </w:rPr>
        <w:t> </w:t>
      </w:r>
      <w:r>
        <w:rPr>
          <w:sz w:val="26"/>
        </w:rPr>
        <w:t>ra).</w:t>
      </w:r>
    </w:p>
    <w:p>
      <w:pPr>
        <w:pStyle w:val="ListParagraph"/>
        <w:numPr>
          <w:ilvl w:val="1"/>
          <w:numId w:val="5"/>
        </w:numPr>
        <w:tabs>
          <w:tab w:pos="830" w:val="left" w:leader="none"/>
        </w:tabs>
        <w:spacing w:line="240" w:lineRule="auto" w:before="0" w:after="0"/>
        <w:ind w:left="830" w:right="531" w:hanging="708"/>
        <w:jc w:val="both"/>
        <w:rPr>
          <w:sz w:val="26"/>
        </w:rPr>
      </w:pPr>
      <w:r>
        <w:rPr>
          <w:sz w:val="26"/>
        </w:rPr>
        <w:t>Chủ Phương Tiện được trao “phiếu gửi xe” khi vào Bãi Gửi Xe, khi đưa Phương Tiện ra khỏi Bãi Gửi Xe phải trao lại “phiếu gửi xe” cho nhân viên của bên A. Chủ Phương Tiện thực hiện đúng các hướng dẫn của nhân viên của bên A tại Bãi Gửi Xe, trường hợp Chủ Phương Tiện không thực hiện các quy định về giao nhận Phương Tiện quy định tại Hợp Đồng thì phải tự chịu trách nhiệm</w:t>
      </w:r>
      <w:r>
        <w:rPr>
          <w:spacing w:val="-9"/>
          <w:sz w:val="26"/>
        </w:rPr>
        <w:t> </w:t>
      </w:r>
      <w:r>
        <w:rPr>
          <w:sz w:val="26"/>
        </w:rPr>
        <w:t>.</w:t>
      </w:r>
    </w:p>
    <w:p>
      <w:pPr>
        <w:pStyle w:val="ListParagraph"/>
        <w:numPr>
          <w:ilvl w:val="1"/>
          <w:numId w:val="5"/>
        </w:numPr>
        <w:tabs>
          <w:tab w:pos="830" w:val="left" w:leader="none"/>
        </w:tabs>
        <w:spacing w:line="240" w:lineRule="auto" w:before="1" w:after="0"/>
        <w:ind w:left="830" w:right="532" w:hanging="708"/>
        <w:jc w:val="both"/>
        <w:rPr>
          <w:sz w:val="26"/>
        </w:rPr>
      </w:pPr>
      <w:r>
        <w:rPr>
          <w:sz w:val="26"/>
        </w:rPr>
        <w:t>Thực hiện đúng các quy định của Thành phố, nội quy, quy chế của Bãi Gửi Xe do bên A công bố niêm yết tại Bãi Gửi Xe, nếu vi phạm sẽ xử lý theo đúng quy</w:t>
      </w:r>
      <w:r>
        <w:rPr>
          <w:spacing w:val="-20"/>
          <w:sz w:val="26"/>
        </w:rPr>
        <w:t> </w:t>
      </w:r>
      <w:r>
        <w:rPr>
          <w:sz w:val="26"/>
        </w:rPr>
        <w:t>định.</w:t>
      </w:r>
    </w:p>
    <w:p>
      <w:pPr>
        <w:pStyle w:val="ListParagraph"/>
        <w:numPr>
          <w:ilvl w:val="1"/>
          <w:numId w:val="5"/>
        </w:numPr>
        <w:tabs>
          <w:tab w:pos="830" w:val="left" w:leader="none"/>
        </w:tabs>
        <w:spacing w:line="240" w:lineRule="auto" w:before="0" w:after="0"/>
        <w:ind w:left="830" w:right="536" w:hanging="708"/>
        <w:jc w:val="both"/>
        <w:rPr>
          <w:sz w:val="26"/>
        </w:rPr>
      </w:pPr>
      <w:r>
        <w:rPr>
          <w:sz w:val="26"/>
        </w:rPr>
        <w:t>Tự bảo quản phiếu gửi xe, trường hợp để mất phiếu phải báo ngay cho trật tự viên tại điểm trông giữ và phải chịu hoàn toàn phí tổn trong việc làm lại phiếu gửi xe. Trong trường hợp để mất phiếu gửi xe dẫn đến mất xe phải hoàn toàn chịu trách nhiệm.</w:t>
      </w:r>
    </w:p>
    <w:p>
      <w:pPr>
        <w:pStyle w:val="BodyText"/>
        <w:spacing w:before="4"/>
        <w:ind w:left="0" w:firstLine="0"/>
        <w:jc w:val="left"/>
        <w:rPr>
          <w:sz w:val="24"/>
        </w:rPr>
      </w:pPr>
    </w:p>
    <w:p>
      <w:pPr>
        <w:pStyle w:val="Heading1"/>
      </w:pPr>
      <w:r>
        <w:rPr>
          <w:b w:val="0"/>
          <w:spacing w:val="-65"/>
          <w:w w:val="99"/>
          <w:u w:val="thick"/>
        </w:rPr>
        <w:t> </w:t>
      </w:r>
      <w:r>
        <w:rPr>
          <w:u w:val="thick"/>
        </w:rPr>
        <w:t>Điều V</w:t>
      </w:r>
      <w:r>
        <w:rPr/>
        <w:t>: Sự kiện bất khả kháng</w:t>
      </w:r>
    </w:p>
    <w:p>
      <w:pPr>
        <w:pStyle w:val="ListParagraph"/>
        <w:numPr>
          <w:ilvl w:val="1"/>
          <w:numId w:val="6"/>
        </w:numPr>
        <w:tabs>
          <w:tab w:pos="830" w:val="left" w:leader="none"/>
        </w:tabs>
        <w:spacing w:line="240" w:lineRule="auto" w:before="119" w:after="0"/>
        <w:ind w:left="830" w:right="532" w:hanging="708"/>
        <w:jc w:val="both"/>
        <w:rPr>
          <w:sz w:val="26"/>
        </w:rPr>
      </w:pPr>
      <w:r>
        <w:rPr>
          <w:sz w:val="26"/>
        </w:rPr>
        <w:t>Sự Kiện Bất Khả Kháng có nghĩa là bất kỳ sự kiện nào xảy ra một cách khách quan ngoài khả năng kiểm soát của một bên trong Hợp Đồng mà bên đó không thể lường trước được và không thể khắc phục được mặc dù đã áp dụng mọi biện pháp cần thiết mà khả năng cho phép, bao gồm nhưng không giới hạn các sự kiện như chiến tranh, xâm lược, khủng bố, nội chiến, nổi loạn, cách mạng, khởi nghĩa, hành động quân sự hoặc lật đổ; cháy, nổ; động đất, sóng thần, bão, lụt và các thảm hoạ thiên nhiên</w:t>
      </w:r>
      <w:r>
        <w:rPr>
          <w:spacing w:val="16"/>
          <w:sz w:val="26"/>
        </w:rPr>
        <w:t> </w:t>
      </w:r>
      <w:r>
        <w:rPr>
          <w:sz w:val="26"/>
        </w:rPr>
        <w:t>khác;</w:t>
      </w:r>
      <w:r>
        <w:rPr>
          <w:spacing w:val="16"/>
          <w:sz w:val="26"/>
        </w:rPr>
        <w:t> </w:t>
      </w:r>
      <w:r>
        <w:rPr>
          <w:sz w:val="26"/>
        </w:rPr>
        <w:t>dịch</w:t>
      </w:r>
      <w:r>
        <w:rPr>
          <w:spacing w:val="17"/>
          <w:sz w:val="26"/>
        </w:rPr>
        <w:t> </w:t>
      </w:r>
      <w:r>
        <w:rPr>
          <w:sz w:val="26"/>
        </w:rPr>
        <w:t>bệnh;</w:t>
      </w:r>
      <w:r>
        <w:rPr>
          <w:spacing w:val="18"/>
          <w:sz w:val="26"/>
        </w:rPr>
        <w:t> </w:t>
      </w:r>
      <w:r>
        <w:rPr>
          <w:sz w:val="26"/>
        </w:rPr>
        <w:t>sự</w:t>
      </w:r>
      <w:r>
        <w:rPr>
          <w:spacing w:val="18"/>
          <w:sz w:val="26"/>
        </w:rPr>
        <w:t> </w:t>
      </w:r>
      <w:r>
        <w:rPr>
          <w:sz w:val="26"/>
        </w:rPr>
        <w:t>thay</w:t>
      </w:r>
      <w:r>
        <w:rPr>
          <w:spacing w:val="16"/>
          <w:sz w:val="26"/>
        </w:rPr>
        <w:t> </w:t>
      </w:r>
      <w:r>
        <w:rPr>
          <w:sz w:val="26"/>
        </w:rPr>
        <w:t>đổi</w:t>
      </w:r>
      <w:r>
        <w:rPr>
          <w:spacing w:val="17"/>
          <w:sz w:val="26"/>
        </w:rPr>
        <w:t> </w:t>
      </w:r>
      <w:r>
        <w:rPr>
          <w:sz w:val="26"/>
        </w:rPr>
        <w:t>pháp</w:t>
      </w:r>
      <w:r>
        <w:rPr>
          <w:spacing w:val="16"/>
          <w:sz w:val="26"/>
        </w:rPr>
        <w:t> </w:t>
      </w:r>
      <w:r>
        <w:rPr>
          <w:sz w:val="26"/>
        </w:rPr>
        <w:t>luật,</w:t>
      </w:r>
      <w:r>
        <w:rPr>
          <w:spacing w:val="16"/>
          <w:sz w:val="26"/>
        </w:rPr>
        <w:t> </w:t>
      </w:r>
      <w:r>
        <w:rPr>
          <w:sz w:val="26"/>
        </w:rPr>
        <w:t>chính</w:t>
      </w:r>
      <w:r>
        <w:rPr>
          <w:spacing w:val="17"/>
          <w:sz w:val="26"/>
        </w:rPr>
        <w:t> </w:t>
      </w:r>
      <w:r>
        <w:rPr>
          <w:sz w:val="26"/>
        </w:rPr>
        <w:t>sách;</w:t>
      </w:r>
      <w:r>
        <w:rPr>
          <w:spacing w:val="16"/>
          <w:sz w:val="26"/>
        </w:rPr>
        <w:t> </w:t>
      </w:r>
      <w:r>
        <w:rPr>
          <w:sz w:val="26"/>
        </w:rPr>
        <w:t>hành</w:t>
      </w:r>
      <w:r>
        <w:rPr>
          <w:spacing w:val="17"/>
          <w:sz w:val="26"/>
        </w:rPr>
        <w:t> </w:t>
      </w:r>
      <w:r>
        <w:rPr>
          <w:sz w:val="26"/>
        </w:rPr>
        <w:t>động,</w:t>
      </w:r>
      <w:r>
        <w:rPr>
          <w:spacing w:val="16"/>
          <w:sz w:val="26"/>
        </w:rPr>
        <w:t> </w:t>
      </w:r>
      <w:r>
        <w:rPr>
          <w:sz w:val="26"/>
        </w:rPr>
        <w:t>yêu</w:t>
      </w:r>
      <w:r>
        <w:rPr>
          <w:spacing w:val="17"/>
          <w:sz w:val="26"/>
        </w:rPr>
        <w:t> </w:t>
      </w:r>
      <w:r>
        <w:rPr>
          <w:sz w:val="26"/>
        </w:rPr>
        <w:t>cầu</w:t>
      </w:r>
      <w:r>
        <w:rPr>
          <w:spacing w:val="17"/>
          <w:sz w:val="26"/>
        </w:rPr>
        <w:t> </w:t>
      </w:r>
      <w:r>
        <w:rPr>
          <w:sz w:val="26"/>
        </w:rPr>
        <w:t>của</w:t>
      </w:r>
    </w:p>
    <w:p>
      <w:pPr>
        <w:spacing w:after="0" w:line="240" w:lineRule="auto"/>
        <w:jc w:val="both"/>
        <w:rPr>
          <w:sz w:val="26"/>
        </w:rPr>
        <w:sectPr>
          <w:pgSz w:w="12240" w:h="15840"/>
          <w:pgMar w:top="1060" w:bottom="280" w:left="1580" w:right="600"/>
        </w:sectPr>
      </w:pPr>
    </w:p>
    <w:p>
      <w:pPr>
        <w:spacing w:before="75"/>
        <w:ind w:left="830" w:right="538" w:firstLine="0"/>
        <w:jc w:val="both"/>
        <w:rPr>
          <w:sz w:val="26"/>
        </w:rPr>
      </w:pPr>
      <w:r>
        <w:rPr>
          <w:sz w:val="26"/>
        </w:rPr>
        <w:t>cơ quan nhà nước có thẩm quyền; đình công, khủng hoảng kinh tế thế giới v.v ( “</w:t>
      </w:r>
      <w:r>
        <w:rPr>
          <w:b/>
          <w:sz w:val="26"/>
        </w:rPr>
        <w:t>Sự Kiện Bất Khả Kháng</w:t>
      </w:r>
      <w:r>
        <w:rPr>
          <w:sz w:val="26"/>
        </w:rPr>
        <w:t>”).</w:t>
      </w:r>
    </w:p>
    <w:p>
      <w:pPr>
        <w:pStyle w:val="ListParagraph"/>
        <w:numPr>
          <w:ilvl w:val="1"/>
          <w:numId w:val="6"/>
        </w:numPr>
        <w:tabs>
          <w:tab w:pos="830" w:val="left" w:leader="none"/>
        </w:tabs>
        <w:spacing w:line="240" w:lineRule="auto" w:before="120" w:after="0"/>
        <w:ind w:left="830" w:right="534" w:hanging="708"/>
        <w:jc w:val="both"/>
        <w:rPr>
          <w:sz w:val="26"/>
        </w:rPr>
      </w:pPr>
      <w:r>
        <w:rPr>
          <w:sz w:val="26"/>
        </w:rPr>
        <w:t>Bên không thực hiện đúng nghĩa vụ của mình theo Hợp Đồng do Sự Kiện Bất Khả Kháng sẽ không phải chịu trách nhiệm về việc không thực hiện đúng nghĩa vụ của mình theo Hợp Đồng với điều kiện: (i) thông báo cho bên kia bằng văn bản về việc xảy ra Sự Kiện Bất Khả Kháng trong vòng </w:t>
      </w:r>
      <w:r>
        <w:rPr>
          <w:sz w:val="28"/>
        </w:rPr>
        <w:t>[…] </w:t>
      </w:r>
      <w:r>
        <w:rPr>
          <w:sz w:val="26"/>
        </w:rPr>
        <w:t>Ngày Làm Việc (là các ngày làm việc trong tuần, không kể thứ bảy, chủ nhật, các ngày nghỉ lễ, tết theo quy định  của Nhà Nước) kể từ ngày xảy ra Sự Kiện Bất Khả Kháng; và (ii) nỗ lực để giảm bớt các ảnh hưởng của Sự Kiện Bất Khả Kháng đó trong khả năng cho</w:t>
      </w:r>
      <w:r>
        <w:rPr>
          <w:spacing w:val="-15"/>
          <w:sz w:val="26"/>
        </w:rPr>
        <w:t> </w:t>
      </w:r>
      <w:r>
        <w:rPr>
          <w:sz w:val="26"/>
        </w:rPr>
        <w:t>phép.</w:t>
      </w:r>
    </w:p>
    <w:p>
      <w:pPr>
        <w:pStyle w:val="ListParagraph"/>
        <w:numPr>
          <w:ilvl w:val="1"/>
          <w:numId w:val="6"/>
        </w:numPr>
        <w:tabs>
          <w:tab w:pos="830" w:val="left" w:leader="none"/>
        </w:tabs>
        <w:spacing w:line="240" w:lineRule="auto" w:before="121" w:after="0"/>
        <w:ind w:left="830" w:right="533" w:hanging="708"/>
        <w:jc w:val="both"/>
        <w:rPr>
          <w:sz w:val="26"/>
        </w:rPr>
      </w:pPr>
      <w:r>
        <w:rPr>
          <w:sz w:val="26"/>
        </w:rPr>
        <w:t>Trong trường hợp xảy ra Sự Kiện Bất Khả Kháng, thời gian cung cấp và sử dụng Dịch vụ sẽ được kéo dài thêm tương ứng với thời gian bị gián đoạn bởi Sự Kiện Bất Khả Kháng và thời gian để khắc phục hậu quả của Sự Kiện Bất Khả Kháng. Trong trường hợp Sự Kiện Bất Khả Kháng kéo dài quá </w:t>
      </w:r>
      <w:r>
        <w:rPr>
          <w:sz w:val="28"/>
        </w:rPr>
        <w:t>[…] </w:t>
      </w:r>
      <w:r>
        <w:rPr>
          <w:sz w:val="26"/>
        </w:rPr>
        <w:t>ngày khiến cho một trong Các Bên không thể thực hiện nghĩa vụ của mình thì bất kỳ Bên nào cũng có quyền yêu cầu đơn phương chấm dứt Hợp Đồng bằng việc gửi tới Bên kia một thông báo bằng văn bản có hiệu lực ngay lập tức. Trong trường hợp này, Hai Bên sẽ xem xét nghiệm thu các công việc đã thực hiện và thanh toán cho phần nghĩa vụ đã được Hai Bên nghiệm thu cho đến ngày chấm dứt Hợp</w:t>
      </w:r>
      <w:r>
        <w:rPr>
          <w:spacing w:val="-13"/>
          <w:sz w:val="26"/>
        </w:rPr>
        <w:t> </w:t>
      </w:r>
      <w:r>
        <w:rPr>
          <w:sz w:val="26"/>
        </w:rPr>
        <w:t>Đồng.</w:t>
      </w:r>
    </w:p>
    <w:p>
      <w:pPr>
        <w:pStyle w:val="BodyText"/>
        <w:spacing w:before="3"/>
        <w:ind w:left="0" w:firstLine="0"/>
        <w:jc w:val="left"/>
        <w:rPr>
          <w:sz w:val="24"/>
        </w:rPr>
      </w:pPr>
    </w:p>
    <w:p>
      <w:pPr>
        <w:pStyle w:val="Heading1"/>
      </w:pPr>
      <w:r>
        <w:rPr>
          <w:b w:val="0"/>
          <w:spacing w:val="-65"/>
          <w:w w:val="99"/>
          <w:u w:val="thick"/>
        </w:rPr>
        <w:t> </w:t>
      </w:r>
      <w:r>
        <w:rPr>
          <w:u w:val="thick"/>
        </w:rPr>
        <w:t>Điều VI</w:t>
      </w:r>
      <w:r>
        <w:rPr/>
        <w:t>: Thông báo</w:t>
      </w:r>
    </w:p>
    <w:p>
      <w:pPr>
        <w:pStyle w:val="ListParagraph"/>
        <w:numPr>
          <w:ilvl w:val="1"/>
          <w:numId w:val="7"/>
        </w:numPr>
        <w:tabs>
          <w:tab w:pos="830" w:val="left" w:leader="none"/>
        </w:tabs>
        <w:spacing w:line="240" w:lineRule="auto" w:before="121" w:after="0"/>
        <w:ind w:left="830" w:right="528" w:hanging="708"/>
        <w:jc w:val="both"/>
        <w:rPr>
          <w:sz w:val="26"/>
        </w:rPr>
      </w:pPr>
      <w:r>
        <w:rPr>
          <w:sz w:val="26"/>
        </w:rPr>
        <w:t>Trừ trường hợp Hợp Đồng có quy định cụ thể khác hoặc các bên có thỏa thuận khác bằng văn bản, tất cả các thỏa thuận, biên bản, thông báo, thư từ trao đổi, yêu cầu, chấp thuận... phát sinh từ và/hoặc liên quan đến Hợp Đồng (sau đây gọi là tắt là “</w:t>
      </w:r>
      <w:r>
        <w:rPr>
          <w:b/>
          <w:sz w:val="26"/>
        </w:rPr>
        <w:t>Thông Báo</w:t>
      </w:r>
      <w:r>
        <w:rPr>
          <w:sz w:val="26"/>
        </w:rPr>
        <w:t>”) của một bên </w:t>
      </w:r>
      <w:r>
        <w:rPr>
          <w:b/>
          <w:sz w:val="26"/>
        </w:rPr>
        <w:t>(</w:t>
      </w:r>
      <w:r>
        <w:rPr>
          <w:sz w:val="26"/>
        </w:rPr>
        <w:t>sau đây gọi là “</w:t>
      </w:r>
      <w:r>
        <w:rPr>
          <w:b/>
          <w:sz w:val="26"/>
        </w:rPr>
        <w:t>Bên Gửi</w:t>
      </w:r>
      <w:r>
        <w:rPr>
          <w:sz w:val="26"/>
        </w:rPr>
        <w:t>”) gửi cho Bên còn lại (sau đây gọi là “</w:t>
      </w:r>
      <w:r>
        <w:rPr>
          <w:b/>
          <w:sz w:val="26"/>
        </w:rPr>
        <w:t>Bên Nhận</w:t>
      </w:r>
      <w:r>
        <w:rPr>
          <w:sz w:val="26"/>
        </w:rPr>
        <w:t>”) phải đáp ứng yêu cầu: (a) được lập thành văn bản có chữ ký của người đại diện có thẩm quyền và được đóng dấu hợp lệ (nếu có) của Bên Gửi và được gửi bằng một trong các hình thức: (i) gửi bảo đảm bằng đường bưu điện hoặc dịch vụ chuyển phát, (ii) giao tận tay, hoặc (iii) gửi bằng fax; hoặc (b) được gửi bằng email từ địa chỉ email giao dịch chính thức của Bên Gửi đến địa chỉ email giao dịch chính thức của Bên Nhận được quy định theo Hợp Đồng. Bất kỳ Thông Báo được gửi từ địa chỉ email đã được xác nhận theo Hợp Đồng sẽ được xem là đã được người đại diện có thẩm quyền của Bên Gửi phê duyệt và sẽ có giá trị như được gửi theo phương thức (a) của Điều này. Tuy nhiên, </w:t>
      </w:r>
      <w:r>
        <w:rPr>
          <w:spacing w:val="2"/>
          <w:sz w:val="26"/>
        </w:rPr>
        <w:t>hồ </w:t>
      </w:r>
      <w:r>
        <w:rPr>
          <w:sz w:val="26"/>
        </w:rPr>
        <w:t>sơ, tài liệu phục vụ cho việc thanh toán quy định tại Hợp Đồng và các văn bản liên quan đến việc sửa đổi, bổ sung, chấm dứt Hợp Đồng phải được gửi theo cách thức (a)(i) hoặc (a)(ii) nêu trên để đảm bảo Bên Nhận nhận được bản gốc, việc gửi qua fax hoặc email chỉ có giá trị kiểm tra, tham khảo, không có giá trị ràng buộc Các</w:t>
      </w:r>
      <w:r>
        <w:rPr>
          <w:spacing w:val="-9"/>
          <w:sz w:val="26"/>
        </w:rPr>
        <w:t> </w:t>
      </w:r>
      <w:r>
        <w:rPr>
          <w:sz w:val="26"/>
        </w:rPr>
        <w:t>Bên.</w:t>
      </w:r>
    </w:p>
    <w:p>
      <w:pPr>
        <w:pStyle w:val="ListParagraph"/>
        <w:numPr>
          <w:ilvl w:val="1"/>
          <w:numId w:val="7"/>
        </w:numPr>
        <w:tabs>
          <w:tab w:pos="830" w:val="left" w:leader="none"/>
        </w:tabs>
        <w:spacing w:line="240" w:lineRule="auto" w:before="122" w:after="0"/>
        <w:ind w:left="830" w:right="535" w:hanging="708"/>
        <w:jc w:val="both"/>
        <w:rPr>
          <w:sz w:val="26"/>
        </w:rPr>
      </w:pPr>
      <w:r>
        <w:rPr>
          <w:sz w:val="26"/>
        </w:rPr>
        <w:t>Phụ thuộc vào quy định tại khoản 6.1 Điều này, thời điểm xác định Thông Báo đã được Bên Nhận nhận được như sau: (i) theo xác nhận của bưu điện hoặc của hãng chuyển phát nếu gửi bằng đường bưu điện hoặc dịch vụ chuyển phát; (ii) được ghi trên biên bản giao nhận, nếu giao tận tay; (iii) theo xác nhận của hệ thống fax về việc fax thành công, nếu gửi bằng fax; hoặc (iv) theo xác nhận của hệ thống email về việc đã gửi email thành công, nếu gửi bằng</w:t>
      </w:r>
      <w:r>
        <w:rPr>
          <w:spacing w:val="-10"/>
          <w:sz w:val="26"/>
        </w:rPr>
        <w:t> </w:t>
      </w:r>
      <w:r>
        <w:rPr>
          <w:sz w:val="26"/>
        </w:rPr>
        <w:t>email.</w:t>
      </w:r>
    </w:p>
    <w:p>
      <w:pPr>
        <w:spacing w:after="0" w:line="240" w:lineRule="auto"/>
        <w:jc w:val="both"/>
        <w:rPr>
          <w:sz w:val="26"/>
        </w:rPr>
        <w:sectPr>
          <w:pgSz w:w="12240" w:h="15840"/>
          <w:pgMar w:top="1060" w:bottom="280" w:left="1580" w:right="600"/>
        </w:sectPr>
      </w:pPr>
    </w:p>
    <w:p>
      <w:pPr>
        <w:pStyle w:val="ListParagraph"/>
        <w:numPr>
          <w:ilvl w:val="1"/>
          <w:numId w:val="7"/>
        </w:numPr>
        <w:tabs>
          <w:tab w:pos="830" w:val="left" w:leader="none"/>
        </w:tabs>
        <w:spacing w:line="240" w:lineRule="auto" w:before="75" w:after="0"/>
        <w:ind w:left="830" w:right="533" w:hanging="708"/>
        <w:jc w:val="both"/>
        <w:rPr>
          <w:sz w:val="26"/>
        </w:rPr>
      </w:pPr>
      <w:r>
        <w:rPr>
          <w:sz w:val="26"/>
        </w:rPr>
        <w:t>Thông tin địa chỉ giao dịch chính thức nhận và gửi Thông Báo của Các Bên như nêu tại phần đầu của Hợp Đồng. Khi một Bên có bất kỳ thay đổi nào về thông tin địa chỉ gửi và nhận Thông Báo thì phải thông báo cho Bên còn lại về sự thay đổi này chậm nhất là </w:t>
      </w:r>
      <w:r>
        <w:rPr>
          <w:sz w:val="28"/>
        </w:rPr>
        <w:t>[…] </w:t>
      </w:r>
      <w:r>
        <w:rPr>
          <w:sz w:val="26"/>
        </w:rPr>
        <w:t>ngày kể từ ngày thay đổi và theo cách thức thông báo đã được quy định tại Điều</w:t>
      </w:r>
      <w:r>
        <w:rPr>
          <w:spacing w:val="-4"/>
          <w:sz w:val="26"/>
        </w:rPr>
        <w:t> </w:t>
      </w:r>
      <w:r>
        <w:rPr>
          <w:sz w:val="26"/>
        </w:rPr>
        <w:t>này.</w:t>
      </w:r>
    </w:p>
    <w:p>
      <w:pPr>
        <w:pStyle w:val="Heading1"/>
        <w:spacing w:line="299" w:lineRule="exact" w:before="121"/>
      </w:pPr>
      <w:r>
        <w:rPr>
          <w:b w:val="0"/>
          <w:spacing w:val="-65"/>
          <w:w w:val="99"/>
          <w:u w:val="thick"/>
        </w:rPr>
        <w:t> </w:t>
      </w:r>
      <w:r>
        <w:rPr>
          <w:u w:val="thick"/>
        </w:rPr>
        <w:t>ĐIỀU VII:</w:t>
      </w:r>
      <w:r>
        <w:rPr/>
        <w:t> Thời hạn, chấm dứt hợp đồng</w:t>
      </w:r>
    </w:p>
    <w:p>
      <w:pPr>
        <w:pStyle w:val="ListParagraph"/>
        <w:numPr>
          <w:ilvl w:val="1"/>
          <w:numId w:val="8"/>
        </w:numPr>
        <w:tabs>
          <w:tab w:pos="830" w:val="left" w:leader="none"/>
        </w:tabs>
        <w:spacing w:line="240" w:lineRule="auto" w:before="0" w:after="0"/>
        <w:ind w:left="830" w:right="532" w:hanging="708"/>
        <w:jc w:val="both"/>
        <w:rPr>
          <w:sz w:val="26"/>
        </w:rPr>
      </w:pPr>
      <w:r>
        <w:rPr>
          <w:sz w:val="26"/>
        </w:rPr>
        <w:t>Hợp đồng này có giá trị kể từ ngày </w:t>
      </w:r>
      <w:r>
        <w:rPr>
          <w:sz w:val="28"/>
        </w:rPr>
        <w:t>[…] </w:t>
      </w:r>
      <w:r>
        <w:rPr>
          <w:sz w:val="26"/>
        </w:rPr>
        <w:t>đến hết ngày </w:t>
      </w:r>
      <w:r>
        <w:rPr>
          <w:sz w:val="28"/>
        </w:rPr>
        <w:t>[…] </w:t>
      </w:r>
      <w:r>
        <w:rPr>
          <w:sz w:val="26"/>
        </w:rPr>
        <w:t>hoặc đến thời  điểm  hợp đồng này chấm dứt theo quy định tại Điều</w:t>
      </w:r>
      <w:r>
        <w:rPr>
          <w:spacing w:val="-6"/>
          <w:sz w:val="26"/>
        </w:rPr>
        <w:t> </w:t>
      </w:r>
      <w:r>
        <w:rPr>
          <w:sz w:val="26"/>
        </w:rPr>
        <w:t>7.2.</w:t>
      </w:r>
    </w:p>
    <w:p>
      <w:pPr>
        <w:pStyle w:val="ListParagraph"/>
        <w:numPr>
          <w:ilvl w:val="1"/>
          <w:numId w:val="8"/>
        </w:numPr>
        <w:tabs>
          <w:tab w:pos="830" w:val="left" w:leader="none"/>
        </w:tabs>
        <w:spacing w:line="298" w:lineRule="exact" w:before="0" w:after="0"/>
        <w:ind w:left="830" w:right="0" w:hanging="708"/>
        <w:jc w:val="both"/>
        <w:rPr>
          <w:sz w:val="26"/>
        </w:rPr>
      </w:pPr>
      <w:r>
        <w:rPr>
          <w:sz w:val="26"/>
        </w:rPr>
        <w:t>Hợp đồng này chấm dứt</w:t>
      </w:r>
      <w:r>
        <w:rPr>
          <w:spacing w:val="-4"/>
          <w:sz w:val="26"/>
        </w:rPr>
        <w:t> </w:t>
      </w:r>
      <w:r>
        <w:rPr>
          <w:sz w:val="26"/>
        </w:rPr>
        <w:t>khi:</w:t>
      </w:r>
    </w:p>
    <w:p>
      <w:pPr>
        <w:pStyle w:val="ListParagraph"/>
        <w:numPr>
          <w:ilvl w:val="0"/>
          <w:numId w:val="9"/>
        </w:numPr>
        <w:tabs>
          <w:tab w:pos="842" w:val="left" w:leader="none"/>
        </w:tabs>
        <w:spacing w:line="240" w:lineRule="auto" w:before="0" w:after="0"/>
        <w:ind w:left="841" w:right="539" w:hanging="720"/>
        <w:jc w:val="both"/>
        <w:rPr>
          <w:sz w:val="26"/>
        </w:rPr>
      </w:pPr>
      <w:r>
        <w:rPr>
          <w:sz w:val="26"/>
        </w:rPr>
        <w:t>Các bên thỏa thuận chấm dứt hợp đồng này trước thời hạn bằng văn bản có chữ ký của đại diện có thẩm quyền của mỗi bên và được đóng dấu hợp lệ của mỗi</w:t>
      </w:r>
      <w:r>
        <w:rPr>
          <w:spacing w:val="-11"/>
          <w:sz w:val="26"/>
        </w:rPr>
        <w:t> </w:t>
      </w:r>
      <w:r>
        <w:rPr>
          <w:sz w:val="26"/>
        </w:rPr>
        <w:t>bên;</w:t>
      </w:r>
    </w:p>
    <w:p>
      <w:pPr>
        <w:pStyle w:val="ListParagraph"/>
        <w:numPr>
          <w:ilvl w:val="0"/>
          <w:numId w:val="9"/>
        </w:numPr>
        <w:tabs>
          <w:tab w:pos="842" w:val="left" w:leader="none"/>
        </w:tabs>
        <w:spacing w:line="240" w:lineRule="auto" w:before="1" w:after="0"/>
        <w:ind w:left="841" w:right="528" w:hanging="720"/>
        <w:jc w:val="both"/>
        <w:rPr>
          <w:sz w:val="26"/>
        </w:rPr>
      </w:pPr>
      <w:r>
        <w:rPr>
          <w:sz w:val="26"/>
        </w:rPr>
        <w:t>Bên A đơn phương chấm dứt hợp đồng này nếu có thiệt hại xảy ra theo Điều </w:t>
      </w:r>
      <w:r>
        <w:rPr>
          <w:spacing w:val="3"/>
          <w:sz w:val="26"/>
        </w:rPr>
        <w:t>3.5 </w:t>
      </w:r>
      <w:r>
        <w:rPr>
          <w:sz w:val="26"/>
        </w:rPr>
        <w:t>của Hợp Đồng này bằng cách thông báo bằng văn bản cho Bên B trước </w:t>
      </w:r>
      <w:r>
        <w:rPr>
          <w:sz w:val="28"/>
        </w:rPr>
        <w:t>[…] </w:t>
      </w:r>
      <w:r>
        <w:rPr>
          <w:sz w:val="26"/>
        </w:rPr>
        <w:t>tính đến ngày chấm</w:t>
      </w:r>
      <w:r>
        <w:rPr>
          <w:spacing w:val="-4"/>
          <w:sz w:val="26"/>
        </w:rPr>
        <w:t> </w:t>
      </w:r>
      <w:r>
        <w:rPr>
          <w:sz w:val="26"/>
        </w:rPr>
        <w:t>dứt.</w:t>
      </w:r>
    </w:p>
    <w:p>
      <w:pPr>
        <w:pStyle w:val="ListParagraph"/>
        <w:numPr>
          <w:ilvl w:val="0"/>
          <w:numId w:val="9"/>
        </w:numPr>
        <w:tabs>
          <w:tab w:pos="842" w:val="left" w:leader="none"/>
        </w:tabs>
        <w:spacing w:line="240" w:lineRule="auto" w:before="0" w:after="0"/>
        <w:ind w:left="842" w:right="0" w:hanging="720"/>
        <w:jc w:val="both"/>
        <w:rPr>
          <w:sz w:val="26"/>
        </w:rPr>
      </w:pPr>
      <w:r>
        <w:rPr>
          <w:sz w:val="26"/>
        </w:rPr>
        <w:t>Xảy ra sự kiện bất khả kháng quy định tại Điều 5.3 Hợp Đồng</w:t>
      </w:r>
      <w:r>
        <w:rPr>
          <w:spacing w:val="-6"/>
          <w:sz w:val="26"/>
        </w:rPr>
        <w:t> </w:t>
      </w:r>
      <w:r>
        <w:rPr>
          <w:sz w:val="26"/>
        </w:rPr>
        <w:t>này.</w:t>
      </w:r>
    </w:p>
    <w:p>
      <w:pPr>
        <w:pStyle w:val="BodyText"/>
        <w:spacing w:before="3"/>
        <w:ind w:left="0" w:firstLine="0"/>
        <w:jc w:val="left"/>
        <w:rPr>
          <w:sz w:val="24"/>
        </w:rPr>
      </w:pPr>
    </w:p>
    <w:p>
      <w:pPr>
        <w:pStyle w:val="Heading1"/>
        <w:spacing w:before="1"/>
      </w:pPr>
      <w:r>
        <w:rPr>
          <w:b w:val="0"/>
          <w:spacing w:val="-65"/>
          <w:w w:val="99"/>
          <w:u w:val="thick"/>
        </w:rPr>
        <w:t> </w:t>
      </w:r>
      <w:r>
        <w:rPr>
          <w:u w:val="thick"/>
        </w:rPr>
        <w:t>Điều VIII</w:t>
      </w:r>
      <w:r>
        <w:rPr/>
        <w:t>: Điều khoản chung</w:t>
      </w:r>
    </w:p>
    <w:p>
      <w:pPr>
        <w:pStyle w:val="BodyText"/>
        <w:spacing w:before="7"/>
        <w:ind w:left="0" w:firstLine="0"/>
        <w:jc w:val="left"/>
        <w:rPr>
          <w:b/>
          <w:sz w:val="16"/>
        </w:rPr>
      </w:pPr>
    </w:p>
    <w:p>
      <w:pPr>
        <w:pStyle w:val="ListParagraph"/>
        <w:numPr>
          <w:ilvl w:val="1"/>
          <w:numId w:val="10"/>
        </w:numPr>
        <w:tabs>
          <w:tab w:pos="830" w:val="left" w:leader="none"/>
        </w:tabs>
        <w:spacing w:line="240" w:lineRule="auto" w:before="88" w:after="0"/>
        <w:ind w:left="830" w:right="528" w:hanging="708"/>
        <w:jc w:val="both"/>
        <w:rPr>
          <w:sz w:val="26"/>
        </w:rPr>
      </w:pPr>
      <w:r>
        <w:rPr>
          <w:sz w:val="26"/>
        </w:rPr>
        <w:t>Hai bên có nghĩa vụ và trách nhiệm thi hành các điều khoản đã cam kết trong hợp đồng. Trường hợp có sự thay đổi hai bên phải thông báo cho nhau trước </w:t>
      </w:r>
      <w:r>
        <w:rPr>
          <w:sz w:val="28"/>
        </w:rPr>
        <w:t>[…] </w:t>
      </w:r>
      <w:r>
        <w:rPr>
          <w:sz w:val="26"/>
        </w:rPr>
        <w:t>ngày bằng văn bản để cùng phối hợp giải quyết. Bất kỳ thay đổi, bổ sung nào đối với Hợp Đồng đều phải được lập thành văn bản là một phần không tách rời của Hợp Đồng có chữ ký của người đại diện có thẩm quyền của mỗi bên và được đóng dấu hợp</w:t>
      </w:r>
      <w:r>
        <w:rPr>
          <w:spacing w:val="-2"/>
          <w:sz w:val="26"/>
        </w:rPr>
        <w:t> </w:t>
      </w:r>
      <w:r>
        <w:rPr>
          <w:sz w:val="26"/>
        </w:rPr>
        <w:t>lệ.</w:t>
      </w:r>
    </w:p>
    <w:p>
      <w:pPr>
        <w:pStyle w:val="ListParagraph"/>
        <w:numPr>
          <w:ilvl w:val="1"/>
          <w:numId w:val="10"/>
        </w:numPr>
        <w:tabs>
          <w:tab w:pos="830" w:val="left" w:leader="none"/>
        </w:tabs>
        <w:spacing w:line="240" w:lineRule="auto" w:before="0" w:after="0"/>
        <w:ind w:left="830" w:right="537" w:hanging="708"/>
        <w:jc w:val="both"/>
        <w:rPr>
          <w:sz w:val="26"/>
        </w:rPr>
      </w:pPr>
      <w:r>
        <w:rPr>
          <w:sz w:val="26"/>
        </w:rPr>
        <w:t>Các bên cam kết thực hiện đúng các điều khoản đã thỏa thuận trong Hợp Đồng. Nếu bên A vi phạm bất kỳ nghĩa vụ nào đã thỏa thuận tại Hợp Đồng, Bên B được quyền đơn phương chấm dứt Hợp Đồng và Bên A phải chịu mọi chế tài như quy định tại Điều 3.5 và 3.6 của Hợp</w:t>
      </w:r>
      <w:r>
        <w:rPr>
          <w:spacing w:val="-4"/>
          <w:sz w:val="26"/>
        </w:rPr>
        <w:t> </w:t>
      </w:r>
      <w:r>
        <w:rPr>
          <w:sz w:val="26"/>
        </w:rPr>
        <w:t>Đồng</w:t>
      </w:r>
    </w:p>
    <w:p>
      <w:pPr>
        <w:pStyle w:val="ListParagraph"/>
        <w:numPr>
          <w:ilvl w:val="1"/>
          <w:numId w:val="10"/>
        </w:numPr>
        <w:tabs>
          <w:tab w:pos="830" w:val="left" w:leader="none"/>
        </w:tabs>
        <w:spacing w:line="240" w:lineRule="auto" w:before="2" w:after="0"/>
        <w:ind w:left="830" w:right="534" w:hanging="708"/>
        <w:jc w:val="both"/>
        <w:rPr>
          <w:sz w:val="26"/>
        </w:rPr>
      </w:pPr>
      <w:r>
        <w:rPr>
          <w:sz w:val="26"/>
        </w:rPr>
        <w:t>Hợp Đồng sẽ tự động thanh lý sau khi hai bên đã hoàn tất các quyền và nghĩa vụ nêu trong Hợp Đồng.</w:t>
      </w:r>
    </w:p>
    <w:p>
      <w:pPr>
        <w:pStyle w:val="ListParagraph"/>
        <w:numPr>
          <w:ilvl w:val="1"/>
          <w:numId w:val="10"/>
        </w:numPr>
        <w:tabs>
          <w:tab w:pos="830" w:val="left" w:leader="none"/>
        </w:tabs>
        <w:spacing w:line="240" w:lineRule="auto" w:before="0" w:after="0"/>
        <w:ind w:left="830" w:right="538" w:hanging="708"/>
        <w:jc w:val="both"/>
        <w:rPr>
          <w:sz w:val="26"/>
        </w:rPr>
      </w:pPr>
      <w:r>
        <w:rPr>
          <w:sz w:val="26"/>
        </w:rPr>
        <w:t>Trong quá trình thực hiện Hợp Đồng, mọi phát sinh và tranh chấp đều được các bên trực tiếp thương lượng giải quyết trên tinh thần tôn trọng và đảm bảo uy tín của cả các bên. Các tranh chấp không thể giải quyết được thông qua thương lượng thì sẽ được giải quyết tại tòa án nhân dân có thẩm quyền nơi đặt trụ sở của bên B phù hợp với các quy định pháp luật. Quyết định có hiệu lực pháp luật của tòa án là quyết định cuối cùng, ràng buộc các bên thực hiện. Án phí do bên thua kiện</w:t>
      </w:r>
      <w:r>
        <w:rPr>
          <w:spacing w:val="-18"/>
          <w:sz w:val="26"/>
        </w:rPr>
        <w:t> </w:t>
      </w:r>
      <w:r>
        <w:rPr>
          <w:sz w:val="26"/>
        </w:rPr>
        <w:t>chịu.</w:t>
      </w:r>
    </w:p>
    <w:p>
      <w:pPr>
        <w:pStyle w:val="ListParagraph"/>
        <w:numPr>
          <w:ilvl w:val="1"/>
          <w:numId w:val="10"/>
        </w:numPr>
        <w:tabs>
          <w:tab w:pos="830" w:val="left" w:leader="none"/>
        </w:tabs>
        <w:spacing w:line="322" w:lineRule="exact" w:before="0" w:after="0"/>
        <w:ind w:left="830" w:right="0" w:hanging="708"/>
        <w:jc w:val="both"/>
        <w:rPr>
          <w:sz w:val="28"/>
        </w:rPr>
      </w:pPr>
      <w:r>
        <w:rPr>
          <w:sz w:val="26"/>
        </w:rPr>
        <w:t>Hợp đồng được lập thành </w:t>
      </w:r>
      <w:r>
        <w:rPr>
          <w:sz w:val="28"/>
        </w:rPr>
        <w:t>[…] </w:t>
      </w:r>
      <w:r>
        <w:rPr>
          <w:sz w:val="26"/>
        </w:rPr>
        <w:t>bản có giá trị pháp lý như nhau, mỗi</w:t>
      </w:r>
      <w:r>
        <w:rPr>
          <w:spacing w:val="14"/>
          <w:sz w:val="26"/>
        </w:rPr>
        <w:t> </w:t>
      </w:r>
      <w:r>
        <w:rPr>
          <w:sz w:val="26"/>
        </w:rPr>
        <w:t>bên giữ </w:t>
      </w:r>
      <w:r>
        <w:rPr>
          <w:sz w:val="28"/>
        </w:rPr>
        <w:t>[…]</w:t>
      </w:r>
    </w:p>
    <w:p>
      <w:pPr>
        <w:pStyle w:val="BodyText"/>
        <w:spacing w:line="299" w:lineRule="exact"/>
        <w:ind w:firstLine="0"/>
      </w:pPr>
      <w:r>
        <w:rPr/>
        <w:t>(Hợp đồng sao chụp không có giá trị sử dụng).</w:t>
      </w:r>
    </w:p>
    <w:p>
      <w:pPr>
        <w:pStyle w:val="BodyText"/>
        <w:spacing w:before="3"/>
        <w:ind w:left="0" w:firstLine="0"/>
        <w:jc w:val="left"/>
        <w:rPr>
          <w:sz w:val="24"/>
        </w:rPr>
      </w:pPr>
    </w:p>
    <w:p>
      <w:pPr>
        <w:pStyle w:val="Heading1"/>
        <w:tabs>
          <w:tab w:pos="4639" w:val="left" w:leader="none"/>
        </w:tabs>
        <w:ind w:left="0" w:right="53"/>
        <w:jc w:val="center"/>
      </w:pPr>
      <w:r>
        <w:rPr/>
        <w:t>ĐẠI DIỆN</w:t>
      </w:r>
      <w:r>
        <w:rPr>
          <w:spacing w:val="-5"/>
        </w:rPr>
        <w:t> </w:t>
      </w:r>
      <w:r>
        <w:rPr/>
        <w:t>BÊN</w:t>
      </w:r>
      <w:r>
        <w:rPr>
          <w:spacing w:val="-1"/>
        </w:rPr>
        <w:t> </w:t>
      </w:r>
      <w:r>
        <w:rPr/>
        <w:t>A</w:t>
        <w:tab/>
        <w:t>ĐẠI DIỆN BÊN B</w:t>
      </w:r>
    </w:p>
    <w:sectPr>
      <w:pgSz w:w="12240" w:h="15840"/>
      <w:pgMar w:top="1060" w:bottom="280" w:left="1580" w:right="6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8"/>
      <w:numFmt w:val="decimal"/>
      <w:lvlText w:val="%1"/>
      <w:lvlJc w:val="left"/>
      <w:pPr>
        <w:ind w:left="830" w:hanging="708"/>
        <w:jc w:val="left"/>
      </w:pPr>
      <w:rPr>
        <w:rFonts w:hint="default"/>
        <w:lang w:val="vi" w:eastAsia="en-US" w:bidi="ar-SA"/>
      </w:rPr>
    </w:lvl>
    <w:lvl w:ilvl="1">
      <w:start w:val="1"/>
      <w:numFmt w:val="decimal"/>
      <w:lvlText w:val="%1.%2"/>
      <w:lvlJc w:val="left"/>
      <w:pPr>
        <w:ind w:left="830" w:hanging="708"/>
        <w:jc w:val="left"/>
      </w:pPr>
      <w:rPr>
        <w:rFonts w:hint="default" w:ascii="Times New Roman" w:hAnsi="Times New Roman" w:eastAsia="Times New Roman" w:cs="Times New Roman"/>
        <w:w w:val="99"/>
        <w:sz w:val="26"/>
        <w:szCs w:val="26"/>
        <w:lang w:val="vi" w:eastAsia="en-US" w:bidi="ar-SA"/>
      </w:rPr>
    </w:lvl>
    <w:lvl w:ilvl="2">
      <w:start w:val="0"/>
      <w:numFmt w:val="bullet"/>
      <w:lvlText w:val="•"/>
      <w:lvlJc w:val="left"/>
      <w:pPr>
        <w:ind w:left="2684" w:hanging="708"/>
      </w:pPr>
      <w:rPr>
        <w:rFonts w:hint="default"/>
        <w:lang w:val="vi" w:eastAsia="en-US" w:bidi="ar-SA"/>
      </w:rPr>
    </w:lvl>
    <w:lvl w:ilvl="3">
      <w:start w:val="0"/>
      <w:numFmt w:val="bullet"/>
      <w:lvlText w:val="•"/>
      <w:lvlJc w:val="left"/>
      <w:pPr>
        <w:ind w:left="3606" w:hanging="708"/>
      </w:pPr>
      <w:rPr>
        <w:rFonts w:hint="default"/>
        <w:lang w:val="vi" w:eastAsia="en-US" w:bidi="ar-SA"/>
      </w:rPr>
    </w:lvl>
    <w:lvl w:ilvl="4">
      <w:start w:val="0"/>
      <w:numFmt w:val="bullet"/>
      <w:lvlText w:val="•"/>
      <w:lvlJc w:val="left"/>
      <w:pPr>
        <w:ind w:left="4528" w:hanging="708"/>
      </w:pPr>
      <w:rPr>
        <w:rFonts w:hint="default"/>
        <w:lang w:val="vi" w:eastAsia="en-US" w:bidi="ar-SA"/>
      </w:rPr>
    </w:lvl>
    <w:lvl w:ilvl="5">
      <w:start w:val="0"/>
      <w:numFmt w:val="bullet"/>
      <w:lvlText w:val="•"/>
      <w:lvlJc w:val="left"/>
      <w:pPr>
        <w:ind w:left="5450" w:hanging="708"/>
      </w:pPr>
      <w:rPr>
        <w:rFonts w:hint="default"/>
        <w:lang w:val="vi" w:eastAsia="en-US" w:bidi="ar-SA"/>
      </w:rPr>
    </w:lvl>
    <w:lvl w:ilvl="6">
      <w:start w:val="0"/>
      <w:numFmt w:val="bullet"/>
      <w:lvlText w:val="•"/>
      <w:lvlJc w:val="left"/>
      <w:pPr>
        <w:ind w:left="6372" w:hanging="708"/>
      </w:pPr>
      <w:rPr>
        <w:rFonts w:hint="default"/>
        <w:lang w:val="vi" w:eastAsia="en-US" w:bidi="ar-SA"/>
      </w:rPr>
    </w:lvl>
    <w:lvl w:ilvl="7">
      <w:start w:val="0"/>
      <w:numFmt w:val="bullet"/>
      <w:lvlText w:val="•"/>
      <w:lvlJc w:val="left"/>
      <w:pPr>
        <w:ind w:left="7294" w:hanging="708"/>
      </w:pPr>
      <w:rPr>
        <w:rFonts w:hint="default"/>
        <w:lang w:val="vi" w:eastAsia="en-US" w:bidi="ar-SA"/>
      </w:rPr>
    </w:lvl>
    <w:lvl w:ilvl="8">
      <w:start w:val="0"/>
      <w:numFmt w:val="bullet"/>
      <w:lvlText w:val="•"/>
      <w:lvlJc w:val="left"/>
      <w:pPr>
        <w:ind w:left="8216" w:hanging="708"/>
      </w:pPr>
      <w:rPr>
        <w:rFonts w:hint="default"/>
        <w:lang w:val="vi" w:eastAsia="en-US" w:bidi="ar-SA"/>
      </w:rPr>
    </w:lvl>
  </w:abstractNum>
  <w:abstractNum w:abstractNumId="8">
    <w:multiLevelType w:val="hybridMultilevel"/>
    <w:lvl w:ilvl="0">
      <w:start w:val="1"/>
      <w:numFmt w:val="lowerRoman"/>
      <w:lvlText w:val="(%1)"/>
      <w:lvlJc w:val="left"/>
      <w:pPr>
        <w:ind w:left="842" w:hanging="720"/>
        <w:jc w:val="left"/>
      </w:pPr>
      <w:rPr>
        <w:rFonts w:hint="default" w:ascii="Times New Roman" w:hAnsi="Times New Roman" w:eastAsia="Times New Roman" w:cs="Times New Roman"/>
        <w:w w:val="99"/>
        <w:sz w:val="26"/>
        <w:szCs w:val="26"/>
        <w:lang w:val="vi" w:eastAsia="en-US" w:bidi="ar-SA"/>
      </w:rPr>
    </w:lvl>
    <w:lvl w:ilvl="1">
      <w:start w:val="0"/>
      <w:numFmt w:val="bullet"/>
      <w:lvlText w:val="•"/>
      <w:lvlJc w:val="left"/>
      <w:pPr>
        <w:ind w:left="1762" w:hanging="720"/>
      </w:pPr>
      <w:rPr>
        <w:rFonts w:hint="default"/>
        <w:lang w:val="vi" w:eastAsia="en-US" w:bidi="ar-SA"/>
      </w:rPr>
    </w:lvl>
    <w:lvl w:ilvl="2">
      <w:start w:val="0"/>
      <w:numFmt w:val="bullet"/>
      <w:lvlText w:val="•"/>
      <w:lvlJc w:val="left"/>
      <w:pPr>
        <w:ind w:left="2684" w:hanging="720"/>
      </w:pPr>
      <w:rPr>
        <w:rFonts w:hint="default"/>
        <w:lang w:val="vi" w:eastAsia="en-US" w:bidi="ar-SA"/>
      </w:rPr>
    </w:lvl>
    <w:lvl w:ilvl="3">
      <w:start w:val="0"/>
      <w:numFmt w:val="bullet"/>
      <w:lvlText w:val="•"/>
      <w:lvlJc w:val="left"/>
      <w:pPr>
        <w:ind w:left="3606" w:hanging="720"/>
      </w:pPr>
      <w:rPr>
        <w:rFonts w:hint="default"/>
        <w:lang w:val="vi" w:eastAsia="en-US" w:bidi="ar-SA"/>
      </w:rPr>
    </w:lvl>
    <w:lvl w:ilvl="4">
      <w:start w:val="0"/>
      <w:numFmt w:val="bullet"/>
      <w:lvlText w:val="•"/>
      <w:lvlJc w:val="left"/>
      <w:pPr>
        <w:ind w:left="4528" w:hanging="720"/>
      </w:pPr>
      <w:rPr>
        <w:rFonts w:hint="default"/>
        <w:lang w:val="vi" w:eastAsia="en-US" w:bidi="ar-SA"/>
      </w:rPr>
    </w:lvl>
    <w:lvl w:ilvl="5">
      <w:start w:val="0"/>
      <w:numFmt w:val="bullet"/>
      <w:lvlText w:val="•"/>
      <w:lvlJc w:val="left"/>
      <w:pPr>
        <w:ind w:left="5450" w:hanging="720"/>
      </w:pPr>
      <w:rPr>
        <w:rFonts w:hint="default"/>
        <w:lang w:val="vi" w:eastAsia="en-US" w:bidi="ar-SA"/>
      </w:rPr>
    </w:lvl>
    <w:lvl w:ilvl="6">
      <w:start w:val="0"/>
      <w:numFmt w:val="bullet"/>
      <w:lvlText w:val="•"/>
      <w:lvlJc w:val="left"/>
      <w:pPr>
        <w:ind w:left="6372" w:hanging="720"/>
      </w:pPr>
      <w:rPr>
        <w:rFonts w:hint="default"/>
        <w:lang w:val="vi" w:eastAsia="en-US" w:bidi="ar-SA"/>
      </w:rPr>
    </w:lvl>
    <w:lvl w:ilvl="7">
      <w:start w:val="0"/>
      <w:numFmt w:val="bullet"/>
      <w:lvlText w:val="•"/>
      <w:lvlJc w:val="left"/>
      <w:pPr>
        <w:ind w:left="7294" w:hanging="720"/>
      </w:pPr>
      <w:rPr>
        <w:rFonts w:hint="default"/>
        <w:lang w:val="vi" w:eastAsia="en-US" w:bidi="ar-SA"/>
      </w:rPr>
    </w:lvl>
    <w:lvl w:ilvl="8">
      <w:start w:val="0"/>
      <w:numFmt w:val="bullet"/>
      <w:lvlText w:val="•"/>
      <w:lvlJc w:val="left"/>
      <w:pPr>
        <w:ind w:left="8216" w:hanging="720"/>
      </w:pPr>
      <w:rPr>
        <w:rFonts w:hint="default"/>
        <w:lang w:val="vi" w:eastAsia="en-US" w:bidi="ar-SA"/>
      </w:rPr>
    </w:lvl>
  </w:abstractNum>
  <w:abstractNum w:abstractNumId="7">
    <w:multiLevelType w:val="hybridMultilevel"/>
    <w:lvl w:ilvl="0">
      <w:start w:val="7"/>
      <w:numFmt w:val="decimal"/>
      <w:lvlText w:val="%1"/>
      <w:lvlJc w:val="left"/>
      <w:pPr>
        <w:ind w:left="830" w:hanging="708"/>
        <w:jc w:val="left"/>
      </w:pPr>
      <w:rPr>
        <w:rFonts w:hint="default"/>
        <w:lang w:val="vi" w:eastAsia="en-US" w:bidi="ar-SA"/>
      </w:rPr>
    </w:lvl>
    <w:lvl w:ilvl="1">
      <w:start w:val="1"/>
      <w:numFmt w:val="decimal"/>
      <w:lvlText w:val="%1.%2"/>
      <w:lvlJc w:val="left"/>
      <w:pPr>
        <w:ind w:left="830" w:hanging="708"/>
        <w:jc w:val="left"/>
      </w:pPr>
      <w:rPr>
        <w:rFonts w:hint="default" w:ascii="Times New Roman" w:hAnsi="Times New Roman" w:eastAsia="Times New Roman" w:cs="Times New Roman"/>
        <w:w w:val="99"/>
        <w:sz w:val="26"/>
        <w:szCs w:val="26"/>
        <w:lang w:val="vi" w:eastAsia="en-US" w:bidi="ar-SA"/>
      </w:rPr>
    </w:lvl>
    <w:lvl w:ilvl="2">
      <w:start w:val="0"/>
      <w:numFmt w:val="bullet"/>
      <w:lvlText w:val="•"/>
      <w:lvlJc w:val="left"/>
      <w:pPr>
        <w:ind w:left="2684" w:hanging="708"/>
      </w:pPr>
      <w:rPr>
        <w:rFonts w:hint="default"/>
        <w:lang w:val="vi" w:eastAsia="en-US" w:bidi="ar-SA"/>
      </w:rPr>
    </w:lvl>
    <w:lvl w:ilvl="3">
      <w:start w:val="0"/>
      <w:numFmt w:val="bullet"/>
      <w:lvlText w:val="•"/>
      <w:lvlJc w:val="left"/>
      <w:pPr>
        <w:ind w:left="3606" w:hanging="708"/>
      </w:pPr>
      <w:rPr>
        <w:rFonts w:hint="default"/>
        <w:lang w:val="vi" w:eastAsia="en-US" w:bidi="ar-SA"/>
      </w:rPr>
    </w:lvl>
    <w:lvl w:ilvl="4">
      <w:start w:val="0"/>
      <w:numFmt w:val="bullet"/>
      <w:lvlText w:val="•"/>
      <w:lvlJc w:val="left"/>
      <w:pPr>
        <w:ind w:left="4528" w:hanging="708"/>
      </w:pPr>
      <w:rPr>
        <w:rFonts w:hint="default"/>
        <w:lang w:val="vi" w:eastAsia="en-US" w:bidi="ar-SA"/>
      </w:rPr>
    </w:lvl>
    <w:lvl w:ilvl="5">
      <w:start w:val="0"/>
      <w:numFmt w:val="bullet"/>
      <w:lvlText w:val="•"/>
      <w:lvlJc w:val="left"/>
      <w:pPr>
        <w:ind w:left="5450" w:hanging="708"/>
      </w:pPr>
      <w:rPr>
        <w:rFonts w:hint="default"/>
        <w:lang w:val="vi" w:eastAsia="en-US" w:bidi="ar-SA"/>
      </w:rPr>
    </w:lvl>
    <w:lvl w:ilvl="6">
      <w:start w:val="0"/>
      <w:numFmt w:val="bullet"/>
      <w:lvlText w:val="•"/>
      <w:lvlJc w:val="left"/>
      <w:pPr>
        <w:ind w:left="6372" w:hanging="708"/>
      </w:pPr>
      <w:rPr>
        <w:rFonts w:hint="default"/>
        <w:lang w:val="vi" w:eastAsia="en-US" w:bidi="ar-SA"/>
      </w:rPr>
    </w:lvl>
    <w:lvl w:ilvl="7">
      <w:start w:val="0"/>
      <w:numFmt w:val="bullet"/>
      <w:lvlText w:val="•"/>
      <w:lvlJc w:val="left"/>
      <w:pPr>
        <w:ind w:left="7294" w:hanging="708"/>
      </w:pPr>
      <w:rPr>
        <w:rFonts w:hint="default"/>
        <w:lang w:val="vi" w:eastAsia="en-US" w:bidi="ar-SA"/>
      </w:rPr>
    </w:lvl>
    <w:lvl w:ilvl="8">
      <w:start w:val="0"/>
      <w:numFmt w:val="bullet"/>
      <w:lvlText w:val="•"/>
      <w:lvlJc w:val="left"/>
      <w:pPr>
        <w:ind w:left="8216" w:hanging="708"/>
      </w:pPr>
      <w:rPr>
        <w:rFonts w:hint="default"/>
        <w:lang w:val="vi" w:eastAsia="en-US" w:bidi="ar-SA"/>
      </w:rPr>
    </w:lvl>
  </w:abstractNum>
  <w:abstractNum w:abstractNumId="6">
    <w:multiLevelType w:val="hybridMultilevel"/>
    <w:lvl w:ilvl="0">
      <w:start w:val="6"/>
      <w:numFmt w:val="decimal"/>
      <w:lvlText w:val="%1"/>
      <w:lvlJc w:val="left"/>
      <w:pPr>
        <w:ind w:left="830" w:hanging="708"/>
        <w:jc w:val="left"/>
      </w:pPr>
      <w:rPr>
        <w:rFonts w:hint="default"/>
        <w:lang w:val="vi" w:eastAsia="en-US" w:bidi="ar-SA"/>
      </w:rPr>
    </w:lvl>
    <w:lvl w:ilvl="1">
      <w:start w:val="1"/>
      <w:numFmt w:val="decimal"/>
      <w:lvlText w:val="%1.%2"/>
      <w:lvlJc w:val="left"/>
      <w:pPr>
        <w:ind w:left="830" w:hanging="708"/>
        <w:jc w:val="left"/>
      </w:pPr>
      <w:rPr>
        <w:rFonts w:hint="default" w:ascii="Times New Roman" w:hAnsi="Times New Roman" w:eastAsia="Times New Roman" w:cs="Times New Roman"/>
        <w:w w:val="99"/>
        <w:sz w:val="26"/>
        <w:szCs w:val="26"/>
        <w:lang w:val="vi" w:eastAsia="en-US" w:bidi="ar-SA"/>
      </w:rPr>
    </w:lvl>
    <w:lvl w:ilvl="2">
      <w:start w:val="0"/>
      <w:numFmt w:val="bullet"/>
      <w:lvlText w:val="•"/>
      <w:lvlJc w:val="left"/>
      <w:pPr>
        <w:ind w:left="2684" w:hanging="708"/>
      </w:pPr>
      <w:rPr>
        <w:rFonts w:hint="default"/>
        <w:lang w:val="vi" w:eastAsia="en-US" w:bidi="ar-SA"/>
      </w:rPr>
    </w:lvl>
    <w:lvl w:ilvl="3">
      <w:start w:val="0"/>
      <w:numFmt w:val="bullet"/>
      <w:lvlText w:val="•"/>
      <w:lvlJc w:val="left"/>
      <w:pPr>
        <w:ind w:left="3606" w:hanging="708"/>
      </w:pPr>
      <w:rPr>
        <w:rFonts w:hint="default"/>
        <w:lang w:val="vi" w:eastAsia="en-US" w:bidi="ar-SA"/>
      </w:rPr>
    </w:lvl>
    <w:lvl w:ilvl="4">
      <w:start w:val="0"/>
      <w:numFmt w:val="bullet"/>
      <w:lvlText w:val="•"/>
      <w:lvlJc w:val="left"/>
      <w:pPr>
        <w:ind w:left="4528" w:hanging="708"/>
      </w:pPr>
      <w:rPr>
        <w:rFonts w:hint="default"/>
        <w:lang w:val="vi" w:eastAsia="en-US" w:bidi="ar-SA"/>
      </w:rPr>
    </w:lvl>
    <w:lvl w:ilvl="5">
      <w:start w:val="0"/>
      <w:numFmt w:val="bullet"/>
      <w:lvlText w:val="•"/>
      <w:lvlJc w:val="left"/>
      <w:pPr>
        <w:ind w:left="5450" w:hanging="708"/>
      </w:pPr>
      <w:rPr>
        <w:rFonts w:hint="default"/>
        <w:lang w:val="vi" w:eastAsia="en-US" w:bidi="ar-SA"/>
      </w:rPr>
    </w:lvl>
    <w:lvl w:ilvl="6">
      <w:start w:val="0"/>
      <w:numFmt w:val="bullet"/>
      <w:lvlText w:val="•"/>
      <w:lvlJc w:val="left"/>
      <w:pPr>
        <w:ind w:left="6372" w:hanging="708"/>
      </w:pPr>
      <w:rPr>
        <w:rFonts w:hint="default"/>
        <w:lang w:val="vi" w:eastAsia="en-US" w:bidi="ar-SA"/>
      </w:rPr>
    </w:lvl>
    <w:lvl w:ilvl="7">
      <w:start w:val="0"/>
      <w:numFmt w:val="bullet"/>
      <w:lvlText w:val="•"/>
      <w:lvlJc w:val="left"/>
      <w:pPr>
        <w:ind w:left="7294" w:hanging="708"/>
      </w:pPr>
      <w:rPr>
        <w:rFonts w:hint="default"/>
        <w:lang w:val="vi" w:eastAsia="en-US" w:bidi="ar-SA"/>
      </w:rPr>
    </w:lvl>
    <w:lvl w:ilvl="8">
      <w:start w:val="0"/>
      <w:numFmt w:val="bullet"/>
      <w:lvlText w:val="•"/>
      <w:lvlJc w:val="left"/>
      <w:pPr>
        <w:ind w:left="8216" w:hanging="708"/>
      </w:pPr>
      <w:rPr>
        <w:rFonts w:hint="default"/>
        <w:lang w:val="vi" w:eastAsia="en-US" w:bidi="ar-SA"/>
      </w:rPr>
    </w:lvl>
  </w:abstractNum>
  <w:abstractNum w:abstractNumId="5">
    <w:multiLevelType w:val="hybridMultilevel"/>
    <w:lvl w:ilvl="0">
      <w:start w:val="5"/>
      <w:numFmt w:val="decimal"/>
      <w:lvlText w:val="%1"/>
      <w:lvlJc w:val="left"/>
      <w:pPr>
        <w:ind w:left="830" w:hanging="708"/>
        <w:jc w:val="left"/>
      </w:pPr>
      <w:rPr>
        <w:rFonts w:hint="default"/>
        <w:lang w:val="vi" w:eastAsia="en-US" w:bidi="ar-SA"/>
      </w:rPr>
    </w:lvl>
    <w:lvl w:ilvl="1">
      <w:start w:val="1"/>
      <w:numFmt w:val="decimal"/>
      <w:lvlText w:val="%1.%2"/>
      <w:lvlJc w:val="left"/>
      <w:pPr>
        <w:ind w:left="830" w:hanging="708"/>
        <w:jc w:val="left"/>
      </w:pPr>
      <w:rPr>
        <w:rFonts w:hint="default" w:ascii="Times New Roman" w:hAnsi="Times New Roman" w:eastAsia="Times New Roman" w:cs="Times New Roman"/>
        <w:spacing w:val="-13"/>
        <w:w w:val="99"/>
        <w:sz w:val="24"/>
        <w:szCs w:val="24"/>
        <w:lang w:val="vi" w:eastAsia="en-US" w:bidi="ar-SA"/>
      </w:rPr>
    </w:lvl>
    <w:lvl w:ilvl="2">
      <w:start w:val="0"/>
      <w:numFmt w:val="bullet"/>
      <w:lvlText w:val="•"/>
      <w:lvlJc w:val="left"/>
      <w:pPr>
        <w:ind w:left="2684" w:hanging="708"/>
      </w:pPr>
      <w:rPr>
        <w:rFonts w:hint="default"/>
        <w:lang w:val="vi" w:eastAsia="en-US" w:bidi="ar-SA"/>
      </w:rPr>
    </w:lvl>
    <w:lvl w:ilvl="3">
      <w:start w:val="0"/>
      <w:numFmt w:val="bullet"/>
      <w:lvlText w:val="•"/>
      <w:lvlJc w:val="left"/>
      <w:pPr>
        <w:ind w:left="3606" w:hanging="708"/>
      </w:pPr>
      <w:rPr>
        <w:rFonts w:hint="default"/>
        <w:lang w:val="vi" w:eastAsia="en-US" w:bidi="ar-SA"/>
      </w:rPr>
    </w:lvl>
    <w:lvl w:ilvl="4">
      <w:start w:val="0"/>
      <w:numFmt w:val="bullet"/>
      <w:lvlText w:val="•"/>
      <w:lvlJc w:val="left"/>
      <w:pPr>
        <w:ind w:left="4528" w:hanging="708"/>
      </w:pPr>
      <w:rPr>
        <w:rFonts w:hint="default"/>
        <w:lang w:val="vi" w:eastAsia="en-US" w:bidi="ar-SA"/>
      </w:rPr>
    </w:lvl>
    <w:lvl w:ilvl="5">
      <w:start w:val="0"/>
      <w:numFmt w:val="bullet"/>
      <w:lvlText w:val="•"/>
      <w:lvlJc w:val="left"/>
      <w:pPr>
        <w:ind w:left="5450" w:hanging="708"/>
      </w:pPr>
      <w:rPr>
        <w:rFonts w:hint="default"/>
        <w:lang w:val="vi" w:eastAsia="en-US" w:bidi="ar-SA"/>
      </w:rPr>
    </w:lvl>
    <w:lvl w:ilvl="6">
      <w:start w:val="0"/>
      <w:numFmt w:val="bullet"/>
      <w:lvlText w:val="•"/>
      <w:lvlJc w:val="left"/>
      <w:pPr>
        <w:ind w:left="6372" w:hanging="708"/>
      </w:pPr>
      <w:rPr>
        <w:rFonts w:hint="default"/>
        <w:lang w:val="vi" w:eastAsia="en-US" w:bidi="ar-SA"/>
      </w:rPr>
    </w:lvl>
    <w:lvl w:ilvl="7">
      <w:start w:val="0"/>
      <w:numFmt w:val="bullet"/>
      <w:lvlText w:val="•"/>
      <w:lvlJc w:val="left"/>
      <w:pPr>
        <w:ind w:left="7294" w:hanging="708"/>
      </w:pPr>
      <w:rPr>
        <w:rFonts w:hint="default"/>
        <w:lang w:val="vi" w:eastAsia="en-US" w:bidi="ar-SA"/>
      </w:rPr>
    </w:lvl>
    <w:lvl w:ilvl="8">
      <w:start w:val="0"/>
      <w:numFmt w:val="bullet"/>
      <w:lvlText w:val="•"/>
      <w:lvlJc w:val="left"/>
      <w:pPr>
        <w:ind w:left="8216" w:hanging="708"/>
      </w:pPr>
      <w:rPr>
        <w:rFonts w:hint="default"/>
        <w:lang w:val="vi" w:eastAsia="en-US" w:bidi="ar-SA"/>
      </w:rPr>
    </w:lvl>
  </w:abstractNum>
  <w:abstractNum w:abstractNumId="4">
    <w:multiLevelType w:val="hybridMultilevel"/>
    <w:lvl w:ilvl="0">
      <w:start w:val="4"/>
      <w:numFmt w:val="decimal"/>
      <w:lvlText w:val="%1"/>
      <w:lvlJc w:val="left"/>
      <w:pPr>
        <w:ind w:left="830" w:hanging="708"/>
        <w:jc w:val="left"/>
      </w:pPr>
      <w:rPr>
        <w:rFonts w:hint="default"/>
        <w:lang w:val="vi" w:eastAsia="en-US" w:bidi="ar-SA"/>
      </w:rPr>
    </w:lvl>
    <w:lvl w:ilvl="1">
      <w:start w:val="1"/>
      <w:numFmt w:val="decimal"/>
      <w:lvlText w:val="%1.%2"/>
      <w:lvlJc w:val="left"/>
      <w:pPr>
        <w:ind w:left="830" w:hanging="708"/>
        <w:jc w:val="left"/>
      </w:pPr>
      <w:rPr>
        <w:rFonts w:hint="default" w:ascii="Times New Roman" w:hAnsi="Times New Roman" w:eastAsia="Times New Roman" w:cs="Times New Roman"/>
        <w:w w:val="99"/>
        <w:sz w:val="26"/>
        <w:szCs w:val="26"/>
        <w:lang w:val="vi" w:eastAsia="en-US" w:bidi="ar-SA"/>
      </w:rPr>
    </w:lvl>
    <w:lvl w:ilvl="2">
      <w:start w:val="0"/>
      <w:numFmt w:val="bullet"/>
      <w:lvlText w:val="•"/>
      <w:lvlJc w:val="left"/>
      <w:pPr>
        <w:ind w:left="2684" w:hanging="708"/>
      </w:pPr>
      <w:rPr>
        <w:rFonts w:hint="default"/>
        <w:lang w:val="vi" w:eastAsia="en-US" w:bidi="ar-SA"/>
      </w:rPr>
    </w:lvl>
    <w:lvl w:ilvl="3">
      <w:start w:val="0"/>
      <w:numFmt w:val="bullet"/>
      <w:lvlText w:val="•"/>
      <w:lvlJc w:val="left"/>
      <w:pPr>
        <w:ind w:left="3606" w:hanging="708"/>
      </w:pPr>
      <w:rPr>
        <w:rFonts w:hint="default"/>
        <w:lang w:val="vi" w:eastAsia="en-US" w:bidi="ar-SA"/>
      </w:rPr>
    </w:lvl>
    <w:lvl w:ilvl="4">
      <w:start w:val="0"/>
      <w:numFmt w:val="bullet"/>
      <w:lvlText w:val="•"/>
      <w:lvlJc w:val="left"/>
      <w:pPr>
        <w:ind w:left="4528" w:hanging="708"/>
      </w:pPr>
      <w:rPr>
        <w:rFonts w:hint="default"/>
        <w:lang w:val="vi" w:eastAsia="en-US" w:bidi="ar-SA"/>
      </w:rPr>
    </w:lvl>
    <w:lvl w:ilvl="5">
      <w:start w:val="0"/>
      <w:numFmt w:val="bullet"/>
      <w:lvlText w:val="•"/>
      <w:lvlJc w:val="left"/>
      <w:pPr>
        <w:ind w:left="5450" w:hanging="708"/>
      </w:pPr>
      <w:rPr>
        <w:rFonts w:hint="default"/>
        <w:lang w:val="vi" w:eastAsia="en-US" w:bidi="ar-SA"/>
      </w:rPr>
    </w:lvl>
    <w:lvl w:ilvl="6">
      <w:start w:val="0"/>
      <w:numFmt w:val="bullet"/>
      <w:lvlText w:val="•"/>
      <w:lvlJc w:val="left"/>
      <w:pPr>
        <w:ind w:left="6372" w:hanging="708"/>
      </w:pPr>
      <w:rPr>
        <w:rFonts w:hint="default"/>
        <w:lang w:val="vi" w:eastAsia="en-US" w:bidi="ar-SA"/>
      </w:rPr>
    </w:lvl>
    <w:lvl w:ilvl="7">
      <w:start w:val="0"/>
      <w:numFmt w:val="bullet"/>
      <w:lvlText w:val="•"/>
      <w:lvlJc w:val="left"/>
      <w:pPr>
        <w:ind w:left="7294" w:hanging="708"/>
      </w:pPr>
      <w:rPr>
        <w:rFonts w:hint="default"/>
        <w:lang w:val="vi" w:eastAsia="en-US" w:bidi="ar-SA"/>
      </w:rPr>
    </w:lvl>
    <w:lvl w:ilvl="8">
      <w:start w:val="0"/>
      <w:numFmt w:val="bullet"/>
      <w:lvlText w:val="•"/>
      <w:lvlJc w:val="left"/>
      <w:pPr>
        <w:ind w:left="8216" w:hanging="708"/>
      </w:pPr>
      <w:rPr>
        <w:rFonts w:hint="default"/>
        <w:lang w:val="vi" w:eastAsia="en-US" w:bidi="ar-SA"/>
      </w:rPr>
    </w:lvl>
  </w:abstractNum>
  <w:abstractNum w:abstractNumId="3">
    <w:multiLevelType w:val="hybridMultilevel"/>
    <w:lvl w:ilvl="0">
      <w:start w:val="3"/>
      <w:numFmt w:val="decimal"/>
      <w:lvlText w:val="%1"/>
      <w:lvlJc w:val="left"/>
      <w:pPr>
        <w:ind w:left="830" w:hanging="708"/>
        <w:jc w:val="left"/>
      </w:pPr>
      <w:rPr>
        <w:rFonts w:hint="default"/>
        <w:lang w:val="vi" w:eastAsia="en-US" w:bidi="ar-SA"/>
      </w:rPr>
    </w:lvl>
    <w:lvl w:ilvl="1">
      <w:start w:val="1"/>
      <w:numFmt w:val="decimal"/>
      <w:lvlText w:val="%1.%2"/>
      <w:lvlJc w:val="left"/>
      <w:pPr>
        <w:ind w:left="830" w:hanging="708"/>
        <w:jc w:val="left"/>
      </w:pPr>
      <w:rPr>
        <w:rFonts w:hint="default" w:ascii="Times New Roman" w:hAnsi="Times New Roman" w:eastAsia="Times New Roman" w:cs="Times New Roman"/>
        <w:w w:val="99"/>
        <w:sz w:val="26"/>
        <w:szCs w:val="26"/>
        <w:lang w:val="vi" w:eastAsia="en-US" w:bidi="ar-SA"/>
      </w:rPr>
    </w:lvl>
    <w:lvl w:ilvl="2">
      <w:start w:val="0"/>
      <w:numFmt w:val="bullet"/>
      <w:lvlText w:val="•"/>
      <w:lvlJc w:val="left"/>
      <w:pPr>
        <w:ind w:left="2684" w:hanging="708"/>
      </w:pPr>
      <w:rPr>
        <w:rFonts w:hint="default"/>
        <w:lang w:val="vi" w:eastAsia="en-US" w:bidi="ar-SA"/>
      </w:rPr>
    </w:lvl>
    <w:lvl w:ilvl="3">
      <w:start w:val="0"/>
      <w:numFmt w:val="bullet"/>
      <w:lvlText w:val="•"/>
      <w:lvlJc w:val="left"/>
      <w:pPr>
        <w:ind w:left="3606" w:hanging="708"/>
      </w:pPr>
      <w:rPr>
        <w:rFonts w:hint="default"/>
        <w:lang w:val="vi" w:eastAsia="en-US" w:bidi="ar-SA"/>
      </w:rPr>
    </w:lvl>
    <w:lvl w:ilvl="4">
      <w:start w:val="0"/>
      <w:numFmt w:val="bullet"/>
      <w:lvlText w:val="•"/>
      <w:lvlJc w:val="left"/>
      <w:pPr>
        <w:ind w:left="4528" w:hanging="708"/>
      </w:pPr>
      <w:rPr>
        <w:rFonts w:hint="default"/>
        <w:lang w:val="vi" w:eastAsia="en-US" w:bidi="ar-SA"/>
      </w:rPr>
    </w:lvl>
    <w:lvl w:ilvl="5">
      <w:start w:val="0"/>
      <w:numFmt w:val="bullet"/>
      <w:lvlText w:val="•"/>
      <w:lvlJc w:val="left"/>
      <w:pPr>
        <w:ind w:left="5450" w:hanging="708"/>
      </w:pPr>
      <w:rPr>
        <w:rFonts w:hint="default"/>
        <w:lang w:val="vi" w:eastAsia="en-US" w:bidi="ar-SA"/>
      </w:rPr>
    </w:lvl>
    <w:lvl w:ilvl="6">
      <w:start w:val="0"/>
      <w:numFmt w:val="bullet"/>
      <w:lvlText w:val="•"/>
      <w:lvlJc w:val="left"/>
      <w:pPr>
        <w:ind w:left="6372" w:hanging="708"/>
      </w:pPr>
      <w:rPr>
        <w:rFonts w:hint="default"/>
        <w:lang w:val="vi" w:eastAsia="en-US" w:bidi="ar-SA"/>
      </w:rPr>
    </w:lvl>
    <w:lvl w:ilvl="7">
      <w:start w:val="0"/>
      <w:numFmt w:val="bullet"/>
      <w:lvlText w:val="•"/>
      <w:lvlJc w:val="left"/>
      <w:pPr>
        <w:ind w:left="7294" w:hanging="708"/>
      </w:pPr>
      <w:rPr>
        <w:rFonts w:hint="default"/>
        <w:lang w:val="vi" w:eastAsia="en-US" w:bidi="ar-SA"/>
      </w:rPr>
    </w:lvl>
    <w:lvl w:ilvl="8">
      <w:start w:val="0"/>
      <w:numFmt w:val="bullet"/>
      <w:lvlText w:val="•"/>
      <w:lvlJc w:val="left"/>
      <w:pPr>
        <w:ind w:left="8216" w:hanging="708"/>
      </w:pPr>
      <w:rPr>
        <w:rFonts w:hint="default"/>
        <w:lang w:val="vi" w:eastAsia="en-US" w:bidi="ar-SA"/>
      </w:rPr>
    </w:lvl>
  </w:abstractNum>
  <w:abstractNum w:abstractNumId="2">
    <w:multiLevelType w:val="hybridMultilevel"/>
    <w:lvl w:ilvl="0">
      <w:start w:val="2"/>
      <w:numFmt w:val="decimal"/>
      <w:lvlText w:val="%1"/>
      <w:lvlJc w:val="left"/>
      <w:pPr>
        <w:ind w:left="830" w:hanging="708"/>
        <w:jc w:val="left"/>
      </w:pPr>
      <w:rPr>
        <w:rFonts w:hint="default"/>
        <w:lang w:val="vi" w:eastAsia="en-US" w:bidi="ar-SA"/>
      </w:rPr>
    </w:lvl>
    <w:lvl w:ilvl="1">
      <w:start w:val="1"/>
      <w:numFmt w:val="decimal"/>
      <w:lvlText w:val="%1.%2"/>
      <w:lvlJc w:val="left"/>
      <w:pPr>
        <w:ind w:left="830" w:hanging="708"/>
        <w:jc w:val="left"/>
      </w:pPr>
      <w:rPr>
        <w:rFonts w:hint="default" w:ascii="Times New Roman" w:hAnsi="Times New Roman" w:eastAsia="Times New Roman" w:cs="Times New Roman"/>
        <w:w w:val="99"/>
        <w:sz w:val="26"/>
        <w:szCs w:val="26"/>
        <w:lang w:val="vi" w:eastAsia="en-US" w:bidi="ar-SA"/>
      </w:rPr>
    </w:lvl>
    <w:lvl w:ilvl="2">
      <w:start w:val="0"/>
      <w:numFmt w:val="bullet"/>
      <w:lvlText w:val="•"/>
      <w:lvlJc w:val="left"/>
      <w:pPr>
        <w:ind w:left="2684" w:hanging="708"/>
      </w:pPr>
      <w:rPr>
        <w:rFonts w:hint="default"/>
        <w:lang w:val="vi" w:eastAsia="en-US" w:bidi="ar-SA"/>
      </w:rPr>
    </w:lvl>
    <w:lvl w:ilvl="3">
      <w:start w:val="0"/>
      <w:numFmt w:val="bullet"/>
      <w:lvlText w:val="•"/>
      <w:lvlJc w:val="left"/>
      <w:pPr>
        <w:ind w:left="3606" w:hanging="708"/>
      </w:pPr>
      <w:rPr>
        <w:rFonts w:hint="default"/>
        <w:lang w:val="vi" w:eastAsia="en-US" w:bidi="ar-SA"/>
      </w:rPr>
    </w:lvl>
    <w:lvl w:ilvl="4">
      <w:start w:val="0"/>
      <w:numFmt w:val="bullet"/>
      <w:lvlText w:val="•"/>
      <w:lvlJc w:val="left"/>
      <w:pPr>
        <w:ind w:left="4528" w:hanging="708"/>
      </w:pPr>
      <w:rPr>
        <w:rFonts w:hint="default"/>
        <w:lang w:val="vi" w:eastAsia="en-US" w:bidi="ar-SA"/>
      </w:rPr>
    </w:lvl>
    <w:lvl w:ilvl="5">
      <w:start w:val="0"/>
      <w:numFmt w:val="bullet"/>
      <w:lvlText w:val="•"/>
      <w:lvlJc w:val="left"/>
      <w:pPr>
        <w:ind w:left="5450" w:hanging="708"/>
      </w:pPr>
      <w:rPr>
        <w:rFonts w:hint="default"/>
        <w:lang w:val="vi" w:eastAsia="en-US" w:bidi="ar-SA"/>
      </w:rPr>
    </w:lvl>
    <w:lvl w:ilvl="6">
      <w:start w:val="0"/>
      <w:numFmt w:val="bullet"/>
      <w:lvlText w:val="•"/>
      <w:lvlJc w:val="left"/>
      <w:pPr>
        <w:ind w:left="6372" w:hanging="708"/>
      </w:pPr>
      <w:rPr>
        <w:rFonts w:hint="default"/>
        <w:lang w:val="vi" w:eastAsia="en-US" w:bidi="ar-SA"/>
      </w:rPr>
    </w:lvl>
    <w:lvl w:ilvl="7">
      <w:start w:val="0"/>
      <w:numFmt w:val="bullet"/>
      <w:lvlText w:val="•"/>
      <w:lvlJc w:val="left"/>
      <w:pPr>
        <w:ind w:left="7294" w:hanging="708"/>
      </w:pPr>
      <w:rPr>
        <w:rFonts w:hint="default"/>
        <w:lang w:val="vi" w:eastAsia="en-US" w:bidi="ar-SA"/>
      </w:rPr>
    </w:lvl>
    <w:lvl w:ilvl="8">
      <w:start w:val="0"/>
      <w:numFmt w:val="bullet"/>
      <w:lvlText w:val="•"/>
      <w:lvlJc w:val="left"/>
      <w:pPr>
        <w:ind w:left="8216" w:hanging="708"/>
      </w:pPr>
      <w:rPr>
        <w:rFonts w:hint="default"/>
        <w:lang w:val="vi" w:eastAsia="en-US" w:bidi="ar-SA"/>
      </w:rPr>
    </w:lvl>
  </w:abstractNum>
  <w:abstractNum w:abstractNumId="1">
    <w:multiLevelType w:val="hybridMultilevel"/>
    <w:lvl w:ilvl="0">
      <w:start w:val="1"/>
      <w:numFmt w:val="decimal"/>
      <w:lvlText w:val="%1"/>
      <w:lvlJc w:val="left"/>
      <w:pPr>
        <w:ind w:left="830" w:hanging="708"/>
        <w:jc w:val="left"/>
      </w:pPr>
      <w:rPr>
        <w:rFonts w:hint="default"/>
        <w:lang w:val="vi" w:eastAsia="en-US" w:bidi="ar-SA"/>
      </w:rPr>
    </w:lvl>
    <w:lvl w:ilvl="1">
      <w:start w:val="1"/>
      <w:numFmt w:val="decimal"/>
      <w:lvlText w:val="%1.%2"/>
      <w:lvlJc w:val="left"/>
      <w:pPr>
        <w:ind w:left="830" w:hanging="708"/>
        <w:jc w:val="left"/>
      </w:pPr>
      <w:rPr>
        <w:rFonts w:hint="default" w:ascii="Times New Roman" w:hAnsi="Times New Roman" w:eastAsia="Times New Roman" w:cs="Times New Roman"/>
        <w:w w:val="99"/>
        <w:sz w:val="26"/>
        <w:szCs w:val="26"/>
        <w:lang w:val="vi" w:eastAsia="en-US" w:bidi="ar-SA"/>
      </w:rPr>
    </w:lvl>
    <w:lvl w:ilvl="2">
      <w:start w:val="0"/>
      <w:numFmt w:val="bullet"/>
      <w:lvlText w:val="•"/>
      <w:lvlJc w:val="left"/>
      <w:pPr>
        <w:ind w:left="2684" w:hanging="708"/>
      </w:pPr>
      <w:rPr>
        <w:rFonts w:hint="default"/>
        <w:lang w:val="vi" w:eastAsia="en-US" w:bidi="ar-SA"/>
      </w:rPr>
    </w:lvl>
    <w:lvl w:ilvl="3">
      <w:start w:val="0"/>
      <w:numFmt w:val="bullet"/>
      <w:lvlText w:val="•"/>
      <w:lvlJc w:val="left"/>
      <w:pPr>
        <w:ind w:left="3606" w:hanging="708"/>
      </w:pPr>
      <w:rPr>
        <w:rFonts w:hint="default"/>
        <w:lang w:val="vi" w:eastAsia="en-US" w:bidi="ar-SA"/>
      </w:rPr>
    </w:lvl>
    <w:lvl w:ilvl="4">
      <w:start w:val="0"/>
      <w:numFmt w:val="bullet"/>
      <w:lvlText w:val="•"/>
      <w:lvlJc w:val="left"/>
      <w:pPr>
        <w:ind w:left="4528" w:hanging="708"/>
      </w:pPr>
      <w:rPr>
        <w:rFonts w:hint="default"/>
        <w:lang w:val="vi" w:eastAsia="en-US" w:bidi="ar-SA"/>
      </w:rPr>
    </w:lvl>
    <w:lvl w:ilvl="5">
      <w:start w:val="0"/>
      <w:numFmt w:val="bullet"/>
      <w:lvlText w:val="•"/>
      <w:lvlJc w:val="left"/>
      <w:pPr>
        <w:ind w:left="5450" w:hanging="708"/>
      </w:pPr>
      <w:rPr>
        <w:rFonts w:hint="default"/>
        <w:lang w:val="vi" w:eastAsia="en-US" w:bidi="ar-SA"/>
      </w:rPr>
    </w:lvl>
    <w:lvl w:ilvl="6">
      <w:start w:val="0"/>
      <w:numFmt w:val="bullet"/>
      <w:lvlText w:val="•"/>
      <w:lvlJc w:val="left"/>
      <w:pPr>
        <w:ind w:left="6372" w:hanging="708"/>
      </w:pPr>
      <w:rPr>
        <w:rFonts w:hint="default"/>
        <w:lang w:val="vi" w:eastAsia="en-US" w:bidi="ar-SA"/>
      </w:rPr>
    </w:lvl>
    <w:lvl w:ilvl="7">
      <w:start w:val="0"/>
      <w:numFmt w:val="bullet"/>
      <w:lvlText w:val="•"/>
      <w:lvlJc w:val="left"/>
      <w:pPr>
        <w:ind w:left="7294" w:hanging="708"/>
      </w:pPr>
      <w:rPr>
        <w:rFonts w:hint="default"/>
        <w:lang w:val="vi" w:eastAsia="en-US" w:bidi="ar-SA"/>
      </w:rPr>
    </w:lvl>
    <w:lvl w:ilvl="8">
      <w:start w:val="0"/>
      <w:numFmt w:val="bullet"/>
      <w:lvlText w:val="•"/>
      <w:lvlJc w:val="left"/>
      <w:pPr>
        <w:ind w:left="8216" w:hanging="708"/>
      </w:pPr>
      <w:rPr>
        <w:rFonts w:hint="default"/>
        <w:lang w:val="vi" w:eastAsia="en-US" w:bidi="ar-SA"/>
      </w:rPr>
    </w:lvl>
  </w:abstractNum>
  <w:abstractNum w:abstractNumId="0">
    <w:multiLevelType w:val="hybridMultilevel"/>
    <w:lvl w:ilvl="0">
      <w:start w:val="0"/>
      <w:numFmt w:val="bullet"/>
      <w:lvlText w:val="-"/>
      <w:lvlJc w:val="left"/>
      <w:pPr>
        <w:ind w:left="482" w:hanging="360"/>
      </w:pPr>
      <w:rPr>
        <w:rFonts w:hint="default" w:ascii="Times New Roman" w:hAnsi="Times New Roman" w:eastAsia="Times New Roman" w:cs="Times New Roman"/>
        <w:w w:val="99"/>
        <w:sz w:val="26"/>
        <w:szCs w:val="26"/>
        <w:lang w:val="vi" w:eastAsia="en-US" w:bidi="ar-SA"/>
      </w:rPr>
    </w:lvl>
    <w:lvl w:ilvl="1">
      <w:start w:val="0"/>
      <w:numFmt w:val="bullet"/>
      <w:lvlText w:val="•"/>
      <w:lvlJc w:val="left"/>
      <w:pPr>
        <w:ind w:left="1438" w:hanging="360"/>
      </w:pPr>
      <w:rPr>
        <w:rFonts w:hint="default"/>
        <w:lang w:val="vi" w:eastAsia="en-US" w:bidi="ar-SA"/>
      </w:rPr>
    </w:lvl>
    <w:lvl w:ilvl="2">
      <w:start w:val="0"/>
      <w:numFmt w:val="bullet"/>
      <w:lvlText w:val="•"/>
      <w:lvlJc w:val="left"/>
      <w:pPr>
        <w:ind w:left="2396" w:hanging="360"/>
      </w:pPr>
      <w:rPr>
        <w:rFonts w:hint="default"/>
        <w:lang w:val="vi" w:eastAsia="en-US" w:bidi="ar-SA"/>
      </w:rPr>
    </w:lvl>
    <w:lvl w:ilvl="3">
      <w:start w:val="0"/>
      <w:numFmt w:val="bullet"/>
      <w:lvlText w:val="•"/>
      <w:lvlJc w:val="left"/>
      <w:pPr>
        <w:ind w:left="3354" w:hanging="360"/>
      </w:pPr>
      <w:rPr>
        <w:rFonts w:hint="default"/>
        <w:lang w:val="vi" w:eastAsia="en-US" w:bidi="ar-SA"/>
      </w:rPr>
    </w:lvl>
    <w:lvl w:ilvl="4">
      <w:start w:val="0"/>
      <w:numFmt w:val="bullet"/>
      <w:lvlText w:val="•"/>
      <w:lvlJc w:val="left"/>
      <w:pPr>
        <w:ind w:left="4312" w:hanging="360"/>
      </w:pPr>
      <w:rPr>
        <w:rFonts w:hint="default"/>
        <w:lang w:val="vi" w:eastAsia="en-US" w:bidi="ar-SA"/>
      </w:rPr>
    </w:lvl>
    <w:lvl w:ilvl="5">
      <w:start w:val="0"/>
      <w:numFmt w:val="bullet"/>
      <w:lvlText w:val="•"/>
      <w:lvlJc w:val="left"/>
      <w:pPr>
        <w:ind w:left="5270" w:hanging="360"/>
      </w:pPr>
      <w:rPr>
        <w:rFonts w:hint="default"/>
        <w:lang w:val="vi" w:eastAsia="en-US" w:bidi="ar-SA"/>
      </w:rPr>
    </w:lvl>
    <w:lvl w:ilvl="6">
      <w:start w:val="0"/>
      <w:numFmt w:val="bullet"/>
      <w:lvlText w:val="•"/>
      <w:lvlJc w:val="left"/>
      <w:pPr>
        <w:ind w:left="6228" w:hanging="360"/>
      </w:pPr>
      <w:rPr>
        <w:rFonts w:hint="default"/>
        <w:lang w:val="vi" w:eastAsia="en-US" w:bidi="ar-SA"/>
      </w:rPr>
    </w:lvl>
    <w:lvl w:ilvl="7">
      <w:start w:val="0"/>
      <w:numFmt w:val="bullet"/>
      <w:lvlText w:val="•"/>
      <w:lvlJc w:val="left"/>
      <w:pPr>
        <w:ind w:left="7186" w:hanging="360"/>
      </w:pPr>
      <w:rPr>
        <w:rFonts w:hint="default"/>
        <w:lang w:val="vi" w:eastAsia="en-US" w:bidi="ar-SA"/>
      </w:rPr>
    </w:lvl>
    <w:lvl w:ilvl="8">
      <w:start w:val="0"/>
      <w:numFmt w:val="bullet"/>
      <w:lvlText w:val="•"/>
      <w:lvlJc w:val="left"/>
      <w:pPr>
        <w:ind w:left="8144" w:hanging="360"/>
      </w:pPr>
      <w:rPr>
        <w:rFonts w:hint="default"/>
        <w:lang w:val="vi"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ind w:left="830" w:hanging="708"/>
      <w:jc w:val="both"/>
    </w:pPr>
    <w:rPr>
      <w:rFonts w:ascii="Times New Roman" w:hAnsi="Times New Roman" w:eastAsia="Times New Roman" w:cs="Times New Roman"/>
      <w:sz w:val="26"/>
      <w:szCs w:val="26"/>
      <w:lang w:val="vi" w:eastAsia="en-US" w:bidi="ar-SA"/>
    </w:rPr>
  </w:style>
  <w:style w:styleId="Heading1" w:type="paragraph">
    <w:name w:val="Heading 1"/>
    <w:basedOn w:val="Normal"/>
    <w:uiPriority w:val="1"/>
    <w:qFormat/>
    <w:pPr>
      <w:ind w:left="122"/>
      <w:jc w:val="both"/>
      <w:outlineLvl w:val="1"/>
    </w:pPr>
    <w:rPr>
      <w:rFonts w:ascii="Times New Roman" w:hAnsi="Times New Roman" w:eastAsia="Times New Roman" w:cs="Times New Roman"/>
      <w:b/>
      <w:bCs/>
      <w:sz w:val="26"/>
      <w:szCs w:val="26"/>
      <w:lang w:val="vi" w:eastAsia="en-US" w:bidi="ar-SA"/>
    </w:rPr>
  </w:style>
  <w:style w:styleId="ListParagraph" w:type="paragraph">
    <w:name w:val="List Paragraph"/>
    <w:basedOn w:val="Normal"/>
    <w:uiPriority w:val="1"/>
    <w:qFormat/>
    <w:pPr>
      <w:ind w:left="830" w:hanging="708"/>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dc:title>CỘNG HOÀ XÃ HỘI CHỦ NGHĨA VIỆT NAM</dc:title>
  <dcterms:created xsi:type="dcterms:W3CDTF">2023-10-31T08:29:17Z</dcterms:created>
  <dcterms:modified xsi:type="dcterms:W3CDTF">2023-10-31T08:29:17Z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2023-10-26T00:00:00Z</vt:filetime>
  </property>
  <property fmtid="{D5CDD505-2E9C-101B-9397-08002B2CF9AE}" pid="3" name="Creator">
    <vt:lpwstr>Microsoft® Word 2019</vt:lpwstr>
  </property>
  <property fmtid="{D5CDD505-2E9C-101B-9397-08002B2CF9AE}" pid="4" name="LastSaved">
    <vt:filetime>2023-10-31T00:00:00Z</vt:filetime>
  </property>
</Properties>
</file>