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GAUTAM MULCHANDANI</w:t>
      </w:r>
    </w:p>
    <w:p>
      <w:pPr>
        <w:spacing w:after="70"/>
      </w:pPr>
      <w:r>
        <w:rPr>
          <w:sz w:val="20"/>
          <w:szCs w:val="20"/>
        </w:rPr>
        <w:t xml:space="preserve">gautammulchandani22@gmail.com | 312-404-3408 | linkedin.com/in/gautam-mulchandani</w:t>
      </w:r>
    </w:p>
    <w:p>
      <w:pPr>
        <w:pBdr>
          <w:bottom w:val="single" w:color="000000" w:sz="4" w:space="1"/>
        </w:pBdr>
        <w:spacing w:after="60" w:before="160"/>
      </w:pPr>
      <w:r>
        <w:rPr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70"/>
      </w:pPr>
      <w:r>
        <w:rPr>
          <w:sz w:val="20"/>
          <w:szCs w:val="20"/>
        </w:rPr>
        <w:t xml:space="preserve">MS Finance candidate with hands-on experience in financial modeling, valuation, and investment analysis. Built DCF, comparable company, and scenario-based models, translating complex analysis into clear, decision-ready materials. Strong technical foundation in Excel and Python, with coursework and certifications in financial modeling and investment banking fundamentals.</w:t>
      </w:r>
    </w:p>
    <w:p>
      <w:pPr>
        <w:pBdr>
          <w:bottom w:val="single" w:color="000000" w:sz="4" w:space="1"/>
        </w:pBdr>
        <w:spacing w:after="60" w:before="160"/>
      </w:pPr>
      <w:r>
        <w:rPr>
          <w:b/>
          <w:bCs/>
          <w:color w:val="000000"/>
          <w:sz w:val="22"/>
          <w:szCs w:val="22"/>
        </w:rPr>
        <w:t xml:space="preserve">EDUCATION</w:t>
      </w:r>
    </w:p>
    <w:p>
      <w:pPr>
        <w:spacing w:after="70"/>
      </w:pPr>
      <w:r>
        <w:rPr>
          <w:b/>
          <w:bCs/>
          <w:sz w:val="20"/>
          <w:szCs w:val="20"/>
        </w:rPr>
        <w:t xml:space="preserve">Master of Science in Finance, DePaul University — December 2026</w:t>
      </w:r>
    </w:p>
    <w:p>
      <w:pPr>
        <w:spacing w:after="70"/>
      </w:pPr>
      <w:r>
        <w:rPr>
          <w:sz w:val="20"/>
          <w:szCs w:val="20"/>
        </w:rPr>
        <w:t xml:space="preserve">Merit Scholarship: $12,800. Relevant Coursework: Financial Modeling, Corporate Finance, Business Analytics, Derivatives, NLP in Finance</w:t>
      </w:r>
    </w:p>
    <w:p>
      <w:pPr>
        <w:spacing w:after="70"/>
      </w:pPr>
      <w:r>
        <w:rPr>
          <w:b/>
          <w:bCs/>
          <w:sz w:val="20"/>
          <w:szCs w:val="20"/>
        </w:rPr>
        <w:t xml:space="preserve">Bachelor of Commerce in Financial Markets, Jai Hind College — 2023</w:t>
      </w:r>
    </w:p>
    <w:p>
      <w:pPr>
        <w:pBdr>
          <w:bottom w:val="single" w:color="000000" w:sz="4" w:space="1"/>
        </w:pBdr>
        <w:spacing w:after="60" w:before="160"/>
      </w:pPr>
      <w:r>
        <w:rPr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10" w:before="100"/>
      </w:pPr>
      <w:r>
        <w:rPr>
          <w:b/>
          <w:bCs/>
          <w:sz w:val="20"/>
          <w:szCs w:val="20"/>
        </w:rPr>
        <w:t xml:space="preserve">Funding Strategy Intern</w:t>
      </w:r>
    </w:p>
    <w:p>
      <w:pPr>
        <w:spacing w:after="40"/>
      </w:pPr>
      <w:r>
        <w:rPr>
          <w:i/>
          <w:iCs/>
          <w:sz w:val="20"/>
          <w:szCs w:val="20"/>
        </w:rPr>
        <w:t xml:space="preserve">Wild City (Remote) | May 2026 – Present</w:t>
      </w:r>
    </w:p>
    <w:p>
      <w:pPr>
        <w:spacing w:after="40"/>
        <w:ind w:left="200"/>
      </w:pPr>
      <w:r>
        <w:rPr>
          <w:sz w:val="20"/>
          <w:szCs w:val="20"/>
        </w:rPr>
        <w:t xml:space="preserve">-  Support financial planning and forecasting across marketing and revenue-generating business lines, analyzing revenue and expense trends to identify opportunities and risks.</w:t>
      </w:r>
    </w:p>
    <w:p>
      <w:pPr>
        <w:spacing w:after="40"/>
        <w:ind w:left="200"/>
      </w:pPr>
      <w:r>
        <w:rPr>
          <w:sz w:val="20"/>
          <w:szCs w:val="20"/>
        </w:rPr>
        <w:t xml:space="preserve">-  Prepare structured financial reports and ad-hoc analyses at the request of leadership, synthesizing findings and variance commentary into clear, concise deliverables for corporate management and executive stakeholders.</w:t>
      </w:r>
    </w:p>
    <w:p>
      <w:pPr>
        <w:spacing w:after="10" w:before="100"/>
      </w:pPr>
      <w:r>
        <w:rPr>
          <w:b/>
          <w:bCs/>
          <w:sz w:val="20"/>
          <w:szCs w:val="20"/>
        </w:rPr>
        <w:t xml:space="preserve">Junior Portfolio &amp; Investment Analyst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Aarth Associates | July 2024 – December 2024</w:t>
      </w:r>
    </w:p>
    <w:p>
      <w:pPr>
        <w:spacing w:after="40"/>
        <w:ind w:left="200"/>
      </w:pPr>
      <w:r>
        <w:rPr>
          <w:sz w:val="20"/>
          <w:szCs w:val="20"/>
        </w:rPr>
        <w:t xml:space="preserve">-  Engaged cross-functionally with business partners across 50+ active opportunities, reviewing financial statements and performance data to support investment and planning decisions.</w:t>
      </w:r>
    </w:p>
    <w:p>
      <w:pPr>
        <w:spacing w:after="40"/>
        <w:ind w:left="200"/>
      </w:pPr>
      <w:r>
        <w:rPr>
          <w:sz w:val="20"/>
          <w:szCs w:val="20"/>
        </w:rPr>
        <w:t xml:space="preserve">-  Built repeatable financial planning and reporting workflows, reducing analytical errors by 10-15% through systematic process improvement; prepared quarterly performance analyses and variance summaries for senior leadership.</w:t>
      </w:r>
    </w:p>
    <w:p>
      <w:pPr>
        <w:spacing w:after="10" w:before="100"/>
      </w:pPr>
      <w:r>
        <w:rPr>
          <w:b/>
          <w:bCs/>
          <w:sz w:val="20"/>
          <w:szCs w:val="20"/>
        </w:rPr>
        <w:t xml:space="preserve">Office &amp; Finance Manager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AONE Sales | May 2023 – May 2024</w:t>
      </w:r>
    </w:p>
    <w:p>
      <w:pPr>
        <w:spacing w:after="40"/>
        <w:ind w:left="200"/>
      </w:pPr>
      <w:r>
        <w:rPr>
          <w:sz w:val="20"/>
          <w:szCs w:val="20"/>
        </w:rPr>
        <w:t xml:space="preserve">-  Partnered with business leadership to analyze operating performance and expense structure, developing data-driven recommendations that improved profitability across a company with $6M+ USD in annual revenue.</w:t>
      </w:r>
    </w:p>
    <w:p>
      <w:pPr>
        <w:spacing w:after="40"/>
        <w:ind w:left="200"/>
      </w:pPr>
      <w:r>
        <w:rPr>
          <w:sz w:val="20"/>
          <w:szCs w:val="20"/>
        </w:rPr>
        <w:t xml:space="preserve">-  Built advanced Excel-based Annual Operating Plans, upside/base/downside scenario analyses, and KPI dashboards, supporting 5-year long-range and annual planning.</w:t>
      </w:r>
    </w:p>
    <w:p>
      <w:pPr>
        <w:spacing w:after="40"/>
        <w:ind w:left="200"/>
      </w:pPr>
      <w:r>
        <w:rPr>
          <w:sz w:val="20"/>
          <w:szCs w:val="20"/>
        </w:rPr>
        <w:t xml:space="preserve">-  Prepared presentation decks and financial performance summaries, communicating expense trends, variance drivers, and business outcomes to leadership.</w:t>
      </w:r>
    </w:p>
    <w:p>
      <w:pPr>
        <w:spacing w:after="10" w:before="100"/>
      </w:pPr>
      <w:r>
        <w:rPr>
          <w:b/>
          <w:bCs/>
          <w:sz w:val="20"/>
          <w:szCs w:val="20"/>
        </w:rPr>
        <w:t xml:space="preserve">Project Manager Intern</w:t>
      </w:r>
    </w:p>
    <w:p>
      <w:pPr>
        <w:spacing w:after="40"/>
      </w:pPr>
      <w:r>
        <w:rPr>
          <w:i/>
          <w:iCs/>
          <w:sz w:val="20"/>
          <w:szCs w:val="20"/>
        </w:rPr>
        <w:t xml:space="preserve">Placement Experts USA (Remote) | October 2021 – October 2022</w:t>
      </w:r>
    </w:p>
    <w:p>
      <w:pPr>
        <w:spacing w:after="40"/>
        <w:ind w:left="200"/>
      </w:pPr>
      <w:r>
        <w:rPr>
          <w:sz w:val="20"/>
          <w:szCs w:val="20"/>
        </w:rPr>
        <w:t xml:space="preserve">-  Collaborated virtually with cross-functional teams across time zones, managing deal-related workflows independently and delivering structured analytical reports under shifting priorities.</w:t>
      </w:r>
    </w:p>
    <w:p>
      <w:pPr>
        <w:pBdr>
          <w:bottom w:val="single" w:color="000000" w:sz="4" w:space="1"/>
        </w:pBdr>
        <w:spacing w:after="60" w:before="160"/>
      </w:pPr>
      <w:r>
        <w:rPr>
          <w:b/>
          <w:bCs/>
          <w:color w:val="000000"/>
          <w:sz w:val="22"/>
          <w:szCs w:val="22"/>
        </w:rPr>
        <w:t xml:space="preserve">FINANCE PROJECTS</w:t>
      </w:r>
    </w:p>
    <w:p>
      <w:pPr>
        <w:spacing w:after="70"/>
      </w:pPr>
      <w:r>
        <w:rPr>
          <w:b/>
          <w:bCs/>
          <w:sz w:val="20"/>
          <w:szCs w:val="20"/>
        </w:rPr>
        <w:t xml:space="preserve">Monmouth Inc. M&amp;A Acquisition Analysis: </w:t>
      </w:r>
      <w:r>
        <w:rPr>
          <w:sz w:val="20"/>
          <w:szCs w:val="20"/>
        </w:rPr>
        <w:t xml:space="preserve">Built a full valuation and deal analysis including DCF, comparable company analysis, WACC, and multi-scenario sensitivity modeling, with structured variance commentary and an executive-ready financial memo for internal review.</w:t>
      </w:r>
    </w:p>
    <w:p>
      <w:pPr>
        <w:spacing w:after="70"/>
      </w:pPr>
      <w:r>
        <w:rPr>
          <w:b/>
          <w:bCs/>
          <w:sz w:val="20"/>
          <w:szCs w:val="20"/>
        </w:rPr>
        <w:t xml:space="preserve">Coca-Cola vs. PepsiCo Competitive Benchmarking: </w:t>
      </w:r>
      <w:r>
        <w:rPr>
          <w:sz w:val="20"/>
          <w:szCs w:val="20"/>
        </w:rPr>
        <w:t xml:space="preserve">Conducted 5-year trend analysis and long-range plan benchmarking across profitability, efficiency, leverage, and cost ratios, presented as structured financial reporting for management review.</w:t>
      </w:r>
    </w:p>
    <w:p>
      <w:pPr>
        <w:spacing w:after="70"/>
      </w:pPr>
      <w:r>
        <w:rPr>
          <w:b/>
          <w:bCs/>
          <w:sz w:val="20"/>
          <w:szCs w:val="20"/>
        </w:rPr>
        <w:t xml:space="preserve">Fama-French Three-Factor Model: </w:t>
      </w:r>
      <w:r>
        <w:rPr>
          <w:sz w:val="20"/>
          <w:szCs w:val="20"/>
        </w:rPr>
        <w:t xml:space="preserve">Ran an OLS regression in Python (statsmodels) analyzing financial performance and factor exposures, translating findings into analytical commentary to support investment assumptions.</w:t>
      </w:r>
    </w:p>
    <w:p>
      <w:pPr>
        <w:spacing w:after="70"/>
      </w:pPr>
      <w:r>
        <w:rPr>
          <w:b/>
          <w:bCs/>
          <w:sz w:val="20"/>
          <w:szCs w:val="20"/>
        </w:rPr>
        <w:t xml:space="preserve">FY2027 FP&amp;A Budget &amp; Forecast Model: </w:t>
      </w:r>
      <w:r>
        <w:rPr>
          <w:sz w:val="20"/>
          <w:szCs w:val="20"/>
        </w:rPr>
        <w:t xml:space="preserve">Built a driver-based budget and forecast model in Python and Excel, including budget-vs-actual variance analysis, three-scenario planning, and a Monte Carlo simulation of EBITDA risk.</w:t>
      </w:r>
    </w:p>
    <w:p>
      <w:pPr>
        <w:pBdr>
          <w:bottom w:val="single" w:color="000000" w:sz="4" w:space="1"/>
        </w:pBdr>
        <w:spacing w:after="60" w:before="160"/>
      </w:pPr>
      <w:r>
        <w:rPr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70"/>
      </w:pPr>
      <w:r>
        <w:rPr>
          <w:b/>
          <w:bCs/>
          <w:sz w:val="20"/>
          <w:szCs w:val="20"/>
        </w:rPr>
        <w:t xml:space="preserve">Financial Modeling &amp; Valuation: </w:t>
      </w:r>
      <w:r>
        <w:rPr>
          <w:sz w:val="20"/>
          <w:szCs w:val="20"/>
        </w:rPr>
        <w:t xml:space="preserve">DCF, LBO, comparable company analysis, precedent transactions, WACC, Monte Carlo simulation, scenario and sensitivity analysis, factor models</w:t>
      </w:r>
    </w:p>
    <w:p>
      <w:pPr>
        <w:spacing w:after="70"/>
      </w:pPr>
      <w:r>
        <w:rPr>
          <w:b/>
          <w:bCs/>
          <w:sz w:val="20"/>
          <w:szCs w:val="20"/>
        </w:rPr>
        <w:t xml:space="preserve">Software &amp; Tools: </w:t>
      </w:r>
      <w:r>
        <w:rPr>
          <w:sz w:val="20"/>
          <w:szCs w:val="20"/>
        </w:rPr>
        <w:t xml:space="preserve">Advanced Excel (Pivot Tables, VLOOKUP/XLOOKUP, Solver), PowerPoint, Word, Python (pandas, NumPy, statsmodels), SQL, Tableau, Power BI, Bloomberg Terminal, Capital IQ, Salesforce</w:t>
      </w:r>
    </w:p>
    <w:p>
      <w:pPr>
        <w:spacing w:after="70"/>
      </w:pPr>
      <w:r>
        <w:rPr>
          <w:b/>
          <w:bCs/>
          <w:sz w:val="20"/>
          <w:szCs w:val="20"/>
        </w:rPr>
        <w:t xml:space="preserve">AI Tools: </w:t>
      </w:r>
      <w:r>
        <w:rPr>
          <w:sz w:val="20"/>
          <w:szCs w:val="20"/>
        </w:rPr>
        <w:t xml:space="preserve">Claude, ChatGPT (AI-assisted financial modeling &amp; analysis)</w:t>
      </w:r>
    </w:p>
    <w:p>
      <w:pPr>
        <w:pBdr>
          <w:bottom w:val="single" w:color="000000" w:sz="4" w:space="1"/>
        </w:pBd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CERTIFICATIONS &amp; LEADERSHIP</w:t>
      </w:r>
    </w:p>
    <w:p>
      <w:pPr>
        <w:spacing w:after="70"/>
      </w:pPr>
      <w:r>
        <w:rPr>
          <w:sz w:val="20"/>
          <w:szCs w:val="20"/>
        </w:rPr>
        <w:t xml:space="preserve">Certifications: Bloomberg Market Concepts (November 2025); Goldman Sachs Operations Job Simulation (January 2026); JPMorganChase Investment Banking Job Simulation (January 2026); SIE Exam (In Progress)</w:t>
      </w:r>
    </w:p>
    <w:p>
      <w:pPr>
        <w:spacing w:after="70"/>
      </w:pPr>
      <w:r>
        <w:rPr>
          <w:sz w:val="20"/>
          <w:szCs w:val="20"/>
        </w:rPr>
        <w:t xml:space="preserve">Leadership: Vice President of Social Strategy, Kellstadt Finance Association; Asian American Business Summit (Nov 2025)</w:t>
      </w:r>
    </w:p>
    <w:sectPr>
      <w:pgSz w:w="11906" w:h="16838" w:orient="portrait"/>
      <w:pgMar w:top="150" w:right="720" w:bottom="1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2026-08-05T18:32:33.296Z</dcterms:created>
  <dcterms:modified xsi:type="dcterms:W3CDTF">2026-08-05T18:32:33.296Z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