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Care Sharing Report</w:t>
      </w:r>
    </w:p>
    <w:p>
      <w:r>
        <w:t>Care coordination teams may prepare a de-identified discharge summary for an</w:t>
        <w:br/>
        <w:t>approved external vendor only after compliance approval.</w:t>
      </w:r>
    </w:p>
    <w:p>
      <w:r>
        <w:t>The report contains synthetic sensitive fields: Patient Jane Example,</w:t>
        <w:br/>
        <w:t>jane.example@example.invalid, +1-555-0100, MRN MRN-000-EXAMPLE, insurance ID</w:t>
        <w:br/>
        <w:t>INS-000-EXAMPLE, and diagnosis asthma.</w:t>
      </w:r>
    </w:p>
    <w:p>
      <w:r>
        <w:t>Before vendor sharing, teams must redact patient names, phone numbers, email</w:t>
        <w:br/>
        <w:t>addresses, medical record numbers, insurance identifiers, and diagnosis details.</w:t>
      </w:r>
    </w:p>
    <w:p>
      <w:r>
        <w:t>The approved model gateway must validate structured responses, keep audit</w:t>
        <w:br/>
        <w:t>traces, cite retrieved evidence, and avoid sending restricted fields to public</w:t>
        <w:br/>
        <w:t>models.</w:t>
      </w:r>
    </w:p>
    <w:p>
      <w:r>
        <w:t>Compliance officers may review full synthetic reports. Nurses and doctors may</w:t>
        <w:br/>
        <w:t>use clinical guidance. External vendors may receive only approved public or</w:t>
        <w:br/>
        <w:t>de-identified summaries.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