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1EBB8" w14:textId="77777777" w:rsidR="00385E82" w:rsidRDefault="00385E82" w:rsidP="00D65EE7"/>
    <w:p w14:paraId="7F3815FF" w14:textId="77777777" w:rsidR="00385E82" w:rsidRDefault="00385E82" w:rsidP="00D65EE7"/>
    <w:p w14:paraId="09FF3FC1" w14:textId="77777777" w:rsidR="00385E82" w:rsidRDefault="00385E82" w:rsidP="00D65EE7"/>
    <w:p w14:paraId="75BBAA83" w14:textId="77777777" w:rsidR="00385E82" w:rsidRDefault="00385E82" w:rsidP="00D65EE7"/>
    <w:p w14:paraId="1F4225E1" w14:textId="77777777" w:rsidR="00385E82" w:rsidRDefault="00385E82" w:rsidP="00D65EE7"/>
    <w:p w14:paraId="5CE57B31" w14:textId="77777777" w:rsidR="00385E82" w:rsidRDefault="00385E82" w:rsidP="00D65EE7"/>
    <w:p w14:paraId="4210A751" w14:textId="77777777" w:rsidR="00A759B3" w:rsidRDefault="00A759B3" w:rsidP="00A759B3">
      <w:pPr>
        <w:jc w:val="center"/>
      </w:pPr>
    </w:p>
    <w:p w14:paraId="5F7F3B04" w14:textId="070E138C" w:rsidR="008232B1" w:rsidRPr="008232B1" w:rsidRDefault="00385E82" w:rsidP="00A759B3">
      <w:pPr>
        <w:jc w:val="center"/>
      </w:pPr>
      <w:r>
        <w:rPr>
          <w:noProof/>
        </w:rPr>
        <w:drawing>
          <wp:inline distT="0" distB="0" distL="0" distR="0" wp14:anchorId="6533012D" wp14:editId="5D5D41DB">
            <wp:extent cx="3098479" cy="3098479"/>
            <wp:effectExtent l="0" t="0" r="0" b="6985"/>
            <wp:docPr id="1991105939" name="Picture 1" descr="A white circle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05939" name="Picture 1" descr="A white circle with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124" cy="310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D170" w14:textId="77777777" w:rsidR="00385E82" w:rsidRDefault="00385E82" w:rsidP="00A759B3">
      <w:pPr>
        <w:jc w:val="center"/>
      </w:pPr>
    </w:p>
    <w:p w14:paraId="15DE4DB3" w14:textId="51D86238" w:rsidR="00490DAF" w:rsidRPr="00A759B3" w:rsidRDefault="008232B1" w:rsidP="00A759B3">
      <w:pPr>
        <w:jc w:val="center"/>
        <w:rPr>
          <w:b/>
          <w:bCs/>
          <w:sz w:val="44"/>
          <w:szCs w:val="44"/>
        </w:rPr>
      </w:pPr>
      <w:r w:rsidRPr="00A759B3">
        <w:rPr>
          <w:b/>
          <w:bCs/>
          <w:sz w:val="44"/>
          <w:szCs w:val="44"/>
        </w:rPr>
        <w:t>Ark Robotics</w:t>
      </w:r>
    </w:p>
    <w:p w14:paraId="0E16622E" w14:textId="2B51B411" w:rsidR="008232B1" w:rsidRDefault="008232B1" w:rsidP="00A759B3">
      <w:pPr>
        <w:jc w:val="center"/>
      </w:pPr>
      <w:r>
        <w:t>Gidon Gautel</w:t>
      </w:r>
    </w:p>
    <w:p w14:paraId="551F6350" w14:textId="70DEDB1F" w:rsidR="008232B1" w:rsidRDefault="008232B1" w:rsidP="00A759B3">
      <w:pPr>
        <w:jc w:val="center"/>
      </w:pPr>
      <w:r>
        <w:t>Skanda Nadig</w:t>
      </w:r>
    </w:p>
    <w:p w14:paraId="1A2770FC" w14:textId="5232650A" w:rsidR="008232B1" w:rsidRPr="008232B1" w:rsidRDefault="008232B1" w:rsidP="00A759B3">
      <w:pPr>
        <w:jc w:val="center"/>
      </w:pPr>
      <w:r w:rsidRPr="008232B1">
        <w:t>Gourav Mohanan</w:t>
      </w:r>
    </w:p>
    <w:p w14:paraId="282C66F6" w14:textId="40213E93" w:rsidR="008232B1" w:rsidRDefault="008232B1" w:rsidP="00A759B3">
      <w:pPr>
        <w:jc w:val="center"/>
      </w:pPr>
      <w:r>
        <w:t>Yunhao Cao</w:t>
      </w:r>
    </w:p>
    <w:p w14:paraId="566A5EB3" w14:textId="77777777" w:rsidR="008232B1" w:rsidRDefault="008232B1" w:rsidP="00D65EE7">
      <w:r>
        <w:br w:type="page"/>
      </w:r>
    </w:p>
    <w:p w14:paraId="64E4FF41" w14:textId="2AECD997" w:rsidR="008232B1" w:rsidRPr="005A63C1" w:rsidRDefault="00385E82" w:rsidP="005A63C1">
      <w:pPr>
        <w:pStyle w:val="Heading1"/>
      </w:pPr>
      <w:r w:rsidRPr="005A63C1">
        <w:lastRenderedPageBreak/>
        <w:t>Introduction and Background</w:t>
      </w:r>
    </w:p>
    <w:p w14:paraId="3FC0AC74" w14:textId="2E127F94" w:rsidR="00CB7522" w:rsidRPr="00D65EE7" w:rsidRDefault="00182BCA" w:rsidP="00D65EE7">
      <w:r w:rsidRPr="00D65EE7">
        <w:t xml:space="preserve">This report details the start-up thesis and technical background of Ark Robotics (AR). At its core, AR is a company focused on autonomous inspection of crewed space stations and other high-value, high-risk space assets. We provide this service through a sensor-equipped </w:t>
      </w:r>
      <w:r w:rsidR="0077074D" w:rsidRPr="00D65EE7">
        <w:t>C</w:t>
      </w:r>
      <w:r w:rsidRPr="00D65EE7">
        <w:t>ube</w:t>
      </w:r>
      <w:r w:rsidR="0077074D" w:rsidRPr="00D65EE7">
        <w:t>S</w:t>
      </w:r>
      <w:r w:rsidRPr="00D65EE7">
        <w:t xml:space="preserve">at capable of autonomously navigating around a space structure, ensuring full sensor-coverage at acceptable fuel cost. We use nitrogen cold-gas thrusters to navigate our spacecraft, a commodity readily available and frequently resupplied to any crewed space station. </w:t>
      </w:r>
    </w:p>
    <w:p w14:paraId="2BEF7D25" w14:textId="1F171A74" w:rsidR="00182BCA" w:rsidRDefault="00CB7522" w:rsidP="00D65EE7">
      <w:r w:rsidRPr="00D65EE7">
        <w:t xml:space="preserve">The key motivation for this service is the current exorbitant operational cost of space station inspection and monitoring. </w:t>
      </w:r>
      <w:r w:rsidRPr="00D65EE7">
        <w:t>Astronauts currently spend between 40 and 140 hours per year conducting extravehicular activity (EVAs) on the International Space Station (ISS). The vast majority of</w:t>
      </w:r>
      <w:r w:rsidRPr="00D65EE7">
        <w:t xml:space="preserve"> these</w:t>
      </w:r>
      <w:r w:rsidRPr="00D65EE7">
        <w:t xml:space="preserve"> hours spent are for inspection and servicing purposes, detracting from value-added activities such as conducting science experiments. With an amortized cost of astronaut time of $100,00 per hour, and 2 or more astronauts conducting each EVA, this results in between $8m to $28m of direct cost spent on non-value-added activities per year, </w:t>
      </w:r>
      <w:r w:rsidR="00010AC4" w:rsidRPr="00D65EE7">
        <w:t>and an estimated $20m to $50m in total annual cost when accounting for opportunity cost</w:t>
      </w:r>
      <w:r w:rsidRPr="00D65EE7">
        <w:t xml:space="preserve"> </w:t>
      </w:r>
      <w:r w:rsidR="00010AC4" w:rsidRPr="00D65EE7">
        <w:t xml:space="preserve">(see Appendix </w:t>
      </w:r>
      <w:r w:rsidR="00010AC4" w:rsidRPr="00D65EE7">
        <w:fldChar w:fldCharType="begin"/>
      </w:r>
      <w:r w:rsidR="00010AC4" w:rsidRPr="00D65EE7">
        <w:instrText xml:space="preserve"> REF _Ref213919185 \r \h </w:instrText>
      </w:r>
      <w:r w:rsidR="00D65EE7" w:rsidRPr="00D65EE7">
        <w:instrText xml:space="preserve"> \* MERGEFORMAT </w:instrText>
      </w:r>
      <w:r w:rsidR="00010AC4" w:rsidRPr="00D65EE7">
        <w:fldChar w:fldCharType="separate"/>
      </w:r>
      <w:r w:rsidR="00010AC4" w:rsidRPr="00D65EE7">
        <w:t>2.1</w:t>
      </w:r>
      <w:r w:rsidR="00010AC4" w:rsidRPr="00D65EE7">
        <w:fldChar w:fldCharType="end"/>
      </w:r>
      <w:r w:rsidR="00010AC4" w:rsidRPr="00D65EE7">
        <w:t>).</w:t>
      </w:r>
      <w:r w:rsidRPr="00D65EE7">
        <w:t xml:space="preserve"> As the ISS is decommissioned and commercial space stations are launched to replace it, this problem will not go away. We will automate EVA activity to deliver cost-savings to NASA and commercial operators, allowing astronauts to focus all of their time on value-added activities, increasing operator ROI.</w:t>
      </w:r>
    </w:p>
    <w:p w14:paraId="174F8591" w14:textId="7E869F56" w:rsidR="00511471" w:rsidRDefault="00511471" w:rsidP="00D65EE7">
      <w:r>
        <w:t>To address this problem, we specifically propose to provide the following service:</w:t>
      </w:r>
    </w:p>
    <w:p w14:paraId="27BA7040" w14:textId="41ED0CB6" w:rsidR="00511471" w:rsidRDefault="003A6E56" w:rsidP="003A6E56">
      <w:pPr>
        <w:pStyle w:val="ListParagraph"/>
        <w:numPr>
          <w:ilvl w:val="0"/>
          <w:numId w:val="2"/>
        </w:numPr>
      </w:pPr>
      <w:r>
        <w:t>Full coverage path planning and autonomous execution of trajectories to fully sense space station exteriors</w:t>
      </w:r>
    </w:p>
    <w:p w14:paraId="013741D7" w14:textId="19B9888E" w:rsidR="003A6E56" w:rsidRDefault="003A6E56" w:rsidP="003A6E56">
      <w:pPr>
        <w:pStyle w:val="ListParagraph"/>
        <w:numPr>
          <w:ilvl w:val="0"/>
          <w:numId w:val="2"/>
        </w:numPr>
      </w:pPr>
      <w:r>
        <w:t>Autonomous detection of anomalies on the space station exterior</w:t>
      </w:r>
    </w:p>
    <w:p w14:paraId="26D12212" w14:textId="77777777" w:rsidR="003A6E56" w:rsidRPr="00D65EE7" w:rsidRDefault="003A6E56" w:rsidP="003A6E56">
      <w:pPr>
        <w:pStyle w:val="ListParagraph"/>
        <w:numPr>
          <w:ilvl w:val="0"/>
          <w:numId w:val="2"/>
        </w:numPr>
      </w:pPr>
    </w:p>
    <w:p w14:paraId="673272A7" w14:textId="39F29579" w:rsidR="00010AC4" w:rsidRPr="00182BCA" w:rsidRDefault="00A759B3" w:rsidP="00D65EE7">
      <w:r>
        <w:t xml:space="preserve">This report proceeds by </w:t>
      </w:r>
      <w:r w:rsidR="008A755E">
        <w:t xml:space="preserve">reviewing related work, current and future competitors in Section </w:t>
      </w:r>
      <w:r w:rsidR="008A755E">
        <w:fldChar w:fldCharType="begin"/>
      </w:r>
      <w:r w:rsidR="008A755E">
        <w:instrText xml:space="preserve"> REF _Ref213919476 \r \h </w:instrText>
      </w:r>
      <w:r w:rsidR="008A755E">
        <w:fldChar w:fldCharType="separate"/>
      </w:r>
      <w:r w:rsidR="008A755E">
        <w:t>2</w:t>
      </w:r>
      <w:r w:rsidR="008A755E">
        <w:fldChar w:fldCharType="end"/>
      </w:r>
      <w:r w:rsidR="008A755E">
        <w:t>.</w:t>
      </w:r>
      <w:r w:rsidR="00A51DF3">
        <w:t xml:space="preserve"> </w:t>
      </w:r>
      <w:r w:rsidR="00C2459C">
        <w:t xml:space="preserve">Section </w:t>
      </w:r>
      <w:r w:rsidR="00C2459C">
        <w:fldChar w:fldCharType="begin"/>
      </w:r>
      <w:r w:rsidR="00C2459C">
        <w:instrText xml:space="preserve"> REF _Ref213919495 \r \h </w:instrText>
      </w:r>
      <w:r w:rsidR="00C2459C">
        <w:fldChar w:fldCharType="separate"/>
      </w:r>
      <w:r w:rsidR="00C2459C">
        <w:t>3</w:t>
      </w:r>
      <w:r w:rsidR="00C2459C">
        <w:fldChar w:fldCharType="end"/>
      </w:r>
      <w:r w:rsidR="00C2459C">
        <w:t xml:space="preserve"> provides a system overview, detailing the environment driving our requirements, our hardware, and our software and autonomy stack. Section </w:t>
      </w:r>
      <w:r w:rsidR="00C2459C">
        <w:fldChar w:fldCharType="begin"/>
      </w:r>
      <w:r w:rsidR="00C2459C">
        <w:instrText xml:space="preserve"> REF _Ref213919560 \r \h </w:instrText>
      </w:r>
      <w:r w:rsidR="00C2459C">
        <w:fldChar w:fldCharType="separate"/>
      </w:r>
      <w:r w:rsidR="00C2459C">
        <w:t>4</w:t>
      </w:r>
      <w:r w:rsidR="00C2459C">
        <w:fldChar w:fldCharType="end"/>
      </w:r>
      <w:r w:rsidR="00C2459C">
        <w:t xml:space="preserve"> provides a more detailed analysis of our coverage path planning and controls approach</w:t>
      </w:r>
      <w:r w:rsidR="003C5ECD">
        <w:t xml:space="preserve">, as well as providing a performance analysis of the current implementation. </w:t>
      </w:r>
      <w:r w:rsidR="00753A05">
        <w:t xml:space="preserve">Section </w:t>
      </w:r>
      <w:r w:rsidR="00753A05">
        <w:fldChar w:fldCharType="begin"/>
      </w:r>
      <w:r w:rsidR="00753A05">
        <w:instrText xml:space="preserve"> REF _Ref213920135 \r \h </w:instrText>
      </w:r>
      <w:r w:rsidR="00753A05">
        <w:fldChar w:fldCharType="separate"/>
      </w:r>
      <w:r w:rsidR="00753A05">
        <w:t>5</w:t>
      </w:r>
      <w:r w:rsidR="00753A05">
        <w:fldChar w:fldCharType="end"/>
      </w:r>
      <w:r w:rsidR="00753A05">
        <w:t xml:space="preserve"> concludes. Additionally, please note that additional analyses and details are provided in an Appendix in Section </w:t>
      </w:r>
      <w:r w:rsidR="00753A05">
        <w:fldChar w:fldCharType="begin"/>
      </w:r>
      <w:r w:rsidR="00753A05">
        <w:instrText xml:space="preserve"> REF _Ref213920167 \r \h </w:instrText>
      </w:r>
      <w:r w:rsidR="00753A05">
        <w:fldChar w:fldCharType="separate"/>
      </w:r>
      <w:r w:rsidR="00753A05">
        <w:t>6</w:t>
      </w:r>
      <w:r w:rsidR="00753A05">
        <w:fldChar w:fldCharType="end"/>
      </w:r>
      <w:r w:rsidR="00753A05">
        <w:t>.</w:t>
      </w:r>
    </w:p>
    <w:p w14:paraId="2E6CBE37" w14:textId="3AF26040" w:rsidR="00385E82" w:rsidRDefault="00385E82" w:rsidP="00A759B3">
      <w:pPr>
        <w:pStyle w:val="Heading1"/>
      </w:pPr>
      <w:bookmarkStart w:id="0" w:name="_Ref213919476"/>
      <w:r>
        <w:t>Related Work and Market Research</w:t>
      </w:r>
      <w:bookmarkEnd w:id="0"/>
    </w:p>
    <w:p w14:paraId="0FFA1016" w14:textId="03EF3519" w:rsidR="00360A99" w:rsidRPr="00360A99" w:rsidRDefault="00360A99" w:rsidP="00360A99">
      <w:r w:rsidRPr="00360A99">
        <w:t>Discuss other relevant state-of-the-art approaches, which may come from research labs or other startups.</w:t>
      </w:r>
      <w:r w:rsidRPr="00360A99">
        <w:br/>
        <w:t>Properly cite and attribute all outside sources, alternative approaches, and related work.</w:t>
      </w:r>
      <w:r w:rsidRPr="00360A99">
        <w:br/>
        <w:t>Highlight differences between your approach and how it fills a gap.</w:t>
      </w:r>
    </w:p>
    <w:p w14:paraId="76DBAE68" w14:textId="73EAEB40" w:rsidR="002A7433" w:rsidRDefault="00B5775A" w:rsidP="00B5775A">
      <w:pPr>
        <w:pStyle w:val="Heading2"/>
      </w:pPr>
      <w:r>
        <w:t>Current Approaches</w:t>
      </w:r>
    </w:p>
    <w:p w14:paraId="7455EAA3" w14:textId="65EE36AA" w:rsidR="00360A99" w:rsidRDefault="006B0F7E" w:rsidP="00360A99">
      <w:r>
        <w:t>Space-station</w:t>
      </w:r>
      <w:r w:rsidR="00E0100B">
        <w:t xml:space="preserve"> external</w:t>
      </w:r>
      <w:r>
        <w:t xml:space="preserve"> inspection is currently conducted almost entirely by humans</w:t>
      </w:r>
      <w:r w:rsidR="00E0100B">
        <w:t xml:space="preserve"> via EVA</w:t>
      </w:r>
      <w:r>
        <w:t xml:space="preserve">, however, is heavily assisted by an array of robotic systems. </w:t>
      </w:r>
      <w:r w:rsidR="00E0100B">
        <w:t xml:space="preserve">More specifically, </w:t>
      </w:r>
      <w:r w:rsidR="00E0100B">
        <w:fldChar w:fldCharType="begin"/>
      </w:r>
      <w:r w:rsidR="00E0100B">
        <w:instrText xml:space="preserve"> REF _Ref213921048 \h </w:instrText>
      </w:r>
      <w:r w:rsidR="00E0100B">
        <w:fldChar w:fldCharType="separate"/>
      </w:r>
      <w:r w:rsidR="00E0100B" w:rsidRPr="00E0100B">
        <w:t>Table 2.1</w:t>
      </w:r>
      <w:r w:rsidR="00E0100B">
        <w:fldChar w:fldCharType="end"/>
      </w:r>
      <w:r w:rsidR="00E0100B">
        <w:t xml:space="preserve"> provides a full overview of these systems, and their specific role in supporting or partially replacing human EVA activity.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0100B" w14:paraId="36D04CB8" w14:textId="77777777" w:rsidTr="00E0100B">
        <w:tc>
          <w:tcPr>
            <w:tcW w:w="4508" w:type="dxa"/>
          </w:tcPr>
          <w:p w14:paraId="75CAC4DC" w14:textId="6C05993E" w:rsidR="00E0100B" w:rsidRPr="00E0100B" w:rsidRDefault="00E0100B" w:rsidP="00E0100B">
            <w:pPr>
              <w:spacing w:after="80"/>
              <w:rPr>
                <w:b/>
                <w:bCs/>
              </w:rPr>
            </w:pPr>
            <w:r>
              <w:rPr>
                <w:b/>
                <w:bCs/>
              </w:rPr>
              <w:t>Robotic System</w:t>
            </w:r>
          </w:p>
        </w:tc>
        <w:tc>
          <w:tcPr>
            <w:tcW w:w="4508" w:type="dxa"/>
          </w:tcPr>
          <w:p w14:paraId="7EEF20F5" w14:textId="609C1583" w:rsidR="00E0100B" w:rsidRPr="00E0100B" w:rsidRDefault="00E0100B" w:rsidP="00E0100B">
            <w:pPr>
              <w:spacing w:after="80"/>
              <w:rPr>
                <w:b/>
                <w:bCs/>
              </w:rPr>
            </w:pPr>
            <w:r w:rsidRPr="00E0100B">
              <w:rPr>
                <w:b/>
                <w:bCs/>
              </w:rPr>
              <w:t>Description</w:t>
            </w:r>
          </w:p>
        </w:tc>
      </w:tr>
      <w:tr w:rsidR="00E0100B" w14:paraId="2999E54A" w14:textId="77777777" w:rsidTr="00E0100B">
        <w:tc>
          <w:tcPr>
            <w:tcW w:w="4508" w:type="dxa"/>
          </w:tcPr>
          <w:p w14:paraId="701BF01B" w14:textId="77777777" w:rsidR="00E0100B" w:rsidRDefault="00E0100B" w:rsidP="00E0100B">
            <w:pPr>
              <w:spacing w:after="80"/>
            </w:pPr>
          </w:p>
        </w:tc>
        <w:tc>
          <w:tcPr>
            <w:tcW w:w="4508" w:type="dxa"/>
          </w:tcPr>
          <w:p w14:paraId="7AD71DA9" w14:textId="77777777" w:rsidR="00E0100B" w:rsidRDefault="00E0100B" w:rsidP="00E0100B">
            <w:pPr>
              <w:spacing w:after="80"/>
            </w:pPr>
          </w:p>
        </w:tc>
      </w:tr>
    </w:tbl>
    <w:p w14:paraId="4F7E59CE" w14:textId="247E8771" w:rsidR="00E0100B" w:rsidRPr="003A6E56" w:rsidRDefault="00E0100B" w:rsidP="003A6E56">
      <w:pPr>
        <w:pStyle w:val="Caption"/>
      </w:pPr>
      <w:bookmarkStart w:id="1" w:name="_Ref213921048"/>
      <w:r w:rsidRPr="003A6E56">
        <w:t xml:space="preserve">Table </w:t>
      </w:r>
      <w:fldSimple w:instr=" STYLEREF 1 \s ">
        <w:r w:rsidRPr="003A6E56">
          <w:t>2</w:t>
        </w:r>
      </w:fldSimple>
      <w:r w:rsidRPr="003A6E56">
        <w:t>.</w:t>
      </w:r>
      <w:fldSimple w:instr=" SEQ Table \* ARABIC \s 1 ">
        <w:r w:rsidRPr="003A6E56">
          <w:t>1</w:t>
        </w:r>
      </w:fldSimple>
      <w:bookmarkEnd w:id="1"/>
      <w:r w:rsidRPr="003A6E56">
        <w:t xml:space="preserve"> Overview of Robotic Systems supporting and/or replacing EVA activity</w:t>
      </w:r>
    </w:p>
    <w:p w14:paraId="0C27B7E2" w14:textId="63ECDC59" w:rsidR="00E0100B" w:rsidRDefault="00E0100B" w:rsidP="00360A99">
      <w:r>
        <w:t xml:space="preserve">These systems have </w:t>
      </w:r>
      <w:r w:rsidR="00944910">
        <w:t>two key</w:t>
      </w:r>
      <w:r>
        <w:t xml:space="preserve"> drawbacks. </w:t>
      </w:r>
    </w:p>
    <w:p w14:paraId="0EC81380" w14:textId="50DC7023" w:rsidR="00E0100B" w:rsidRDefault="00E0100B" w:rsidP="00360A99">
      <w:r>
        <w:t xml:space="preserve">Firstly, and most importantly, </w:t>
      </w:r>
      <w:r>
        <w:rPr>
          <w:i/>
          <w:iCs/>
        </w:rPr>
        <w:t>they do not allow full external sensor coverage of the ISS exterior</w:t>
      </w:r>
      <w:r>
        <w:t>.</w:t>
      </w:r>
    </w:p>
    <w:p w14:paraId="6FBD5694" w14:textId="298FF047" w:rsidR="00E0100B" w:rsidRPr="00E0100B" w:rsidRDefault="00E0100B" w:rsidP="00360A99">
      <w:r>
        <w:lastRenderedPageBreak/>
        <w:t>Secondly, they are costly to operate. For example, Canadarm</w:t>
      </w:r>
      <w:r w:rsidR="00944910">
        <w:t>2 is manually operated, usually by a team of ground-based operators. While no specific figures are publicly available, it is likely that the annual cost of this operating team runs in the millions of dollars.</w:t>
      </w:r>
    </w:p>
    <w:p w14:paraId="15C56545" w14:textId="0FF5EB88" w:rsidR="00B5775A" w:rsidRDefault="00B5775A" w:rsidP="00B5775A">
      <w:pPr>
        <w:pStyle w:val="Heading2"/>
      </w:pPr>
      <w:r>
        <w:t>Emerging Approaches</w:t>
      </w:r>
    </w:p>
    <w:p w14:paraId="587D7827" w14:textId="3EEBFF3D" w:rsidR="00511471" w:rsidRPr="00511471" w:rsidRDefault="00511471" w:rsidP="00511471">
      <w:r>
        <w:t xml:space="preserve">A number of emerging approaches exist that will compete with our solution. </w:t>
      </w:r>
    </w:p>
    <w:p w14:paraId="51D02AFA" w14:textId="6EE42FC0" w:rsidR="00944910" w:rsidRPr="00944910" w:rsidRDefault="00944910" w:rsidP="00944910">
      <w:pPr>
        <w:pStyle w:val="Heading3"/>
      </w:pPr>
      <w:r w:rsidRPr="00944910">
        <w:t>Planned External Systems for New Space Stations</w:t>
      </w:r>
    </w:p>
    <w:p w14:paraId="46411156" w14:textId="46B18B7A" w:rsidR="00944910" w:rsidRPr="00944910" w:rsidRDefault="00944910" w:rsidP="00944910">
      <w:pPr>
        <w:pStyle w:val="Heading3"/>
      </w:pPr>
      <w:r>
        <w:t>Likely Emerging Competitors</w:t>
      </w:r>
    </w:p>
    <w:p w14:paraId="61118DEE" w14:textId="77777777" w:rsidR="00360A99" w:rsidRPr="00360A99" w:rsidRDefault="00360A99" w:rsidP="00360A99"/>
    <w:p w14:paraId="6160D4A7" w14:textId="272ECBCB" w:rsidR="00385E82" w:rsidRDefault="00385E82" w:rsidP="00A759B3">
      <w:pPr>
        <w:pStyle w:val="Heading1"/>
      </w:pPr>
      <w:bookmarkStart w:id="2" w:name="_Ref213919495"/>
      <w:r>
        <w:t>System Overview</w:t>
      </w:r>
      <w:bookmarkEnd w:id="2"/>
    </w:p>
    <w:p w14:paraId="285FDB11" w14:textId="3BA9F15E" w:rsidR="00385E82" w:rsidRDefault="00385E82" w:rsidP="00A759B3">
      <w:pPr>
        <w:pStyle w:val="Heading1"/>
      </w:pPr>
      <w:bookmarkStart w:id="3" w:name="_Ref213919560"/>
      <w:r>
        <w:t>Technical Contributions</w:t>
      </w:r>
      <w:bookmarkEnd w:id="3"/>
    </w:p>
    <w:p w14:paraId="137FF430" w14:textId="75F5491B" w:rsidR="00385E82" w:rsidRDefault="005912FF" w:rsidP="00A759B3">
      <w:pPr>
        <w:pStyle w:val="Heading1"/>
      </w:pPr>
      <w:bookmarkStart w:id="4" w:name="_Ref213920135"/>
      <w:r>
        <w:t>Conclusion</w:t>
      </w:r>
      <w:bookmarkEnd w:id="4"/>
    </w:p>
    <w:p w14:paraId="21D8D38A" w14:textId="7CAF9495" w:rsidR="00CB7522" w:rsidRDefault="00CB7522" w:rsidP="005A63C1">
      <w:pPr>
        <w:pStyle w:val="Heading1"/>
      </w:pPr>
      <w:bookmarkStart w:id="5" w:name="_Ref213920167"/>
      <w:r>
        <w:t>Appendix</w:t>
      </w:r>
      <w:bookmarkEnd w:id="5"/>
    </w:p>
    <w:p w14:paraId="4E29B45D" w14:textId="3007F557" w:rsidR="0033785E" w:rsidRPr="0033785E" w:rsidRDefault="0033785E" w:rsidP="00D65EE7">
      <w:pPr>
        <w:pStyle w:val="Heading2"/>
      </w:pPr>
      <w:bookmarkStart w:id="6" w:name="_Ref213919185"/>
      <w:r>
        <w:t>Cost &amp; Revenue Analysis</w:t>
      </w:r>
      <w:bookmarkEnd w:id="6"/>
    </w:p>
    <w:sectPr w:rsidR="0033785E" w:rsidRPr="003378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030D8" w14:textId="77777777" w:rsidR="00442188" w:rsidRDefault="00442188" w:rsidP="00D65EE7">
      <w:r>
        <w:separator/>
      </w:r>
    </w:p>
  </w:endnote>
  <w:endnote w:type="continuationSeparator" w:id="0">
    <w:p w14:paraId="765B043A" w14:textId="77777777" w:rsidR="00442188" w:rsidRDefault="00442188" w:rsidP="00D65E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597D5" w14:textId="77777777" w:rsidR="00442188" w:rsidRDefault="00442188" w:rsidP="00D65EE7">
      <w:r>
        <w:separator/>
      </w:r>
    </w:p>
  </w:footnote>
  <w:footnote w:type="continuationSeparator" w:id="0">
    <w:p w14:paraId="24BF309A" w14:textId="77777777" w:rsidR="00442188" w:rsidRDefault="00442188" w:rsidP="00D65E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B6C6A"/>
    <w:multiLevelType w:val="hybridMultilevel"/>
    <w:tmpl w:val="90BA9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A52E58"/>
    <w:multiLevelType w:val="multilevel"/>
    <w:tmpl w:val="C732612A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496192099">
    <w:abstractNumId w:val="1"/>
  </w:num>
  <w:num w:numId="2" w16cid:durableId="1696075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64"/>
    <w:rsid w:val="00010AC4"/>
    <w:rsid w:val="00182BCA"/>
    <w:rsid w:val="001973FA"/>
    <w:rsid w:val="00204B5F"/>
    <w:rsid w:val="002A4AF3"/>
    <w:rsid w:val="002A7433"/>
    <w:rsid w:val="0033785E"/>
    <w:rsid w:val="00360A99"/>
    <w:rsid w:val="00385E82"/>
    <w:rsid w:val="003A6E56"/>
    <w:rsid w:val="003C5ECD"/>
    <w:rsid w:val="00442188"/>
    <w:rsid w:val="00473DE0"/>
    <w:rsid w:val="00490DAF"/>
    <w:rsid w:val="004C105D"/>
    <w:rsid w:val="00511471"/>
    <w:rsid w:val="00571264"/>
    <w:rsid w:val="00590074"/>
    <w:rsid w:val="005912FF"/>
    <w:rsid w:val="005A63C1"/>
    <w:rsid w:val="006126EC"/>
    <w:rsid w:val="006B0F7E"/>
    <w:rsid w:val="006D4B8F"/>
    <w:rsid w:val="00753A05"/>
    <w:rsid w:val="0077074D"/>
    <w:rsid w:val="008232B1"/>
    <w:rsid w:val="008A755E"/>
    <w:rsid w:val="00944910"/>
    <w:rsid w:val="00A51DF3"/>
    <w:rsid w:val="00A759B3"/>
    <w:rsid w:val="00B027B2"/>
    <w:rsid w:val="00B5775A"/>
    <w:rsid w:val="00C221D0"/>
    <w:rsid w:val="00C2459C"/>
    <w:rsid w:val="00C82DDB"/>
    <w:rsid w:val="00CB182F"/>
    <w:rsid w:val="00CB7522"/>
    <w:rsid w:val="00D65EE7"/>
    <w:rsid w:val="00E0100B"/>
    <w:rsid w:val="00F2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D0882"/>
  <w15:chartTrackingRefBased/>
  <w15:docId w15:val="{33400E2F-4BB1-4F64-A54C-A1BD118B6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EE7"/>
    <w:pPr>
      <w:spacing w:after="120"/>
      <w:jc w:val="both"/>
    </w:pPr>
    <w:rPr>
      <w:rFonts w:ascii="Times New Roman" w:hAnsi="Times New Roman" w:cs="Times New Roman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5A63C1"/>
    <w:pPr>
      <w:numPr>
        <w:numId w:val="1"/>
      </w:numPr>
      <w:spacing w:before="160" w:after="80"/>
      <w:ind w:left="0" w:firstLine="0"/>
      <w:jc w:val="left"/>
      <w:outlineLvl w:val="0"/>
    </w:pPr>
    <w:rPr>
      <w:b/>
      <w:bCs/>
      <w:sz w:val="24"/>
      <w:szCs w:val="24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33785E"/>
    <w:pPr>
      <w:numPr>
        <w:ilvl w:val="1"/>
        <w:numId w:val="1"/>
      </w:numPr>
      <w:spacing w:before="160" w:after="80"/>
      <w:ind w:left="0" w:firstLine="0"/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944910"/>
    <w:pPr>
      <w:numPr>
        <w:ilvl w:val="2"/>
        <w:numId w:val="1"/>
      </w:numPr>
      <w:spacing w:before="160" w:after="80"/>
      <w:ind w:left="0" w:firstLine="0"/>
      <w:jc w:val="left"/>
      <w:outlineLvl w:val="2"/>
    </w:pPr>
    <w:rPr>
      <w:i/>
      <w:i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3C1"/>
    <w:rPr>
      <w:rFonts w:ascii="Times New Roman" w:hAnsi="Times New Roman" w:cs="Times New Roman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3785E"/>
    <w:rPr>
      <w:rFonts w:ascii="Times New Roman" w:hAnsi="Times New Roman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944910"/>
    <w:rPr>
      <w:rFonts w:ascii="Times New Roman" w:hAnsi="Times New Roman" w:cs="Times New Roman"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264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264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264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264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264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264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7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26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264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7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264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7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264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71264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B752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B7522"/>
    <w:rPr>
      <w:rFonts w:ascii="Times New Roman" w:hAnsi="Times New Roman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CB7522"/>
    <w:rPr>
      <w:vertAlign w:val="superscript"/>
    </w:rPr>
  </w:style>
  <w:style w:type="table" w:styleId="TableGrid">
    <w:name w:val="Table Grid"/>
    <w:basedOn w:val="TableNormal"/>
    <w:uiPriority w:val="39"/>
    <w:rsid w:val="00E010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3A6E56"/>
    <w:pPr>
      <w:spacing w:after="200" w:line="240" w:lineRule="auto"/>
    </w:pPr>
    <w:rPr>
      <w:b/>
      <w:bCs/>
      <w:i/>
      <w:iCs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0CEADFE-7447-4D74-8EB5-E5E8451AA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618</Words>
  <Characters>3525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Gidon Gautel</dc:creator>
  <cp:keywords/>
  <dc:description/>
  <cp:lastModifiedBy>Gidon Gautel</cp:lastModifiedBy>
  <cp:revision>25</cp:revision>
  <dcterms:created xsi:type="dcterms:W3CDTF">2025-11-13T14:13:00Z</dcterms:created>
  <dcterms:modified xsi:type="dcterms:W3CDTF">2025-11-13T15:20:00Z</dcterms:modified>
</cp:coreProperties>
</file>