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40"/>
        <w:jc w:val="center"/>
      </w:pPr>
      <w:r>
        <w:rPr>
          <w:b/>
          <w:color w:val="505050"/>
          <w:sz w:val="26"/>
        </w:rPr>
        <w:t>Data Flow Diagram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July 2, 2026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xxxx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Rising Waters: A Machine Learning Approach to Flood Prediction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</w:rPr>
              <w:t>Maximum Marks</w:t>
            </w:r>
          </w:p>
        </w:tc>
        <w:tc>
          <w:tcPr>
            <w:tcW w:type="dxa" w:w="64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t>2 Marks</w:t>
            </w:r>
          </w:p>
        </w:tc>
      </w:tr>
    </w:tbl>
    <w:p>
      <w:pPr>
        <w:spacing w:before="240" w:after="240"/>
      </w:pPr>
      <w:r>
        <w:rPr>
          <w:color w:val="7F7F7F"/>
        </w:rPr>
        <w:t>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System Data Flow Specifications (DFD Layout Mapping):</w:t>
        <w:br/>
      </w:r>
      <w:r>
        <w:t>Since DFD layout engines represent relational vector maps, this document formalizes the precise data routing sequences implemented across the solution steps: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7F7F7F"/>
          <w:bottom w:val="single" w:sz="6" w:space="0" w:color="7F7F7F"/>
          <w:left w:val="single" w:sz="6" w:space="0" w:color="7F7F7F"/>
          <w:right w:val="single" w:sz="6" w:space="0" w:color="7F7F7F"/>
          <w:insideH w:val="single" w:sz="4" w:space="0" w:color="7F7F7F"/>
          <w:insideV w:val="single" w:sz="4" w:space="0" w:color="7F7F7F"/>
        </w:tblBorders>
      </w:tblPr>
      <w:tblGrid>
        <w:gridCol w:w="4968"/>
        <w:gridCol w:w="4968"/>
      </w:tblGrid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1. External Entities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Meteorologist / Disaster Relief Coordinator: Provides live weather parameter inputs.</w:t>
              <w:br/>
              <w:t>• Weather Systems: Feeds Kaggle historical weather dataset matrices into training loops.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2. Processes Managed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Process 1.0 (Data Preprocessing): Handles missing data values and isolates anomalies using box plots.</w:t>
              <w:br/>
              <w:t>• Process 2.0 (Feature Scaling): Applies scikit-learn standard scaling adjustments to parameters.</w:t>
              <w:br/>
              <w:t>• Process 3.0 (Inference Engine Execution): Invokes the saved XGBoost model (floods.save) to compute risk levels.</w:t>
              <w:br/>
              <w:t>• Process 4.0 (Interface Router Rendering): Directs output paths toward specialized Flood/No-Flood chance panels.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3. Data Stores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Historical Weather Table Store: Stores localized records, tracking seasonal precipitation and visibility indices.</w:t>
              <w:br/>
              <w:t>• Model Object Repository: Houses the serialized, compiled tree classification artifact arrays.</w:t>
            </w:r>
          </w:p>
        </w:tc>
      </w:tr>
      <w:tr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4. Data Flows Matrix</w:t>
            </w:r>
          </w:p>
        </w:tc>
        <w:tc>
          <w:tcPr>
            <w:tcW w:type="dxa" w:w="49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• User Input Flow: Live parameters move from input fields into the Flask route handler logic.</w:t>
              <w:br/>
              <w:t>• Matrix Flow: Preprocessed feature vectors pass through the standard scaling normalization step.</w:t>
              <w:br/>
              <w:t>• Classification Flow: Evaluated probabilities pass from the model object to the interface routing engine.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8C8C8C"/>
        <w:sz w:val="17"/>
      </w:rPr>
      <w:t>SMARTBRIDGE   |   SKILL WALLET  (A SmartBridge Product)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