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b/>
          <w:color w:val="505050"/>
          <w:sz w:val="26"/>
        </w:rPr>
        <w:t>Problem-Solution Fit Canvas</w:t>
      </w:r>
    </w:p>
    <w:tbl>
      <w:tblPr>
        <w:tblW w:type="auto" w:w="0"/>
        <w:jc w:val="center"/>
        <w:tblLayout w:type="fixed"/>
        <w:tblLook w:firstColumn="1" w:firstRow="1" w:lastColumn="0" w:lastRow="0" w:noHBand="0" w:noVBand="1" w:val="04A0"/>
        <w:tblBorders>
          <w:top w:val="single" w:sz="6" w:space="0" w:color="7F7F7F"/>
          <w:bottom w:val="single" w:sz="6" w:space="0" w:color="7F7F7F"/>
          <w:left w:val="single" w:sz="6" w:space="0" w:color="7F7F7F"/>
          <w:right w:val="single" w:sz="6" w:space="0" w:color="7F7F7F"/>
          <w:insideH w:val="single" w:sz="4" w:space="0" w:color="7F7F7F"/>
          <w:insideV w:val="single" w:sz="4" w:space="0" w:color="7F7F7F"/>
        </w:tblBorders>
      </w:tblPr>
      <w:tblGrid>
        <w:gridCol w:w="4968"/>
        <w:gridCol w:w="4968"/>
      </w:tblGrid>
      <w:tr>
        <w:tc>
          <w:tcPr>
            <w:tcW w:type="dxa" w:w="3600"/>
            <w:tcMar>
              <w:top w:w="60" w:type="dxa"/>
              <w:bottom w:w="60" w:type="dxa"/>
              <w:left w:w="100" w:type="dxa"/>
              <w:right w:w="100" w:type="dxa"/>
            </w:tcMar>
          </w:tcPr>
          <w:p>
            <w:r>
              <w:rPr>
                <w:b/>
              </w:rPr>
              <w:t>Date</w:t>
            </w:r>
          </w:p>
        </w:tc>
        <w:tc>
          <w:tcPr>
            <w:tcW w:type="dxa" w:w="6480"/>
            <w:tcMar>
              <w:top w:w="60" w:type="dxa"/>
              <w:bottom w:w="60" w:type="dxa"/>
              <w:left w:w="100" w:type="dxa"/>
              <w:right w:w="100" w:type="dxa"/>
            </w:tcMar>
          </w:tcPr>
          <w:p>
            <w:r>
              <w:t>July 2, 2026</w:t>
            </w:r>
          </w:p>
        </w:tc>
      </w:tr>
      <w:tr>
        <w:tc>
          <w:tcPr>
            <w:tcW w:type="dxa" w:w="3600"/>
            <w:tcMar>
              <w:top w:w="60" w:type="dxa"/>
              <w:bottom w:w="60" w:type="dxa"/>
              <w:left w:w="100" w:type="dxa"/>
              <w:right w:w="100" w:type="dxa"/>
            </w:tcMar>
          </w:tcPr>
          <w:p>
            <w:r>
              <w:rPr>
                <w:b/>
              </w:rPr>
              <w:t>Team ID</w:t>
            </w:r>
          </w:p>
        </w:tc>
        <w:tc>
          <w:tcPr>
            <w:tcW w:type="dxa" w:w="6480"/>
            <w:tcMar>
              <w:top w:w="60" w:type="dxa"/>
              <w:bottom w:w="60" w:type="dxa"/>
              <w:left w:w="100" w:type="dxa"/>
              <w:right w:w="100" w:type="dxa"/>
            </w:tcMar>
          </w:tcPr>
          <w:p>
            <w:r>
              <w:t>xxxx</w:t>
            </w:r>
          </w:p>
        </w:tc>
      </w:tr>
      <w:tr>
        <w:tc>
          <w:tcPr>
            <w:tcW w:type="dxa" w:w="3600"/>
            <w:tcMar>
              <w:top w:w="60" w:type="dxa"/>
              <w:bottom w:w="60" w:type="dxa"/>
              <w:left w:w="100" w:type="dxa"/>
              <w:right w:w="100" w:type="dxa"/>
            </w:tcMar>
          </w:tcPr>
          <w:p>
            <w:r>
              <w:rPr>
                <w:b/>
              </w:rPr>
              <w:t>Project Name</w:t>
            </w:r>
          </w:p>
        </w:tc>
        <w:tc>
          <w:tcPr>
            <w:tcW w:type="dxa" w:w="6480"/>
            <w:tcMar>
              <w:top w:w="60" w:type="dxa"/>
              <w:bottom w:w="60" w:type="dxa"/>
              <w:left w:w="100" w:type="dxa"/>
              <w:right w:w="100" w:type="dxa"/>
            </w:tcMar>
          </w:tcPr>
          <w:p>
            <w:r>
              <w:t>Rising Waters: A Machine Learning Approach to Flood Prediction</w:t>
            </w:r>
          </w:p>
        </w:tc>
      </w:tr>
      <w:tr>
        <w:tc>
          <w:tcPr>
            <w:tcW w:type="dxa" w:w="3600"/>
            <w:tcMar>
              <w:top w:w="60" w:type="dxa"/>
              <w:bottom w:w="60" w:type="dxa"/>
              <w:left w:w="100" w:type="dxa"/>
              <w:right w:w="100" w:type="dxa"/>
            </w:tcMar>
          </w:tcPr>
          <w:p>
            <w:r>
              <w:rPr>
                <w:b/>
              </w:rPr>
              <w:t>Maximum Marks</w:t>
            </w:r>
          </w:p>
        </w:tc>
        <w:tc>
          <w:tcPr>
            <w:tcW w:type="dxa" w:w="6480"/>
            <w:tcMar>
              <w:top w:w="60" w:type="dxa"/>
              <w:bottom w:w="60" w:type="dxa"/>
              <w:left w:w="100" w:type="dxa"/>
              <w:right w:w="100" w:type="dxa"/>
            </w:tcMar>
          </w:tcPr>
          <w:p>
            <w:r>
              <w:t>5 Marks</w:t>
            </w:r>
          </w:p>
        </w:tc>
      </w:tr>
    </w:tbl>
    <w:p>
      <w:pPr>
        <w:spacing w:before="240" w:after="240"/>
      </w:pPr>
      <w:r>
        <w:rPr>
          <w:color w:val="7F7F7F"/>
        </w:rPr>
        <w:t>—————————————————————————————————————————————————————————————————</w:t>
      </w:r>
    </w:p>
    <w:p>
      <w:r>
        <w:rPr>
          <w:b/>
        </w:rPr>
        <w:t>Problem-Solution Fit Canvas Grid Framework:</w:t>
      </w:r>
    </w:p>
    <w:p>
      <w:r>
        <w:t>Use the framework below to ensure your proposed solution accurately addresses the root causes, behaviors, and limitations of your target audience. Fill out the canvas in the respective boxes just like the original visual template.</w:t>
      </w:r>
    </w:p>
    <w:tbl>
      <w:tblPr>
        <w:tblW w:type="auto" w:w="0"/>
        <w:jc w:val="center"/>
        <w:tblLook w:firstColumn="1" w:firstRow="1" w:lastColumn="0" w:lastRow="0" w:noHBand="0" w:noVBand="1" w:val="04A0"/>
        <w:tblBorders>
          <w:top w:val="single" w:sz="6" w:space="0" w:color="7F7F7F"/>
          <w:bottom w:val="single" w:sz="6" w:space="0" w:color="7F7F7F"/>
          <w:left w:val="single" w:sz="6" w:space="0" w:color="7F7F7F"/>
          <w:right w:val="single" w:sz="6" w:space="0" w:color="7F7F7F"/>
          <w:insideH w:val="single" w:sz="4" w:space="0" w:color="7F7F7F"/>
          <w:insideV w:val="single" w:sz="4" w:space="0" w:color="7F7F7F"/>
        </w:tblBorders>
      </w:tblPr>
      <w:tblGrid>
        <w:gridCol w:w="4968"/>
        <w:gridCol w:w="4968"/>
      </w:tblGrid>
      <w:tr>
        <w:tc>
          <w:tcPr>
            <w:tcW w:type="dxa" w:w="3600"/>
            <w:tcMar>
              <w:top w:w="80" w:type="dxa"/>
              <w:bottom w:w="80" w:type="dxa"/>
              <w:left w:w="100" w:type="dxa"/>
              <w:right w:w="100" w:type="dxa"/>
            </w:tcMar>
          </w:tcPr>
          <w:p>
            <w:r>
              <w:rPr>
                <w:b/>
              </w:rPr>
              <w:t>1. CUSTOMER SEGMENT(S) [CS]</w:t>
            </w:r>
          </w:p>
        </w:tc>
        <w:tc>
          <w:tcPr>
            <w:tcW w:type="dxa" w:w="6480"/>
            <w:tcMar>
              <w:top w:w="80" w:type="dxa"/>
              <w:bottom w:w="80" w:type="dxa"/>
              <w:left w:w="100" w:type="dxa"/>
              <w:right w:w="100" w:type="dxa"/>
            </w:tcMar>
          </w:tcPr>
          <w:p>
            <w:r>
              <w:t>• District Meteorologists entering local daily weather conditions.</w:t>
              <w:br/>
              <w:t>• Disaster Relief Coordinators managing active multi-region monsoons asset planning.</w:t>
              <w:br/>
              <w:t>• Government Analysts assessing municipal hazard vulnerability matrices.</w:t>
            </w:r>
          </w:p>
        </w:tc>
      </w:tr>
      <w:tr>
        <w:tc>
          <w:tcPr>
            <w:tcW w:type="dxa" w:w="3600"/>
            <w:tcMar>
              <w:top w:w="80" w:type="dxa"/>
              <w:bottom w:w="80" w:type="dxa"/>
              <w:left w:w="100" w:type="dxa"/>
              <w:right w:w="100" w:type="dxa"/>
            </w:tcMar>
          </w:tcPr>
          <w:p>
            <w:r>
              <w:rPr>
                <w:b/>
              </w:rPr>
              <w:t>2. PROBLEMS / PAINS + ITS FREQUENCY [PR]</w:t>
            </w:r>
          </w:p>
        </w:tc>
        <w:tc>
          <w:tcPr>
            <w:tcW w:type="dxa" w:w="6480"/>
            <w:tcMar>
              <w:top w:w="80" w:type="dxa"/>
              <w:bottom w:w="80" w:type="dxa"/>
              <w:left w:w="100" w:type="dxa"/>
              <w:right w:w="100" w:type="dxa"/>
            </w:tcMar>
          </w:tcPr>
          <w:p>
            <w:r>
              <w:t>• Lack of granular, local flash-flood forecasting algorithms.</w:t>
              <w:br/>
              <w:t>• Traditional statistical weather tools fail short under evolving rainfall anomalies.</w:t>
              <w:br/>
              <w:t>• Frequency: Recurring quarterly/seasonally during peak active monsoon windows.</w:t>
            </w:r>
          </w:p>
        </w:tc>
      </w:tr>
      <w:tr>
        <w:tc>
          <w:tcPr>
            <w:tcW w:type="dxa" w:w="3600"/>
            <w:tcMar>
              <w:top w:w="80" w:type="dxa"/>
              <w:bottom w:w="80" w:type="dxa"/>
              <w:left w:w="100" w:type="dxa"/>
              <w:right w:w="100" w:type="dxa"/>
            </w:tcMar>
          </w:tcPr>
          <w:p>
            <w:r>
              <w:rPr>
                <w:b/>
              </w:rPr>
              <w:t>3. TRIGGERS TO ACT [TR]</w:t>
            </w:r>
          </w:p>
        </w:tc>
        <w:tc>
          <w:tcPr>
            <w:tcW w:type="dxa" w:w="6480"/>
            <w:tcMar>
              <w:top w:w="80" w:type="dxa"/>
              <w:bottom w:w="80" w:type="dxa"/>
              <w:left w:w="100" w:type="dxa"/>
              <w:right w:w="100" w:type="dxa"/>
            </w:tcMar>
          </w:tcPr>
          <w:p>
            <w:r>
              <w:t>• Heavy precipitation alerts exceeding localized basin baseline limits.</w:t>
              <w:br/>
              <w:t>• Sudden decreases in regional cloud visibility readings.</w:t>
              <w:br/>
              <w:t>• Mandate to coordinate proactive evacuations several hours in advance.</w:t>
            </w:r>
          </w:p>
        </w:tc>
      </w:tr>
      <w:tr>
        <w:tc>
          <w:tcPr>
            <w:tcW w:type="dxa" w:w="3600"/>
            <w:tcMar>
              <w:top w:w="80" w:type="dxa"/>
              <w:bottom w:w="80" w:type="dxa"/>
              <w:left w:w="100" w:type="dxa"/>
              <w:right w:w="100" w:type="dxa"/>
            </w:tcMar>
          </w:tcPr>
          <w:p>
            <w:r>
              <w:rPr>
                <w:b/>
              </w:rPr>
              <w:t>4. EMOTIONS BEFORE / AFTER [EM]</w:t>
            </w:r>
          </w:p>
        </w:tc>
        <w:tc>
          <w:tcPr>
            <w:tcW w:type="dxa" w:w="6480"/>
            <w:tcMar>
              <w:top w:w="80" w:type="dxa"/>
              <w:bottom w:w="80" w:type="dxa"/>
              <w:left w:w="100" w:type="dxa"/>
              <w:right w:w="100" w:type="dxa"/>
            </w:tcMar>
          </w:tcPr>
          <w:p>
            <w:r>
              <w:t>• Before: Deeply anxious about response execution lapses and risk exposure.</w:t>
              <w:br/>
              <w:t>• After: Reassured and confident utilizing stable, 96.55% high-accuracy data views.</w:t>
            </w:r>
          </w:p>
        </w:tc>
      </w:tr>
      <w:tr>
        <w:tc>
          <w:tcPr>
            <w:tcW w:type="dxa" w:w="3600"/>
            <w:tcMar>
              <w:top w:w="80" w:type="dxa"/>
              <w:bottom w:w="80" w:type="dxa"/>
              <w:left w:w="100" w:type="dxa"/>
              <w:right w:w="100" w:type="dxa"/>
            </w:tcMar>
          </w:tcPr>
          <w:p>
            <w:r>
              <w:rPr>
                <w:b/>
              </w:rPr>
              <w:t>5. AVAILABLE SOLUTIONS PROS &amp; CONS [AS]</w:t>
            </w:r>
          </w:p>
        </w:tc>
        <w:tc>
          <w:tcPr>
            <w:tcW w:type="dxa" w:w="6480"/>
            <w:tcMar>
              <w:top w:w="80" w:type="dxa"/>
              <w:bottom w:w="80" w:type="dxa"/>
              <w:left w:w="100" w:type="dxa"/>
              <w:right w:w="100" w:type="dxa"/>
            </w:tcMar>
          </w:tcPr>
          <w:p>
            <w:r>
              <w:t>• Conventional Forecasting (Pros: Easily accessible; Cons: Low granular precision).</w:t>
              <w:br/>
              <w:t>• Manual Tabulation (Pros: Low tech setup; Cons: Slow execution during emergencies).</w:t>
            </w:r>
          </w:p>
        </w:tc>
      </w:tr>
      <w:tr>
        <w:tc>
          <w:tcPr>
            <w:tcW w:type="dxa" w:w="3600"/>
            <w:tcMar>
              <w:top w:w="80" w:type="dxa"/>
              <w:bottom w:w="80" w:type="dxa"/>
              <w:left w:w="100" w:type="dxa"/>
              <w:right w:w="100" w:type="dxa"/>
            </w:tcMar>
          </w:tcPr>
          <w:p>
            <w:r>
              <w:rPr>
                <w:b/>
              </w:rPr>
              <w:t>6. CUSTOMER LIMITATIONS EG. BUDGET, DEVICES [CL]</w:t>
            </w:r>
          </w:p>
        </w:tc>
        <w:tc>
          <w:tcPr>
            <w:tcW w:type="dxa" w:w="6480"/>
            <w:tcMar>
              <w:top w:w="80" w:type="dxa"/>
              <w:bottom w:w="80" w:type="dxa"/>
              <w:left w:w="100" w:type="dxa"/>
              <w:right w:w="100" w:type="dxa"/>
            </w:tcMar>
          </w:tcPr>
          <w:p>
            <w:r>
              <w:t>• Restricted access to high-end localized computing hardware frameworks.</w:t>
              <w:br/>
              <w:t>• Minimal training on complex statistical modeling or standalone script execution.</w:t>
              <w:br/>
              <w:t>• Network volatility inside remote stations during active extreme storm events.</w:t>
            </w:r>
          </w:p>
        </w:tc>
      </w:tr>
      <w:tr>
        <w:tc>
          <w:tcPr>
            <w:tcW w:type="dxa" w:w="3600"/>
            <w:tcMar>
              <w:top w:w="80" w:type="dxa"/>
              <w:bottom w:w="80" w:type="dxa"/>
              <w:left w:w="100" w:type="dxa"/>
              <w:right w:w="100" w:type="dxa"/>
            </w:tcMar>
          </w:tcPr>
          <w:p>
            <w:r>
              <w:rPr>
                <w:b/>
              </w:rPr>
              <w:t>7. BEHAVIOR + ITS INTENSITY [BE]</w:t>
            </w:r>
          </w:p>
        </w:tc>
        <w:tc>
          <w:tcPr>
            <w:tcW w:type="dxa" w:w="6480"/>
            <w:tcMar>
              <w:top w:w="80" w:type="dxa"/>
              <w:bottom w:w="80" w:type="dxa"/>
              <w:left w:w="100" w:type="dxa"/>
              <w:right w:w="100" w:type="dxa"/>
            </w:tcMar>
          </w:tcPr>
          <w:p>
            <w:r>
              <w:t>• Technicians manually aggregate annual summaries, box plots, and trends under intense pressure to minimize false alarm or missed event occurrences.</w:t>
            </w:r>
          </w:p>
        </w:tc>
      </w:tr>
      <w:tr>
        <w:tc>
          <w:tcPr>
            <w:tcW w:type="dxa" w:w="3600"/>
            <w:tcMar>
              <w:top w:w="80" w:type="dxa"/>
              <w:bottom w:w="80" w:type="dxa"/>
              <w:left w:w="100" w:type="dxa"/>
              <w:right w:w="100" w:type="dxa"/>
            </w:tcMar>
          </w:tcPr>
          <w:p>
            <w:r>
              <w:rPr>
                <w:b/>
              </w:rPr>
              <w:t>8. CHANNELS OF BEHAVIOR [CH]</w:t>
            </w:r>
          </w:p>
        </w:tc>
        <w:tc>
          <w:tcPr>
            <w:tcW w:type="dxa" w:w="6480"/>
            <w:tcMar>
              <w:top w:w="80" w:type="dxa"/>
              <w:bottom w:w="80" w:type="dxa"/>
              <w:left w:w="100" w:type="dxa"/>
              <w:right w:w="100" w:type="dxa"/>
            </w:tcMar>
          </w:tcPr>
          <w:p>
            <w:r>
              <w:t>• ONLINE: Local browser access running interactive lightweight dashboard views.</w:t>
              <w:br/>
              <w:t>• OFFLINE: Physical coordination maps, field coordination networks, and asset alerts.</w:t>
            </w:r>
          </w:p>
        </w:tc>
      </w:tr>
      <w:tr>
        <w:tc>
          <w:tcPr>
            <w:tcW w:type="dxa" w:w="3600"/>
            <w:tcMar>
              <w:top w:w="80" w:type="dxa"/>
              <w:bottom w:w="80" w:type="dxa"/>
              <w:left w:w="100" w:type="dxa"/>
              <w:right w:w="100" w:type="dxa"/>
            </w:tcMar>
          </w:tcPr>
          <w:p>
            <w:r>
              <w:rPr>
                <w:b/>
              </w:rPr>
              <w:t>9. PROBLEM ROOT / CAUSE [RC]</w:t>
            </w:r>
          </w:p>
        </w:tc>
        <w:tc>
          <w:tcPr>
            <w:tcW w:type="dxa" w:w="6480"/>
            <w:tcMar>
              <w:top w:w="80" w:type="dxa"/>
              <w:bottom w:w="80" w:type="dxa"/>
              <w:left w:w="100" w:type="dxa"/>
              <w:right w:w="100" w:type="dxa"/>
            </w:tcMar>
          </w:tcPr>
          <w:p>
            <w:r>
              <w:t>• Legacies methodologies ignore non-linear feature interactions between complex parameters like combined seasonal rainfall patterns and cloud visibility metrics.</w:t>
            </w:r>
          </w:p>
        </w:tc>
      </w:tr>
      <w:tr>
        <w:tc>
          <w:tcPr>
            <w:tcW w:type="dxa" w:w="3600"/>
            <w:tcMar>
              <w:top w:w="80" w:type="dxa"/>
              <w:bottom w:w="80" w:type="dxa"/>
              <w:left w:w="100" w:type="dxa"/>
              <w:right w:w="100" w:type="dxa"/>
            </w:tcMar>
          </w:tcPr>
          <w:p>
            <w:r>
              <w:rPr>
                <w:b/>
              </w:rPr>
              <w:t>10. YOUR SOLUTION [SL]</w:t>
            </w:r>
          </w:p>
        </w:tc>
        <w:tc>
          <w:tcPr>
            <w:tcW w:type="dxa" w:w="6480"/>
            <w:tcMar>
              <w:top w:w="80" w:type="dxa"/>
              <w:bottom w:w="80" w:type="dxa"/>
              <w:left w:w="100" w:type="dxa"/>
              <w:right w:w="100" w:type="dxa"/>
            </w:tcMar>
          </w:tcPr>
          <w:p>
            <w:r>
              <w:t>• Building an intelligent classification architecture utilizing a saved, 96.55% high-accuracy XGBoost engine pipeline (floods.save) deployed within an accessible Flask web framework.</w:t>
            </w:r>
          </w:p>
        </w:tc>
      </w:tr>
    </w:tbl>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8C8C8C"/>
        <w:sz w:val="17"/>
      </w:rPr>
      <w:t>SMARTBRIDGE   |   SKILL WALLET  (A SmartBridge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