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2, 2026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xxxx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Rising Waters: A Machine Learning Approach to Flood Prediction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 Marks</w:t>
            </w:r>
          </w:p>
        </w:tc>
      </w:tr>
    </w:tbl>
    <w:p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</w:rPr>
        <w:t>Project Proposal (Proposed Solution) Report: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Project Objective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To establish an intelligent, machine learning-driven warning system that evaluates complex meteorological readings to provide early localized flood probability alerts.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Project Scope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Includes exploratory evaluation of open weather indicators, preprocessing data matrices, building classification model pipelines, and saving the optimal code logic inside a distributed cloud-ready web framework.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Problem Description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Conventional forecasting techniques often lack the timing or multi-variable synthesis required to identify sudden flash floods, leaving civil defense teams with little time to respond.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Proposed Approach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Leverage advanced supervised tree architectures (XGBoost) trained on open weather records to deliver real-time flood probability classifications via an input engine panel.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Core Key Features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Interactive dashboard UI panels; high-precision classification models (96.55% test accuracy via XGBoost); scalable cloud pipeline parameters targeted for direct integration on IBM Cloud web systems.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pPr>
        <w:spacing w:before="240"/>
      </w:pPr>
      <w:r>
        <w:rPr>
          <w:b/>
        </w:rPr>
        <w:t>Resource Specification Allocations: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Computing Resources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CPU/GPU configurations (T4 Virtual GPU allocated during cross-validation grids)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Memory / RAM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 GB System Memory Allocation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Storage Unit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 TB SSD storage for model saving, historical logs, and source dataset tables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8C8C8C"/>
        <w:sz w:val="17"/>
      </w:rPr>
      <w:t>SMARTBRIDGE   |   SKILL WALLET  (A SmartBridge Product)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