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Code-Layout, Readability, and Reusability Parameters: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Code Quality Parameter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Description / Implementation Approach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Followed (Yes / No)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Consistent Indentation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Applied standard PEP 8 spacing rules uniformly across both data engineering notebooks and Flask web routing scripts.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Proper File Structure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Organized directory hierarchy cleanly dividing application components (`app.py`), assets (`models/floods.save`), and views (`templates/`).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Meaningful Variable Names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Descriptively named variables mapped directly to environmental features, like `annual_rainfall` and `cloud_visibility`.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Code Comments / Documentation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Documented model loading parameters and custom data standardizer functions with descriptive inline docstrings.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Error Handling Strategies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Implemented structural try-except statements within model prediction pipelines to gracefully intercept anomalous input anomalies.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