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b/>
          <w:color w:val="505050"/>
          <w:sz w:val="26"/>
        </w:rPr>
        <w:t>Project Demo Planning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 Mark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Demo Section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Description / Objectives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Duration (mins)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Responsible Member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Introductory Context &amp; Problem Setup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Detail systemic limits of legacy tracking setups and summarize core multi-variable weather feature profiles.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mins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Exploratory Data Analysis Showcase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Present Pandas statistics, correlation heat maps, distribution plots, and outline pre-processing steps.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 mins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ML Pipeline Validation Benchmarks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Demonstrate training sequences, confusion matrix layouts, and confirm optimal 96.55% XGBoost accuracy.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 mins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Live Flask Web Application Inferencing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Input sample data live to showcase 'Flood Chance' and 'No Flood Chance' dynamic results interfaces.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 mins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</w:tr>
    </w:tbl>
    <w:p>
      <w:pPr>
        <w:spacing w:before="280"/>
      </w:pPr>
      <w:r>
        <w:rPr>
          <w:b/>
        </w:rPr>
        <w:t>Demo Flow Summary: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Step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Introduction &amp; Problem Statement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Establish the core objective of maximizing evacuation windows through automated predictive classifiers.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Solution Overview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Review technical stack components, data engineering pipeline modules, and solution system layout.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Live Feature Demonstration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Execute live test scenarios verifying application input panels and responsive output rendering logic.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Q&amp;A Session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Address scaling parameters, model updates pipelines, and integration on IBM Cloud hosting packages.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