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240"/>
        <w:jc w:val="center"/>
      </w:pPr>
      <w:r>
        <w:rPr>
          <w:b/>
          <w:color w:val="505050"/>
          <w:sz w:val="26"/>
        </w:rPr>
        <w:t>Team Involvement in Demonstration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7F7F7F"/>
          <w:bottom w:val="single" w:sz="6" w:space="0" w:color="7F7F7F"/>
          <w:left w:val="single" w:sz="6" w:space="0" w:color="7F7F7F"/>
          <w:right w:val="single" w:sz="6" w:space="0" w:color="7F7F7F"/>
          <w:insideH w:val="single" w:sz="4" w:space="0" w:color="7F7F7F"/>
          <w:insideV w:val="single" w:sz="4" w:space="0" w:color="7F7F7F"/>
        </w:tblBorders>
      </w:tblPr>
      <w:tblGrid>
        <w:gridCol w:w="4968"/>
        <w:gridCol w:w="4968"/>
      </w:tblGrid>
      <w:tr>
        <w:tc>
          <w:tcPr>
            <w:tcW w:type="dxa" w:w="360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Date</w:t>
            </w:r>
          </w:p>
        </w:tc>
        <w:tc>
          <w:tcPr>
            <w:tcW w:type="dxa" w:w="64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July 2, 2026</w:t>
            </w:r>
          </w:p>
        </w:tc>
      </w:tr>
      <w:tr>
        <w:tc>
          <w:tcPr>
            <w:tcW w:type="dxa" w:w="360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Team ID</w:t>
            </w:r>
          </w:p>
        </w:tc>
        <w:tc>
          <w:tcPr>
            <w:tcW w:type="dxa" w:w="64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xxxx</w:t>
            </w:r>
          </w:p>
        </w:tc>
      </w:tr>
      <w:tr>
        <w:tc>
          <w:tcPr>
            <w:tcW w:type="dxa" w:w="360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Project Name</w:t>
            </w:r>
          </w:p>
        </w:tc>
        <w:tc>
          <w:tcPr>
            <w:tcW w:type="dxa" w:w="64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Rising Waters: A Machine Learning Approach to Flood Prediction</w:t>
            </w:r>
          </w:p>
        </w:tc>
      </w:tr>
      <w:tr>
        <w:tc>
          <w:tcPr>
            <w:tcW w:type="dxa" w:w="360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Maximum Marks</w:t>
            </w:r>
          </w:p>
        </w:tc>
        <w:tc>
          <w:tcPr>
            <w:tcW w:type="dxa" w:w="64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1 Mark</w:t>
            </w:r>
          </w:p>
        </w:tc>
      </w:tr>
    </w:tbl>
    <w:p>
      <w:pPr>
        <w:spacing w:before="240" w:after="240"/>
      </w:pPr>
      <w:r>
        <w:rPr>
          <w:color w:val="7F7F7F"/>
        </w:rPr>
        <w:t>—————————————————————————————————————————————————————————————————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7F7F7F"/>
          <w:bottom w:val="single" w:sz="6" w:space="0" w:color="7F7F7F"/>
          <w:left w:val="single" w:sz="6" w:space="0" w:color="7F7F7F"/>
          <w:right w:val="single" w:sz="6" w:space="0" w:color="7F7F7F"/>
          <w:insideH w:val="single" w:sz="4" w:space="0" w:color="7F7F7F"/>
          <w:insideV w:val="single" w:sz="4" w:space="0" w:color="7F7F7F"/>
        </w:tblBorders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7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S.No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Team Member Name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Role in Demo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Section Presented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Contribution Summary</w:t>
            </w:r>
          </w:p>
        </w:tc>
        <w:tc>
          <w:tcPr>
            <w:tcW w:type="dxa" w:w="115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Participation (Active / Passive)</w:t>
            </w:r>
          </w:p>
        </w:tc>
      </w:tr>
      <w:tr>
        <w:tc>
          <w:tcPr>
            <w:tcW w:type="dxa" w:w="7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1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Gunda Gautham Ganesh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Primary Presenter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End-to-End System, EDA, ML, &amp; Flask App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Demonstrated exploratory data analysis, model training results (XGBoost 96.55% accuracy), and real-time live inferencing inside the web interface.</w:t>
            </w:r>
          </w:p>
        </w:tc>
        <w:tc>
          <w:tcPr>
            <w:tcW w:type="dxa" w:w="115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Active</w:t>
            </w:r>
          </w:p>
        </w:tc>
      </w:tr>
    </w:tbl>
    <w:p>
      <w:pPr>
        <w:spacing w:before="280"/>
      </w:pPr>
      <w:r>
        <w:rPr>
          <w:b/>
        </w:rPr>
        <w:t>Team Coordination Notes: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7F7F7F"/>
          <w:bottom w:val="single" w:sz="6" w:space="0" w:color="7F7F7F"/>
          <w:left w:val="single" w:sz="6" w:space="0" w:color="7F7F7F"/>
          <w:right w:val="single" w:sz="6" w:space="0" w:color="7F7F7F"/>
          <w:insideH w:val="single" w:sz="4" w:space="0" w:color="7F7F7F"/>
          <w:insideV w:val="single" w:sz="4" w:space="0" w:color="7F7F7F"/>
        </w:tblBorders>
      </w:tblPr>
      <w:tblGrid>
        <w:gridCol w:w="4968"/>
        <w:gridCol w:w="4968"/>
      </w:tblGrid>
      <w:tr>
        <w:tc>
          <w:tcPr>
            <w:tcW w:type="dxa" w:w="496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Team Leader / Coordinator</w:t>
            </w:r>
          </w:p>
        </w:tc>
        <w:tc>
          <w:tcPr>
            <w:tcW w:type="dxa" w:w="496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Gunda Gautham Ganesh</w:t>
            </w:r>
          </w:p>
        </w:tc>
      </w:tr>
      <w:tr>
        <w:tc>
          <w:tcPr>
            <w:tcW w:type="dxa" w:w="496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Overall Team Coordination Rating (1-5)</w:t>
            </w:r>
          </w:p>
        </w:tc>
        <w:tc>
          <w:tcPr>
            <w:tcW w:type="dxa" w:w="496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5</w:t>
            </w:r>
          </w:p>
        </w:tc>
      </w:tr>
      <w:tr>
        <w:tc>
          <w:tcPr>
            <w:tcW w:type="dxa" w:w="496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Any issues during demo</w:t>
            </w:r>
          </w:p>
        </w:tc>
        <w:tc>
          <w:tcPr>
            <w:tcW w:type="dxa" w:w="496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None. The application loaded the serialized floods.save model components flawlessly.</w:t>
            </w:r>
          </w:p>
        </w:tc>
      </w:tr>
      <w:tr>
        <w:tc>
          <w:tcPr>
            <w:tcW w:type="dxa" w:w="496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How issues were resolved</w:t>
            </w:r>
          </w:p>
        </w:tc>
        <w:tc>
          <w:tcPr>
            <w:tcW w:type="dxa" w:w="496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Pre-verified deployment dependencies and environment variables configuration prior to presentation live session.</w:t>
            </w:r>
          </w:p>
        </w:tc>
      </w:tr>
    </w:tbl>
    <w:sectPr w:rsidR="00FC693F" w:rsidRPr="0006063C" w:rsidSect="00034616">
      <w:headerReference w:type="default" r:id="rId9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/>
        <w:color w:val="8C8C8C"/>
        <w:sz w:val="17"/>
      </w:rPr>
      <w:t>SMARTBRIDGE   |   SKILL WALLET  (A SmartBridge Product)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