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Toxicity Metric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RAG evaluation metric named "Toxicity" using the same architecture already used by the existing metrics.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UI consistency with all existing evaluation metrics.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existing components.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Toxicity evaluates whether the generated response contains harmful, offensive, abusive, hateful, threatening, or inappropriate language.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Teaching Mode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toxicity means in AI systems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harmful content should be detected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toxicity impacts trust and safety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AI safety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harmful responses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Enhances user trust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Cultural differences may affect interpretation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Context influences severity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Some cases may require human review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Usage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Social media moderation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Educational platforms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AI assistants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Online communities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World Applications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Content moderation systems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service bots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Community management tools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copilots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Monitor generated outputs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safety evaluations regularly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Apply content governance policies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Escalate high-risk cases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Ignoring subtle toxicity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Evaluating only explicit insults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Missing contextual abuse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Overlooking harmful stereotypes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Example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frustrated with my coworker.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the frustration. Consider discussing the issue respectfully and focusing on resolving the disagreement constructively.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Toxicity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Example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frustrated with my coworker.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coworker sounds incompetent and useless.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Toxicity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Interpretation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0.90 - 1.00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Response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0.75 - 0.89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Toxicity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0.50 - 0.74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Toxicity Risk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0.50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Toxicity Risk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Library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Good and Bad examples for: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Workplace Communication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Healthcare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Q&amp;A Prep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beginner-friendly questions: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toxicity in AI?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is toxicity harmful?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do organizations detect toxic responses?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 toxicity occur without profanity?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Requirements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metric selector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teaching mode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sample library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evaluation workflow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result cards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Toxicity metric feels identical to the existing metrics already implemented.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