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86DC" w14:textId="77777777" w:rsidR="00C72F04" w:rsidRDefault="00FA795C">
      <w:pPr>
        <w:jc w:val="center"/>
      </w:pPr>
      <w:r>
        <w:br/>
      </w:r>
      <w:r>
        <w:br/>
      </w:r>
      <w:r>
        <w:br/>
      </w:r>
      <w:r>
        <w:rPr>
          <w:b/>
          <w:color w:val="0F6B78"/>
          <w:sz w:val="26"/>
        </w:rPr>
        <w:t>POINT OF VIEW</w:t>
      </w:r>
    </w:p>
    <w:p w14:paraId="61D88980" w14:textId="77777777" w:rsidR="00C72F04" w:rsidRDefault="00FA795C">
      <w:pPr>
        <w:pStyle w:val="Title"/>
        <w:jc w:val="center"/>
      </w:pPr>
      <w:r>
        <w:t>Enterprise BI Platform Strategy</w:t>
      </w:r>
    </w:p>
    <w:p w14:paraId="4B1FDCB3" w14:textId="77777777" w:rsidR="00C72F04" w:rsidRDefault="00FA795C">
      <w:pPr>
        <w:jc w:val="center"/>
      </w:pPr>
      <w:r>
        <w:rPr>
          <w:b/>
          <w:color w:val="1F4E78"/>
          <w:sz w:val="34"/>
        </w:rPr>
        <w:t>Power BI vs Tableau vs Amazon QuickSight</w:t>
      </w:r>
    </w:p>
    <w:p w14:paraId="206299C5" w14:textId="77777777" w:rsidR="00C72F04" w:rsidRDefault="00FA795C">
      <w:pPr>
        <w:jc w:val="center"/>
      </w:pPr>
      <w:r>
        <w:rPr>
          <w:color w:val="0F6B78"/>
          <w:sz w:val="30"/>
        </w:rPr>
        <w:t>IDB Phase 2</w:t>
      </w:r>
    </w:p>
    <w:p w14:paraId="01B1CCC6" w14:textId="77777777" w:rsidR="00C72F04" w:rsidRDefault="00FA795C">
      <w:r>
        <w:br/>
      </w:r>
    </w:p>
    <w:tbl>
      <w:tblPr>
        <w:tblStyle w:val="TableGrid"/>
        <w:tblW w:w="0" w:type="auto"/>
        <w:tblLook w:val="04A0" w:firstRow="1" w:lastRow="0" w:firstColumn="1" w:lastColumn="0" w:noHBand="0" w:noVBand="1"/>
      </w:tblPr>
      <w:tblGrid>
        <w:gridCol w:w="10282"/>
      </w:tblGrid>
      <w:tr w:rsidR="00C72F04" w14:paraId="0E156A60" w14:textId="77777777">
        <w:tc>
          <w:tcPr>
            <w:tcW w:w="10282" w:type="dxa"/>
            <w:shd w:val="clear" w:color="auto" w:fill="EEF5FA"/>
            <w:tcMar>
              <w:top w:w="110" w:type="dxa"/>
              <w:left w:w="125" w:type="dxa"/>
              <w:bottom w:w="110" w:type="dxa"/>
              <w:right w:w="125" w:type="dxa"/>
            </w:tcMar>
          </w:tcPr>
          <w:p w14:paraId="1D096FDE" w14:textId="2A01A344" w:rsidR="00C72F04" w:rsidRPr="00955615" w:rsidRDefault="00FA795C">
            <w:pPr>
              <w:rPr>
                <w:lang w:val="en-IN"/>
              </w:rPr>
            </w:pPr>
            <w:r>
              <w:rPr>
                <w:b/>
                <w:color w:val="17365D"/>
              </w:rPr>
              <w:t xml:space="preserve">Decision context:  </w:t>
            </w:r>
            <w:r w:rsidR="00E54D66" w:rsidRPr="00E54D66">
              <w:rPr>
                <w:lang w:val="en-IN"/>
              </w:rPr>
              <w:t xml:space="preserve">IDB is evaluating its long-term analytics strategy while simultaneously defining its target cloud and data platform architecture. The choice between Power BI, Tableau, and Amazon QuickSight should not be based solely on product capabilities, but on alignment with Snowflake hosting strategy, enterprise reporting requirements, self-service analytics, AI-enabled insights, governance, scalability, operating model, and total cost of ownership. </w:t>
            </w:r>
          </w:p>
        </w:tc>
      </w:tr>
    </w:tbl>
    <w:p w14:paraId="669E9D5E" w14:textId="77777777" w:rsidR="00C72F04" w:rsidRDefault="00C72F04">
      <w:pPr>
        <w:spacing w:after="0"/>
      </w:pPr>
    </w:p>
    <w:p w14:paraId="6E081DB3" w14:textId="77777777" w:rsidR="00C72F04" w:rsidRDefault="00FA795C">
      <w:pPr>
        <w:jc w:val="center"/>
      </w:pPr>
      <w:r>
        <w:rPr>
          <w:b/>
        </w:rPr>
        <w:t>Prepared by Ascendion</w:t>
      </w:r>
      <w:r>
        <w:rPr>
          <w:b/>
        </w:rPr>
        <w:br/>
      </w:r>
      <w:r>
        <w:t>23 October 2026 | Version 2.1 | Confidential</w:t>
      </w:r>
    </w:p>
    <w:p w14:paraId="48685436" w14:textId="77777777" w:rsidR="00C72F04" w:rsidRDefault="00FA795C">
      <w:r>
        <w:br w:type="page"/>
      </w:r>
    </w:p>
    <w:p w14:paraId="657382F1" w14:textId="77777777" w:rsidR="00C72F04" w:rsidRDefault="00FA795C">
      <w:pPr>
        <w:pStyle w:val="Heading1"/>
      </w:pPr>
      <w:r>
        <w:lastRenderedPageBreak/>
        <w:t>1. Executive Summary</w:t>
      </w:r>
    </w:p>
    <w:p w14:paraId="1B7343E6" w14:textId="77777777" w:rsidR="00C72F04" w:rsidRDefault="00FA795C">
      <w:r>
        <w:t>IDB should select its strategic BI platform as part of the target cloud and data architecture, not as an isolated product decision. The current on-premises estate, FIS migration, data-center exit, Snowflake hosting choice and reporting consolidation are evolving in parallel.</w:t>
      </w:r>
    </w:p>
    <w:tbl>
      <w:tblPr>
        <w:tblStyle w:val="TableGrid"/>
        <w:tblW w:w="0" w:type="auto"/>
        <w:tblInd w:w="125" w:type="dxa"/>
        <w:tblLook w:val="04A0" w:firstRow="1" w:lastRow="0" w:firstColumn="1" w:lastColumn="0" w:noHBand="0" w:noVBand="1"/>
      </w:tblPr>
      <w:tblGrid>
        <w:gridCol w:w="10157"/>
      </w:tblGrid>
      <w:tr w:rsidR="00C72F04" w14:paraId="22495363" w14:textId="77777777" w:rsidTr="00494181">
        <w:tc>
          <w:tcPr>
            <w:tcW w:w="10157" w:type="dxa"/>
            <w:shd w:val="clear" w:color="auto" w:fill="E2F0D9"/>
            <w:tcMar>
              <w:top w:w="110" w:type="dxa"/>
              <w:left w:w="125" w:type="dxa"/>
              <w:bottom w:w="110" w:type="dxa"/>
              <w:right w:w="125" w:type="dxa"/>
            </w:tcMar>
          </w:tcPr>
          <w:p w14:paraId="30009B0F" w14:textId="25B1171E" w:rsidR="00C72F04" w:rsidRDefault="00FA795C">
            <w:r>
              <w:rPr>
                <w:b/>
                <w:color w:val="17365D"/>
              </w:rPr>
              <w:t xml:space="preserve">POV recommendation:  </w:t>
            </w:r>
            <w:r w:rsidR="00AA3BC9" w:rsidRPr="00595DDF">
              <w:rPr>
                <w:lang w:val="en-IN"/>
              </w:rPr>
              <w:t xml:space="preserve">The BI platform decision should be driven by IDB's target-state cloud and data architecture rather than product features alone. </w:t>
            </w:r>
            <w:r w:rsidR="00AA3BC9" w:rsidRPr="004031A5">
              <w:rPr>
                <w:b/>
                <w:bCs/>
                <w:lang w:val="en-IN"/>
              </w:rPr>
              <w:t>Ascendion recommends assessing Power BI, Tableau, and Amazon QuickSight against documented architectural, functional, operational, governance, and TCO criteria.</w:t>
            </w:r>
            <w:r w:rsidR="00AA3BC9" w:rsidRPr="00595DDF">
              <w:rPr>
                <w:lang w:val="en-IN"/>
              </w:rPr>
              <w:t xml:space="preserve"> The final strategic BI platform selection should be aligned to the confirmed Snowflake hosting model (AWS or Azure), cloud strategy, security requirements, refresh SLAs, user economics, and long-term operating model.</w:t>
            </w:r>
          </w:p>
        </w:tc>
      </w:tr>
    </w:tbl>
    <w:p w14:paraId="7210B4A2" w14:textId="77777777" w:rsidR="00C72F04" w:rsidRDefault="00C72F04">
      <w:pPr>
        <w:spacing w:after="0"/>
      </w:pPr>
    </w:p>
    <w:p w14:paraId="59DA36E4" w14:textId="77777777" w:rsidR="000D0C7A" w:rsidRDefault="000D0C7A" w:rsidP="000D0C7A">
      <w:pPr>
        <w:spacing w:after="20"/>
      </w:pPr>
    </w:p>
    <w:tbl>
      <w:tblPr>
        <w:tblStyle w:val="TableGrid"/>
        <w:tblW w:w="0" w:type="auto"/>
        <w:jc w:val="center"/>
        <w:tblLook w:val="04A0" w:firstRow="1" w:lastRow="0" w:firstColumn="1" w:lastColumn="0" w:noHBand="0" w:noVBand="1"/>
      </w:tblPr>
      <w:tblGrid>
        <w:gridCol w:w="1922"/>
        <w:gridCol w:w="3200"/>
        <w:gridCol w:w="5242"/>
      </w:tblGrid>
      <w:tr w:rsidR="000D0C7A" w14:paraId="697FD1EF" w14:textId="77777777" w:rsidTr="00C524B8">
        <w:trPr>
          <w:tblHeader/>
          <w:jc w:val="center"/>
        </w:trPr>
        <w:tc>
          <w:tcPr>
            <w:tcW w:w="1922" w:type="dxa"/>
            <w:shd w:val="clear" w:color="auto" w:fill="17365D"/>
            <w:tcMar>
              <w:top w:w="70" w:type="dxa"/>
              <w:left w:w="70" w:type="dxa"/>
              <w:bottom w:w="70" w:type="dxa"/>
              <w:right w:w="70" w:type="dxa"/>
            </w:tcMar>
          </w:tcPr>
          <w:p w14:paraId="23789D20" w14:textId="77777777" w:rsidR="000D0C7A" w:rsidRDefault="000D0C7A" w:rsidP="00C524B8">
            <w:r>
              <w:rPr>
                <w:b/>
                <w:color w:val="FFFFFF"/>
                <w:sz w:val="16"/>
              </w:rPr>
              <w:t>Decision horizon</w:t>
            </w:r>
          </w:p>
        </w:tc>
        <w:tc>
          <w:tcPr>
            <w:tcW w:w="3200" w:type="dxa"/>
            <w:shd w:val="clear" w:color="auto" w:fill="17365D"/>
            <w:tcMar>
              <w:top w:w="70" w:type="dxa"/>
              <w:left w:w="70" w:type="dxa"/>
              <w:bottom w:w="70" w:type="dxa"/>
              <w:right w:w="70" w:type="dxa"/>
            </w:tcMar>
          </w:tcPr>
          <w:p w14:paraId="6530955C" w14:textId="77777777" w:rsidR="000D0C7A" w:rsidRDefault="000D0C7A" w:rsidP="00C524B8">
            <w:r>
              <w:rPr>
                <w:b/>
                <w:color w:val="FFFFFF"/>
                <w:sz w:val="16"/>
              </w:rPr>
              <w:t>Recommended position</w:t>
            </w:r>
          </w:p>
        </w:tc>
        <w:tc>
          <w:tcPr>
            <w:tcW w:w="5242" w:type="dxa"/>
            <w:shd w:val="clear" w:color="auto" w:fill="17365D"/>
            <w:tcMar>
              <w:top w:w="70" w:type="dxa"/>
              <w:left w:w="70" w:type="dxa"/>
              <w:bottom w:w="70" w:type="dxa"/>
              <w:right w:w="70" w:type="dxa"/>
            </w:tcMar>
          </w:tcPr>
          <w:p w14:paraId="13DEE83B" w14:textId="77777777" w:rsidR="000D0C7A" w:rsidRDefault="000D0C7A" w:rsidP="00C524B8">
            <w:r>
              <w:rPr>
                <w:b/>
                <w:color w:val="FFFFFF"/>
                <w:sz w:val="16"/>
              </w:rPr>
              <w:t>Rationale</w:t>
            </w:r>
          </w:p>
        </w:tc>
      </w:tr>
      <w:tr w:rsidR="000D0C7A" w14:paraId="03004E21" w14:textId="77777777" w:rsidTr="00C524B8">
        <w:trPr>
          <w:jc w:val="center"/>
        </w:trPr>
        <w:tc>
          <w:tcPr>
            <w:tcW w:w="1922" w:type="dxa"/>
            <w:shd w:val="clear" w:color="auto" w:fill="EEF5FA"/>
            <w:tcMar>
              <w:top w:w="70" w:type="dxa"/>
              <w:left w:w="70" w:type="dxa"/>
              <w:bottom w:w="70" w:type="dxa"/>
              <w:right w:w="70" w:type="dxa"/>
            </w:tcMar>
            <w:vAlign w:val="center"/>
          </w:tcPr>
          <w:p w14:paraId="67A5A7FF" w14:textId="77777777" w:rsidR="000D0C7A" w:rsidRDefault="000D0C7A" w:rsidP="00C524B8">
            <w:pPr>
              <w:spacing w:after="0"/>
            </w:pPr>
            <w:r>
              <w:rPr>
                <w:sz w:val="15"/>
              </w:rPr>
              <w:t>If Snowflake is on AWS</w:t>
            </w:r>
          </w:p>
        </w:tc>
        <w:tc>
          <w:tcPr>
            <w:tcW w:w="3200" w:type="dxa"/>
            <w:shd w:val="clear" w:color="auto" w:fill="EEF5FA"/>
            <w:tcMar>
              <w:top w:w="70" w:type="dxa"/>
              <w:left w:w="70" w:type="dxa"/>
              <w:bottom w:w="70" w:type="dxa"/>
              <w:right w:w="70" w:type="dxa"/>
            </w:tcMar>
            <w:vAlign w:val="center"/>
          </w:tcPr>
          <w:p w14:paraId="592ACA3C" w14:textId="77777777" w:rsidR="000D0C7A" w:rsidRDefault="000D0C7A" w:rsidP="00C524B8">
            <w:pPr>
              <w:spacing w:after="0"/>
            </w:pPr>
            <w:r>
              <w:rPr>
                <w:sz w:val="15"/>
              </w:rPr>
              <w:t>QuickSight has the strongest cloud alignment; Tableau remains the strongest cloud-neutral analytics option; Power BI remains viable with cross-cloud controls.</w:t>
            </w:r>
          </w:p>
        </w:tc>
        <w:tc>
          <w:tcPr>
            <w:tcW w:w="5242" w:type="dxa"/>
            <w:shd w:val="clear" w:color="auto" w:fill="EEF5FA"/>
            <w:tcMar>
              <w:top w:w="70" w:type="dxa"/>
              <w:left w:w="70" w:type="dxa"/>
              <w:bottom w:w="70" w:type="dxa"/>
              <w:right w:w="70" w:type="dxa"/>
            </w:tcMar>
            <w:vAlign w:val="center"/>
          </w:tcPr>
          <w:p w14:paraId="599D4F84" w14:textId="77777777" w:rsidR="000D0C7A" w:rsidRDefault="000D0C7A" w:rsidP="00C524B8">
            <w:pPr>
              <w:spacing w:after="0"/>
            </w:pPr>
            <w:r>
              <w:rPr>
                <w:sz w:val="15"/>
              </w:rPr>
              <w:t>Balances AWS affinity, existing Tableau experience, and Power BI functional strengths.</w:t>
            </w:r>
          </w:p>
        </w:tc>
      </w:tr>
      <w:tr w:rsidR="000D0C7A" w14:paraId="721ECDE2" w14:textId="77777777" w:rsidTr="00C524B8">
        <w:trPr>
          <w:jc w:val="center"/>
        </w:trPr>
        <w:tc>
          <w:tcPr>
            <w:tcW w:w="1922" w:type="dxa"/>
            <w:tcMar>
              <w:top w:w="70" w:type="dxa"/>
              <w:left w:w="70" w:type="dxa"/>
              <w:bottom w:w="70" w:type="dxa"/>
              <w:right w:w="70" w:type="dxa"/>
            </w:tcMar>
            <w:vAlign w:val="center"/>
          </w:tcPr>
          <w:p w14:paraId="3DC1ECEE" w14:textId="77777777" w:rsidR="000D0C7A" w:rsidRDefault="000D0C7A" w:rsidP="00C524B8">
            <w:pPr>
              <w:spacing w:after="0"/>
            </w:pPr>
            <w:r>
              <w:rPr>
                <w:sz w:val="15"/>
              </w:rPr>
              <w:t>If Snowflake is on Azure</w:t>
            </w:r>
          </w:p>
        </w:tc>
        <w:tc>
          <w:tcPr>
            <w:tcW w:w="3200" w:type="dxa"/>
            <w:tcMar>
              <w:top w:w="70" w:type="dxa"/>
              <w:left w:w="70" w:type="dxa"/>
              <w:bottom w:w="70" w:type="dxa"/>
              <w:right w:w="70" w:type="dxa"/>
            </w:tcMar>
            <w:vAlign w:val="center"/>
          </w:tcPr>
          <w:p w14:paraId="53AB2EFE" w14:textId="77777777" w:rsidR="000D0C7A" w:rsidRDefault="000D0C7A" w:rsidP="00C524B8">
            <w:pPr>
              <w:spacing w:after="0"/>
            </w:pPr>
            <w:r>
              <w:rPr>
                <w:sz w:val="15"/>
              </w:rPr>
              <w:t>Power BI becomes the leading strategic option; Tableau remains viable; QuickSight introduces a cross-cloud pattern.</w:t>
            </w:r>
          </w:p>
        </w:tc>
        <w:tc>
          <w:tcPr>
            <w:tcW w:w="5242" w:type="dxa"/>
            <w:tcMar>
              <w:top w:w="70" w:type="dxa"/>
              <w:left w:w="70" w:type="dxa"/>
              <w:bottom w:w="70" w:type="dxa"/>
              <w:right w:w="70" w:type="dxa"/>
            </w:tcMar>
            <w:vAlign w:val="center"/>
          </w:tcPr>
          <w:p w14:paraId="6936B085" w14:textId="77777777" w:rsidR="000D0C7A" w:rsidRDefault="000D0C7A" w:rsidP="00C524B8">
            <w:pPr>
              <w:spacing w:after="0"/>
            </w:pPr>
            <w:r>
              <w:rPr>
                <w:sz w:val="15"/>
              </w:rPr>
              <w:t>Best alignment with M365, Microsoft Entra ID, Microsoft Fabric roadmap and same-cloud networking.</w:t>
            </w:r>
          </w:p>
        </w:tc>
      </w:tr>
      <w:tr w:rsidR="000D0C7A" w14:paraId="02B4B85E" w14:textId="77777777" w:rsidTr="00C524B8">
        <w:trPr>
          <w:jc w:val="center"/>
        </w:trPr>
        <w:tc>
          <w:tcPr>
            <w:tcW w:w="1922" w:type="dxa"/>
            <w:shd w:val="clear" w:color="auto" w:fill="EEF5FA"/>
            <w:tcMar>
              <w:top w:w="70" w:type="dxa"/>
              <w:left w:w="70" w:type="dxa"/>
              <w:bottom w:w="70" w:type="dxa"/>
              <w:right w:w="70" w:type="dxa"/>
            </w:tcMar>
            <w:vAlign w:val="center"/>
          </w:tcPr>
          <w:p w14:paraId="22CD42B3" w14:textId="77777777" w:rsidR="000D0C7A" w:rsidRDefault="000D0C7A" w:rsidP="00C524B8">
            <w:pPr>
              <w:spacing w:after="0"/>
            </w:pPr>
            <w:r>
              <w:rPr>
                <w:sz w:val="15"/>
              </w:rPr>
              <w:t>If multi-cloud remains strategic</w:t>
            </w:r>
          </w:p>
        </w:tc>
        <w:tc>
          <w:tcPr>
            <w:tcW w:w="3200" w:type="dxa"/>
            <w:shd w:val="clear" w:color="auto" w:fill="EEF5FA"/>
            <w:tcMar>
              <w:top w:w="70" w:type="dxa"/>
              <w:left w:w="70" w:type="dxa"/>
              <w:bottom w:w="70" w:type="dxa"/>
              <w:right w:w="70" w:type="dxa"/>
            </w:tcMar>
            <w:vAlign w:val="center"/>
          </w:tcPr>
          <w:p w14:paraId="3784A093" w14:textId="77777777" w:rsidR="000D0C7A" w:rsidRDefault="000D0C7A" w:rsidP="00C524B8">
            <w:pPr>
              <w:spacing w:after="0"/>
            </w:pPr>
            <w:r>
              <w:rPr>
                <w:sz w:val="15"/>
              </w:rPr>
              <w:t>Prefer Tableau or a deliberately governed Power BI architecture; avoid choosing solely on native-cloud affinity.</w:t>
            </w:r>
          </w:p>
        </w:tc>
        <w:tc>
          <w:tcPr>
            <w:tcW w:w="5242" w:type="dxa"/>
            <w:shd w:val="clear" w:color="auto" w:fill="EEF5FA"/>
            <w:tcMar>
              <w:top w:w="70" w:type="dxa"/>
              <w:left w:w="70" w:type="dxa"/>
              <w:bottom w:w="70" w:type="dxa"/>
              <w:right w:w="70" w:type="dxa"/>
            </w:tcMar>
            <w:vAlign w:val="center"/>
          </w:tcPr>
          <w:p w14:paraId="7610EF2E" w14:textId="77777777" w:rsidR="000D0C7A" w:rsidRDefault="000D0C7A" w:rsidP="00C524B8">
            <w:pPr>
              <w:spacing w:after="0"/>
            </w:pPr>
            <w:r>
              <w:rPr>
                <w:sz w:val="15"/>
              </w:rPr>
              <w:t>Portability, governance and operating model become more important than service proximity.</w:t>
            </w:r>
          </w:p>
        </w:tc>
      </w:tr>
    </w:tbl>
    <w:p w14:paraId="6A119CFA" w14:textId="77777777" w:rsidR="000D0C7A" w:rsidRDefault="000D0C7A" w:rsidP="000D0C7A">
      <w:pPr>
        <w:spacing w:after="20"/>
      </w:pPr>
    </w:p>
    <w:p w14:paraId="40C010D1" w14:textId="77777777" w:rsidR="000D0C7A" w:rsidRDefault="000D0C7A" w:rsidP="000D0C7A">
      <w:pPr>
        <w:pStyle w:val="Heading2"/>
      </w:pPr>
      <w:r>
        <w:t>Recommended conditional ranking</w:t>
      </w:r>
    </w:p>
    <w:tbl>
      <w:tblPr>
        <w:tblStyle w:val="TableGrid"/>
        <w:tblW w:w="0" w:type="auto"/>
        <w:jc w:val="center"/>
        <w:tblLook w:val="04A0" w:firstRow="1" w:lastRow="0" w:firstColumn="1" w:lastColumn="0" w:noHBand="0" w:noVBand="1"/>
      </w:tblPr>
      <w:tblGrid>
        <w:gridCol w:w="2880"/>
        <w:gridCol w:w="2448"/>
        <w:gridCol w:w="2448"/>
        <w:gridCol w:w="2448"/>
      </w:tblGrid>
      <w:tr w:rsidR="000D0C7A" w14:paraId="76D98DA6" w14:textId="77777777" w:rsidTr="00C524B8">
        <w:trPr>
          <w:tblHeader/>
          <w:jc w:val="center"/>
        </w:trPr>
        <w:tc>
          <w:tcPr>
            <w:tcW w:w="2880" w:type="dxa"/>
            <w:shd w:val="clear" w:color="auto" w:fill="17365D"/>
            <w:tcMar>
              <w:top w:w="70" w:type="dxa"/>
              <w:left w:w="70" w:type="dxa"/>
              <w:bottom w:w="70" w:type="dxa"/>
              <w:right w:w="70" w:type="dxa"/>
            </w:tcMar>
          </w:tcPr>
          <w:p w14:paraId="23520548" w14:textId="77777777" w:rsidR="000D0C7A" w:rsidRDefault="000D0C7A" w:rsidP="00C524B8">
            <w:r>
              <w:rPr>
                <w:b/>
                <w:color w:val="FFFFFF"/>
                <w:sz w:val="16"/>
              </w:rPr>
              <w:t>Future state</w:t>
            </w:r>
          </w:p>
        </w:tc>
        <w:tc>
          <w:tcPr>
            <w:tcW w:w="2448" w:type="dxa"/>
            <w:shd w:val="clear" w:color="auto" w:fill="17365D"/>
            <w:tcMar>
              <w:top w:w="70" w:type="dxa"/>
              <w:left w:w="70" w:type="dxa"/>
              <w:bottom w:w="70" w:type="dxa"/>
              <w:right w:w="70" w:type="dxa"/>
            </w:tcMar>
          </w:tcPr>
          <w:p w14:paraId="1CA16F74" w14:textId="77777777" w:rsidR="000D0C7A" w:rsidRDefault="000D0C7A" w:rsidP="00C524B8">
            <w:r>
              <w:rPr>
                <w:b/>
                <w:color w:val="FFFFFF"/>
                <w:sz w:val="16"/>
              </w:rPr>
              <w:t>1st</w:t>
            </w:r>
          </w:p>
        </w:tc>
        <w:tc>
          <w:tcPr>
            <w:tcW w:w="2448" w:type="dxa"/>
            <w:shd w:val="clear" w:color="auto" w:fill="17365D"/>
            <w:tcMar>
              <w:top w:w="70" w:type="dxa"/>
              <w:left w:w="70" w:type="dxa"/>
              <w:bottom w:w="70" w:type="dxa"/>
              <w:right w:w="70" w:type="dxa"/>
            </w:tcMar>
          </w:tcPr>
          <w:p w14:paraId="783D75E0" w14:textId="77777777" w:rsidR="000D0C7A" w:rsidRDefault="000D0C7A" w:rsidP="00C524B8">
            <w:r>
              <w:rPr>
                <w:b/>
                <w:color w:val="FFFFFF"/>
                <w:sz w:val="16"/>
              </w:rPr>
              <w:t>2nd</w:t>
            </w:r>
          </w:p>
        </w:tc>
        <w:tc>
          <w:tcPr>
            <w:tcW w:w="2448" w:type="dxa"/>
            <w:shd w:val="clear" w:color="auto" w:fill="17365D"/>
            <w:tcMar>
              <w:top w:w="70" w:type="dxa"/>
              <w:left w:w="70" w:type="dxa"/>
              <w:bottom w:w="70" w:type="dxa"/>
              <w:right w:w="70" w:type="dxa"/>
            </w:tcMar>
          </w:tcPr>
          <w:p w14:paraId="68E0102D" w14:textId="77777777" w:rsidR="000D0C7A" w:rsidRDefault="000D0C7A" w:rsidP="00C524B8">
            <w:r>
              <w:rPr>
                <w:b/>
                <w:color w:val="FFFFFF"/>
                <w:sz w:val="16"/>
              </w:rPr>
              <w:t>3rd</w:t>
            </w:r>
          </w:p>
        </w:tc>
      </w:tr>
      <w:tr w:rsidR="000D0C7A" w14:paraId="7C17F711" w14:textId="77777777" w:rsidTr="00C524B8">
        <w:trPr>
          <w:jc w:val="center"/>
        </w:trPr>
        <w:tc>
          <w:tcPr>
            <w:tcW w:w="2880" w:type="dxa"/>
            <w:tcMar>
              <w:top w:w="70" w:type="dxa"/>
              <w:left w:w="70" w:type="dxa"/>
              <w:bottom w:w="70" w:type="dxa"/>
              <w:right w:w="70" w:type="dxa"/>
            </w:tcMar>
            <w:vAlign w:val="center"/>
          </w:tcPr>
          <w:p w14:paraId="131C0A73" w14:textId="77777777" w:rsidR="000D0C7A" w:rsidRDefault="000D0C7A" w:rsidP="00C524B8">
            <w:pPr>
              <w:spacing w:after="0"/>
            </w:pPr>
            <w:r>
              <w:rPr>
                <w:sz w:val="16"/>
              </w:rPr>
              <w:t>Snowflake on AWS</w:t>
            </w:r>
          </w:p>
        </w:tc>
        <w:tc>
          <w:tcPr>
            <w:tcW w:w="2448" w:type="dxa"/>
            <w:tcMar>
              <w:top w:w="70" w:type="dxa"/>
              <w:left w:w="70" w:type="dxa"/>
              <w:bottom w:w="70" w:type="dxa"/>
              <w:right w:w="70" w:type="dxa"/>
            </w:tcMar>
            <w:vAlign w:val="center"/>
          </w:tcPr>
          <w:p w14:paraId="35C99C0B" w14:textId="77777777" w:rsidR="000D0C7A" w:rsidRDefault="000D0C7A" w:rsidP="00C524B8">
            <w:pPr>
              <w:spacing w:after="0"/>
            </w:pPr>
            <w:r>
              <w:rPr>
                <w:sz w:val="16"/>
              </w:rPr>
              <w:t>Amazon QuickSight</w:t>
            </w:r>
          </w:p>
        </w:tc>
        <w:tc>
          <w:tcPr>
            <w:tcW w:w="2448" w:type="dxa"/>
            <w:tcMar>
              <w:top w:w="70" w:type="dxa"/>
              <w:left w:w="70" w:type="dxa"/>
              <w:bottom w:w="70" w:type="dxa"/>
              <w:right w:w="70" w:type="dxa"/>
            </w:tcMar>
            <w:vAlign w:val="center"/>
          </w:tcPr>
          <w:p w14:paraId="127429AA" w14:textId="77777777" w:rsidR="000D0C7A" w:rsidRDefault="000D0C7A" w:rsidP="00C524B8">
            <w:pPr>
              <w:spacing w:after="0"/>
            </w:pPr>
            <w:r>
              <w:rPr>
                <w:sz w:val="16"/>
              </w:rPr>
              <w:t>Tableau</w:t>
            </w:r>
          </w:p>
        </w:tc>
        <w:tc>
          <w:tcPr>
            <w:tcW w:w="2448" w:type="dxa"/>
            <w:tcMar>
              <w:top w:w="70" w:type="dxa"/>
              <w:left w:w="70" w:type="dxa"/>
              <w:bottom w:w="70" w:type="dxa"/>
              <w:right w:w="70" w:type="dxa"/>
            </w:tcMar>
            <w:vAlign w:val="center"/>
          </w:tcPr>
          <w:p w14:paraId="0D6F262B" w14:textId="77777777" w:rsidR="000D0C7A" w:rsidRDefault="000D0C7A" w:rsidP="00C524B8">
            <w:pPr>
              <w:spacing w:after="0"/>
            </w:pPr>
            <w:r>
              <w:rPr>
                <w:sz w:val="16"/>
              </w:rPr>
              <w:t>Power BI</w:t>
            </w:r>
          </w:p>
        </w:tc>
      </w:tr>
      <w:tr w:rsidR="000D0C7A" w14:paraId="6A848964" w14:textId="77777777" w:rsidTr="00C524B8">
        <w:trPr>
          <w:jc w:val="center"/>
        </w:trPr>
        <w:tc>
          <w:tcPr>
            <w:tcW w:w="2880" w:type="dxa"/>
            <w:shd w:val="clear" w:color="auto" w:fill="EEF5FA"/>
            <w:tcMar>
              <w:top w:w="70" w:type="dxa"/>
              <w:left w:w="70" w:type="dxa"/>
              <w:bottom w:w="70" w:type="dxa"/>
              <w:right w:w="70" w:type="dxa"/>
            </w:tcMar>
            <w:vAlign w:val="center"/>
          </w:tcPr>
          <w:p w14:paraId="3E6E30E6" w14:textId="77777777" w:rsidR="000D0C7A" w:rsidRDefault="000D0C7A" w:rsidP="00C524B8">
            <w:pPr>
              <w:spacing w:after="0"/>
            </w:pPr>
            <w:r>
              <w:rPr>
                <w:sz w:val="16"/>
              </w:rPr>
              <w:t>Snowflake on Azure</w:t>
            </w:r>
          </w:p>
        </w:tc>
        <w:tc>
          <w:tcPr>
            <w:tcW w:w="2448" w:type="dxa"/>
            <w:shd w:val="clear" w:color="auto" w:fill="EEF5FA"/>
            <w:tcMar>
              <w:top w:w="70" w:type="dxa"/>
              <w:left w:w="70" w:type="dxa"/>
              <w:bottom w:w="70" w:type="dxa"/>
              <w:right w:w="70" w:type="dxa"/>
            </w:tcMar>
            <w:vAlign w:val="center"/>
          </w:tcPr>
          <w:p w14:paraId="2456CCC9" w14:textId="77777777" w:rsidR="000D0C7A" w:rsidRDefault="000D0C7A" w:rsidP="00C524B8">
            <w:pPr>
              <w:spacing w:after="0"/>
            </w:pPr>
            <w:r>
              <w:rPr>
                <w:sz w:val="16"/>
              </w:rPr>
              <w:t>Power BI</w:t>
            </w:r>
          </w:p>
        </w:tc>
        <w:tc>
          <w:tcPr>
            <w:tcW w:w="2448" w:type="dxa"/>
            <w:shd w:val="clear" w:color="auto" w:fill="EEF5FA"/>
            <w:tcMar>
              <w:top w:w="70" w:type="dxa"/>
              <w:left w:w="70" w:type="dxa"/>
              <w:bottom w:w="70" w:type="dxa"/>
              <w:right w:w="70" w:type="dxa"/>
            </w:tcMar>
            <w:vAlign w:val="center"/>
          </w:tcPr>
          <w:p w14:paraId="30FAFDB5" w14:textId="77777777" w:rsidR="000D0C7A" w:rsidRDefault="000D0C7A" w:rsidP="00C524B8">
            <w:pPr>
              <w:spacing w:after="0"/>
            </w:pPr>
            <w:r>
              <w:rPr>
                <w:sz w:val="16"/>
              </w:rPr>
              <w:t>Tableau</w:t>
            </w:r>
          </w:p>
        </w:tc>
        <w:tc>
          <w:tcPr>
            <w:tcW w:w="2448" w:type="dxa"/>
            <w:shd w:val="clear" w:color="auto" w:fill="EEF5FA"/>
            <w:tcMar>
              <w:top w:w="70" w:type="dxa"/>
              <w:left w:w="70" w:type="dxa"/>
              <w:bottom w:w="70" w:type="dxa"/>
              <w:right w:w="70" w:type="dxa"/>
            </w:tcMar>
            <w:vAlign w:val="center"/>
          </w:tcPr>
          <w:p w14:paraId="27E3D58F" w14:textId="77777777" w:rsidR="000D0C7A" w:rsidRDefault="000D0C7A" w:rsidP="00C524B8">
            <w:pPr>
              <w:spacing w:after="0"/>
            </w:pPr>
            <w:r>
              <w:rPr>
                <w:sz w:val="16"/>
              </w:rPr>
              <w:t>Amazon QuickSight</w:t>
            </w:r>
          </w:p>
        </w:tc>
      </w:tr>
      <w:tr w:rsidR="000D0C7A" w14:paraId="4699E1FF" w14:textId="77777777" w:rsidTr="00C524B8">
        <w:trPr>
          <w:jc w:val="center"/>
        </w:trPr>
        <w:tc>
          <w:tcPr>
            <w:tcW w:w="2880" w:type="dxa"/>
            <w:tcMar>
              <w:top w:w="70" w:type="dxa"/>
              <w:left w:w="70" w:type="dxa"/>
              <w:bottom w:w="70" w:type="dxa"/>
              <w:right w:w="70" w:type="dxa"/>
            </w:tcMar>
            <w:vAlign w:val="center"/>
          </w:tcPr>
          <w:p w14:paraId="7997B53D" w14:textId="77777777" w:rsidR="000D0C7A" w:rsidRDefault="000D0C7A" w:rsidP="00C524B8">
            <w:pPr>
              <w:spacing w:after="0"/>
            </w:pPr>
            <w:r>
              <w:rPr>
                <w:sz w:val="16"/>
              </w:rPr>
              <w:t>Cloud decision unresolved</w:t>
            </w:r>
          </w:p>
        </w:tc>
        <w:tc>
          <w:tcPr>
            <w:tcW w:w="2448" w:type="dxa"/>
            <w:tcMar>
              <w:top w:w="70" w:type="dxa"/>
              <w:left w:w="70" w:type="dxa"/>
              <w:bottom w:w="70" w:type="dxa"/>
              <w:right w:w="70" w:type="dxa"/>
            </w:tcMar>
            <w:vAlign w:val="center"/>
          </w:tcPr>
          <w:p w14:paraId="4C10E54A" w14:textId="77777777" w:rsidR="000D0C7A" w:rsidRDefault="000D0C7A" w:rsidP="00C524B8">
            <w:pPr>
              <w:spacing w:after="0"/>
            </w:pPr>
            <w:r>
              <w:rPr>
                <w:sz w:val="16"/>
              </w:rPr>
              <w:t>Tableau / defer final standard</w:t>
            </w:r>
          </w:p>
        </w:tc>
        <w:tc>
          <w:tcPr>
            <w:tcW w:w="2448" w:type="dxa"/>
            <w:tcMar>
              <w:top w:w="70" w:type="dxa"/>
              <w:left w:w="70" w:type="dxa"/>
              <w:bottom w:w="70" w:type="dxa"/>
              <w:right w:w="70" w:type="dxa"/>
            </w:tcMar>
            <w:vAlign w:val="center"/>
          </w:tcPr>
          <w:p w14:paraId="3F3912BD" w14:textId="77777777" w:rsidR="000D0C7A" w:rsidRDefault="000D0C7A" w:rsidP="00C524B8">
            <w:pPr>
              <w:spacing w:after="0"/>
            </w:pPr>
            <w:r>
              <w:rPr>
                <w:sz w:val="16"/>
              </w:rPr>
              <w:t>Power BI technical assessment</w:t>
            </w:r>
          </w:p>
        </w:tc>
        <w:tc>
          <w:tcPr>
            <w:tcW w:w="2448" w:type="dxa"/>
            <w:tcMar>
              <w:top w:w="70" w:type="dxa"/>
              <w:left w:w="70" w:type="dxa"/>
              <w:bottom w:w="70" w:type="dxa"/>
              <w:right w:w="70" w:type="dxa"/>
            </w:tcMar>
            <w:vAlign w:val="center"/>
          </w:tcPr>
          <w:p w14:paraId="0B90A1BF" w14:textId="77777777" w:rsidR="000D0C7A" w:rsidRDefault="000D0C7A" w:rsidP="00C524B8">
            <w:pPr>
              <w:spacing w:after="0"/>
            </w:pPr>
            <w:r>
              <w:rPr>
                <w:sz w:val="16"/>
              </w:rPr>
              <w:t>QuickSight technical assessment</w:t>
            </w:r>
          </w:p>
        </w:tc>
      </w:tr>
    </w:tbl>
    <w:p w14:paraId="028EAF3E" w14:textId="77777777" w:rsidR="00C72F04" w:rsidRDefault="00C72F04">
      <w:pPr>
        <w:spacing w:after="0"/>
      </w:pPr>
    </w:p>
    <w:p w14:paraId="2E69D077" w14:textId="77777777" w:rsidR="000D0C7A" w:rsidRDefault="000D0C7A">
      <w:pPr>
        <w:spacing w:after="0"/>
      </w:pPr>
    </w:p>
    <w:tbl>
      <w:tblPr>
        <w:tblStyle w:val="TableGrid"/>
        <w:tblW w:w="0" w:type="auto"/>
        <w:tblLook w:val="04A0" w:firstRow="1" w:lastRow="0" w:firstColumn="1" w:lastColumn="0" w:noHBand="0" w:noVBand="1"/>
      </w:tblPr>
      <w:tblGrid>
        <w:gridCol w:w="10282"/>
      </w:tblGrid>
      <w:tr w:rsidR="00C72F04" w14:paraId="209F372D" w14:textId="77777777">
        <w:tc>
          <w:tcPr>
            <w:tcW w:w="10282" w:type="dxa"/>
            <w:shd w:val="clear" w:color="auto" w:fill="FFF2CC"/>
            <w:tcMar>
              <w:top w:w="110" w:type="dxa"/>
              <w:left w:w="125" w:type="dxa"/>
              <w:bottom w:w="110" w:type="dxa"/>
              <w:right w:w="125" w:type="dxa"/>
            </w:tcMar>
          </w:tcPr>
          <w:p w14:paraId="36E59559" w14:textId="77777777" w:rsidR="00C72F04" w:rsidRDefault="00FA795C">
            <w:r>
              <w:rPr>
                <w:b/>
                <w:color w:val="17365D"/>
              </w:rPr>
              <w:t xml:space="preserve">Decision message:  </w:t>
            </w:r>
            <w:r>
              <w:t>Tableau is the cloud-neutral benchmark while the cloud decision remains open. QuickSight leads if AWS is confirmed. Power BI leads if Azure is confirmed.</w:t>
            </w:r>
          </w:p>
        </w:tc>
      </w:tr>
    </w:tbl>
    <w:p>
      <w:pPr>
        <w:pStyle w:val="Heading2"/>
      </w:pPr>
      <w:r>
        <w:t>Economics at a glance</w:t>
      </w:r>
    </w:p>
    <w:p>
      <w:pPr>
        <w:pStyle w:val="ListBullet"/>
      </w:pPr>
      <w:r>
        <w:t>Snowflake on AWS: QuickSight Standard has the lowest five-year TCO ($1.14M), then Power BI on Fabric F64 Reserved ($1.32M) and Tableau Cloud ($1.50M).</w:t>
      </w:r>
    </w:p>
    <w:p>
      <w:pPr>
        <w:pStyle w:val="ListBullet"/>
      </w:pPr>
      <w:r>
        <w:t>Snowflake on Azure: Power BI on Fabric F64 Reserved is lowest ($1.15M), then QuickSight ($1.30M) and Tableau Cloud ($1.61M).</w:t>
      </w:r>
    </w:p>
    <w:p>
      <w:pPr>
        <w:pStyle w:val="ListBullet"/>
      </w:pPr>
      <w:r>
        <w:t>Hosting Snowflake on AWS adds about $33,400 a year ($167,000 over five years) to Power BI. Import-first design and Snowflake tuning reduce this to about $22,240 a year. Tableau Cloud runs on AWS and has no such premium with Snowflake on AWS.</w:t>
      </w:r>
    </w:p>
    <w:p w14:paraId="17147A8A" w14:textId="77777777" w:rsidR="00C72F04" w:rsidRDefault="00C72F04">
      <w:pPr>
        <w:spacing w:after="0"/>
      </w:pPr>
    </w:p>
    <w:p w14:paraId="07ADB4A9" w14:textId="77777777" w:rsidR="00C72F04" w:rsidRDefault="00FA795C">
      <w:pPr>
        <w:pStyle w:val="Heading1"/>
      </w:pPr>
      <w:r>
        <w:t>2. IDB Context and Decision Drivers</w:t>
      </w:r>
    </w:p>
    <w:p w14:paraId="1D334F2D" w14:textId="77777777" w:rsidR="001C16CC" w:rsidRDefault="001C16CC" w:rsidP="001C16CC">
      <w:pPr>
        <w:pStyle w:val="Heading2"/>
      </w:pPr>
      <w:r>
        <w:t>2.1 Current-state observations</w:t>
      </w:r>
    </w:p>
    <w:p w14:paraId="54712366" w14:textId="77777777" w:rsidR="001C16CC" w:rsidRDefault="001C16CC" w:rsidP="001C16CC">
      <w:pPr>
        <w:pStyle w:val="ListBullet"/>
      </w:pPr>
      <w:r>
        <w:t>IDB is currently predominantly on-premises, with a future data-platform migration under discussion.</w:t>
      </w:r>
    </w:p>
    <w:p w14:paraId="1367E6C9" w14:textId="77777777" w:rsidR="001C16CC" w:rsidRDefault="001C16CC" w:rsidP="001C16CC">
      <w:pPr>
        <w:pStyle w:val="ListBullet"/>
      </w:pPr>
      <w:r>
        <w:t>AWS is the present platform preference, but Azure remains a multi-cloud option and final direction for Phase 2 requires confirmation.</w:t>
      </w:r>
    </w:p>
    <w:p w14:paraId="140D619F" w14:textId="77777777" w:rsidR="001C16CC" w:rsidRDefault="001C16CC" w:rsidP="001C16CC">
      <w:pPr>
        <w:pStyle w:val="ListBullet"/>
      </w:pPr>
      <w:r>
        <w:t>IDB does not currently have an established Azure tenant, although it has recently migrated to Microsoft 365 and is moving collaboration from Zoom to Teams.</w:t>
      </w:r>
    </w:p>
    <w:p w14:paraId="6066D7DE" w14:textId="77777777" w:rsidR="001C16CC" w:rsidRDefault="001C16CC" w:rsidP="001C16CC">
      <w:pPr>
        <w:pStyle w:val="ListBullet"/>
      </w:pPr>
      <w:r>
        <w:t>Power BI usage is limited to a small number of Pro licenses; Tableau and Cognos are also present. Cognos is widely used for LoanIQ and Actimize, and Crystal Reports retains a smaller footprint.</w:t>
      </w:r>
    </w:p>
    <w:p w14:paraId="647447F2" w14:textId="77777777" w:rsidR="001C16CC" w:rsidRDefault="001C16CC" w:rsidP="001C16CC">
      <w:pPr>
        <w:pStyle w:val="ListBullet"/>
      </w:pPr>
      <w:r>
        <w:t>IDB has moved away from Qlik Sense, creating an opportunity to simplify and standardize the reporting estate.</w:t>
      </w:r>
    </w:p>
    <w:p w14:paraId="5BF9091F" w14:textId="77777777" w:rsidR="001C16CC" w:rsidRDefault="001C16CC" w:rsidP="001C16CC">
      <w:pPr>
        <w:pStyle w:val="ListBullet"/>
      </w:pPr>
      <w:r>
        <w:t>FIS is expected to make application data available in Snowflake, but dataset completeness and refresh timing must be validated before the FIS-to-Snowflake path becomes a reporting dependency.</w:t>
      </w:r>
    </w:p>
    <w:p w14:paraId="794BD70F" w14:textId="77777777" w:rsidR="00C72F04" w:rsidRDefault="00FA795C">
      <w:pPr>
        <w:pStyle w:val="Heading1"/>
      </w:pPr>
      <w:r>
        <w:lastRenderedPageBreak/>
        <w:t>3. Architecture Position</w:t>
      </w:r>
    </w:p>
    <w:p w14:paraId="6D8665AA" w14:textId="77777777" w:rsidR="00C72F04" w:rsidRDefault="00FA795C">
      <w:pPr>
        <w:pStyle w:val="Heading2"/>
      </w:pPr>
      <w:r>
        <w:t>Architecture principles</w:t>
      </w:r>
    </w:p>
    <w:tbl>
      <w:tblPr>
        <w:tblStyle w:val="TableGrid"/>
        <w:tblW w:w="0" w:type="auto"/>
        <w:jc w:val="center"/>
        <w:tblLook w:val="04A0" w:firstRow="1" w:lastRow="0" w:firstColumn="1" w:lastColumn="0" w:noHBand="0" w:noVBand="1"/>
      </w:tblPr>
      <w:tblGrid>
        <w:gridCol w:w="2552"/>
        <w:gridCol w:w="7730"/>
      </w:tblGrid>
      <w:tr w:rsidR="00C72F04" w14:paraId="3DA63A52" w14:textId="77777777" w:rsidTr="00A60F68">
        <w:trPr>
          <w:tblHeader/>
          <w:jc w:val="center"/>
        </w:trPr>
        <w:tc>
          <w:tcPr>
            <w:tcW w:w="2552" w:type="dxa"/>
            <w:shd w:val="clear" w:color="auto" w:fill="17365D"/>
            <w:tcMar>
              <w:top w:w="55" w:type="dxa"/>
              <w:left w:w="65" w:type="dxa"/>
              <w:bottom w:w="55" w:type="dxa"/>
              <w:right w:w="65" w:type="dxa"/>
            </w:tcMar>
          </w:tcPr>
          <w:p w14:paraId="57F7177A" w14:textId="77777777" w:rsidR="00C72F04" w:rsidRDefault="00FA795C">
            <w:r>
              <w:rPr>
                <w:b/>
                <w:color w:val="FFFFFF"/>
                <w:sz w:val="15"/>
              </w:rPr>
              <w:t>Principle</w:t>
            </w:r>
          </w:p>
        </w:tc>
        <w:tc>
          <w:tcPr>
            <w:tcW w:w="7730" w:type="dxa"/>
            <w:shd w:val="clear" w:color="auto" w:fill="17365D"/>
            <w:tcMar>
              <w:top w:w="55" w:type="dxa"/>
              <w:left w:w="65" w:type="dxa"/>
              <w:bottom w:w="55" w:type="dxa"/>
              <w:right w:w="65" w:type="dxa"/>
            </w:tcMar>
          </w:tcPr>
          <w:p w14:paraId="3D4C92BD" w14:textId="77777777" w:rsidR="00C72F04" w:rsidRDefault="00FA795C">
            <w:r>
              <w:rPr>
                <w:b/>
                <w:color w:val="FFFFFF"/>
                <w:sz w:val="15"/>
              </w:rPr>
              <w:t>Position</w:t>
            </w:r>
          </w:p>
        </w:tc>
      </w:tr>
      <w:tr w:rsidR="00C72F04" w14:paraId="12FE625E" w14:textId="77777777" w:rsidTr="00A60F68">
        <w:trPr>
          <w:jc w:val="center"/>
        </w:trPr>
        <w:tc>
          <w:tcPr>
            <w:tcW w:w="2552" w:type="dxa"/>
            <w:shd w:val="clear" w:color="auto" w:fill="EEF5FA"/>
            <w:tcMar>
              <w:top w:w="55" w:type="dxa"/>
              <w:left w:w="65" w:type="dxa"/>
              <w:bottom w:w="55" w:type="dxa"/>
              <w:right w:w="65" w:type="dxa"/>
            </w:tcMar>
          </w:tcPr>
          <w:p w14:paraId="36FF3504" w14:textId="77777777" w:rsidR="00C72F04" w:rsidRDefault="00FA795C">
            <w:pPr>
              <w:spacing w:after="0"/>
            </w:pPr>
            <w:r>
              <w:rPr>
                <w:sz w:val="15"/>
              </w:rPr>
              <w:t>Data gravity</w:t>
            </w:r>
          </w:p>
        </w:tc>
        <w:tc>
          <w:tcPr>
            <w:tcW w:w="7730" w:type="dxa"/>
            <w:shd w:val="clear" w:color="auto" w:fill="EEF5FA"/>
            <w:tcMar>
              <w:top w:w="55" w:type="dxa"/>
              <w:left w:w="65" w:type="dxa"/>
              <w:bottom w:w="55" w:type="dxa"/>
              <w:right w:w="65" w:type="dxa"/>
            </w:tcMar>
          </w:tcPr>
          <w:p w14:paraId="77A1BDE1" w14:textId="6089641C" w:rsidR="00C72F04" w:rsidRDefault="00D17714">
            <w:pPr>
              <w:spacing w:after="0"/>
            </w:pPr>
            <w:r>
              <w:rPr>
                <w:sz w:val="15"/>
              </w:rPr>
              <w:t>P</w:t>
            </w:r>
            <w:r w:rsidRPr="00D17714">
              <w:rPr>
                <w:sz w:val="15"/>
              </w:rPr>
              <w:t>lace interactive analytics close to the authoritative data platform where economically and operationally practical.</w:t>
            </w:r>
          </w:p>
        </w:tc>
      </w:tr>
      <w:tr w:rsidR="00C72F04" w14:paraId="3EBB2FF1" w14:textId="77777777" w:rsidTr="00A60F68">
        <w:trPr>
          <w:jc w:val="center"/>
        </w:trPr>
        <w:tc>
          <w:tcPr>
            <w:tcW w:w="2552" w:type="dxa"/>
            <w:tcMar>
              <w:top w:w="55" w:type="dxa"/>
              <w:left w:w="65" w:type="dxa"/>
              <w:bottom w:w="55" w:type="dxa"/>
              <w:right w:w="65" w:type="dxa"/>
            </w:tcMar>
          </w:tcPr>
          <w:p w14:paraId="44106CEA" w14:textId="77777777" w:rsidR="00C72F04" w:rsidRDefault="00FA795C">
            <w:pPr>
              <w:spacing w:after="0"/>
            </w:pPr>
            <w:r>
              <w:rPr>
                <w:sz w:val="15"/>
              </w:rPr>
              <w:t>No unnecessary replication</w:t>
            </w:r>
          </w:p>
        </w:tc>
        <w:tc>
          <w:tcPr>
            <w:tcW w:w="7730" w:type="dxa"/>
            <w:tcMar>
              <w:top w:w="55" w:type="dxa"/>
              <w:left w:w="65" w:type="dxa"/>
              <w:bottom w:w="55" w:type="dxa"/>
              <w:right w:w="65" w:type="dxa"/>
            </w:tcMar>
          </w:tcPr>
          <w:p w14:paraId="452F32C3" w14:textId="5A5BE7D9" w:rsidR="00C72F04" w:rsidRDefault="00CD4FAB">
            <w:pPr>
              <w:spacing w:after="0"/>
            </w:pPr>
            <w:r w:rsidRPr="00CD4FAB">
              <w:rPr>
                <w:sz w:val="15"/>
              </w:rPr>
              <w:t>BI selection must not force wholesale movement of Snowflake data between AWS and Azure.</w:t>
            </w:r>
          </w:p>
        </w:tc>
      </w:tr>
      <w:tr w:rsidR="00C72F04" w14:paraId="51FA1887" w14:textId="77777777" w:rsidTr="00A60F68">
        <w:trPr>
          <w:jc w:val="center"/>
        </w:trPr>
        <w:tc>
          <w:tcPr>
            <w:tcW w:w="2552" w:type="dxa"/>
            <w:shd w:val="clear" w:color="auto" w:fill="EEF5FA"/>
            <w:tcMar>
              <w:top w:w="55" w:type="dxa"/>
              <w:left w:w="65" w:type="dxa"/>
              <w:bottom w:w="55" w:type="dxa"/>
              <w:right w:w="65" w:type="dxa"/>
            </w:tcMar>
          </w:tcPr>
          <w:p w14:paraId="2E2B06DF" w14:textId="77777777" w:rsidR="00C72F04" w:rsidRDefault="00FA795C">
            <w:pPr>
              <w:spacing w:after="0"/>
            </w:pPr>
            <w:r>
              <w:rPr>
                <w:sz w:val="15"/>
              </w:rPr>
              <w:t>Governed self-service</w:t>
            </w:r>
          </w:p>
        </w:tc>
        <w:tc>
          <w:tcPr>
            <w:tcW w:w="7730" w:type="dxa"/>
            <w:shd w:val="clear" w:color="auto" w:fill="EEF5FA"/>
            <w:tcMar>
              <w:top w:w="55" w:type="dxa"/>
              <w:left w:w="65" w:type="dxa"/>
              <w:bottom w:w="55" w:type="dxa"/>
              <w:right w:w="65" w:type="dxa"/>
            </w:tcMar>
          </w:tcPr>
          <w:p w14:paraId="43B35614" w14:textId="411B8256" w:rsidR="00C72F04" w:rsidRDefault="00790756">
            <w:pPr>
              <w:spacing w:after="0"/>
            </w:pPr>
            <w:r>
              <w:rPr>
                <w:sz w:val="15"/>
              </w:rPr>
              <w:t>C</w:t>
            </w:r>
            <w:r w:rsidRPr="00790756">
              <w:rPr>
                <w:sz w:val="15"/>
              </w:rPr>
              <w:t>entral semantic definitions, certified datasets, row/column security and lineage must coexist with analyst agility.</w:t>
            </w:r>
          </w:p>
        </w:tc>
      </w:tr>
      <w:tr w:rsidR="00D17714" w14:paraId="0B15C63D" w14:textId="77777777" w:rsidTr="00A60F68">
        <w:trPr>
          <w:jc w:val="center"/>
        </w:trPr>
        <w:tc>
          <w:tcPr>
            <w:tcW w:w="2552" w:type="dxa"/>
            <w:shd w:val="clear" w:color="auto" w:fill="EEF5FA"/>
            <w:tcMar>
              <w:top w:w="55" w:type="dxa"/>
              <w:left w:w="65" w:type="dxa"/>
              <w:bottom w:w="55" w:type="dxa"/>
              <w:right w:w="65" w:type="dxa"/>
            </w:tcMar>
          </w:tcPr>
          <w:p w14:paraId="4FF0059C" w14:textId="57972011" w:rsidR="00D17714" w:rsidRDefault="000925EC">
            <w:pPr>
              <w:spacing w:after="0"/>
              <w:rPr>
                <w:sz w:val="15"/>
              </w:rPr>
            </w:pPr>
            <w:r w:rsidRPr="000925EC">
              <w:rPr>
                <w:sz w:val="15"/>
              </w:rPr>
              <w:t>Open serving layer</w:t>
            </w:r>
          </w:p>
        </w:tc>
        <w:tc>
          <w:tcPr>
            <w:tcW w:w="7730" w:type="dxa"/>
            <w:shd w:val="clear" w:color="auto" w:fill="EEF5FA"/>
            <w:tcMar>
              <w:top w:w="55" w:type="dxa"/>
              <w:left w:w="65" w:type="dxa"/>
              <w:bottom w:w="55" w:type="dxa"/>
              <w:right w:w="65" w:type="dxa"/>
            </w:tcMar>
          </w:tcPr>
          <w:p w14:paraId="4614127B" w14:textId="6E9D4308" w:rsidR="00D17714" w:rsidRDefault="00422FCB">
            <w:pPr>
              <w:spacing w:after="0"/>
              <w:rPr>
                <w:sz w:val="15"/>
              </w:rPr>
            </w:pPr>
            <w:r>
              <w:rPr>
                <w:sz w:val="15"/>
              </w:rPr>
              <w:t>P</w:t>
            </w:r>
            <w:r w:rsidR="000925EC" w:rsidRPr="000925EC">
              <w:rPr>
                <w:sz w:val="15"/>
              </w:rPr>
              <w:t>reserve standards-based Snowflake connectivity and avoid embedding irreplaceable business logic only in a visualization tool.</w:t>
            </w:r>
          </w:p>
        </w:tc>
      </w:tr>
      <w:tr w:rsidR="00C72F04" w14:paraId="6007BAFB" w14:textId="77777777" w:rsidTr="00A60F68">
        <w:trPr>
          <w:jc w:val="center"/>
        </w:trPr>
        <w:tc>
          <w:tcPr>
            <w:tcW w:w="2552" w:type="dxa"/>
            <w:tcMar>
              <w:top w:w="55" w:type="dxa"/>
              <w:left w:w="65" w:type="dxa"/>
              <w:bottom w:w="55" w:type="dxa"/>
              <w:right w:w="65" w:type="dxa"/>
            </w:tcMar>
          </w:tcPr>
          <w:p w14:paraId="028BD607" w14:textId="77777777" w:rsidR="00C72F04" w:rsidRDefault="00FA795C">
            <w:pPr>
              <w:spacing w:after="0"/>
            </w:pPr>
            <w:r>
              <w:rPr>
                <w:sz w:val="15"/>
              </w:rPr>
              <w:t>Workload fit</w:t>
            </w:r>
          </w:p>
        </w:tc>
        <w:tc>
          <w:tcPr>
            <w:tcW w:w="7730" w:type="dxa"/>
            <w:tcMar>
              <w:top w:w="55" w:type="dxa"/>
              <w:left w:w="65" w:type="dxa"/>
              <w:bottom w:w="55" w:type="dxa"/>
              <w:right w:w="65" w:type="dxa"/>
            </w:tcMar>
          </w:tcPr>
          <w:p w14:paraId="499E7BFF" w14:textId="249EDC8E" w:rsidR="00C72F04" w:rsidRDefault="007671BE">
            <w:pPr>
              <w:spacing w:after="0"/>
            </w:pPr>
            <w:r>
              <w:rPr>
                <w:sz w:val="15"/>
              </w:rPr>
              <w:t>E</w:t>
            </w:r>
            <w:r w:rsidRPr="007671BE">
              <w:rPr>
                <w:sz w:val="15"/>
              </w:rPr>
              <w:t>xecutive dashboards, governed enterprise reporting, ad-hoc analysis, pixel-perfect outputs and embedded analytics may require different patterns.</w:t>
            </w:r>
          </w:p>
        </w:tc>
      </w:tr>
      <w:tr w:rsidR="00C72F04" w14:paraId="46077940" w14:textId="77777777" w:rsidTr="00A60F68">
        <w:trPr>
          <w:jc w:val="center"/>
        </w:trPr>
        <w:tc>
          <w:tcPr>
            <w:tcW w:w="2552" w:type="dxa"/>
            <w:shd w:val="clear" w:color="auto" w:fill="EEF5FA"/>
            <w:tcMar>
              <w:top w:w="55" w:type="dxa"/>
              <w:left w:w="65" w:type="dxa"/>
              <w:bottom w:w="55" w:type="dxa"/>
              <w:right w:w="65" w:type="dxa"/>
            </w:tcMar>
          </w:tcPr>
          <w:p w14:paraId="239D1BC2" w14:textId="77777777" w:rsidR="00C72F04" w:rsidRDefault="00FA795C">
            <w:pPr>
              <w:spacing w:after="0"/>
            </w:pPr>
            <w:r>
              <w:rPr>
                <w:sz w:val="15"/>
              </w:rPr>
              <w:t>Exitability</w:t>
            </w:r>
          </w:p>
        </w:tc>
        <w:tc>
          <w:tcPr>
            <w:tcW w:w="7730" w:type="dxa"/>
            <w:shd w:val="clear" w:color="auto" w:fill="EEF5FA"/>
            <w:tcMar>
              <w:top w:w="55" w:type="dxa"/>
              <w:left w:w="65" w:type="dxa"/>
              <w:bottom w:w="55" w:type="dxa"/>
              <w:right w:w="65" w:type="dxa"/>
            </w:tcMar>
          </w:tcPr>
          <w:p w14:paraId="5D3E9C85" w14:textId="574F8F96" w:rsidR="00C72F04" w:rsidRDefault="003435A6">
            <w:pPr>
              <w:spacing w:after="0"/>
            </w:pPr>
            <w:r>
              <w:rPr>
                <w:sz w:val="15"/>
              </w:rPr>
              <w:t>R</w:t>
            </w:r>
            <w:r w:rsidRPr="003435A6">
              <w:rPr>
                <w:sz w:val="15"/>
              </w:rPr>
              <w:t>etain report metadata, source SQL, calculations and tests in version-controlled assets to reduce future migration cost.</w:t>
            </w:r>
          </w:p>
        </w:tc>
      </w:tr>
    </w:tbl>
    <w:p w14:paraId="27C36B69" w14:textId="77777777" w:rsidR="00C72F04" w:rsidRDefault="00C72F04">
      <w:pPr>
        <w:spacing w:after="0"/>
      </w:pPr>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FFF2CC"/>
            <w:tcMar>
              <w:top w:w="110" w:type="dxa"/>
              <w:left w:w="125" w:type="dxa"/>
              <w:bottom w:w="110" w:type="dxa"/>
              <w:right w:w="125" w:type="dxa"/>
            </w:tcMar>
          </w:tcPr>
          <w:p w14:paraId="0EFC68D9" w14:textId="77777777" w:rsidR="00C72F04" w:rsidRDefault="00FA795C">
            <w:r>
              <w:rPr>
                <w:b/>
                <w:color w:val="17365D"/>
              </w:rPr>
              <w:t xml:space="preserve">Clarification:  </w:t>
            </w:r>
            <w:r>
              <w:t>Power BI does not require Snowflake data to be migrated to Azure. Power BI can use Import or DirectQuery. The design issue is cross-cloud transfer, latency, security, operations and cost, not mandatory database relocation.</w:t>
            </w:r>
          </w:p>
        </w:tc>
      </w:tr>
    </w:tbl>
    <w:p w14:paraId="67DF7072" w14:textId="77777777" w:rsidR="00C72F04" w:rsidRDefault="00C72F04">
      <w:pPr>
        <w:spacing w:after="0"/>
      </w:pPr>
    </w:p>
    <w:p w14:paraId="01E9A3AE" w14:textId="77777777" w:rsidR="00C72F04" w:rsidRDefault="00FA795C">
      <w:pPr>
        <w:pStyle w:val="Heading2"/>
      </w:pPr>
      <w:r>
        <w:t>Future-state architecture comparison</w:t>
      </w:r>
    </w:p>
    <w:tbl>
      <w:tblPr>
        <w:tblStyle w:val="TableGrid"/>
        <w:tblW w:w="0" w:type="auto"/>
        <w:jc w:val="center"/>
        <w:tblLook w:val="04A0" w:firstRow="1" w:lastRow="0" w:firstColumn="1" w:lastColumn="0" w:noHBand="0" w:noVBand="1"/>
      </w:tblPr>
      <w:tblGrid>
        <w:gridCol w:w="1922"/>
        <w:gridCol w:w="4246"/>
        <w:gridCol w:w="4254"/>
      </w:tblGrid>
      <w:tr w:rsidR="009E14E6" w14:paraId="2D17FB49" w14:textId="77777777" w:rsidTr="009E14E6">
        <w:trPr>
          <w:tblHeader/>
          <w:jc w:val="center"/>
        </w:trPr>
        <w:tc>
          <w:tcPr>
            <w:tcW w:w="1922" w:type="dxa"/>
            <w:shd w:val="clear" w:color="auto" w:fill="17365D"/>
            <w:tcMar>
              <w:top w:w="70" w:type="dxa"/>
              <w:left w:w="70" w:type="dxa"/>
              <w:bottom w:w="70" w:type="dxa"/>
              <w:right w:w="70" w:type="dxa"/>
            </w:tcMar>
          </w:tcPr>
          <w:p w14:paraId="5FB9EA63" w14:textId="77777777" w:rsidR="009E14E6" w:rsidRDefault="009E14E6" w:rsidP="00C524B8">
            <w:r>
              <w:rPr>
                <w:b/>
                <w:color w:val="FFFFFF"/>
                <w:sz w:val="16"/>
              </w:rPr>
              <w:t>Dimension</w:t>
            </w:r>
          </w:p>
        </w:tc>
        <w:tc>
          <w:tcPr>
            <w:tcW w:w="4246" w:type="dxa"/>
            <w:shd w:val="clear" w:color="auto" w:fill="17365D"/>
            <w:tcMar>
              <w:top w:w="70" w:type="dxa"/>
              <w:left w:w="70" w:type="dxa"/>
              <w:bottom w:w="70" w:type="dxa"/>
              <w:right w:w="70" w:type="dxa"/>
            </w:tcMar>
          </w:tcPr>
          <w:p w14:paraId="7A61CAC0" w14:textId="77777777" w:rsidR="009E14E6" w:rsidRDefault="009E14E6" w:rsidP="00C524B8">
            <w:r>
              <w:rPr>
                <w:b/>
                <w:color w:val="FFFFFF"/>
                <w:sz w:val="16"/>
              </w:rPr>
              <w:t>Snowflake on AWS</w:t>
            </w:r>
          </w:p>
        </w:tc>
        <w:tc>
          <w:tcPr>
            <w:tcW w:w="4254" w:type="dxa"/>
            <w:shd w:val="clear" w:color="auto" w:fill="17365D"/>
            <w:tcMar>
              <w:top w:w="70" w:type="dxa"/>
              <w:left w:w="70" w:type="dxa"/>
              <w:bottom w:w="70" w:type="dxa"/>
              <w:right w:w="70" w:type="dxa"/>
            </w:tcMar>
          </w:tcPr>
          <w:p w14:paraId="14AC3272" w14:textId="77777777" w:rsidR="009E14E6" w:rsidRDefault="009E14E6" w:rsidP="00C524B8">
            <w:r>
              <w:rPr>
                <w:b/>
                <w:color w:val="FFFFFF"/>
                <w:sz w:val="16"/>
              </w:rPr>
              <w:t>Snowflake on Azure</w:t>
            </w:r>
          </w:p>
        </w:tc>
      </w:tr>
      <w:tr w:rsidR="009E14E6" w14:paraId="2879902B" w14:textId="77777777" w:rsidTr="009E14E6">
        <w:trPr>
          <w:jc w:val="center"/>
        </w:trPr>
        <w:tc>
          <w:tcPr>
            <w:tcW w:w="1922" w:type="dxa"/>
            <w:tcMar>
              <w:top w:w="70" w:type="dxa"/>
              <w:left w:w="70" w:type="dxa"/>
              <w:bottom w:w="70" w:type="dxa"/>
              <w:right w:w="70" w:type="dxa"/>
            </w:tcMar>
            <w:vAlign w:val="center"/>
          </w:tcPr>
          <w:p w14:paraId="0C0FD805" w14:textId="77777777" w:rsidR="009E14E6" w:rsidRDefault="009E14E6" w:rsidP="00C524B8">
            <w:pPr>
              <w:spacing w:after="0"/>
            </w:pPr>
            <w:r>
              <w:rPr>
                <w:sz w:val="14"/>
              </w:rPr>
              <w:t>Power BI</w:t>
            </w:r>
          </w:p>
        </w:tc>
        <w:tc>
          <w:tcPr>
            <w:tcW w:w="4246" w:type="dxa"/>
            <w:tcMar>
              <w:top w:w="70" w:type="dxa"/>
              <w:left w:w="70" w:type="dxa"/>
              <w:bottom w:w="70" w:type="dxa"/>
              <w:right w:w="70" w:type="dxa"/>
            </w:tcMar>
            <w:vAlign w:val="center"/>
          </w:tcPr>
          <w:p w14:paraId="56DEE9A5" w14:textId="77777777" w:rsidR="009E14E6" w:rsidRDefault="009E14E6" w:rsidP="00C524B8">
            <w:pPr>
              <w:spacing w:after="0"/>
            </w:pPr>
            <w:r>
              <w:rPr>
                <w:sz w:val="14"/>
              </w:rPr>
              <w:t>Direct connection is supported, but Power BI service-to-Snowflake traffic crosses cloud boundaries. Import refreshes transfer result sets; DirectQuery transfers query results per interaction.</w:t>
            </w:r>
          </w:p>
        </w:tc>
        <w:tc>
          <w:tcPr>
            <w:tcW w:w="4254" w:type="dxa"/>
            <w:tcMar>
              <w:top w:w="70" w:type="dxa"/>
              <w:left w:w="70" w:type="dxa"/>
              <w:bottom w:w="70" w:type="dxa"/>
              <w:right w:w="70" w:type="dxa"/>
            </w:tcMar>
            <w:vAlign w:val="center"/>
          </w:tcPr>
          <w:p w14:paraId="40B630C3" w14:textId="77777777" w:rsidR="009E14E6" w:rsidRDefault="009E14E6" w:rsidP="00C524B8">
            <w:pPr>
              <w:spacing w:after="0"/>
            </w:pPr>
            <w:r>
              <w:rPr>
                <w:sz w:val="14"/>
              </w:rPr>
              <w:t>Strongest Microsoft alignment. Same-region architecture can reduce avoidable Azure-side egress and simplifies Entra/M365/Fabric integration.</w:t>
            </w:r>
          </w:p>
        </w:tc>
      </w:tr>
      <w:tr w:rsidR="009E14E6" w14:paraId="34F36F2C" w14:textId="77777777" w:rsidTr="009E14E6">
        <w:trPr>
          <w:jc w:val="center"/>
        </w:trPr>
        <w:tc>
          <w:tcPr>
            <w:tcW w:w="1922" w:type="dxa"/>
            <w:shd w:val="clear" w:color="auto" w:fill="EEF5FA"/>
            <w:tcMar>
              <w:top w:w="70" w:type="dxa"/>
              <w:left w:w="70" w:type="dxa"/>
              <w:bottom w:w="70" w:type="dxa"/>
              <w:right w:w="70" w:type="dxa"/>
            </w:tcMar>
            <w:vAlign w:val="center"/>
          </w:tcPr>
          <w:p w14:paraId="5A9C879A" w14:textId="77777777" w:rsidR="009E14E6" w:rsidRDefault="009E14E6" w:rsidP="00C524B8">
            <w:pPr>
              <w:spacing w:after="0"/>
            </w:pPr>
            <w:r>
              <w:rPr>
                <w:sz w:val="14"/>
              </w:rPr>
              <w:t>Tableau</w:t>
            </w:r>
          </w:p>
        </w:tc>
        <w:tc>
          <w:tcPr>
            <w:tcW w:w="4246" w:type="dxa"/>
            <w:shd w:val="clear" w:color="auto" w:fill="EEF5FA"/>
            <w:tcMar>
              <w:top w:w="70" w:type="dxa"/>
              <w:left w:w="70" w:type="dxa"/>
              <w:bottom w:w="70" w:type="dxa"/>
              <w:right w:w="70" w:type="dxa"/>
            </w:tcMar>
            <w:vAlign w:val="center"/>
          </w:tcPr>
          <w:p w14:paraId="420B11D0" w14:textId="77777777" w:rsidR="009E14E6" w:rsidRDefault="009E14E6" w:rsidP="00C524B8">
            <w:pPr>
              <w:spacing w:after="0"/>
            </w:pPr>
            <w:r>
              <w:rPr>
                <w:sz w:val="14"/>
              </w:rPr>
              <w:t>Strong fit. Tableau Cloud runs on Salesforce Hyperforce on AWS, so placing the site in the Snowflake region avoids cross-cloud traffic. Tableau Server can also be hosted beside Snowflake.</w:t>
            </w:r>
          </w:p>
        </w:tc>
        <w:tc>
          <w:tcPr>
            <w:tcW w:w="4254" w:type="dxa"/>
            <w:shd w:val="clear" w:color="auto" w:fill="EEF5FA"/>
            <w:tcMar>
              <w:top w:w="70" w:type="dxa"/>
              <w:left w:w="70" w:type="dxa"/>
              <w:bottom w:w="70" w:type="dxa"/>
              <w:right w:w="70" w:type="dxa"/>
            </w:tcMar>
            <w:vAlign w:val="center"/>
          </w:tcPr>
          <w:p w14:paraId="3DB71D7F" w14:textId="77777777" w:rsidR="009E14E6" w:rsidRDefault="009E14E6" w:rsidP="00C524B8">
            <w:pPr>
              <w:spacing w:after="0"/>
            </w:pPr>
            <w:r>
              <w:rPr>
                <w:sz w:val="14"/>
              </w:rPr>
              <w:t>Viable and cloud-neutral, but Tableau Cloud (AWS-hosted) reading Azure-hosted Snowflake is a cross-cloud pattern. Tableau Server on Azure avoids it.</w:t>
            </w:r>
          </w:p>
        </w:tc>
      </w:tr>
      <w:tr w:rsidR="009E14E6" w14:paraId="0A8B376A" w14:textId="77777777" w:rsidTr="009E14E6">
        <w:trPr>
          <w:jc w:val="center"/>
        </w:trPr>
        <w:tc>
          <w:tcPr>
            <w:tcW w:w="1922" w:type="dxa"/>
            <w:tcMar>
              <w:top w:w="70" w:type="dxa"/>
              <w:left w:w="70" w:type="dxa"/>
              <w:bottom w:w="70" w:type="dxa"/>
              <w:right w:w="70" w:type="dxa"/>
            </w:tcMar>
            <w:vAlign w:val="center"/>
          </w:tcPr>
          <w:p w14:paraId="79FCC33F" w14:textId="77777777" w:rsidR="009E14E6" w:rsidRDefault="009E14E6" w:rsidP="00C524B8">
            <w:pPr>
              <w:spacing w:after="0"/>
            </w:pPr>
            <w:r>
              <w:rPr>
                <w:sz w:val="14"/>
              </w:rPr>
              <w:t>QuickSight</w:t>
            </w:r>
          </w:p>
        </w:tc>
        <w:tc>
          <w:tcPr>
            <w:tcW w:w="4246" w:type="dxa"/>
            <w:tcMar>
              <w:top w:w="70" w:type="dxa"/>
              <w:left w:w="70" w:type="dxa"/>
              <w:bottom w:w="70" w:type="dxa"/>
              <w:right w:w="70" w:type="dxa"/>
            </w:tcMar>
            <w:vAlign w:val="center"/>
          </w:tcPr>
          <w:p w14:paraId="70DB470A" w14:textId="77777777" w:rsidR="009E14E6" w:rsidRDefault="009E14E6" w:rsidP="00C524B8">
            <w:pPr>
              <w:spacing w:after="0"/>
            </w:pPr>
            <w:r>
              <w:rPr>
                <w:sz w:val="14"/>
              </w:rPr>
              <w:t>Strongest native-cloud fit. AWS identity, networking and operations are simpler when the service and Snowflake account are regionally aligned.</w:t>
            </w:r>
          </w:p>
        </w:tc>
        <w:tc>
          <w:tcPr>
            <w:tcW w:w="4254" w:type="dxa"/>
            <w:tcMar>
              <w:top w:w="70" w:type="dxa"/>
              <w:left w:w="70" w:type="dxa"/>
              <w:bottom w:w="70" w:type="dxa"/>
              <w:right w:w="70" w:type="dxa"/>
            </w:tcMar>
            <w:vAlign w:val="center"/>
          </w:tcPr>
          <w:p w14:paraId="27412DEA" w14:textId="77777777" w:rsidR="009E14E6" w:rsidRDefault="009E14E6" w:rsidP="00C524B8">
            <w:pPr>
              <w:spacing w:after="0"/>
            </w:pPr>
            <w:r>
              <w:rPr>
                <w:sz w:val="14"/>
              </w:rPr>
              <w:t>Cross-cloud access to Azure-hosted Snowflake reduces the primary architectural advantage of QuickSight.</w:t>
            </w:r>
          </w:p>
        </w:tc>
      </w:tr>
    </w:tbl>
    <w:p w14:paraId="64E34F7E" w14:textId="77777777" w:rsidR="00C72F04" w:rsidRDefault="00C72F04">
      <w:pPr>
        <w:spacing w:after="0"/>
      </w:pPr>
    </w:p>
    <w:p w14:paraId="7F6D7162" w14:textId="29737C54" w:rsidR="00C72F04" w:rsidRDefault="00FA795C">
      <w:r>
        <w:br w:type="page"/>
      </w:r>
    </w:p>
    <w:p w14:paraId="24A3A9ED" w14:textId="77777777" w:rsidR="00C72F04" w:rsidRDefault="00FA795C">
      <w:pPr>
        <w:pStyle w:val="Heading1"/>
      </w:pPr>
      <w:r>
        <w:lastRenderedPageBreak/>
        <w:t>4. Capability Comparison</w:t>
      </w:r>
    </w:p>
    <w:p w14:paraId="2B4B10DD" w14:textId="1E103CAD" w:rsidR="00E7301D" w:rsidRDefault="00FA795C" w:rsidP="00E7301D">
      <w:r>
        <w:t>Ratings are directional: 5 = leading, 4 = strong, 3 = adequate with design considerations. Validate the final decision against IDB’s representative reporting workloads.</w:t>
      </w:r>
    </w:p>
    <w:tbl>
      <w:tblPr>
        <w:tblStyle w:val="TableGrid"/>
        <w:tblW w:w="0" w:type="auto"/>
        <w:jc w:val="center"/>
        <w:tblLook w:val="04A0" w:firstRow="1" w:lastRow="0" w:firstColumn="1" w:lastColumn="0" w:noHBand="0" w:noVBand="1"/>
      </w:tblPr>
      <w:tblGrid>
        <w:gridCol w:w="2338"/>
        <w:gridCol w:w="885"/>
        <w:gridCol w:w="888"/>
        <w:gridCol w:w="1034"/>
        <w:gridCol w:w="5277"/>
      </w:tblGrid>
      <w:tr w:rsidR="00E044E0" w14:paraId="204C861F" w14:textId="77777777" w:rsidTr="00C524B8">
        <w:trPr>
          <w:tblHeader/>
          <w:jc w:val="center"/>
        </w:trPr>
        <w:tc>
          <w:tcPr>
            <w:tcW w:w="2376" w:type="dxa"/>
            <w:shd w:val="clear" w:color="auto" w:fill="17365D"/>
            <w:tcMar>
              <w:top w:w="70" w:type="dxa"/>
              <w:left w:w="70" w:type="dxa"/>
              <w:bottom w:w="70" w:type="dxa"/>
              <w:right w:w="70" w:type="dxa"/>
            </w:tcMar>
          </w:tcPr>
          <w:p w14:paraId="21335527" w14:textId="77777777" w:rsidR="00E044E0" w:rsidRDefault="00E044E0" w:rsidP="00C524B8">
            <w:r>
              <w:rPr>
                <w:b/>
                <w:color w:val="FFFFFF"/>
                <w:sz w:val="16"/>
              </w:rPr>
              <w:t>Capability</w:t>
            </w:r>
          </w:p>
        </w:tc>
        <w:tc>
          <w:tcPr>
            <w:tcW w:w="893" w:type="dxa"/>
            <w:shd w:val="clear" w:color="auto" w:fill="17365D"/>
            <w:tcMar>
              <w:top w:w="70" w:type="dxa"/>
              <w:left w:w="70" w:type="dxa"/>
              <w:bottom w:w="70" w:type="dxa"/>
              <w:right w:w="70" w:type="dxa"/>
            </w:tcMar>
          </w:tcPr>
          <w:p w14:paraId="4956824C" w14:textId="77777777" w:rsidR="00E044E0" w:rsidRDefault="00E044E0" w:rsidP="00C524B8">
            <w:r>
              <w:rPr>
                <w:b/>
                <w:color w:val="FFFFFF"/>
                <w:sz w:val="16"/>
              </w:rPr>
              <w:t>Power BI</w:t>
            </w:r>
          </w:p>
        </w:tc>
        <w:tc>
          <w:tcPr>
            <w:tcW w:w="893" w:type="dxa"/>
            <w:shd w:val="clear" w:color="auto" w:fill="17365D"/>
            <w:tcMar>
              <w:top w:w="70" w:type="dxa"/>
              <w:left w:w="70" w:type="dxa"/>
              <w:bottom w:w="70" w:type="dxa"/>
              <w:right w:w="70" w:type="dxa"/>
            </w:tcMar>
          </w:tcPr>
          <w:p w14:paraId="16D1823E" w14:textId="77777777" w:rsidR="00E044E0" w:rsidRDefault="00E044E0" w:rsidP="00C524B8">
            <w:r>
              <w:rPr>
                <w:b/>
                <w:color w:val="FFFFFF"/>
                <w:sz w:val="16"/>
              </w:rPr>
              <w:t>Tableau</w:t>
            </w:r>
          </w:p>
        </w:tc>
        <w:tc>
          <w:tcPr>
            <w:tcW w:w="1037" w:type="dxa"/>
            <w:shd w:val="clear" w:color="auto" w:fill="17365D"/>
            <w:tcMar>
              <w:top w:w="70" w:type="dxa"/>
              <w:left w:w="70" w:type="dxa"/>
              <w:bottom w:w="70" w:type="dxa"/>
              <w:right w:w="70" w:type="dxa"/>
            </w:tcMar>
          </w:tcPr>
          <w:p w14:paraId="7E7E35D3" w14:textId="77777777" w:rsidR="00E044E0" w:rsidRDefault="00E044E0" w:rsidP="00C524B8">
            <w:r>
              <w:rPr>
                <w:b/>
                <w:color w:val="FFFFFF"/>
                <w:sz w:val="16"/>
              </w:rPr>
              <w:t>QuickSight</w:t>
            </w:r>
          </w:p>
        </w:tc>
        <w:tc>
          <w:tcPr>
            <w:tcW w:w="5400" w:type="dxa"/>
            <w:shd w:val="clear" w:color="auto" w:fill="17365D"/>
            <w:tcMar>
              <w:top w:w="70" w:type="dxa"/>
              <w:left w:w="70" w:type="dxa"/>
              <w:bottom w:w="70" w:type="dxa"/>
              <w:right w:w="70" w:type="dxa"/>
            </w:tcMar>
          </w:tcPr>
          <w:p w14:paraId="4AE3CD6C" w14:textId="77777777" w:rsidR="00E044E0" w:rsidRDefault="00E044E0" w:rsidP="00C524B8">
            <w:r>
              <w:rPr>
                <w:b/>
                <w:color w:val="FFFFFF"/>
                <w:sz w:val="16"/>
              </w:rPr>
              <w:t>IDB interpretation</w:t>
            </w:r>
          </w:p>
        </w:tc>
      </w:tr>
      <w:tr w:rsidR="00E044E0" w14:paraId="2B3AB471" w14:textId="77777777" w:rsidTr="00C524B8">
        <w:trPr>
          <w:jc w:val="center"/>
        </w:trPr>
        <w:tc>
          <w:tcPr>
            <w:tcW w:w="2376" w:type="dxa"/>
            <w:tcMar>
              <w:top w:w="70" w:type="dxa"/>
              <w:left w:w="70" w:type="dxa"/>
              <w:bottom w:w="70" w:type="dxa"/>
              <w:right w:w="70" w:type="dxa"/>
            </w:tcMar>
            <w:vAlign w:val="center"/>
          </w:tcPr>
          <w:p w14:paraId="32C21D97" w14:textId="77777777" w:rsidR="00E044E0" w:rsidRDefault="00E044E0" w:rsidP="00C524B8">
            <w:pPr>
              <w:spacing w:after="0"/>
            </w:pPr>
            <w:r>
              <w:rPr>
                <w:sz w:val="14"/>
              </w:rPr>
              <w:t>Executive dashboards</w:t>
            </w:r>
          </w:p>
        </w:tc>
        <w:tc>
          <w:tcPr>
            <w:tcW w:w="893" w:type="dxa"/>
            <w:tcMar>
              <w:top w:w="70" w:type="dxa"/>
              <w:left w:w="70" w:type="dxa"/>
              <w:bottom w:w="70" w:type="dxa"/>
              <w:right w:w="70" w:type="dxa"/>
            </w:tcMar>
            <w:vAlign w:val="center"/>
          </w:tcPr>
          <w:p w14:paraId="5BF60AE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090C88ED"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40ED9323" w14:textId="77777777" w:rsidR="00E044E0" w:rsidRDefault="00E044E0" w:rsidP="00C524B8">
            <w:pPr>
              <w:spacing w:after="0"/>
            </w:pPr>
            <w:r>
              <w:rPr>
                <w:sz w:val="14"/>
              </w:rPr>
              <w:t>4</w:t>
            </w:r>
          </w:p>
        </w:tc>
        <w:tc>
          <w:tcPr>
            <w:tcW w:w="5400" w:type="dxa"/>
            <w:tcMar>
              <w:top w:w="70" w:type="dxa"/>
              <w:left w:w="70" w:type="dxa"/>
              <w:bottom w:w="70" w:type="dxa"/>
              <w:right w:w="70" w:type="dxa"/>
            </w:tcMar>
            <w:vAlign w:val="center"/>
          </w:tcPr>
          <w:p w14:paraId="7532718A" w14:textId="77777777" w:rsidR="00E044E0" w:rsidRDefault="00E044E0" w:rsidP="00C524B8">
            <w:pPr>
              <w:spacing w:after="0"/>
            </w:pPr>
            <w:r>
              <w:rPr>
                <w:sz w:val="14"/>
              </w:rPr>
              <w:t>All support modern dashboards; Tableau leads visual exploration, Power BI combines dashboards with a stronger semantic model.</w:t>
            </w:r>
          </w:p>
        </w:tc>
      </w:tr>
      <w:tr w:rsidR="00E044E0" w14:paraId="73AAD23A" w14:textId="77777777" w:rsidTr="00C524B8">
        <w:trPr>
          <w:jc w:val="center"/>
        </w:trPr>
        <w:tc>
          <w:tcPr>
            <w:tcW w:w="2376" w:type="dxa"/>
            <w:shd w:val="clear" w:color="auto" w:fill="EEF5FA"/>
            <w:tcMar>
              <w:top w:w="70" w:type="dxa"/>
              <w:left w:w="70" w:type="dxa"/>
              <w:bottom w:w="70" w:type="dxa"/>
              <w:right w:w="70" w:type="dxa"/>
            </w:tcMar>
            <w:vAlign w:val="center"/>
          </w:tcPr>
          <w:p w14:paraId="06292FE4" w14:textId="77777777" w:rsidR="00E044E0" w:rsidRDefault="00E044E0" w:rsidP="00C524B8">
            <w:pPr>
              <w:spacing w:after="0"/>
            </w:pPr>
            <w:r>
              <w:rPr>
                <w:sz w:val="14"/>
              </w:rPr>
              <w:t>Self-service analytics</w:t>
            </w:r>
          </w:p>
        </w:tc>
        <w:tc>
          <w:tcPr>
            <w:tcW w:w="893" w:type="dxa"/>
            <w:shd w:val="clear" w:color="auto" w:fill="EEF5FA"/>
            <w:tcMar>
              <w:top w:w="70" w:type="dxa"/>
              <w:left w:w="70" w:type="dxa"/>
              <w:bottom w:w="70" w:type="dxa"/>
              <w:right w:w="70" w:type="dxa"/>
            </w:tcMar>
            <w:vAlign w:val="center"/>
          </w:tcPr>
          <w:p w14:paraId="751EF353"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3F69AB84"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53E5C43D"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30A63778" w14:textId="77777777" w:rsidR="00E044E0" w:rsidRDefault="00E044E0" w:rsidP="00C524B8">
            <w:pPr>
              <w:spacing w:after="0"/>
            </w:pPr>
            <w:r>
              <w:rPr>
                <w:sz w:val="14"/>
              </w:rPr>
              <w:t>Power BI and Tableau have broader analyst ecosystems and mature authoring experiences.</w:t>
            </w:r>
          </w:p>
        </w:tc>
      </w:tr>
      <w:tr w:rsidR="00E044E0" w14:paraId="190695D0" w14:textId="77777777" w:rsidTr="00C524B8">
        <w:trPr>
          <w:jc w:val="center"/>
        </w:trPr>
        <w:tc>
          <w:tcPr>
            <w:tcW w:w="2376" w:type="dxa"/>
            <w:tcMar>
              <w:top w:w="70" w:type="dxa"/>
              <w:left w:w="70" w:type="dxa"/>
              <w:bottom w:w="70" w:type="dxa"/>
              <w:right w:w="70" w:type="dxa"/>
            </w:tcMar>
            <w:vAlign w:val="center"/>
          </w:tcPr>
          <w:p w14:paraId="7B5000E4" w14:textId="77777777" w:rsidR="00E044E0" w:rsidRDefault="00E044E0" w:rsidP="00C524B8">
            <w:pPr>
              <w:spacing w:after="0"/>
            </w:pPr>
            <w:r>
              <w:rPr>
                <w:sz w:val="14"/>
              </w:rPr>
              <w:t>Enterprise semantic layer</w:t>
            </w:r>
          </w:p>
        </w:tc>
        <w:tc>
          <w:tcPr>
            <w:tcW w:w="893" w:type="dxa"/>
            <w:tcMar>
              <w:top w:w="70" w:type="dxa"/>
              <w:left w:w="70" w:type="dxa"/>
              <w:bottom w:w="70" w:type="dxa"/>
              <w:right w:w="70" w:type="dxa"/>
            </w:tcMar>
            <w:vAlign w:val="center"/>
          </w:tcPr>
          <w:p w14:paraId="473F148D"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5A044A73" w14:textId="77777777" w:rsidR="00E044E0" w:rsidRDefault="00E044E0" w:rsidP="00C524B8">
            <w:pPr>
              <w:spacing w:after="0"/>
            </w:pPr>
            <w:r>
              <w:rPr>
                <w:sz w:val="14"/>
              </w:rPr>
              <w:t>4</w:t>
            </w:r>
          </w:p>
        </w:tc>
        <w:tc>
          <w:tcPr>
            <w:tcW w:w="1037" w:type="dxa"/>
            <w:tcMar>
              <w:top w:w="70" w:type="dxa"/>
              <w:left w:w="70" w:type="dxa"/>
              <w:bottom w:w="70" w:type="dxa"/>
              <w:right w:w="70" w:type="dxa"/>
            </w:tcMar>
            <w:vAlign w:val="center"/>
          </w:tcPr>
          <w:p w14:paraId="71A906D3" w14:textId="77777777" w:rsidR="00E044E0" w:rsidRDefault="00E044E0" w:rsidP="00C524B8">
            <w:pPr>
              <w:spacing w:after="0"/>
            </w:pPr>
            <w:r w:rsidRPr="00112B99">
              <w:rPr>
                <w:sz w:val="14"/>
                <w:highlight w:val="yellow"/>
              </w:rPr>
              <w:t>3</w:t>
            </w:r>
          </w:p>
        </w:tc>
        <w:tc>
          <w:tcPr>
            <w:tcW w:w="5400" w:type="dxa"/>
            <w:tcMar>
              <w:top w:w="70" w:type="dxa"/>
              <w:left w:w="70" w:type="dxa"/>
              <w:bottom w:w="70" w:type="dxa"/>
              <w:right w:w="70" w:type="dxa"/>
            </w:tcMar>
            <w:vAlign w:val="center"/>
          </w:tcPr>
          <w:p w14:paraId="7C77BFD0" w14:textId="77777777" w:rsidR="00E044E0" w:rsidRDefault="00E044E0" w:rsidP="00C524B8">
            <w:pPr>
              <w:spacing w:after="0"/>
            </w:pPr>
            <w:r>
              <w:rPr>
                <w:sz w:val="14"/>
              </w:rPr>
              <w:t>Power BI semantic models, DAX and reusable measures are a key differentiator.</w:t>
            </w:r>
          </w:p>
        </w:tc>
      </w:tr>
      <w:tr w:rsidR="00E044E0" w14:paraId="4754CA8E" w14:textId="77777777" w:rsidTr="00C524B8">
        <w:trPr>
          <w:jc w:val="center"/>
        </w:trPr>
        <w:tc>
          <w:tcPr>
            <w:tcW w:w="2376" w:type="dxa"/>
            <w:shd w:val="clear" w:color="auto" w:fill="EEF5FA"/>
            <w:tcMar>
              <w:top w:w="70" w:type="dxa"/>
              <w:left w:w="70" w:type="dxa"/>
              <w:bottom w:w="70" w:type="dxa"/>
              <w:right w:w="70" w:type="dxa"/>
            </w:tcMar>
            <w:vAlign w:val="center"/>
          </w:tcPr>
          <w:p w14:paraId="2CADFACB" w14:textId="77777777" w:rsidR="00E044E0" w:rsidRDefault="00E044E0" w:rsidP="00C524B8">
            <w:pPr>
              <w:spacing w:after="0"/>
            </w:pPr>
            <w:r>
              <w:rPr>
                <w:sz w:val="14"/>
              </w:rPr>
              <w:t>Ad hoc visual exploration</w:t>
            </w:r>
          </w:p>
        </w:tc>
        <w:tc>
          <w:tcPr>
            <w:tcW w:w="893" w:type="dxa"/>
            <w:shd w:val="clear" w:color="auto" w:fill="EEF5FA"/>
            <w:tcMar>
              <w:top w:w="70" w:type="dxa"/>
              <w:left w:w="70" w:type="dxa"/>
              <w:bottom w:w="70" w:type="dxa"/>
              <w:right w:w="70" w:type="dxa"/>
            </w:tcMar>
            <w:vAlign w:val="center"/>
          </w:tcPr>
          <w:p w14:paraId="297B1A5C" w14:textId="77777777" w:rsidR="00E044E0" w:rsidRDefault="00E044E0" w:rsidP="00C524B8">
            <w:pPr>
              <w:spacing w:after="0"/>
            </w:pPr>
            <w:r>
              <w:rPr>
                <w:sz w:val="14"/>
              </w:rPr>
              <w:t>4</w:t>
            </w:r>
          </w:p>
        </w:tc>
        <w:tc>
          <w:tcPr>
            <w:tcW w:w="893" w:type="dxa"/>
            <w:shd w:val="clear" w:color="auto" w:fill="EEF5FA"/>
            <w:tcMar>
              <w:top w:w="70" w:type="dxa"/>
              <w:left w:w="70" w:type="dxa"/>
              <w:bottom w:w="70" w:type="dxa"/>
              <w:right w:w="70" w:type="dxa"/>
            </w:tcMar>
            <w:vAlign w:val="center"/>
          </w:tcPr>
          <w:p w14:paraId="72AF0260"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3EFB1D9A" w14:textId="77777777" w:rsidR="00E044E0" w:rsidRDefault="00E044E0" w:rsidP="00C524B8">
            <w:pPr>
              <w:spacing w:after="0"/>
            </w:pPr>
            <w:r>
              <w:rPr>
                <w:sz w:val="14"/>
              </w:rPr>
              <w:t>3</w:t>
            </w:r>
          </w:p>
        </w:tc>
        <w:tc>
          <w:tcPr>
            <w:tcW w:w="5400" w:type="dxa"/>
            <w:shd w:val="clear" w:color="auto" w:fill="EEF5FA"/>
            <w:tcMar>
              <w:top w:w="70" w:type="dxa"/>
              <w:left w:w="70" w:type="dxa"/>
              <w:bottom w:w="70" w:type="dxa"/>
              <w:right w:w="70" w:type="dxa"/>
            </w:tcMar>
            <w:vAlign w:val="center"/>
          </w:tcPr>
          <w:p w14:paraId="42AB792F" w14:textId="77777777" w:rsidR="00E044E0" w:rsidRDefault="00E044E0" w:rsidP="00C524B8">
            <w:pPr>
              <w:spacing w:after="0"/>
            </w:pPr>
            <w:r>
              <w:rPr>
                <w:sz w:val="14"/>
              </w:rPr>
              <w:t>Tableau is particularly strong for open-ended visual analysis.</w:t>
            </w:r>
          </w:p>
        </w:tc>
      </w:tr>
      <w:tr w:rsidR="00E044E0" w14:paraId="3324502D" w14:textId="77777777" w:rsidTr="00C524B8">
        <w:trPr>
          <w:jc w:val="center"/>
        </w:trPr>
        <w:tc>
          <w:tcPr>
            <w:tcW w:w="2376" w:type="dxa"/>
            <w:tcMar>
              <w:top w:w="70" w:type="dxa"/>
              <w:left w:w="70" w:type="dxa"/>
              <w:bottom w:w="70" w:type="dxa"/>
              <w:right w:w="70" w:type="dxa"/>
            </w:tcMar>
            <w:vAlign w:val="center"/>
          </w:tcPr>
          <w:p w14:paraId="1AEB7232" w14:textId="77777777" w:rsidR="00E044E0" w:rsidRDefault="00E044E0" w:rsidP="00C524B8">
            <w:pPr>
              <w:spacing w:after="0"/>
            </w:pPr>
            <w:r>
              <w:rPr>
                <w:sz w:val="14"/>
              </w:rPr>
              <w:t>Conversational analytics</w:t>
            </w:r>
          </w:p>
        </w:tc>
        <w:tc>
          <w:tcPr>
            <w:tcW w:w="893" w:type="dxa"/>
            <w:tcMar>
              <w:top w:w="70" w:type="dxa"/>
              <w:left w:w="70" w:type="dxa"/>
              <w:bottom w:w="70" w:type="dxa"/>
              <w:right w:w="70" w:type="dxa"/>
            </w:tcMar>
            <w:vAlign w:val="center"/>
          </w:tcPr>
          <w:p w14:paraId="55889C0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74D6139A" w14:textId="77777777" w:rsidR="00E044E0" w:rsidRDefault="00E044E0" w:rsidP="00C524B8">
            <w:pPr>
              <w:spacing w:after="0"/>
            </w:pPr>
            <w:r>
              <w:rPr>
                <w:sz w:val="14"/>
              </w:rPr>
              <w:t>4</w:t>
            </w:r>
          </w:p>
        </w:tc>
        <w:tc>
          <w:tcPr>
            <w:tcW w:w="1037" w:type="dxa"/>
            <w:tcMar>
              <w:top w:w="70" w:type="dxa"/>
              <w:left w:w="70" w:type="dxa"/>
              <w:bottom w:w="70" w:type="dxa"/>
              <w:right w:w="70" w:type="dxa"/>
            </w:tcMar>
            <w:vAlign w:val="center"/>
          </w:tcPr>
          <w:p w14:paraId="53BAE618" w14:textId="77777777" w:rsidR="00E044E0" w:rsidRDefault="00E044E0" w:rsidP="00C524B8">
            <w:pPr>
              <w:spacing w:after="0"/>
            </w:pPr>
            <w:r>
              <w:rPr>
                <w:sz w:val="14"/>
              </w:rPr>
              <w:t>4</w:t>
            </w:r>
          </w:p>
        </w:tc>
        <w:tc>
          <w:tcPr>
            <w:tcW w:w="5400" w:type="dxa"/>
            <w:tcMar>
              <w:top w:w="70" w:type="dxa"/>
              <w:left w:w="70" w:type="dxa"/>
              <w:bottom w:w="70" w:type="dxa"/>
              <w:right w:w="70" w:type="dxa"/>
            </w:tcMar>
            <w:vAlign w:val="center"/>
          </w:tcPr>
          <w:p w14:paraId="4419F6F8" w14:textId="77777777" w:rsidR="00E044E0" w:rsidRDefault="00E044E0" w:rsidP="00C524B8">
            <w:pPr>
              <w:spacing w:after="0"/>
            </w:pPr>
            <w:r>
              <w:rPr>
                <w:sz w:val="14"/>
              </w:rPr>
              <w:t>Copilot (paid Fabric/Premium capacity), Tableau AI (Tableau+) and Amazon Q (Author Pro) each require licensing, supported regions and governed metadata.</w:t>
            </w:r>
          </w:p>
        </w:tc>
      </w:tr>
      <w:tr w:rsidR="00E044E0" w14:paraId="0B2E4E06" w14:textId="77777777" w:rsidTr="00C524B8">
        <w:trPr>
          <w:jc w:val="center"/>
        </w:trPr>
        <w:tc>
          <w:tcPr>
            <w:tcW w:w="2376" w:type="dxa"/>
            <w:shd w:val="clear" w:color="auto" w:fill="EEF5FA"/>
            <w:tcMar>
              <w:top w:w="70" w:type="dxa"/>
              <w:left w:w="70" w:type="dxa"/>
              <w:bottom w:w="70" w:type="dxa"/>
              <w:right w:w="70" w:type="dxa"/>
            </w:tcMar>
            <w:vAlign w:val="center"/>
          </w:tcPr>
          <w:p w14:paraId="13249E26" w14:textId="77777777" w:rsidR="00E044E0" w:rsidRDefault="00E044E0" w:rsidP="00C524B8">
            <w:pPr>
              <w:spacing w:after="0"/>
            </w:pPr>
            <w:r>
              <w:rPr>
                <w:sz w:val="14"/>
              </w:rPr>
              <w:t>AI-powered insights</w:t>
            </w:r>
          </w:p>
        </w:tc>
        <w:tc>
          <w:tcPr>
            <w:tcW w:w="893" w:type="dxa"/>
            <w:shd w:val="clear" w:color="auto" w:fill="EEF5FA"/>
            <w:tcMar>
              <w:top w:w="70" w:type="dxa"/>
              <w:left w:w="70" w:type="dxa"/>
              <w:bottom w:w="70" w:type="dxa"/>
              <w:right w:w="70" w:type="dxa"/>
            </w:tcMar>
            <w:vAlign w:val="center"/>
          </w:tcPr>
          <w:p w14:paraId="7ED3DC6F"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20BC9D37" w14:textId="77777777" w:rsidR="00E044E0" w:rsidRDefault="00E044E0" w:rsidP="00C524B8">
            <w:pPr>
              <w:spacing w:after="0"/>
            </w:pPr>
            <w:r>
              <w:rPr>
                <w:sz w:val="14"/>
              </w:rPr>
              <w:t>4</w:t>
            </w:r>
          </w:p>
        </w:tc>
        <w:tc>
          <w:tcPr>
            <w:tcW w:w="1037" w:type="dxa"/>
            <w:shd w:val="clear" w:color="auto" w:fill="EEF5FA"/>
            <w:tcMar>
              <w:top w:w="70" w:type="dxa"/>
              <w:left w:w="70" w:type="dxa"/>
              <w:bottom w:w="70" w:type="dxa"/>
              <w:right w:w="70" w:type="dxa"/>
            </w:tcMar>
            <w:vAlign w:val="center"/>
          </w:tcPr>
          <w:p w14:paraId="7EE80970"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26BF1250" w14:textId="77777777" w:rsidR="00E044E0" w:rsidRDefault="00E044E0" w:rsidP="00C524B8">
            <w:pPr>
              <w:spacing w:after="0"/>
            </w:pPr>
            <w:r>
              <w:rPr>
                <w:sz w:val="14"/>
              </w:rPr>
              <w:t>Value depends on semantic quality, descriptions, security trimming and tenant settings.</w:t>
            </w:r>
          </w:p>
        </w:tc>
      </w:tr>
      <w:tr w:rsidR="00E044E0" w14:paraId="35AC07E2" w14:textId="77777777" w:rsidTr="00C524B8">
        <w:trPr>
          <w:jc w:val="center"/>
        </w:trPr>
        <w:tc>
          <w:tcPr>
            <w:tcW w:w="2376" w:type="dxa"/>
            <w:tcMar>
              <w:top w:w="70" w:type="dxa"/>
              <w:left w:w="70" w:type="dxa"/>
              <w:bottom w:w="70" w:type="dxa"/>
              <w:right w:w="70" w:type="dxa"/>
            </w:tcMar>
            <w:vAlign w:val="center"/>
          </w:tcPr>
          <w:p w14:paraId="0A73F02F" w14:textId="77777777" w:rsidR="00E044E0" w:rsidRDefault="00E044E0" w:rsidP="00C524B8">
            <w:pPr>
              <w:spacing w:after="0"/>
            </w:pPr>
            <w:r>
              <w:rPr>
                <w:sz w:val="14"/>
              </w:rPr>
              <w:t>Pixel-perfect reporting</w:t>
            </w:r>
          </w:p>
        </w:tc>
        <w:tc>
          <w:tcPr>
            <w:tcW w:w="893" w:type="dxa"/>
            <w:tcMar>
              <w:top w:w="70" w:type="dxa"/>
              <w:left w:w="70" w:type="dxa"/>
              <w:bottom w:w="70" w:type="dxa"/>
              <w:right w:w="70" w:type="dxa"/>
            </w:tcMar>
            <w:vAlign w:val="center"/>
          </w:tcPr>
          <w:p w14:paraId="1CD1F0CD" w14:textId="77777777" w:rsidR="00E044E0" w:rsidRDefault="00E044E0" w:rsidP="00C524B8">
            <w:pPr>
              <w:spacing w:after="0"/>
            </w:pPr>
            <w:r>
              <w:rPr>
                <w:sz w:val="14"/>
              </w:rPr>
              <w:t>4</w:t>
            </w:r>
          </w:p>
        </w:tc>
        <w:tc>
          <w:tcPr>
            <w:tcW w:w="893" w:type="dxa"/>
            <w:tcMar>
              <w:top w:w="70" w:type="dxa"/>
              <w:left w:w="70" w:type="dxa"/>
              <w:bottom w:w="70" w:type="dxa"/>
              <w:right w:w="70" w:type="dxa"/>
            </w:tcMar>
            <w:vAlign w:val="center"/>
          </w:tcPr>
          <w:p w14:paraId="3D0FA504" w14:textId="77777777" w:rsidR="00E044E0" w:rsidRPr="009637D1" w:rsidRDefault="00E044E0" w:rsidP="00C524B8">
            <w:pPr>
              <w:spacing w:after="0"/>
              <w:rPr>
                <w:highlight w:val="yellow"/>
              </w:rPr>
            </w:pPr>
            <w:r w:rsidRPr="009637D1">
              <w:rPr>
                <w:sz w:val="14"/>
                <w:highlight w:val="yellow"/>
              </w:rPr>
              <w:t>3</w:t>
            </w:r>
          </w:p>
        </w:tc>
        <w:tc>
          <w:tcPr>
            <w:tcW w:w="1037" w:type="dxa"/>
            <w:tcMar>
              <w:top w:w="70" w:type="dxa"/>
              <w:left w:w="70" w:type="dxa"/>
              <w:bottom w:w="70" w:type="dxa"/>
              <w:right w:w="70" w:type="dxa"/>
            </w:tcMar>
            <w:vAlign w:val="center"/>
          </w:tcPr>
          <w:p w14:paraId="1C3A5B4E" w14:textId="77777777" w:rsidR="00E044E0" w:rsidRPr="009637D1" w:rsidRDefault="00E044E0" w:rsidP="00C524B8">
            <w:pPr>
              <w:spacing w:after="0"/>
              <w:rPr>
                <w:highlight w:val="yellow"/>
              </w:rPr>
            </w:pPr>
            <w:r w:rsidRPr="009637D1">
              <w:rPr>
                <w:sz w:val="14"/>
                <w:highlight w:val="yellow"/>
              </w:rPr>
              <w:t>3</w:t>
            </w:r>
          </w:p>
        </w:tc>
        <w:tc>
          <w:tcPr>
            <w:tcW w:w="5400" w:type="dxa"/>
            <w:tcMar>
              <w:top w:w="70" w:type="dxa"/>
              <w:left w:w="70" w:type="dxa"/>
              <w:bottom w:w="70" w:type="dxa"/>
              <w:right w:w="70" w:type="dxa"/>
            </w:tcMar>
            <w:vAlign w:val="center"/>
          </w:tcPr>
          <w:p w14:paraId="05CD7271" w14:textId="77777777" w:rsidR="00E044E0" w:rsidRDefault="00E044E0" w:rsidP="00C524B8">
            <w:pPr>
              <w:spacing w:after="0"/>
            </w:pPr>
            <w:r>
              <w:rPr>
                <w:sz w:val="14"/>
              </w:rPr>
              <w:t>Power BI paginated reports are strong; Cognos replacement must be tested for bursting and complex schedules.</w:t>
            </w:r>
          </w:p>
        </w:tc>
      </w:tr>
      <w:tr w:rsidR="00E044E0" w14:paraId="7AEA67D9" w14:textId="77777777" w:rsidTr="00C524B8">
        <w:trPr>
          <w:jc w:val="center"/>
        </w:trPr>
        <w:tc>
          <w:tcPr>
            <w:tcW w:w="2376" w:type="dxa"/>
            <w:shd w:val="clear" w:color="auto" w:fill="EEF5FA"/>
            <w:tcMar>
              <w:top w:w="70" w:type="dxa"/>
              <w:left w:w="70" w:type="dxa"/>
              <w:bottom w:w="70" w:type="dxa"/>
              <w:right w:w="70" w:type="dxa"/>
            </w:tcMar>
            <w:vAlign w:val="center"/>
          </w:tcPr>
          <w:p w14:paraId="23B730BC" w14:textId="77777777" w:rsidR="00E044E0" w:rsidRDefault="00E044E0" w:rsidP="00C524B8">
            <w:pPr>
              <w:spacing w:after="0"/>
            </w:pPr>
            <w:r>
              <w:rPr>
                <w:sz w:val="14"/>
              </w:rPr>
              <w:t>Data preparation</w:t>
            </w:r>
          </w:p>
        </w:tc>
        <w:tc>
          <w:tcPr>
            <w:tcW w:w="893" w:type="dxa"/>
            <w:shd w:val="clear" w:color="auto" w:fill="EEF5FA"/>
            <w:tcMar>
              <w:top w:w="70" w:type="dxa"/>
              <w:left w:w="70" w:type="dxa"/>
              <w:bottom w:w="70" w:type="dxa"/>
              <w:right w:w="70" w:type="dxa"/>
            </w:tcMar>
            <w:vAlign w:val="center"/>
          </w:tcPr>
          <w:p w14:paraId="45D568A6"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271C85AB" w14:textId="77777777" w:rsidR="00E044E0" w:rsidRDefault="00E044E0" w:rsidP="00C524B8">
            <w:pPr>
              <w:spacing w:after="0"/>
            </w:pPr>
            <w:r>
              <w:rPr>
                <w:sz w:val="14"/>
              </w:rPr>
              <w:t>4</w:t>
            </w:r>
          </w:p>
        </w:tc>
        <w:tc>
          <w:tcPr>
            <w:tcW w:w="1037" w:type="dxa"/>
            <w:shd w:val="clear" w:color="auto" w:fill="EEF5FA"/>
            <w:tcMar>
              <w:top w:w="70" w:type="dxa"/>
              <w:left w:w="70" w:type="dxa"/>
              <w:bottom w:w="70" w:type="dxa"/>
              <w:right w:w="70" w:type="dxa"/>
            </w:tcMar>
            <w:vAlign w:val="center"/>
          </w:tcPr>
          <w:p w14:paraId="0C40B10A" w14:textId="77777777" w:rsidR="00E044E0" w:rsidRDefault="00E044E0" w:rsidP="00C524B8">
            <w:pPr>
              <w:spacing w:after="0"/>
            </w:pPr>
            <w:r w:rsidRPr="009637D1">
              <w:rPr>
                <w:sz w:val="14"/>
                <w:highlight w:val="yellow"/>
              </w:rPr>
              <w:t>3</w:t>
            </w:r>
          </w:p>
        </w:tc>
        <w:tc>
          <w:tcPr>
            <w:tcW w:w="5400" w:type="dxa"/>
            <w:shd w:val="clear" w:color="auto" w:fill="EEF5FA"/>
            <w:tcMar>
              <w:top w:w="70" w:type="dxa"/>
              <w:left w:w="70" w:type="dxa"/>
              <w:bottom w:w="70" w:type="dxa"/>
              <w:right w:w="70" w:type="dxa"/>
            </w:tcMar>
            <w:vAlign w:val="center"/>
          </w:tcPr>
          <w:p w14:paraId="28D47DCA" w14:textId="77777777" w:rsidR="00E044E0" w:rsidRDefault="00E044E0" w:rsidP="00C524B8">
            <w:pPr>
              <w:spacing w:after="0"/>
            </w:pPr>
            <w:r>
              <w:rPr>
                <w:sz w:val="14"/>
              </w:rPr>
              <w:t>Power Query and Tableau Prep are broader than QuickSight preparation.</w:t>
            </w:r>
          </w:p>
        </w:tc>
      </w:tr>
      <w:tr w:rsidR="00E044E0" w14:paraId="474311D3" w14:textId="77777777" w:rsidTr="00C524B8">
        <w:trPr>
          <w:jc w:val="center"/>
        </w:trPr>
        <w:tc>
          <w:tcPr>
            <w:tcW w:w="2376" w:type="dxa"/>
            <w:tcMar>
              <w:top w:w="70" w:type="dxa"/>
              <w:left w:w="70" w:type="dxa"/>
              <w:bottom w:w="70" w:type="dxa"/>
              <w:right w:w="70" w:type="dxa"/>
            </w:tcMar>
            <w:vAlign w:val="center"/>
          </w:tcPr>
          <w:p w14:paraId="0D9EFC40" w14:textId="77777777" w:rsidR="00E044E0" w:rsidRDefault="00E044E0" w:rsidP="00C524B8">
            <w:pPr>
              <w:spacing w:after="0"/>
            </w:pPr>
            <w:r>
              <w:rPr>
                <w:sz w:val="14"/>
              </w:rPr>
              <w:t>Snowflake connectivity</w:t>
            </w:r>
          </w:p>
        </w:tc>
        <w:tc>
          <w:tcPr>
            <w:tcW w:w="893" w:type="dxa"/>
            <w:tcMar>
              <w:top w:w="70" w:type="dxa"/>
              <w:left w:w="70" w:type="dxa"/>
              <w:bottom w:w="70" w:type="dxa"/>
              <w:right w:w="70" w:type="dxa"/>
            </w:tcMar>
            <w:vAlign w:val="center"/>
          </w:tcPr>
          <w:p w14:paraId="273FE60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5967D4DC"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7F5DD89B" w14:textId="77777777" w:rsidR="00E044E0" w:rsidRDefault="00E044E0" w:rsidP="00C524B8">
            <w:pPr>
              <w:spacing w:after="0"/>
            </w:pPr>
            <w:r>
              <w:rPr>
                <w:sz w:val="14"/>
              </w:rPr>
              <w:t>5</w:t>
            </w:r>
          </w:p>
        </w:tc>
        <w:tc>
          <w:tcPr>
            <w:tcW w:w="5400" w:type="dxa"/>
            <w:tcMar>
              <w:top w:w="70" w:type="dxa"/>
              <w:left w:w="70" w:type="dxa"/>
              <w:bottom w:w="70" w:type="dxa"/>
              <w:right w:w="70" w:type="dxa"/>
            </w:tcMar>
            <w:vAlign w:val="center"/>
          </w:tcPr>
          <w:p w14:paraId="4E4BA699" w14:textId="77777777" w:rsidR="00E044E0" w:rsidRDefault="00E044E0" w:rsidP="00C524B8">
            <w:pPr>
              <w:spacing w:after="0"/>
            </w:pPr>
            <w:r>
              <w:rPr>
                <w:sz w:val="14"/>
              </w:rPr>
              <w:t>All provide supported Snowflake connectivity; authentication and private network options differ.</w:t>
            </w:r>
          </w:p>
        </w:tc>
      </w:tr>
      <w:tr w:rsidR="00E044E0" w14:paraId="434C2895" w14:textId="77777777" w:rsidTr="00C524B8">
        <w:trPr>
          <w:jc w:val="center"/>
        </w:trPr>
        <w:tc>
          <w:tcPr>
            <w:tcW w:w="2376" w:type="dxa"/>
            <w:shd w:val="clear" w:color="auto" w:fill="EEF5FA"/>
            <w:tcMar>
              <w:top w:w="70" w:type="dxa"/>
              <w:left w:w="70" w:type="dxa"/>
              <w:bottom w:w="70" w:type="dxa"/>
              <w:right w:w="70" w:type="dxa"/>
            </w:tcMar>
            <w:vAlign w:val="center"/>
          </w:tcPr>
          <w:p w14:paraId="730FA81C" w14:textId="77777777" w:rsidR="00E044E0" w:rsidRDefault="00E044E0" w:rsidP="00C524B8">
            <w:pPr>
              <w:spacing w:after="0"/>
            </w:pPr>
            <w:r>
              <w:rPr>
                <w:sz w:val="14"/>
              </w:rPr>
              <w:t>Governance and lineage</w:t>
            </w:r>
          </w:p>
        </w:tc>
        <w:tc>
          <w:tcPr>
            <w:tcW w:w="893" w:type="dxa"/>
            <w:shd w:val="clear" w:color="auto" w:fill="EEF5FA"/>
            <w:tcMar>
              <w:top w:w="70" w:type="dxa"/>
              <w:left w:w="70" w:type="dxa"/>
              <w:bottom w:w="70" w:type="dxa"/>
              <w:right w:w="70" w:type="dxa"/>
            </w:tcMar>
            <w:vAlign w:val="center"/>
          </w:tcPr>
          <w:p w14:paraId="3AB13FEB"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3CEDFD0D"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1111BE08"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70B3F85E" w14:textId="77777777" w:rsidR="00E044E0" w:rsidRDefault="00E044E0" w:rsidP="00C524B8">
            <w:pPr>
              <w:spacing w:after="0"/>
            </w:pPr>
            <w:r>
              <w:rPr>
                <w:sz w:val="14"/>
              </w:rPr>
              <w:t>Power BI/Fabric and Tableau have mature governance; QuickSight is improving within AWS.</w:t>
            </w:r>
          </w:p>
        </w:tc>
      </w:tr>
      <w:tr w:rsidR="00E044E0" w14:paraId="7C3D68F3" w14:textId="77777777" w:rsidTr="00C524B8">
        <w:trPr>
          <w:jc w:val="center"/>
        </w:trPr>
        <w:tc>
          <w:tcPr>
            <w:tcW w:w="2376" w:type="dxa"/>
            <w:tcMar>
              <w:top w:w="70" w:type="dxa"/>
              <w:left w:w="70" w:type="dxa"/>
              <w:bottom w:w="70" w:type="dxa"/>
              <w:right w:w="70" w:type="dxa"/>
            </w:tcMar>
            <w:vAlign w:val="center"/>
          </w:tcPr>
          <w:p w14:paraId="5BBDAE79" w14:textId="77777777" w:rsidR="00E044E0" w:rsidRDefault="00E044E0" w:rsidP="00C524B8">
            <w:pPr>
              <w:spacing w:after="0"/>
            </w:pPr>
            <w:r>
              <w:rPr>
                <w:sz w:val="14"/>
              </w:rPr>
              <w:t>M365 integration</w:t>
            </w:r>
          </w:p>
        </w:tc>
        <w:tc>
          <w:tcPr>
            <w:tcW w:w="893" w:type="dxa"/>
            <w:tcMar>
              <w:top w:w="70" w:type="dxa"/>
              <w:left w:w="70" w:type="dxa"/>
              <w:bottom w:w="70" w:type="dxa"/>
              <w:right w:w="70" w:type="dxa"/>
            </w:tcMar>
            <w:vAlign w:val="center"/>
          </w:tcPr>
          <w:p w14:paraId="16DB49B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75A72786" w14:textId="77777777" w:rsidR="00E044E0" w:rsidRPr="009637D1" w:rsidRDefault="00E044E0" w:rsidP="00C524B8">
            <w:pPr>
              <w:spacing w:after="0"/>
              <w:rPr>
                <w:highlight w:val="yellow"/>
              </w:rPr>
            </w:pPr>
            <w:r w:rsidRPr="009637D1">
              <w:rPr>
                <w:sz w:val="14"/>
                <w:highlight w:val="yellow"/>
              </w:rPr>
              <w:t>3</w:t>
            </w:r>
          </w:p>
        </w:tc>
        <w:tc>
          <w:tcPr>
            <w:tcW w:w="1037" w:type="dxa"/>
            <w:tcMar>
              <w:top w:w="70" w:type="dxa"/>
              <w:left w:w="70" w:type="dxa"/>
              <w:bottom w:w="70" w:type="dxa"/>
              <w:right w:w="70" w:type="dxa"/>
            </w:tcMar>
            <w:vAlign w:val="center"/>
          </w:tcPr>
          <w:p w14:paraId="28A4352B" w14:textId="77777777" w:rsidR="00E044E0" w:rsidRPr="009637D1" w:rsidRDefault="00E044E0" w:rsidP="00C524B8">
            <w:pPr>
              <w:spacing w:after="0"/>
              <w:rPr>
                <w:highlight w:val="yellow"/>
              </w:rPr>
            </w:pPr>
            <w:r w:rsidRPr="009637D1">
              <w:rPr>
                <w:sz w:val="14"/>
                <w:highlight w:val="yellow"/>
              </w:rPr>
              <w:t>2</w:t>
            </w:r>
          </w:p>
        </w:tc>
        <w:tc>
          <w:tcPr>
            <w:tcW w:w="5400" w:type="dxa"/>
            <w:tcMar>
              <w:top w:w="70" w:type="dxa"/>
              <w:left w:w="70" w:type="dxa"/>
              <w:bottom w:w="70" w:type="dxa"/>
              <w:right w:w="70" w:type="dxa"/>
            </w:tcMar>
            <w:vAlign w:val="center"/>
          </w:tcPr>
          <w:p w14:paraId="3E988544" w14:textId="77777777" w:rsidR="00E044E0" w:rsidRDefault="00E044E0" w:rsidP="00C524B8">
            <w:pPr>
              <w:spacing w:after="0"/>
            </w:pPr>
            <w:r>
              <w:rPr>
                <w:sz w:val="14"/>
              </w:rPr>
              <w:t>Power BI is strongest for Teams, Excel, PowerPoint and Microsoft identity experiences.</w:t>
            </w:r>
          </w:p>
        </w:tc>
      </w:tr>
      <w:tr w:rsidR="00E044E0" w14:paraId="118EFBB6" w14:textId="77777777" w:rsidTr="00C524B8">
        <w:trPr>
          <w:jc w:val="center"/>
        </w:trPr>
        <w:tc>
          <w:tcPr>
            <w:tcW w:w="2376" w:type="dxa"/>
            <w:shd w:val="clear" w:color="auto" w:fill="EEF5FA"/>
            <w:tcMar>
              <w:top w:w="70" w:type="dxa"/>
              <w:left w:w="70" w:type="dxa"/>
              <w:bottom w:w="70" w:type="dxa"/>
              <w:right w:w="70" w:type="dxa"/>
            </w:tcMar>
            <w:vAlign w:val="center"/>
          </w:tcPr>
          <w:p w14:paraId="5AF03E04" w14:textId="77777777" w:rsidR="00E044E0" w:rsidRDefault="00E044E0" w:rsidP="00C524B8">
            <w:pPr>
              <w:spacing w:after="0"/>
            </w:pPr>
            <w:r>
              <w:rPr>
                <w:sz w:val="14"/>
              </w:rPr>
              <w:t>AWS-native integration</w:t>
            </w:r>
          </w:p>
        </w:tc>
        <w:tc>
          <w:tcPr>
            <w:tcW w:w="893" w:type="dxa"/>
            <w:shd w:val="clear" w:color="auto" w:fill="EEF5FA"/>
            <w:tcMar>
              <w:top w:w="70" w:type="dxa"/>
              <w:left w:w="70" w:type="dxa"/>
              <w:bottom w:w="70" w:type="dxa"/>
              <w:right w:w="70" w:type="dxa"/>
            </w:tcMar>
            <w:vAlign w:val="center"/>
          </w:tcPr>
          <w:p w14:paraId="4D881684" w14:textId="77777777" w:rsidR="00E044E0" w:rsidRPr="00943E09" w:rsidRDefault="00E044E0" w:rsidP="00C524B8">
            <w:pPr>
              <w:spacing w:after="0"/>
              <w:rPr>
                <w:highlight w:val="yellow"/>
              </w:rPr>
            </w:pPr>
            <w:r w:rsidRPr="00943E09">
              <w:rPr>
                <w:sz w:val="14"/>
                <w:highlight w:val="yellow"/>
              </w:rPr>
              <w:t>3</w:t>
            </w:r>
          </w:p>
        </w:tc>
        <w:tc>
          <w:tcPr>
            <w:tcW w:w="893" w:type="dxa"/>
            <w:shd w:val="clear" w:color="auto" w:fill="EEF5FA"/>
            <w:tcMar>
              <w:top w:w="70" w:type="dxa"/>
              <w:left w:w="70" w:type="dxa"/>
              <w:bottom w:w="70" w:type="dxa"/>
              <w:right w:w="70" w:type="dxa"/>
            </w:tcMar>
            <w:vAlign w:val="center"/>
          </w:tcPr>
          <w:p w14:paraId="78D4917A" w14:textId="77777777" w:rsidR="00E044E0" w:rsidRPr="00943E09" w:rsidRDefault="00E044E0" w:rsidP="00C524B8">
            <w:pPr>
              <w:spacing w:after="0"/>
              <w:rPr>
                <w:highlight w:val="yellow"/>
              </w:rPr>
            </w:pPr>
            <w:r w:rsidRPr="00943E09">
              <w:rPr>
                <w:sz w:val="14"/>
                <w:highlight w:val="yellow"/>
              </w:rPr>
              <w:t>3</w:t>
            </w:r>
          </w:p>
        </w:tc>
        <w:tc>
          <w:tcPr>
            <w:tcW w:w="1037" w:type="dxa"/>
            <w:shd w:val="clear" w:color="auto" w:fill="EEF5FA"/>
            <w:tcMar>
              <w:top w:w="70" w:type="dxa"/>
              <w:left w:w="70" w:type="dxa"/>
              <w:bottom w:w="70" w:type="dxa"/>
              <w:right w:w="70" w:type="dxa"/>
            </w:tcMar>
            <w:vAlign w:val="center"/>
          </w:tcPr>
          <w:p w14:paraId="0DDDF91F"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17AAE139" w14:textId="77777777" w:rsidR="00E044E0" w:rsidRDefault="00E044E0" w:rsidP="00C524B8">
            <w:pPr>
              <w:spacing w:after="0"/>
            </w:pPr>
            <w:r>
              <w:rPr>
                <w:sz w:val="14"/>
              </w:rPr>
              <w:t>QuickSight is strongest for AWS IAM, VPC and broader AWS service integration.</w:t>
            </w:r>
          </w:p>
        </w:tc>
      </w:tr>
      <w:tr w:rsidR="00E044E0" w14:paraId="5FDC00EA" w14:textId="77777777" w:rsidTr="00C524B8">
        <w:trPr>
          <w:jc w:val="center"/>
        </w:trPr>
        <w:tc>
          <w:tcPr>
            <w:tcW w:w="2376" w:type="dxa"/>
            <w:tcMar>
              <w:top w:w="70" w:type="dxa"/>
              <w:left w:w="70" w:type="dxa"/>
              <w:bottom w:w="70" w:type="dxa"/>
              <w:right w:w="70" w:type="dxa"/>
            </w:tcMar>
            <w:vAlign w:val="center"/>
          </w:tcPr>
          <w:p w14:paraId="355B2AD7" w14:textId="77777777" w:rsidR="00E044E0" w:rsidRDefault="00E044E0" w:rsidP="00C524B8">
            <w:pPr>
              <w:spacing w:after="0"/>
            </w:pPr>
            <w:r>
              <w:rPr>
                <w:sz w:val="14"/>
              </w:rPr>
              <w:t>Embedded analytics</w:t>
            </w:r>
          </w:p>
        </w:tc>
        <w:tc>
          <w:tcPr>
            <w:tcW w:w="893" w:type="dxa"/>
            <w:tcMar>
              <w:top w:w="70" w:type="dxa"/>
              <w:left w:w="70" w:type="dxa"/>
              <w:bottom w:w="70" w:type="dxa"/>
              <w:right w:w="70" w:type="dxa"/>
            </w:tcMar>
            <w:vAlign w:val="center"/>
          </w:tcPr>
          <w:p w14:paraId="05875D04"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35080CF0"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10E52CA8" w14:textId="77777777" w:rsidR="00E044E0" w:rsidRDefault="00E044E0" w:rsidP="00C524B8">
            <w:pPr>
              <w:spacing w:after="0"/>
            </w:pPr>
            <w:r>
              <w:rPr>
                <w:sz w:val="14"/>
              </w:rPr>
              <w:t>5</w:t>
            </w:r>
          </w:p>
        </w:tc>
        <w:tc>
          <w:tcPr>
            <w:tcW w:w="5400" w:type="dxa"/>
            <w:tcMar>
              <w:top w:w="70" w:type="dxa"/>
              <w:left w:w="70" w:type="dxa"/>
              <w:bottom w:w="70" w:type="dxa"/>
              <w:right w:w="70" w:type="dxa"/>
            </w:tcMar>
            <w:vAlign w:val="center"/>
          </w:tcPr>
          <w:p w14:paraId="42EED7DD" w14:textId="77777777" w:rsidR="00E044E0" w:rsidRDefault="00E044E0" w:rsidP="00C524B8">
            <w:pPr>
              <w:spacing w:after="0"/>
            </w:pPr>
            <w:r>
              <w:rPr>
                <w:sz w:val="14"/>
              </w:rPr>
              <w:t>All are viable; commercial model, tenancy and API requirements should be tested.</w:t>
            </w:r>
          </w:p>
        </w:tc>
      </w:tr>
      <w:tr w:rsidR="00E044E0" w14:paraId="72C880D6" w14:textId="77777777" w:rsidTr="00C524B8">
        <w:trPr>
          <w:jc w:val="center"/>
        </w:trPr>
        <w:tc>
          <w:tcPr>
            <w:tcW w:w="2376" w:type="dxa"/>
            <w:shd w:val="clear" w:color="auto" w:fill="EEF5FA"/>
            <w:tcMar>
              <w:top w:w="70" w:type="dxa"/>
              <w:left w:w="70" w:type="dxa"/>
              <w:bottom w:w="70" w:type="dxa"/>
              <w:right w:w="70" w:type="dxa"/>
            </w:tcMar>
            <w:vAlign w:val="center"/>
          </w:tcPr>
          <w:p w14:paraId="161C03BA" w14:textId="77777777" w:rsidR="00E044E0" w:rsidRDefault="00E044E0" w:rsidP="00C524B8">
            <w:pPr>
              <w:spacing w:after="0"/>
            </w:pPr>
            <w:r>
              <w:rPr>
                <w:sz w:val="14"/>
              </w:rPr>
              <w:t>Mobile</w:t>
            </w:r>
          </w:p>
        </w:tc>
        <w:tc>
          <w:tcPr>
            <w:tcW w:w="893" w:type="dxa"/>
            <w:shd w:val="clear" w:color="auto" w:fill="EEF5FA"/>
            <w:tcMar>
              <w:top w:w="70" w:type="dxa"/>
              <w:left w:w="70" w:type="dxa"/>
              <w:bottom w:w="70" w:type="dxa"/>
              <w:right w:w="70" w:type="dxa"/>
            </w:tcMar>
            <w:vAlign w:val="center"/>
          </w:tcPr>
          <w:p w14:paraId="4BC7AD91"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465A79F4"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18055D29"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20D3A75E" w14:textId="77777777" w:rsidR="00E044E0" w:rsidRDefault="00E044E0" w:rsidP="00C524B8">
            <w:pPr>
              <w:spacing w:after="0"/>
            </w:pPr>
            <w:r>
              <w:rPr>
                <w:sz w:val="14"/>
              </w:rPr>
              <w:t>Power BI and Tableau have mature enterprise mobile clients.</w:t>
            </w:r>
          </w:p>
        </w:tc>
      </w:tr>
      <w:tr w:rsidR="00E044E0" w14:paraId="3C1F9C6B" w14:textId="77777777" w:rsidTr="00C524B8">
        <w:trPr>
          <w:jc w:val="center"/>
        </w:trPr>
        <w:tc>
          <w:tcPr>
            <w:tcW w:w="2376" w:type="dxa"/>
            <w:tcMar>
              <w:top w:w="70" w:type="dxa"/>
              <w:left w:w="70" w:type="dxa"/>
              <w:bottom w:w="70" w:type="dxa"/>
              <w:right w:w="70" w:type="dxa"/>
            </w:tcMar>
            <w:vAlign w:val="center"/>
          </w:tcPr>
          <w:p w14:paraId="11037AB8" w14:textId="77777777" w:rsidR="00E044E0" w:rsidRDefault="00E044E0" w:rsidP="00C524B8">
            <w:pPr>
              <w:spacing w:after="0"/>
            </w:pPr>
            <w:r>
              <w:rPr>
                <w:sz w:val="14"/>
              </w:rPr>
              <w:t>Deployment portability</w:t>
            </w:r>
          </w:p>
        </w:tc>
        <w:tc>
          <w:tcPr>
            <w:tcW w:w="893" w:type="dxa"/>
            <w:tcMar>
              <w:top w:w="70" w:type="dxa"/>
              <w:left w:w="70" w:type="dxa"/>
              <w:bottom w:w="70" w:type="dxa"/>
              <w:right w:w="70" w:type="dxa"/>
            </w:tcMar>
            <w:vAlign w:val="center"/>
          </w:tcPr>
          <w:p w14:paraId="4D87AAC0" w14:textId="77777777" w:rsidR="00E044E0" w:rsidRDefault="00E044E0" w:rsidP="00C524B8">
            <w:pPr>
              <w:spacing w:after="0"/>
            </w:pPr>
            <w:r w:rsidRPr="00943E09">
              <w:rPr>
                <w:sz w:val="14"/>
                <w:highlight w:val="yellow"/>
              </w:rPr>
              <w:t>3</w:t>
            </w:r>
          </w:p>
        </w:tc>
        <w:tc>
          <w:tcPr>
            <w:tcW w:w="893" w:type="dxa"/>
            <w:tcMar>
              <w:top w:w="70" w:type="dxa"/>
              <w:left w:w="70" w:type="dxa"/>
              <w:bottom w:w="70" w:type="dxa"/>
              <w:right w:w="70" w:type="dxa"/>
            </w:tcMar>
            <w:vAlign w:val="center"/>
          </w:tcPr>
          <w:p w14:paraId="68AE73A5"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0797705D" w14:textId="77777777" w:rsidR="00E044E0" w:rsidRDefault="00E044E0" w:rsidP="00C524B8">
            <w:pPr>
              <w:spacing w:after="0"/>
            </w:pPr>
            <w:r w:rsidRPr="00943E09">
              <w:rPr>
                <w:sz w:val="14"/>
                <w:highlight w:val="yellow"/>
              </w:rPr>
              <w:t>2</w:t>
            </w:r>
          </w:p>
        </w:tc>
        <w:tc>
          <w:tcPr>
            <w:tcW w:w="5400" w:type="dxa"/>
            <w:tcMar>
              <w:top w:w="70" w:type="dxa"/>
              <w:left w:w="70" w:type="dxa"/>
              <w:bottom w:w="70" w:type="dxa"/>
              <w:right w:w="70" w:type="dxa"/>
            </w:tcMar>
            <w:vAlign w:val="center"/>
          </w:tcPr>
          <w:p w14:paraId="57BE5715" w14:textId="77777777" w:rsidR="00E044E0" w:rsidRDefault="00E044E0" w:rsidP="00C524B8">
            <w:pPr>
              <w:spacing w:after="0"/>
            </w:pPr>
            <w:r>
              <w:rPr>
                <w:sz w:val="14"/>
              </w:rPr>
              <w:t>Tableau offers the broadest cloud-neutral posture, especially with Tableau Server.</w:t>
            </w:r>
          </w:p>
        </w:tc>
      </w:tr>
      <w:tr w:rsidR="00E044E0" w14:paraId="18E101DB" w14:textId="77777777" w:rsidTr="00C524B8">
        <w:trPr>
          <w:jc w:val="center"/>
        </w:trPr>
        <w:tc>
          <w:tcPr>
            <w:tcW w:w="2376" w:type="dxa"/>
            <w:shd w:val="clear" w:color="auto" w:fill="EEF5FA"/>
            <w:tcMar>
              <w:top w:w="70" w:type="dxa"/>
              <w:left w:w="70" w:type="dxa"/>
              <w:bottom w:w="70" w:type="dxa"/>
              <w:right w:w="70" w:type="dxa"/>
            </w:tcMar>
            <w:vAlign w:val="center"/>
          </w:tcPr>
          <w:p w14:paraId="23C07BE8" w14:textId="77777777" w:rsidR="00E044E0" w:rsidRDefault="00E044E0" w:rsidP="00C524B8">
            <w:pPr>
              <w:spacing w:after="0"/>
            </w:pPr>
            <w:r>
              <w:rPr>
                <w:sz w:val="14"/>
              </w:rPr>
              <w:t>Operational overhead</w:t>
            </w:r>
          </w:p>
        </w:tc>
        <w:tc>
          <w:tcPr>
            <w:tcW w:w="893" w:type="dxa"/>
            <w:shd w:val="clear" w:color="auto" w:fill="EEF5FA"/>
            <w:tcMar>
              <w:top w:w="70" w:type="dxa"/>
              <w:left w:w="70" w:type="dxa"/>
              <w:bottom w:w="70" w:type="dxa"/>
              <w:right w:w="70" w:type="dxa"/>
            </w:tcMar>
            <w:vAlign w:val="center"/>
          </w:tcPr>
          <w:p w14:paraId="2A5E2E40" w14:textId="77777777" w:rsidR="00E044E0" w:rsidRDefault="00E044E0" w:rsidP="00C524B8">
            <w:pPr>
              <w:spacing w:after="0"/>
            </w:pPr>
            <w:r>
              <w:rPr>
                <w:sz w:val="14"/>
              </w:rPr>
              <w:t>4</w:t>
            </w:r>
          </w:p>
        </w:tc>
        <w:tc>
          <w:tcPr>
            <w:tcW w:w="893" w:type="dxa"/>
            <w:shd w:val="clear" w:color="auto" w:fill="EEF5FA"/>
            <w:tcMar>
              <w:top w:w="70" w:type="dxa"/>
              <w:left w:w="70" w:type="dxa"/>
              <w:bottom w:w="70" w:type="dxa"/>
              <w:right w:w="70" w:type="dxa"/>
            </w:tcMar>
            <w:vAlign w:val="center"/>
          </w:tcPr>
          <w:p w14:paraId="7A212536" w14:textId="77777777" w:rsidR="00E044E0" w:rsidRDefault="00E044E0" w:rsidP="00C524B8">
            <w:pPr>
              <w:spacing w:after="0"/>
            </w:pPr>
            <w:r w:rsidRPr="00943E09">
              <w:rPr>
                <w:sz w:val="14"/>
                <w:highlight w:val="yellow"/>
              </w:rPr>
              <w:t>3</w:t>
            </w:r>
          </w:p>
        </w:tc>
        <w:tc>
          <w:tcPr>
            <w:tcW w:w="1037" w:type="dxa"/>
            <w:shd w:val="clear" w:color="auto" w:fill="EEF5FA"/>
            <w:tcMar>
              <w:top w:w="70" w:type="dxa"/>
              <w:left w:w="70" w:type="dxa"/>
              <w:bottom w:w="70" w:type="dxa"/>
              <w:right w:w="70" w:type="dxa"/>
            </w:tcMar>
            <w:vAlign w:val="center"/>
          </w:tcPr>
          <w:p w14:paraId="649D9242"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0C00E1BF" w14:textId="77777777" w:rsidR="00E044E0" w:rsidRDefault="00E044E0" w:rsidP="00C524B8">
            <w:pPr>
              <w:spacing w:after="0"/>
            </w:pPr>
            <w:r>
              <w:rPr>
                <w:sz w:val="14"/>
              </w:rPr>
              <w:t>QuickSight is serverless SaaS; Tableau Server has the highest infrastructure burden.</w:t>
            </w:r>
          </w:p>
        </w:tc>
      </w:tr>
      <w:tr w:rsidR="00E044E0" w14:paraId="6859C7F1" w14:textId="77777777" w:rsidTr="00C524B8">
        <w:trPr>
          <w:jc w:val="center"/>
        </w:trPr>
        <w:tc>
          <w:tcPr>
            <w:tcW w:w="2376" w:type="dxa"/>
            <w:tcMar>
              <w:top w:w="70" w:type="dxa"/>
              <w:left w:w="70" w:type="dxa"/>
              <w:bottom w:w="70" w:type="dxa"/>
              <w:right w:w="70" w:type="dxa"/>
            </w:tcMar>
            <w:vAlign w:val="center"/>
          </w:tcPr>
          <w:p w14:paraId="0B10DB25" w14:textId="77777777" w:rsidR="00E044E0" w:rsidRDefault="00E044E0" w:rsidP="00C524B8">
            <w:pPr>
              <w:spacing w:after="0"/>
            </w:pPr>
            <w:r>
              <w:rPr>
                <w:sz w:val="14"/>
              </w:rPr>
              <w:t>Skills availability</w:t>
            </w:r>
          </w:p>
        </w:tc>
        <w:tc>
          <w:tcPr>
            <w:tcW w:w="893" w:type="dxa"/>
            <w:tcMar>
              <w:top w:w="70" w:type="dxa"/>
              <w:left w:w="70" w:type="dxa"/>
              <w:bottom w:w="70" w:type="dxa"/>
              <w:right w:w="70" w:type="dxa"/>
            </w:tcMar>
            <w:vAlign w:val="center"/>
          </w:tcPr>
          <w:p w14:paraId="20B3D0D7"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2D5F9D00"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4816DB1F" w14:textId="77777777" w:rsidR="00E044E0" w:rsidRDefault="00E044E0" w:rsidP="00C524B8">
            <w:pPr>
              <w:spacing w:after="0"/>
            </w:pPr>
            <w:r w:rsidRPr="00943E09">
              <w:rPr>
                <w:sz w:val="14"/>
                <w:highlight w:val="yellow"/>
              </w:rPr>
              <w:t>3</w:t>
            </w:r>
          </w:p>
        </w:tc>
        <w:tc>
          <w:tcPr>
            <w:tcW w:w="5400" w:type="dxa"/>
            <w:tcMar>
              <w:top w:w="70" w:type="dxa"/>
              <w:left w:w="70" w:type="dxa"/>
              <w:bottom w:w="70" w:type="dxa"/>
              <w:right w:w="70" w:type="dxa"/>
            </w:tcMar>
            <w:vAlign w:val="center"/>
          </w:tcPr>
          <w:p w14:paraId="2FE11119" w14:textId="77777777" w:rsidR="00E044E0" w:rsidRDefault="00E044E0" w:rsidP="00C524B8">
            <w:pPr>
              <w:spacing w:after="0"/>
            </w:pPr>
            <w:r>
              <w:rPr>
                <w:sz w:val="14"/>
              </w:rPr>
              <w:t>Power BI and Tableau generally have broader enterprise talent pools.</w:t>
            </w:r>
          </w:p>
        </w:tc>
      </w:tr>
      <w:tr w:rsidR="00E044E0" w14:paraId="1A79CA82" w14:textId="77777777" w:rsidTr="00C524B8">
        <w:trPr>
          <w:jc w:val="center"/>
        </w:trPr>
        <w:tc>
          <w:tcPr>
            <w:tcW w:w="2376" w:type="dxa"/>
            <w:shd w:val="clear" w:color="auto" w:fill="EEF5FA"/>
            <w:tcMar>
              <w:top w:w="70" w:type="dxa"/>
              <w:left w:w="70" w:type="dxa"/>
              <w:bottom w:w="70" w:type="dxa"/>
              <w:right w:w="70" w:type="dxa"/>
            </w:tcMar>
            <w:vAlign w:val="center"/>
          </w:tcPr>
          <w:p w14:paraId="57585CEA" w14:textId="77777777" w:rsidR="00E044E0" w:rsidRDefault="00E044E0" w:rsidP="00C524B8">
            <w:pPr>
              <w:spacing w:after="0"/>
            </w:pPr>
            <w:r>
              <w:rPr>
                <w:sz w:val="14"/>
              </w:rPr>
              <w:t>Large-scale consumption</w:t>
            </w:r>
          </w:p>
        </w:tc>
        <w:tc>
          <w:tcPr>
            <w:tcW w:w="893" w:type="dxa"/>
            <w:shd w:val="clear" w:color="auto" w:fill="EEF5FA"/>
            <w:tcMar>
              <w:top w:w="70" w:type="dxa"/>
              <w:left w:w="70" w:type="dxa"/>
              <w:bottom w:w="70" w:type="dxa"/>
              <w:right w:w="70" w:type="dxa"/>
            </w:tcMar>
            <w:vAlign w:val="center"/>
          </w:tcPr>
          <w:p w14:paraId="73F15A37"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0D1EEEB0"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76B78F68"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7B056ED5" w14:textId="77777777" w:rsidR="00E044E0" w:rsidRDefault="00E044E0" w:rsidP="00C524B8">
            <w:pPr>
              <w:spacing w:after="0"/>
            </w:pPr>
            <w:r>
              <w:rPr>
                <w:sz w:val="14"/>
              </w:rPr>
              <w:t>All scale, but concurrency, cache, capacity and Snowflake warehouse design determine real performance.</w:t>
            </w:r>
          </w:p>
        </w:tc>
      </w:tr>
    </w:tbl>
    <w:p w14:paraId="184D5D7F" w14:textId="77777777" w:rsidR="00E044E0" w:rsidRDefault="00E044E0" w:rsidP="00E7301D"/>
    <w:p w14:paraId="43EAC924" w14:textId="77777777" w:rsidR="00E044E0" w:rsidRPr="00E044E0" w:rsidRDefault="00E044E0" w:rsidP="00E7301D"/>
    <w:p w14:paraId="450B3ABB" w14:textId="204FAA75" w:rsidR="00C72F04" w:rsidRDefault="00FA795C">
      <w:pPr>
        <w:pStyle w:val="Heading1"/>
      </w:pPr>
      <w:r>
        <w:t>5. Product-Specific POV</w:t>
      </w:r>
    </w:p>
    <w:tbl>
      <w:tblPr>
        <w:tblStyle w:val="TableGrid"/>
        <w:tblW w:w="0" w:type="auto"/>
        <w:jc w:val="center"/>
        <w:tblLook w:val="04A0" w:firstRow="1" w:lastRow="0" w:firstColumn="1" w:lastColumn="0" w:noHBand="0" w:noVBand="1"/>
      </w:tblPr>
      <w:tblGrid>
        <w:gridCol w:w="1417"/>
        <w:gridCol w:w="2268"/>
        <w:gridCol w:w="2551"/>
        <w:gridCol w:w="4044"/>
      </w:tblGrid>
      <w:tr w:rsidR="00C72F04" w14:paraId="619C9031" w14:textId="77777777" w:rsidTr="00C678F0">
        <w:trPr>
          <w:tblHeader/>
          <w:jc w:val="center"/>
        </w:trPr>
        <w:tc>
          <w:tcPr>
            <w:tcW w:w="1417" w:type="dxa"/>
            <w:shd w:val="clear" w:color="auto" w:fill="17365D"/>
            <w:tcMar>
              <w:top w:w="55" w:type="dxa"/>
              <w:left w:w="65" w:type="dxa"/>
              <w:bottom w:w="55" w:type="dxa"/>
              <w:right w:w="65" w:type="dxa"/>
            </w:tcMar>
          </w:tcPr>
          <w:p w14:paraId="5AD8F225" w14:textId="77777777" w:rsidR="00C72F04" w:rsidRDefault="00FA795C">
            <w:r>
              <w:rPr>
                <w:b/>
                <w:color w:val="FFFFFF"/>
                <w:sz w:val="15"/>
              </w:rPr>
              <w:t>Platform</w:t>
            </w:r>
          </w:p>
        </w:tc>
        <w:tc>
          <w:tcPr>
            <w:tcW w:w="2268" w:type="dxa"/>
            <w:shd w:val="clear" w:color="auto" w:fill="17365D"/>
            <w:tcMar>
              <w:top w:w="55" w:type="dxa"/>
              <w:left w:w="65" w:type="dxa"/>
              <w:bottom w:w="55" w:type="dxa"/>
              <w:right w:w="65" w:type="dxa"/>
            </w:tcMar>
          </w:tcPr>
          <w:p w14:paraId="4FCE69F4" w14:textId="77777777" w:rsidR="00C72F04" w:rsidRDefault="00FA795C">
            <w:r>
              <w:rPr>
                <w:b/>
                <w:color w:val="FFFFFF"/>
                <w:sz w:val="15"/>
              </w:rPr>
              <w:t>Best fit for IDB</w:t>
            </w:r>
          </w:p>
        </w:tc>
        <w:tc>
          <w:tcPr>
            <w:tcW w:w="2551" w:type="dxa"/>
            <w:shd w:val="clear" w:color="auto" w:fill="17365D"/>
            <w:tcMar>
              <w:top w:w="55" w:type="dxa"/>
              <w:left w:w="65" w:type="dxa"/>
              <w:bottom w:w="55" w:type="dxa"/>
              <w:right w:w="65" w:type="dxa"/>
            </w:tcMar>
          </w:tcPr>
          <w:p w14:paraId="3CC3A0CA" w14:textId="77777777" w:rsidR="00C72F04" w:rsidRDefault="00FA795C">
            <w:r>
              <w:rPr>
                <w:b/>
                <w:color w:val="FFFFFF"/>
                <w:sz w:val="15"/>
              </w:rPr>
              <w:t>Strengths</w:t>
            </w:r>
          </w:p>
        </w:tc>
        <w:tc>
          <w:tcPr>
            <w:tcW w:w="4044" w:type="dxa"/>
            <w:shd w:val="clear" w:color="auto" w:fill="17365D"/>
            <w:tcMar>
              <w:top w:w="55" w:type="dxa"/>
              <w:left w:w="65" w:type="dxa"/>
              <w:bottom w:w="55" w:type="dxa"/>
              <w:right w:w="65" w:type="dxa"/>
            </w:tcMar>
          </w:tcPr>
          <w:p w14:paraId="37FC357B" w14:textId="77777777" w:rsidR="00C72F04" w:rsidRDefault="00FA795C">
            <w:r>
              <w:rPr>
                <w:b/>
                <w:color w:val="FFFFFF"/>
                <w:sz w:val="15"/>
              </w:rPr>
              <w:t>Constraints / validation</w:t>
            </w:r>
          </w:p>
        </w:tc>
      </w:tr>
      <w:tr w:rsidR="00C72F04" w14:paraId="5AE6F0BB" w14:textId="77777777" w:rsidTr="00C678F0">
        <w:trPr>
          <w:jc w:val="center"/>
        </w:trPr>
        <w:tc>
          <w:tcPr>
            <w:tcW w:w="1417" w:type="dxa"/>
            <w:tcMar>
              <w:top w:w="55" w:type="dxa"/>
              <w:left w:w="65" w:type="dxa"/>
              <w:bottom w:w="55" w:type="dxa"/>
              <w:right w:w="65" w:type="dxa"/>
            </w:tcMar>
          </w:tcPr>
          <w:p w14:paraId="4E547FD7" w14:textId="77777777" w:rsidR="00C72F04" w:rsidRDefault="00FA795C">
            <w:pPr>
              <w:spacing w:after="0"/>
            </w:pPr>
            <w:r>
              <w:rPr>
                <w:sz w:val="13"/>
              </w:rPr>
              <w:t>Microsoft Power BI</w:t>
            </w:r>
          </w:p>
        </w:tc>
        <w:tc>
          <w:tcPr>
            <w:tcW w:w="2268" w:type="dxa"/>
            <w:tcMar>
              <w:top w:w="55" w:type="dxa"/>
              <w:left w:w="65" w:type="dxa"/>
              <w:bottom w:w="55" w:type="dxa"/>
              <w:right w:w="65" w:type="dxa"/>
            </w:tcMar>
          </w:tcPr>
          <w:p w14:paraId="1AB9455B" w14:textId="77777777" w:rsidR="00C72F04" w:rsidRDefault="00FA795C">
            <w:pPr>
              <w:spacing w:after="0"/>
            </w:pPr>
            <w:r>
              <w:rPr>
                <w:sz w:val="13"/>
              </w:rPr>
              <w:t>Snowflake on Azure or a deliberate Microsoft/Fabric strategy.</w:t>
            </w:r>
          </w:p>
        </w:tc>
        <w:tc>
          <w:tcPr>
            <w:tcW w:w="2551" w:type="dxa"/>
            <w:tcMar>
              <w:top w:w="55" w:type="dxa"/>
              <w:left w:w="65" w:type="dxa"/>
              <w:bottom w:w="55" w:type="dxa"/>
              <w:right w:w="65" w:type="dxa"/>
            </w:tcMar>
          </w:tcPr>
          <w:p w14:paraId="50A67D43" w14:textId="77777777" w:rsidR="00C72F04" w:rsidRDefault="00FA795C">
            <w:pPr>
              <w:spacing w:after="0"/>
            </w:pPr>
            <w:r>
              <w:rPr>
                <w:sz w:val="13"/>
              </w:rPr>
              <w:t>Semantic modeling, DAX, Power Query, paginated reporting, M365 integration, Copilot and Fabric roadmap.</w:t>
            </w:r>
          </w:p>
        </w:tc>
        <w:tc>
          <w:tcPr>
            <w:tcW w:w="4044" w:type="dxa"/>
            <w:tcMar>
              <w:top w:w="55" w:type="dxa"/>
              <w:left w:w="65" w:type="dxa"/>
              <w:bottom w:w="55" w:type="dxa"/>
              <w:right w:w="65" w:type="dxa"/>
            </w:tcMar>
          </w:tcPr>
          <w:p w14:paraId="1E205EF0" w14:textId="77777777" w:rsidR="00C72F04" w:rsidRDefault="00FA795C">
            <w:pPr>
              <w:spacing w:after="0"/>
            </w:pPr>
            <w:r>
              <w:rPr>
                <w:sz w:val="13"/>
              </w:rPr>
              <w:t>Limited current footprint; no established Azure tenant; cross-cloud complexity on AWS; validate Cognos replacement, capacity sizing and security model.</w:t>
            </w:r>
          </w:p>
        </w:tc>
      </w:tr>
      <w:tr w:rsidR="00C72F04" w14:paraId="0ECBD659" w14:textId="77777777" w:rsidTr="00C678F0">
        <w:trPr>
          <w:jc w:val="center"/>
        </w:trPr>
        <w:tc>
          <w:tcPr>
            <w:tcW w:w="1417" w:type="dxa"/>
            <w:shd w:val="clear" w:color="auto" w:fill="EEF5FA"/>
            <w:tcMar>
              <w:top w:w="55" w:type="dxa"/>
              <w:left w:w="65" w:type="dxa"/>
              <w:bottom w:w="55" w:type="dxa"/>
              <w:right w:w="65" w:type="dxa"/>
            </w:tcMar>
          </w:tcPr>
          <w:p w14:paraId="68AE2413" w14:textId="77777777" w:rsidR="00C72F04" w:rsidRDefault="00FA795C">
            <w:pPr>
              <w:spacing w:after="0"/>
            </w:pPr>
            <w:r>
              <w:rPr>
                <w:sz w:val="13"/>
              </w:rPr>
              <w:t>Tableau</w:t>
            </w:r>
          </w:p>
        </w:tc>
        <w:tc>
          <w:tcPr>
            <w:tcW w:w="2268" w:type="dxa"/>
            <w:shd w:val="clear" w:color="auto" w:fill="EEF5FA"/>
            <w:tcMar>
              <w:top w:w="55" w:type="dxa"/>
              <w:left w:w="65" w:type="dxa"/>
              <w:bottom w:w="55" w:type="dxa"/>
              <w:right w:w="65" w:type="dxa"/>
            </w:tcMar>
          </w:tcPr>
          <w:p w14:paraId="7BAAED8D" w14:textId="77777777" w:rsidR="00C72F04" w:rsidRDefault="00FA795C">
            <w:pPr>
              <w:spacing w:after="0"/>
            </w:pPr>
            <w:r>
              <w:rPr>
                <w:sz w:val="13"/>
              </w:rPr>
              <w:t>Cloud neutrality, visual analysis and reuse of the existing Tableau footprint.</w:t>
            </w:r>
          </w:p>
        </w:tc>
        <w:tc>
          <w:tcPr>
            <w:tcW w:w="2551" w:type="dxa"/>
            <w:shd w:val="clear" w:color="auto" w:fill="EEF5FA"/>
            <w:tcMar>
              <w:top w:w="55" w:type="dxa"/>
              <w:left w:w="65" w:type="dxa"/>
              <w:bottom w:w="55" w:type="dxa"/>
              <w:right w:w="65" w:type="dxa"/>
            </w:tcMar>
          </w:tcPr>
          <w:p w14:paraId="676835B4" w14:textId="77777777" w:rsidR="00C72F04" w:rsidRDefault="00FA795C">
            <w:pPr>
              <w:spacing w:after="0"/>
            </w:pPr>
            <w:r>
              <w:rPr>
                <w:sz w:val="13"/>
              </w:rPr>
              <w:t>Strong exploration, mature enterprise analytics, Snowflake connectivity and flexible Cloud/Server deployment.</w:t>
            </w:r>
          </w:p>
        </w:tc>
        <w:tc>
          <w:tcPr>
            <w:tcW w:w="4044" w:type="dxa"/>
            <w:shd w:val="clear" w:color="auto" w:fill="EEF5FA"/>
            <w:tcMar>
              <w:top w:w="55" w:type="dxa"/>
              <w:left w:w="65" w:type="dxa"/>
              <w:bottom w:w="55" w:type="dxa"/>
              <w:right w:w="65" w:type="dxa"/>
            </w:tcMar>
          </w:tcPr>
          <w:p w14:paraId="23E1216B" w14:textId="77777777" w:rsidR="00C72F04" w:rsidRDefault="00FA795C">
            <w:pPr>
              <w:spacing w:after="0"/>
            </w:pPr>
            <w:r>
              <w:rPr>
                <w:sz w:val="13"/>
              </w:rPr>
              <w:t>Potentially higher licensing; Tableau Server operations; semantic consistency; validate reporting parity and Tableau Cloud placement.</w:t>
            </w:r>
          </w:p>
        </w:tc>
      </w:tr>
      <w:tr w:rsidR="00C72F04" w14:paraId="32290D31" w14:textId="77777777" w:rsidTr="00C678F0">
        <w:trPr>
          <w:jc w:val="center"/>
        </w:trPr>
        <w:tc>
          <w:tcPr>
            <w:tcW w:w="1417" w:type="dxa"/>
            <w:tcMar>
              <w:top w:w="55" w:type="dxa"/>
              <w:left w:w="65" w:type="dxa"/>
              <w:bottom w:w="55" w:type="dxa"/>
              <w:right w:w="65" w:type="dxa"/>
            </w:tcMar>
          </w:tcPr>
          <w:p w14:paraId="3CEACAF5" w14:textId="77777777" w:rsidR="00C72F04" w:rsidRDefault="00FA795C">
            <w:pPr>
              <w:spacing w:after="0"/>
            </w:pPr>
            <w:r>
              <w:rPr>
                <w:sz w:val="13"/>
              </w:rPr>
              <w:t>Amazon QuickSight</w:t>
            </w:r>
          </w:p>
        </w:tc>
        <w:tc>
          <w:tcPr>
            <w:tcW w:w="2268" w:type="dxa"/>
            <w:tcMar>
              <w:top w:w="55" w:type="dxa"/>
              <w:left w:w="65" w:type="dxa"/>
              <w:bottom w:w="55" w:type="dxa"/>
              <w:right w:w="65" w:type="dxa"/>
            </w:tcMar>
          </w:tcPr>
          <w:p w14:paraId="1678DC71" w14:textId="77777777" w:rsidR="00C72F04" w:rsidRDefault="00FA795C">
            <w:pPr>
              <w:spacing w:after="0"/>
            </w:pPr>
            <w:r>
              <w:rPr>
                <w:sz w:val="13"/>
              </w:rPr>
              <w:t>Confirmed AWS strategy with emphasis on low operations and AWS-native integration.</w:t>
            </w:r>
          </w:p>
        </w:tc>
        <w:tc>
          <w:tcPr>
            <w:tcW w:w="2551" w:type="dxa"/>
            <w:tcMar>
              <w:top w:w="55" w:type="dxa"/>
              <w:left w:w="65" w:type="dxa"/>
              <w:bottom w:w="55" w:type="dxa"/>
              <w:right w:w="65" w:type="dxa"/>
            </w:tcMar>
          </w:tcPr>
          <w:p w14:paraId="35ADA0CF" w14:textId="77777777" w:rsidR="00C72F04" w:rsidRDefault="00FA795C">
            <w:pPr>
              <w:spacing w:after="0"/>
            </w:pPr>
            <w:r>
              <w:rPr>
                <w:sz w:val="13"/>
              </w:rPr>
              <w:t>Serverless operation, IAM/VPC alignment, SPICE and Amazon Q.</w:t>
            </w:r>
          </w:p>
        </w:tc>
        <w:tc>
          <w:tcPr>
            <w:tcW w:w="4044" w:type="dxa"/>
            <w:tcMar>
              <w:top w:w="55" w:type="dxa"/>
              <w:left w:w="65" w:type="dxa"/>
              <w:bottom w:w="55" w:type="dxa"/>
              <w:right w:w="65" w:type="dxa"/>
            </w:tcMar>
          </w:tcPr>
          <w:p w14:paraId="60FF0328" w14:textId="77777777" w:rsidR="00C72F04" w:rsidRDefault="00FA795C">
            <w:pPr>
              <w:spacing w:after="0"/>
            </w:pPr>
            <w:r>
              <w:rPr>
                <w:sz w:val="13"/>
              </w:rPr>
              <w:t>Smaller IDB footprint and talent pool; weaker semantic modeling; validate complex calculations, governed self-service and Cognos replacement.</w:t>
            </w:r>
          </w:p>
        </w:tc>
      </w:tr>
    </w:tbl>
    <w:p w14:paraId="6BEBEDB6" w14:textId="77777777" w:rsidR="00C72F04" w:rsidRDefault="00C72F04">
      <w:pPr>
        <w:spacing w:after="0"/>
      </w:pPr>
    </w:p>
    <w:p w14:paraId="550B41F2" w14:textId="77777777" w:rsidR="00C72F04" w:rsidRDefault="00FA795C">
      <w:r>
        <w:br w:type="page"/>
      </w:r>
    </w:p>
    <w:p>
      <w:pPr>
        <w:pStyle w:val="Heading1"/>
      </w:pPr>
      <w:r>
        <w:t>6. Economics and Architecture Premium</w:t>
      </w:r>
    </w:p>
    <w:p>
      <w:pPr/>
      <w:r>
        <w:t>A defensible cost comparison requires IDB-specific volumes and commercial quotes. The incremental cost is not a single product price; it is the sum of licences or capacity, Snowflake compute, network transfer, gateways, operations and migration. All figures below come from the IDB BI Cost Simulator v2 (public list prices validated 23 October 2026) and must be replaced with IDB commercial quotes before a platform decision is finalised.</w:t>
      </w:r>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EEF5FA"/>
            <w:tcMar>
              <w:top w:w="110" w:type="dxa"/>
              <w:left w:w="125" w:type="dxa"/>
              <w:bottom w:w="110" w:type="dxa"/>
              <w:right w:w="125" w:type="dxa"/>
            </w:tcMar>
          </w:tcPr>
          <w:p w14:paraId="0EFC68D9" w14:textId="77777777" w:rsidR="00C72F04" w:rsidRDefault="00FA795C">
            <w:r>
              <w:rPr>
                <w:b/>
                <w:color w:val="17365D"/>
              </w:rPr>
              <w:t xml:space="preserve">Cost model:  </w:t>
            </w:r>
            <w:r>
              <w:t>Annual run-rate = BI licences or capacity + Snowflake BI compute + data transfer + gateway or server infrastructure + administration/support. Five-year TCO = 5 x annual run-rate + one-time migration (reports x cost per report) + one-time training. 0% inflation baseline.</w:t>
            </w:r>
          </w:p>
        </w:tc>
      </w:tr>
    </w:tbl>
    <w:p/>
    <w:p>
      <w:pPr>
        <w:pStyle w:val="Heading2"/>
      </w:pPr>
      <w:r>
        <w:t>6.1 Scenario definitions</w:t>
      </w:r>
    </w:p>
    <w:tbl>
      <w:tblPr>
        <w:tblStyle w:val="TableGrid"/>
        <w:tblW w:w="10282" w:type="dxa"/>
        <w:jc w:val="center"/>
        <w:tblLayout w:type="fixed"/>
        <w:tblLook w:val="04A0" w:firstRow="1" w:lastRow="0" w:firstColumn="1" w:lastColumn="0" w:noHBand="0" w:noVBand="1"/>
      </w:tblPr>
      <w:tblGrid>
        <w:gridCol w:w="3682"/>
        <w:gridCol w:w="2200"/>
        <w:gridCol w:w="2200"/>
        <w:gridCol w:w="2200"/>
      </w:tblGrid>
      <w:tr>
        <w:trPr>
          <w:tblHeader/>
          <w:cantSplit/>
          <w:jc w:val="center"/>
        </w:trPr>
        <w:tc>
          <w:tcPr>
            <w:tcW w:w="3682" w:type="dxa"/>
            <w:shd w:val="clear" w:color="auto" w:fill="17365D"/>
            <w:tcMar>
              <w:top w:w="50" w:type="dxa"/>
              <w:left w:w="60" w:type="dxa"/>
              <w:bottom w:w="50" w:type="dxa"/>
              <w:right w:w="60" w:type="dxa"/>
            </w:tcMar>
            <w:vAlign w:val="center"/>
          </w:tcPr>
          <w:p>
            <w:pPr>
              <w:spacing w:before="0" w:after="0"/>
              <w:jc w:val="left"/>
            </w:pPr>
            <w:r>
              <w:rPr>
                <w:b/>
                <w:color w:val="FFFFFF"/>
                <w:sz w:val="16"/>
                <w:szCs w:val="16"/>
              </w:rPr>
              <w:t xml:space="preserve">Parameter</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S1 Small</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S2 Medium</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S3 Large (baseline)</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Consumers</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100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250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500</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Developers / creators</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15</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25</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Explorers / analysts</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25</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Peak concurrency</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20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50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100</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BI result traffic (TB/month)</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5</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Reports in migration scope</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60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140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250</w:t>
            </w:r>
          </w:p>
        </w:tc>
      </w:tr>
    </w:tbl>
    <w:p/>
    <w:p>
      <w:pPr>
        <w:pStyle w:val="Heading2"/>
      </w:pPr>
      <w:r>
        <w:t>6.2 Total cost by scenario - all 20 configurations</w:t>
      </w:r>
    </w:p>
    <w:p>
      <w:pPr/>
      <w:r>
        <w:t>Table 6.2 is the primary decision table. It shows the total annual run-rate (licensing plus architecture and operations) and the five-year TCO for each scenario. The licensing and architecture split behind every figure is in Appendix B.</w:t>
      </w:r>
    </w:p>
    <w:tbl>
      <w:tblPr>
        <w:tblStyle w:val="TableGrid"/>
        <w:tblW w:w="10282" w:type="dxa"/>
        <w:jc w:val="center"/>
        <w:tblLayout w:type="fixed"/>
        <w:tblLook w:val="04A0" w:firstRow="1" w:lastRow="0" w:firstColumn="1" w:lastColumn="0" w:noHBand="0" w:noVBand="1"/>
      </w:tblPr>
      <w:tblGrid>
        <w:gridCol w:w="1560"/>
        <w:gridCol w:w="1690"/>
        <w:gridCol w:w="1172"/>
        <w:gridCol w:w="1172"/>
        <w:gridCol w:w="1172"/>
        <w:gridCol w:w="1172"/>
        <w:gridCol w:w="1172"/>
        <w:gridCol w:w="1172"/>
      </w:tblGrid>
      <w:tr>
        <w:trPr>
          <w:tblHeader/>
          <w:cantSplit/>
          <w:jc w:val="center"/>
        </w:trPr>
        <w:tc>
          <w:tcPr>
            <w:tcW w:w="15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BI platform</w:t>
            </w:r>
          </w:p>
        </w:tc>
        <w:tc>
          <w:tcPr>
            <w:tcW w:w="169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5-yr TCO</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5-yr TCO</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5-yr TCO</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$70,440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$532,200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$102,840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$894,200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$156,600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$1,438,000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$84,840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$604,200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$137,040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$1,065,200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$222,600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$1,768,000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$113,672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$748,360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$120,872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$984,360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$132,632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$1,318,160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$154,555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$952,776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$161,755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$1,188,776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$173,515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$1,522,576</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$113,580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$747,900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$120,780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$983,900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$132,540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$1,317,700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$67,840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$526,200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$104,380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$924,900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$160,900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$1,504,500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$100,000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$687,000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$178,300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$1,294,500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$301,300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$2,206,500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$117,840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$776,200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$154,380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$1,174,900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$210,900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$1,754,500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$34,440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$414,200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$44,160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$718,800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$57,480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$1,137,400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$41,280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$448,400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$53,880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$767,400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$70,080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$1,200,400</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$50,960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$434,800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$78,680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$773,400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$123,200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$1,271,000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$65,360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$506,800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$112,880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$944,400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$189,200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$1,601,000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$94,192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$650,960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$96,712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$863,560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$99,232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$1,151,160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$135,075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$855,376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$137,595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$1,067,976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$140,115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$1,355,576</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$94,100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$650,500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$96,620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$863,100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$99,140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$1,150,700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$78,450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$579,250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$118,500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$995,500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$181,950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$1,609,750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$110,610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$740,050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$192,420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$1,365,100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$322,350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$2,311,750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$117,840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$776,200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$154,380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$1,174,900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$210,900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$1,754,500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$50,442</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$494,210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$65,544</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$825,720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$89,490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$1,297,450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$57,282</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$528,410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$75,264</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$874,320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$102,090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$1,360,450</w:t>
            </w:r>
          </w:p>
        </w:tc>
      </w:tr>
      <w:tr>
        <w:trPr>
          <w:cantSplit/>
          <w:jc w:val="center"/>
        </w:trPr>
        <w:tc>
          <w:tcPr>
            <w:tcW w:w="10282" w:type="dxa"/>
            <w:gridSpan w:val="8"/>
            <w:shd w:val="clear" w:color="auto" w:fill="FFF9E6"/>
            <w:tcMar>
              <w:top w:w="50" w:type="dxa"/>
              <w:left w:w="60" w:type="dxa"/>
              <w:bottom w:w="50" w:type="dxa"/>
              <w:right w:w="60" w:type="dxa"/>
            </w:tcMar>
            <w:vAlign w:val="center"/>
          </w:tcPr>
          <w:p>
            <w:pPr>
              <w:spacing w:before="0" w:after="0"/>
              <w:jc w:val="left"/>
            </w:pPr>
            <w:r>
              <w:rPr>
                <w:color w:val="595959"/>
                <w:sz w:val="14"/>
                <w:szCs w:val="14"/>
              </w:rPr>
              <w:t xml:space="preserve">Gold = recommended Power BI licensing model (Fabric F64 Reserved). Rose = AI-tier rows. Annual total = licensing + architecture &amp; operations. 5-yr TCO includes one-time migration and training. Premium P1 is a legacy reference only (no new purchases).</w:t>
            </w:r>
          </w:p>
        </w:tc>
      </w:tr>
    </w:tbl>
    <w:p/>
    <w:p>
      <w:pPr>
        <w:pStyle w:val="Heading3"/>
      </w:pPr>
      <w:r>
        <w:t>Key observations - scenarios</w:t>
      </w:r>
    </w:p>
    <w:p>
      <w:pPr>
        <w:pStyle w:val="ListBullet"/>
      </w:pPr>
      <w:r>
        <w:t>QuickSight Standard on AWS is the lowest five-year TCO in every scenario ($414,200 S1, $718,800 S2, $1,137,400 S3).</w:t>
      </w:r>
    </w:p>
    <w:p>
      <w:pPr>
        <w:pStyle w:val="ListBullet"/>
      </w:pPr>
      <w:r>
        <w:t>With Snowflake on Azure, Power BI Pro is cheapest at S1 and S2 ($434,800 and $773,400); at S3, Fabric F64 Reserved becomes the lowest purchasable option ($1,151,160) because 500 consumers view free on F64.</w:t>
      </w:r>
    </w:p>
    <w:p>
      <w:pPr>
        <w:pStyle w:val="ListBullet"/>
      </w:pPr>
      <w:r>
        <w:t>Fabric F64 Reserved beats Pro once consumers exceed ~357 at list price; F64 pay-as-you-go needs ~601 consumers, so reservation is the only sensible capacity option at IDB scale.</w:t>
      </w:r>
    </w:p>
    <w:p>
      <w:pPr>
        <w:pStyle w:val="ListBullet"/>
      </w:pPr>
      <w:r>
        <w:t>PPU is never the lowest Power BI option. It costs more than F64 Reserved + Pro authors above ~238 named users.</w:t>
      </w:r>
    </w:p>
    <w:p>
      <w:pPr>
        <w:pStyle w:val="ListBullet"/>
      </w:pPr>
      <w:r>
        <w:t>Tableau Server costs the same in either cloud because it is hosted next to Snowflake. Its higher infrastructure and operations cost is the price of placement control.</w:t>
      </w:r>
    </w:p>
    <w:p>
      <w:pPr>
        <w:pStyle w:val="ListBullet"/>
      </w:pPr>
      <w:r>
        <w:t>Architecture and operations premiums are identical across Power BI licensing models; licensing choice does not change cross-cloud cost.</w:t>
      </w:r>
    </w:p>
    <w:p>
      <w:pPr>
        <w:pStyle w:val="Heading2"/>
      </w:pPr>
      <w:r>
        <w:t>6.3 Five-year TCO at baseline (S3: 500 consumers / 25 developers / 25 explorers / 5 TB)</w:t>
      </w:r>
    </w:p>
    <w:tbl>
      <w:tblPr>
        <w:tblStyle w:val="TableGrid"/>
        <w:tblW w:w="10282" w:type="dxa"/>
        <w:jc w:val="center"/>
        <w:tblLayout w:type="fixed"/>
        <w:tblLook w:val="04A0" w:firstRow="1" w:lastRow="0" w:firstColumn="1" w:lastColumn="0" w:noHBand="0" w:noVBand="1"/>
      </w:tblPr>
      <w:tblGrid>
        <w:gridCol w:w="2450"/>
        <w:gridCol w:w="2020"/>
        <w:gridCol w:w="1250"/>
        <w:gridCol w:w="1250"/>
        <w:gridCol w:w="1300"/>
        <w:gridCol w:w="1250"/>
        <w:gridCol w:w="762"/>
      </w:tblGrid>
      <w:tr>
        <w:trPr>
          <w:tblHeader/>
          <w:cantSplit/>
          <w:jc w:val="center"/>
        </w:trPr>
        <w:tc>
          <w:tcPr>
            <w:tcW w:w="245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Configuration</w:t>
            </w:r>
          </w:p>
        </w:tc>
        <w:tc>
          <w:tcPr>
            <w:tcW w:w="202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licensing</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arch &amp; ops</w:t>
            </w:r>
          </w:p>
        </w:tc>
        <w:tc>
          <w:tcPr>
            <w:tcW w:w="13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5-year TCO</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Avg annual TCO</w:t>
            </w:r>
          </w:p>
        </w:tc>
        <w:tc>
          <w:tcPr>
            <w:tcW w:w="76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Rank (of 20)</w:t>
            </w:r>
          </w:p>
        </w:tc>
      </w:tr>
      <w:tr>
        <w:trPr>
          <w:cantSplit/>
          <w:jc w:val="center"/>
        </w:trPr>
        <w:tc>
          <w:tcPr>
            <w:tcW w:w="10282" w:type="dxa"/>
            <w:gridSpan w:val="7"/>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$92,400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$1,438,000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$287,600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$158,400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$1,768,000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$353,600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w:t>
            </w:r>
          </w:p>
        </w:tc>
      </w:tr>
      <w:tr>
        <w:trPr>
          <w:cantSplit/>
          <w:jc w:val="center"/>
        </w:trPr>
        <w:tc>
          <w:tcPr>
            <w:tcW w:w="245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$68,432</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$1,318,160</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$263,632</w:t>
            </w:r>
          </w:p>
        </w:tc>
        <w:tc>
          <w:tcPr>
            <w:tcW w:w="76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$109,315</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$1,522,576</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$304,515</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$68,340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$1,317,700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$263,540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 Snowflake AWS</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$125,100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$1,504,500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$300,900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w:t>
            </w:r>
          </w:p>
        </w:tc>
      </w:tr>
      <w:tr>
        <w:trPr>
          <w:cantSplit/>
          <w:jc w:val="center"/>
        </w:trPr>
        <w:tc>
          <w:tcPr>
            <w:tcW w:w="245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 + Snowflake AWS</w:t>
            </w:r>
          </w:p>
        </w:tc>
        <w:tc>
          <w:tcPr>
            <w:tcW w:w="202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$265,500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c>
          <w:tcPr>
            <w:tcW w:w="13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$2,206,500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$441,300</w:t>
            </w:r>
          </w:p>
        </w:tc>
        <w:tc>
          <w:tcPr>
            <w:tcW w:w="76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 + Snowflake AWS</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$125,100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$1,754,500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$350,900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 + Snowflake AWS</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$32,400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$1,137,400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$227,480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w:t>
            </w:r>
          </w:p>
        </w:tc>
      </w:tr>
      <w:tr>
        <w:trPr>
          <w:cantSplit/>
          <w:jc w:val="center"/>
        </w:trPr>
        <w:tc>
          <w:tcPr>
            <w:tcW w:w="245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 + Snowflake AWS</w:t>
            </w:r>
          </w:p>
        </w:tc>
        <w:tc>
          <w:tcPr>
            <w:tcW w:w="202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$45,000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c>
          <w:tcPr>
            <w:tcW w:w="13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$1,200,400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$240,080</w:t>
            </w:r>
          </w:p>
        </w:tc>
        <w:tc>
          <w:tcPr>
            <w:tcW w:w="76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w:t>
            </w:r>
          </w:p>
        </w:tc>
      </w:tr>
      <w:tr>
        <w:trPr>
          <w:cantSplit/>
          <w:jc w:val="center"/>
        </w:trPr>
        <w:tc>
          <w:tcPr>
            <w:tcW w:w="10282" w:type="dxa"/>
            <w:gridSpan w:val="7"/>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$92,400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$1,271,000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$254,200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$158,400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$1,601,000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$320,200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w:t>
            </w:r>
          </w:p>
        </w:tc>
      </w:tr>
      <w:tr>
        <w:trPr>
          <w:cantSplit/>
          <w:jc w:val="center"/>
        </w:trPr>
        <w:tc>
          <w:tcPr>
            <w:tcW w:w="245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$68,432</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$1,151,160</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$230,232</w:t>
            </w:r>
          </w:p>
        </w:tc>
        <w:tc>
          <w:tcPr>
            <w:tcW w:w="76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$109,315</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$1,355,576</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$271,115</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$68,340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$1,150,700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$230,140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 Snowflake Azure</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$125,100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$56,850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$1,609,750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$321,950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w:t>
            </w:r>
          </w:p>
        </w:tc>
      </w:tr>
      <w:tr>
        <w:trPr>
          <w:cantSplit/>
          <w:jc w:val="center"/>
        </w:trPr>
        <w:tc>
          <w:tcPr>
            <w:tcW w:w="245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 + Snowflake Azure</w:t>
            </w:r>
          </w:p>
        </w:tc>
        <w:tc>
          <w:tcPr>
            <w:tcW w:w="202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$265,500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$56,850</w:t>
            </w:r>
          </w:p>
        </w:tc>
        <w:tc>
          <w:tcPr>
            <w:tcW w:w="13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$2,311,750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$462,350</w:t>
            </w:r>
          </w:p>
        </w:tc>
        <w:tc>
          <w:tcPr>
            <w:tcW w:w="76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20</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 + Snowflake Azure</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$125,100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$1,754,500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$350,900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 + Snowflake Azure</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$32,400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$57,090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$1,297,450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$259,490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w:t>
            </w:r>
          </w:p>
        </w:tc>
      </w:tr>
      <w:tr>
        <w:trPr>
          <w:cantSplit/>
          <w:jc w:val="center"/>
        </w:trPr>
        <w:tc>
          <w:tcPr>
            <w:tcW w:w="245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 + Snowflake Azure</w:t>
            </w:r>
          </w:p>
        </w:tc>
        <w:tc>
          <w:tcPr>
            <w:tcW w:w="202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$45,000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$57,090</w:t>
            </w:r>
          </w:p>
        </w:tc>
        <w:tc>
          <w:tcPr>
            <w:tcW w:w="13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$1,360,450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$272,090</w:t>
            </w:r>
          </w:p>
        </w:tc>
        <w:tc>
          <w:tcPr>
            <w:tcW w:w="76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w:t>
            </w:r>
          </w:p>
        </w:tc>
      </w:tr>
    </w:tbl>
    <w:p/>
    <w:p>
      <w:pPr>
        <w:pStyle w:val="Heading3"/>
      </w:pPr>
      <w:r>
        <w:t>Key observations - five-year TCO</w:t>
      </w:r>
    </w:p>
    <w:p>
      <w:pPr>
        <w:pStyle w:val="ListBullet"/>
      </w:pPr>
      <w:r>
        <w:t>Snowflake on AWS: QuickSight Standard $1.14M &lt; Power BI Fabric F64 Reserved $1.32M &lt; Tableau Cloud $1.50M &lt; Power BI Pro $1.44M.</w:t>
      </w:r>
    </w:p>
    <w:p>
      <w:pPr>
        <w:pStyle w:val="ListBullet"/>
      </w:pPr>
      <w:r>
        <w:t>Snowflake on Azure: Power BI Fabric F64 Reserved $1.15M &lt; Power BI Pro $1.27M &lt; QuickSight Standard $1.30M &lt; Tableau Cloud $1.61M.</w:t>
      </w:r>
    </w:p>
    <w:p>
      <w:pPr>
        <w:pStyle w:val="ListBullet"/>
      </w:pPr>
      <w:r>
        <w:t>Fabric F64 Reserved saves $119,840 over five years versus Pro on the same cloud, and Copilot can run on the capacity at no extra licence cost.</w:t>
      </w:r>
    </w:p>
    <w:p>
      <w:pPr>
        <w:pStyle w:val="ListBullet"/>
      </w:pPr>
      <w:r>
        <w:t>QuickSight Author Pro (AI) adds $63,000 over five years versus Standard. It is the cheapest route to generative BI.</w:t>
      </w:r>
    </w:p>
    <w:p>
      <w:pPr>
        <w:pStyle w:val="ListBullet"/>
      </w:pPr>
      <w:r>
        <w:t>Tableau+ adds at least $702,000 over five years versus Standard. This uses Enterprise list prices as a floor, because Tableau+ is quote-only. It is the most expensive AI upgrade.</w:t>
      </w:r>
    </w:p>
    <w:p>
      <w:pPr>
        <w:pStyle w:val="ListBullet"/>
      </w:pPr>
      <w:r>
        <w:t>One-time costs drive much of the spread: QuickSight carries the highest migration and enablement cost (~$850K) given IDB's limited QuickSight skills base.</w:t>
      </w:r>
    </w:p>
    <w:p>
      <w:pPr>
        <w:pStyle w:val="Heading2"/>
      </w:pPr>
      <w:r>
        <w:t>6.4 Cross-cloud premium: Power BI with Snowflake on AWS vs Azure</w:t>
      </w:r>
    </w:p>
    <w:p>
      <w:pPr/>
      <w:r>
        <w:t>This section answers three questions. What does Power BI cost extra when Snowflake is on AWS rather than Azure? Does Tableau have the same challenge? How can the Power BI premium be reduced?</w:t>
      </w:r>
    </w:p>
    <w:tbl>
      <w:tblPr>
        <w:tblStyle w:val="TableGrid"/>
        <w:tblW w:w="10282" w:type="dxa"/>
        <w:jc w:val="center"/>
        <w:tblLayout w:type="fixed"/>
        <w:tblLook w:val="04A0" w:firstRow="1" w:lastRow="0" w:firstColumn="1" w:lastColumn="0" w:noHBand="0" w:noVBand="1"/>
      </w:tblPr>
      <w:tblGrid>
        <w:gridCol w:w="1150"/>
        <w:gridCol w:w="1180"/>
        <w:gridCol w:w="900"/>
        <w:gridCol w:w="1000"/>
        <w:gridCol w:w="900"/>
        <w:gridCol w:w="1000"/>
        <w:gridCol w:w="1050"/>
        <w:gridCol w:w="3102"/>
      </w:tblGrid>
      <w:tr>
        <w:trPr>
          <w:tblHeader/>
          <w:cantSplit/>
          <w:jc w:val="center"/>
        </w:trPr>
        <w:tc>
          <w:tcPr>
            <w:tcW w:w="115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Platform</w:t>
            </w:r>
          </w:p>
        </w:tc>
        <w:tc>
          <w:tcPr>
            <w:tcW w:w="118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Cross-cloud when</w:t>
            </w:r>
          </w:p>
        </w:tc>
        <w:tc>
          <w:tcPr>
            <w:tcW w:w="9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Transfer</w:t>
            </w:r>
          </w:p>
        </w:tc>
        <w:tc>
          <w:tcPr>
            <w:tcW w:w="10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Incremental compute</w:t>
            </w:r>
          </w:p>
        </w:tc>
        <w:tc>
          <w:tcPr>
            <w:tcW w:w="9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Gateway</w:t>
            </w:r>
          </w:p>
        </w:tc>
        <w:tc>
          <w:tcPr>
            <w:tcW w:w="10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Cross-cloud ops</w:t>
            </w:r>
          </w:p>
        </w:tc>
        <w:tc>
          <w:tcPr>
            <w:tcW w:w="10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premium</w:t>
            </w:r>
          </w:p>
        </w:tc>
        <w:tc>
          <w:tcPr>
            <w:tcW w:w="310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Interpretation</w:t>
            </w:r>
          </w:p>
        </w:tc>
      </w:tr>
      <w:tr>
        <w:trPr>
          <w:cantSplit/>
          <w:jc w:val="center"/>
        </w:trPr>
        <w:tc>
          <w:tcPr>
            <w:tcW w:w="115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180" w:type="dxa"/>
            <w:shd w:val="clear" w:color="auto" w:fill="FFF3CD"/>
            <w:tcMar>
              <w:top w:w="50" w:type="dxa"/>
              <w:left w:w="60" w:type="dxa"/>
              <w:bottom w:w="50" w:type="dxa"/>
              <w:right w:w="60" w:type="dxa"/>
            </w:tcMar>
            <w:vAlign w:val="center"/>
          </w:tcPr>
          <w:p>
            <w:pPr>
              <w:spacing w:before="0" w:after="0"/>
              <w:jc w:val="left"/>
            </w:pPr>
            <w:r>
              <w:rPr>
                <w:sz w:val="15"/>
                <w:szCs w:val="15"/>
              </w:rPr>
              <w:t xml:space="preserve">Snowflake on AWS</w:t>
            </w:r>
          </w:p>
        </w:tc>
        <w:tc>
          <w:tcPr>
            <w:tcW w:w="9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$5,400</w:t>
            </w:r>
          </w:p>
        </w:tc>
        <w:tc>
          <w:tcPr>
            <w:tcW w:w="10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$12,000</w:t>
            </w:r>
          </w:p>
        </w:tc>
        <w:tc>
          <w:tcPr>
            <w:tcW w:w="9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$6,000</w:t>
            </w:r>
          </w:p>
        </w:tc>
        <w:tc>
          <w:tcPr>
            <w:tcW w:w="10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$10,000</w:t>
            </w:r>
          </w:p>
        </w:tc>
        <w:tc>
          <w:tcPr>
            <w:tcW w:w="105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$33,400</w:t>
            </w:r>
          </w:p>
        </w:tc>
        <w:tc>
          <w:tcPr>
            <w:tcW w:w="3102"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 service runs in Azure; AWS-hosted Snowflake is cross-cloud.</w:t>
            </w:r>
          </w:p>
        </w:tc>
      </w:tr>
      <w:tr>
        <w:trPr>
          <w:cantSplit/>
          <w:jc w:val="center"/>
        </w:trPr>
        <w:tc>
          <w:tcPr>
            <w:tcW w:w="11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18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on Azure</w:t>
            </w:r>
          </w:p>
        </w:tc>
        <w:tc>
          <w:tcPr>
            <w:tcW w:w="9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$4,050</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w:t>
            </w:r>
          </w:p>
        </w:tc>
        <w:tc>
          <w:tcPr>
            <w:tcW w:w="9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$8,000</w:t>
            </w:r>
          </w:p>
        </w:tc>
        <w:tc>
          <w:tcPr>
            <w:tcW w:w="105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$21,050</w:t>
            </w:r>
          </w:p>
        </w:tc>
        <w:tc>
          <w:tcPr>
            <w:tcW w:w="310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runs on Salesforce Hyperforce on AWS: no premium with Snowflake on AWS; premium appears with Snowflake on Azure.</w:t>
            </w:r>
          </w:p>
        </w:tc>
      </w:tr>
      <w:tr>
        <w:trPr>
          <w:cantSplit/>
          <w:jc w:val="center"/>
        </w:trPr>
        <w:tc>
          <w:tcPr>
            <w:tcW w:w="115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Server</w:t>
            </w:r>
          </w:p>
        </w:tc>
        <w:tc>
          <w:tcPr>
            <w:tcW w:w="1180" w:type="dxa"/>
            <w:shd w:val="clear" w:color="auto" w:fill="FFFFFF"/>
            <w:tcMar>
              <w:top w:w="50" w:type="dxa"/>
              <w:left w:w="60" w:type="dxa"/>
              <w:bottom w:w="50" w:type="dxa"/>
              <w:right w:w="60" w:type="dxa"/>
            </w:tcMar>
            <w:vAlign w:val="center"/>
          </w:tcPr>
          <w:p>
            <w:pPr>
              <w:spacing w:before="0" w:after="0"/>
              <w:jc w:val="left"/>
            </w:pPr>
            <w:r>
              <w:rPr>
                <w:sz w:val="15"/>
                <w:szCs w:val="15"/>
              </w:rPr>
              <w:t xml:space="preserve">None</w:t>
            </w:r>
          </w:p>
        </w:tc>
        <w:tc>
          <w:tcPr>
            <w:tcW w:w="9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9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5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w:t>
            </w:r>
          </w:p>
        </w:tc>
        <w:tc>
          <w:tcPr>
            <w:tcW w:w="3102" w:type="dxa"/>
            <w:shd w:val="clear" w:color="auto" w:fill="FFFFFF"/>
            <w:tcMar>
              <w:top w:w="50" w:type="dxa"/>
              <w:left w:w="60" w:type="dxa"/>
              <w:bottom w:w="50" w:type="dxa"/>
              <w:right w:w="60" w:type="dxa"/>
            </w:tcMar>
            <w:vAlign w:val="center"/>
          </w:tcPr>
          <w:p>
            <w:pPr>
              <w:spacing w:before="0" w:after="0"/>
              <w:jc w:val="left"/>
            </w:pPr>
            <w:r>
              <w:rPr>
                <w:sz w:val="15"/>
                <w:szCs w:val="15"/>
              </w:rPr>
              <w:t xml:space="preserve">Self-hosted beside Snowflake in either cloud; no cross-cloud premium but higher infra/ops.</w:t>
            </w:r>
          </w:p>
        </w:tc>
      </w:tr>
      <w:tr>
        <w:trPr>
          <w:cantSplit/>
          <w:jc w:val="center"/>
        </w:trPr>
        <w:tc>
          <w:tcPr>
            <w:tcW w:w="1150"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w:t>
            </w:r>
          </w:p>
        </w:tc>
        <w:tc>
          <w:tcPr>
            <w:tcW w:w="118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on Azure</w:t>
            </w:r>
          </w:p>
        </w:tc>
        <w:tc>
          <w:tcPr>
            <w:tcW w:w="9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$6,210</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$13,800</w:t>
            </w:r>
          </w:p>
        </w:tc>
        <w:tc>
          <w:tcPr>
            <w:tcW w:w="9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w:t>
            </w:r>
          </w:p>
        </w:tc>
        <w:tc>
          <w:tcPr>
            <w:tcW w:w="105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$32,010</w:t>
            </w:r>
          </w:p>
        </w:tc>
        <w:tc>
          <w:tcPr>
            <w:tcW w:w="3102" w:type="dxa"/>
            <w:shd w:val="clear" w:color="auto" w:fill="F2F2F2"/>
            <w:tcMar>
              <w:top w:w="50" w:type="dxa"/>
              <w:left w:w="60" w:type="dxa"/>
              <w:bottom w:w="50" w:type="dxa"/>
              <w:right w:w="60" w:type="dxa"/>
            </w:tcMar>
            <w:vAlign w:val="center"/>
          </w:tcPr>
          <w:p>
            <w:pPr>
              <w:spacing w:before="0" w:after="0"/>
              <w:jc w:val="left"/>
            </w:pPr>
            <w:r>
              <w:rPr>
                <w:sz w:val="15"/>
                <w:szCs w:val="15"/>
              </w:rPr>
              <w:t xml:space="preserve">AWS-only service; Azure-hosted Snowflake is cross-cloud.</w:t>
            </w:r>
          </w:p>
        </w:tc>
      </w:tr>
    </w:tbl>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E2F0D9"/>
            <w:tcMar>
              <w:top w:w="110" w:type="dxa"/>
              <w:left w:w="125" w:type="dxa"/>
              <w:bottom w:w="110" w:type="dxa"/>
              <w:right w:w="125" w:type="dxa"/>
            </w:tcMar>
          </w:tcPr>
          <w:p w14:paraId="0EFC68D9" w14:textId="77777777" w:rsidR="00C72F04" w:rsidRDefault="00FA795C">
            <w:r>
              <w:rPr>
                <w:b/>
                <w:color w:val="17365D"/>
              </w:rPr>
              <w:t xml:space="preserve">Answer:  </w:t>
            </w:r>
            <w:r>
              <w:t>Power BI with Snowflake on AWS costs about $33,400 a year more than with Snowflake on Azure. That is $167,000 over five years, or 12.7% of the Fabric F64 Reserved five-year TCO on AWS. The premium is the same for every Power BI licensing model. Tableau Cloud does not have this challenge on AWS, because it runs on AWS. It has the mirror-image challenge, about $21,050 a year, if Snowflake is on Azure. Tableau Server avoids it by being hosted next to Snowflake.</w:t>
            </w:r>
          </w:p>
        </w:tc>
      </w:tr>
    </w:tbl>
    <w:p/>
    <w:p>
      <w:pPr>
        <w:pStyle w:val="Heading3"/>
      </w:pPr>
      <w:r>
        <w:t>Options to reduce the Power BI premium when Snowflake is on AWS</w:t>
      </w:r>
    </w:p>
    <w:tbl>
      <w:tblPr>
        <w:tblStyle w:val="TableGrid"/>
        <w:tblW w:w="10282" w:type="dxa"/>
        <w:jc w:val="center"/>
        <w:tblLayout w:type="fixed"/>
        <w:tblLook w:val="04A0" w:firstRow="1" w:lastRow="0" w:firstColumn="1" w:lastColumn="0" w:noHBand="0" w:noVBand="1"/>
      </w:tblPr>
      <w:tblGrid>
        <w:gridCol w:w="3600"/>
        <w:gridCol w:w="1300"/>
        <w:gridCol w:w="1400"/>
        <w:gridCol w:w="3982"/>
      </w:tblGrid>
      <w:tr>
        <w:trPr>
          <w:tblHeader/>
          <w:cantSplit/>
          <w:jc w:val="center"/>
        </w:trPr>
        <w:tc>
          <w:tcPr>
            <w:tcW w:w="36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Lever</w:t>
            </w:r>
          </w:p>
        </w:tc>
        <w:tc>
          <w:tcPr>
            <w:tcW w:w="13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saving</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Residual premium</w:t>
            </w:r>
          </w:p>
        </w:tc>
        <w:tc>
          <w:tcPr>
            <w:tcW w:w="39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How / caveat</w:t>
            </w:r>
          </w:p>
        </w:tc>
      </w:tr>
      <w:tr>
        <w:trPr>
          <w:cantSplit/>
          <w:jc w:val="center"/>
        </w:trPr>
        <w:tc>
          <w:tcPr>
            <w:tcW w:w="3600" w:type="dxa"/>
            <w:shd w:val="clear" w:color="auto" w:fill="FFFFFF"/>
            <w:tcMar>
              <w:top w:w="50" w:type="dxa"/>
              <w:left w:w="60" w:type="dxa"/>
              <w:bottom w:w="50" w:type="dxa"/>
              <w:right w:w="60" w:type="dxa"/>
            </w:tcMar>
            <w:vAlign w:val="center"/>
          </w:tcPr>
          <w:p>
            <w:pPr>
              <w:spacing w:before="0" w:after="0"/>
              <w:jc w:val="left"/>
            </w:pPr>
            <w:r>
              <w:rPr>
                <w:sz w:val="15"/>
                <w:szCs w:val="15"/>
              </w:rPr>
              <w:t xml:space="preserve">Baseline premium</w:t>
            </w:r>
          </w:p>
        </w:tc>
        <w:tc>
          <w:tcPr>
            <w:tcW w:w="13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$33,400</w:t>
            </w:r>
          </w:p>
        </w:tc>
        <w:tc>
          <w:tcPr>
            <w:tcW w:w="3982" w:type="dxa"/>
            <w:shd w:val="clear" w:color="auto" w:fill="FFFFFF"/>
            <w:tcMar>
              <w:top w:w="50" w:type="dxa"/>
              <w:left w:w="60" w:type="dxa"/>
              <w:bottom w:w="50" w:type="dxa"/>
              <w:right w:w="60" w:type="dxa"/>
            </w:tcMar>
            <w:vAlign w:val="center"/>
          </w:tcPr>
          <w:p>
            <w:pPr>
              <w:spacing w:before="0" w:after="0"/>
              <w:jc w:val="left"/>
            </w:pPr>
            <w:r>
              <w:rPr>
                <w:sz w:val="15"/>
                <w:szCs w:val="15"/>
              </w:rPr>
              <w:t xml:space="preserve">Transfer + incremental compute + gateway + cross-cloud ops</w:t>
            </w:r>
          </w:p>
        </w:tc>
      </w:tr>
      <w:tr>
        <w:trPr>
          <w:cantSplit/>
          <w:jc w:val="center"/>
        </w:trPr>
        <w:tc>
          <w:tcPr>
            <w:tcW w:w="3600" w:type="dxa"/>
            <w:shd w:val="clear" w:color="auto" w:fill="F2F2F2"/>
            <w:tcMar>
              <w:top w:w="50" w:type="dxa"/>
              <w:left w:w="60" w:type="dxa"/>
              <w:bottom w:w="50" w:type="dxa"/>
              <w:right w:w="60" w:type="dxa"/>
            </w:tcMar>
            <w:vAlign w:val="center"/>
          </w:tcPr>
          <w:p>
            <w:pPr>
              <w:spacing w:before="0" w:after="0"/>
              <w:jc w:val="left"/>
            </w:pPr>
            <w:r>
              <w:rPr>
                <w:sz w:val="15"/>
                <w:szCs w:val="15"/>
              </w:rPr>
              <w:t xml:space="preserve">1. Import + incremental refresh + aggregations (not DirectQuery)</w:t>
            </w:r>
          </w:p>
        </w:tc>
        <w:tc>
          <w:tcPr>
            <w:tcW w:w="13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$4,320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$29,080</w:t>
            </w:r>
          </w:p>
        </w:tc>
        <w:tc>
          <w:tcPr>
            <w:tcW w:w="3982" w:type="dxa"/>
            <w:shd w:val="clear" w:color="auto" w:fill="F2F2F2"/>
            <w:tcMar>
              <w:top w:w="50" w:type="dxa"/>
              <w:left w:w="60" w:type="dxa"/>
              <w:bottom w:w="50" w:type="dxa"/>
              <w:right w:w="60" w:type="dxa"/>
            </w:tcMar>
            <w:vAlign w:val="center"/>
          </w:tcPr>
          <w:p>
            <w:pPr>
              <w:spacing w:before="0" w:after="0"/>
              <w:jc w:val="left"/>
            </w:pPr>
            <w:r>
              <w:rPr>
                <w:sz w:val="15"/>
                <w:szCs w:val="15"/>
              </w:rPr>
              <w:t xml:space="preserve">Move only changed partitions; keep DirectQuery for few freshness-critical visuals</w:t>
            </w:r>
          </w:p>
        </w:tc>
      </w:tr>
      <w:tr>
        <w:trPr>
          <w:cantSplit/>
          <w:jc w:val="center"/>
        </w:trPr>
        <w:tc>
          <w:tcPr>
            <w:tcW w:w="3600" w:type="dxa"/>
            <w:shd w:val="clear" w:color="auto" w:fill="FFFFFF"/>
            <w:tcMar>
              <w:top w:w="50" w:type="dxa"/>
              <w:left w:w="60" w:type="dxa"/>
              <w:bottom w:w="50" w:type="dxa"/>
              <w:right w:w="60" w:type="dxa"/>
            </w:tcMar>
            <w:vAlign w:val="center"/>
          </w:tcPr>
          <w:p>
            <w:pPr>
              <w:spacing w:before="0" w:after="0"/>
              <w:jc w:val="left"/>
            </w:pPr>
            <w:r>
              <w:rPr>
                <w:sz w:val="15"/>
                <w:szCs w:val="15"/>
              </w:rPr>
              <w:t xml:space="preserve">2. Private path for residual traffic (Direct Connect / interconnect)</w:t>
            </w:r>
          </w:p>
        </w:tc>
        <w:tc>
          <w:tcPr>
            <w:tcW w:w="13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$840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$28,240</w:t>
            </w:r>
          </w:p>
        </w:tc>
        <w:tc>
          <w:tcPr>
            <w:tcW w:w="3982" w:type="dxa"/>
            <w:shd w:val="clear" w:color="auto" w:fill="FFFFFF"/>
            <w:tcMar>
              <w:top w:w="50" w:type="dxa"/>
              <w:left w:w="60" w:type="dxa"/>
              <w:bottom w:w="50" w:type="dxa"/>
              <w:right w:w="60" w:type="dxa"/>
            </w:tcMar>
            <w:vAlign w:val="center"/>
          </w:tcPr>
          <w:p>
            <w:pPr>
              <w:spacing w:before="0" w:after="0"/>
              <w:jc w:val="left"/>
            </w:pPr>
            <w:r>
              <w:rPr>
                <w:sz w:val="15"/>
                <w:szCs w:val="15"/>
              </w:rPr>
              <w:t xml:space="preserve">Variable rate only; circuit/port fees excluded - worthwhile mainly at higher volumes</w:t>
            </w:r>
          </w:p>
        </w:tc>
      </w:tr>
      <w:tr>
        <w:trPr>
          <w:cantSplit/>
          <w:jc w:val="center"/>
        </w:trPr>
        <w:tc>
          <w:tcPr>
            <w:tcW w:w="3600" w:type="dxa"/>
            <w:shd w:val="clear" w:color="auto" w:fill="F2F2F2"/>
            <w:tcMar>
              <w:top w:w="50" w:type="dxa"/>
              <w:left w:w="60" w:type="dxa"/>
              <w:bottom w:w="50" w:type="dxa"/>
              <w:right w:w="60" w:type="dxa"/>
            </w:tcMar>
            <w:vAlign w:val="center"/>
          </w:tcPr>
          <w:p>
            <w:pPr>
              <w:spacing w:before="0" w:after="0"/>
              <w:jc w:val="left"/>
            </w:pPr>
            <w:r>
              <w:rPr>
                <w:sz w:val="15"/>
                <w:szCs w:val="15"/>
              </w:rPr>
              <w:t xml:space="preserve">3. Snowflake workload tuning (result cache, aggregates, auto-suspend, right-sized BI warehouse)</w:t>
            </w:r>
          </w:p>
        </w:tc>
        <w:tc>
          <w:tcPr>
            <w:tcW w:w="13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$22,240</w:t>
            </w:r>
          </w:p>
        </w:tc>
        <w:tc>
          <w:tcPr>
            <w:tcW w:w="3982" w:type="dxa"/>
            <w:shd w:val="clear" w:color="auto" w:fill="F2F2F2"/>
            <w:tcMar>
              <w:top w:w="50" w:type="dxa"/>
              <w:left w:w="60" w:type="dxa"/>
              <w:bottom w:w="50" w:type="dxa"/>
              <w:right w:w="60" w:type="dxa"/>
            </w:tcMar>
            <w:vAlign w:val="center"/>
          </w:tcPr>
          <w:p>
            <w:pPr>
              <w:spacing w:before="0" w:after="0"/>
              <w:jc w:val="left"/>
            </w:pPr>
            <w:r>
              <w:rPr>
                <w:sz w:val="15"/>
                <w:szCs w:val="15"/>
              </w:rPr>
              <w:t xml:space="preserve">Dedicated XS/S BI warehouse with 60s auto-suspend; materialised aggregates</w:t>
            </w:r>
          </w:p>
        </w:tc>
      </w:tr>
      <w:tr>
        <w:trPr>
          <w:cantSplit/>
          <w:jc w:val="center"/>
        </w:trPr>
        <w:tc>
          <w:tcPr>
            <w:tcW w:w="3600" w:type="dxa"/>
            <w:shd w:val="clear" w:color="auto" w:fill="FFF3CD"/>
            <w:tcMar>
              <w:top w:w="50" w:type="dxa"/>
              <w:left w:w="60" w:type="dxa"/>
              <w:bottom w:w="50" w:type="dxa"/>
              <w:right w:w="60" w:type="dxa"/>
            </w:tcMar>
            <w:vAlign w:val="center"/>
          </w:tcPr>
          <w:p>
            <w:pPr>
              <w:spacing w:before="0" w:after="0"/>
              <w:jc w:val="left"/>
            </w:pPr>
            <w:r>
              <w:rPr>
                <w:b/>
                <w:sz w:val="15"/>
                <w:szCs w:val="15"/>
              </w:rPr>
              <w:t xml:space="preserve">Optimised premium (levers 1-3)</w:t>
            </w:r>
          </w:p>
        </w:tc>
        <w:tc>
          <w:tcPr>
            <w:tcW w:w="13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$11,160</w:t>
            </w:r>
          </w:p>
        </w:tc>
        <w:tc>
          <w:tcPr>
            <w:tcW w:w="14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$22,240</w:t>
            </w:r>
          </w:p>
        </w:tc>
        <w:tc>
          <w:tcPr>
            <w:tcW w:w="3982" w:type="dxa"/>
            <w:shd w:val="clear" w:color="auto" w:fill="FFF3CD"/>
            <w:tcMar>
              <w:top w:w="50" w:type="dxa"/>
              <w:left w:w="60" w:type="dxa"/>
              <w:bottom w:w="50" w:type="dxa"/>
              <w:right w:w="60" w:type="dxa"/>
            </w:tcMar>
            <w:vAlign w:val="center"/>
          </w:tcPr>
          <w:p>
            <w:pPr>
              <w:spacing w:before="0" w:after="0"/>
              <w:jc w:val="left"/>
            </w:pPr>
            <w:r>
              <w:rPr>
                <w:sz w:val="15"/>
                <w:szCs w:val="15"/>
              </w:rPr>
              <w:t xml:space="preserve">$111,200 over five years; the residual is mainly gateway and cross-cloud operations.</w:t>
            </w:r>
          </w:p>
        </w:tc>
      </w:tr>
    </w:tbl>
    <w:p/>
    <w:p>
      <w:pPr>
        <w:pStyle w:val="ListBullet"/>
      </w:pPr>
      <w:r>
        <w:rPr>
          <w:b/>
        </w:rPr>
        <w:t xml:space="preserve">Licensing lever: </w:t>
      </w:r>
      <w:r>
        <w:t>Switching from Pro to Fabric F64 Reserved does not change the cross-cloud premium, but it lowers licensing by $23,968 a year at baseline, which offsets about 72% of the premium.</w:t>
      </w:r>
    </w:p>
    <w:p>
      <w:pPr>
        <w:pStyle w:val="ListBullet"/>
      </w:pPr>
      <w:r>
        <w:rPr>
          <w:b/>
        </w:rPr>
        <w:t xml:space="preserve">Architecture levers: </w:t>
      </w:r>
      <w:r>
        <w:t>Fabric Mirroring or a Snowflake replica in Azure can remove repeat cross-cloud queries. Each adds a second governed copy, capacity and operational ownership. Adopt either only when measured savings exceed these costs (see Section 7).</w:t>
      </w:r>
    </w:p>
    <w:p>
      <w:pPr>
        <w:pStyle w:val="ListBullet"/>
      </w:pPr>
      <w:r>
        <w:rPr>
          <w:b/>
        </w:rPr>
        <w:t xml:space="preserve">Billing note: </w:t>
      </w:r>
      <w:r>
        <w:t>Snowflake does not charge egress when a client or driver retrieves query results across clouds. The transfer line models AWS-side network egress through the EC2 gateway and NAT at $0.09/GB, a conservative sensitivity. Confirm it with an AWS billing test during the proof of value.</w:t>
      </w:r>
    </w:p>
    <w:p>
      <w:pPr>
        <w:pStyle w:val="Heading2"/>
      </w:pPr>
      <w:r>
        <w:t>6.5 AI feature licensing uplift</w:t>
      </w:r>
    </w:p>
    <w:tbl>
      <w:tblPr>
        <w:tblStyle w:val="TableGrid"/>
        <w:tblW w:w="10282" w:type="dxa"/>
        <w:jc w:val="center"/>
        <w:tblLayout w:type="fixed"/>
        <w:tblLook w:val="04A0" w:firstRow="1" w:lastRow="0" w:firstColumn="1" w:lastColumn="0" w:noHBand="0" w:noVBand="1"/>
      </w:tblPr>
      <w:tblGrid>
        <w:gridCol w:w="1300"/>
        <w:gridCol w:w="2100"/>
        <w:gridCol w:w="3482"/>
        <w:gridCol w:w="1133"/>
        <w:gridCol w:w="1133"/>
        <w:gridCol w:w="1134"/>
      </w:tblGrid>
      <w:tr>
        <w:trPr>
          <w:tblHeader/>
          <w:cantSplit/>
          <w:jc w:val="center"/>
        </w:trPr>
        <w:tc>
          <w:tcPr>
            <w:tcW w:w="1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Platform</w:t>
            </w:r>
          </w:p>
        </w:tc>
        <w:tc>
          <w:tcPr>
            <w:tcW w:w="21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AI capability</w:t>
            </w:r>
          </w:p>
        </w:tc>
        <w:tc>
          <w:tcPr>
            <w:tcW w:w="34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Licensing requirement</w:t>
            </w:r>
          </w:p>
        </w:tc>
        <w:tc>
          <w:tcPr>
            <w:tcW w:w="1133"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uplift / yr</w:t>
            </w:r>
          </w:p>
        </w:tc>
        <w:tc>
          <w:tcPr>
            <w:tcW w:w="1133"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uplift / yr</w:t>
            </w:r>
          </w:p>
        </w:tc>
        <w:tc>
          <w:tcPr>
            <w:tcW w:w="1134"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uplift / yr</w:t>
            </w:r>
          </w:p>
        </w:tc>
      </w:tr>
      <w:tr>
        <w:trPr>
          <w:cantSplit/>
          <w:jc w:val="center"/>
        </w:trPr>
        <w:tc>
          <w:tcPr>
            <w:tcW w:w="130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2100" w:type="dxa"/>
            <w:shd w:val="clear" w:color="auto" w:fill="FFF3CD"/>
            <w:tcMar>
              <w:top w:w="50" w:type="dxa"/>
              <w:left w:w="60" w:type="dxa"/>
              <w:bottom w:w="50" w:type="dxa"/>
              <w:right w:w="60" w:type="dxa"/>
            </w:tcMar>
            <w:vAlign w:val="center"/>
          </w:tcPr>
          <w:p>
            <w:pPr>
              <w:spacing w:before="0" w:after="0"/>
              <w:jc w:val="left"/>
            </w:pPr>
            <w:r>
              <w:rPr>
                <w:sz w:val="15"/>
                <w:szCs w:val="15"/>
              </w:rPr>
              <w:t xml:space="preserve">Copilot in Power BI</w:t>
            </w:r>
          </w:p>
        </w:tc>
        <w:tc>
          <w:tcPr>
            <w:tcW w:w="3482" w:type="dxa"/>
            <w:shd w:val="clear" w:color="auto" w:fill="FFF3CD"/>
            <w:tcMar>
              <w:top w:w="50" w:type="dxa"/>
              <w:left w:w="60" w:type="dxa"/>
              <w:bottom w:w="50" w:type="dxa"/>
              <w:right w:w="60" w:type="dxa"/>
            </w:tcMar>
            <w:vAlign w:val="center"/>
          </w:tcPr>
          <w:p>
            <w:pPr>
              <w:spacing w:before="0" w:after="0"/>
              <w:jc w:val="left"/>
            </w:pPr>
            <w:r>
              <w:rPr>
                <w:sz w:val="15"/>
                <w:szCs w:val="15"/>
              </w:rPr>
              <w:t xml:space="preserve">Requires paid Fabric F2+ or Premium P1+ capacity (or a Fabric Copilot capacity); not available on Pro-only workspaces</w:t>
            </w:r>
          </w:p>
        </w:tc>
        <w:tc>
          <w:tcPr>
            <w:tcW w:w="1133"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c>
          <w:tcPr>
            <w:tcW w:w="1133"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c>
          <w:tcPr>
            <w:tcW w:w="1134"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r>
      <w:tr>
        <w:trPr>
          <w:cantSplit/>
          <w:jc w:val="center"/>
        </w:trPr>
        <w:tc>
          <w:tcPr>
            <w:tcW w:w="130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w:t>
            </w:r>
          </w:p>
        </w:tc>
        <w:tc>
          <w:tcPr>
            <w:tcW w:w="210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 Agentforce, advanced Pulse</w:t>
            </w:r>
          </w:p>
        </w:tc>
        <w:tc>
          <w:tcPr>
            <w:tcW w:w="3482"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bundle (quote-only); Pulse is included in Tableau Cloud</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+$32,160</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+$73,920</w:t>
            </w:r>
          </w:p>
        </w:tc>
        <w:tc>
          <w:tcPr>
            <w:tcW w:w="1134"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+$140,400</w:t>
            </w:r>
          </w:p>
        </w:tc>
      </w:tr>
      <w:tr>
        <w:trPr>
          <w:cantSplit/>
          <w:jc w:val="center"/>
        </w:trPr>
        <w:tc>
          <w:tcPr>
            <w:tcW w:w="130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2100" w:type="dxa"/>
            <w:shd w:val="clear" w:color="auto" w:fill="FDE8E8"/>
            <w:tcMar>
              <w:top w:w="50" w:type="dxa"/>
              <w:left w:w="60" w:type="dxa"/>
              <w:bottom w:w="50" w:type="dxa"/>
              <w:right w:w="60" w:type="dxa"/>
            </w:tcMar>
            <w:vAlign w:val="center"/>
          </w:tcPr>
          <w:p>
            <w:pPr>
              <w:spacing w:before="0" w:after="0"/>
              <w:jc w:val="left"/>
            </w:pPr>
            <w:r>
              <w:rPr>
                <w:sz w:val="15"/>
                <w:szCs w:val="15"/>
              </w:rPr>
              <w:t xml:space="preserve">Generative BI authoring, data stories, executive summaries</w:t>
            </w:r>
          </w:p>
        </w:tc>
        <w:tc>
          <w:tcPr>
            <w:tcW w:w="3482"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($40 vs $24) for developers and explorers + $250/month account fee; Readers include Q&amp;A</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+$6,840</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+$9,720</w:t>
            </w:r>
          </w:p>
        </w:tc>
        <w:tc>
          <w:tcPr>
            <w:tcW w:w="1134"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+$12,600</w:t>
            </w:r>
          </w:p>
        </w:tc>
      </w:tr>
    </w:tbl>
    <w:p/>
    <w:p>
      <w:pPr>
        <w:pStyle w:val="ListBullet"/>
      </w:pPr>
      <w:r>
        <w:t>Copilot uses Fabric capacity units. A busy Copilot workload may require a larger SKU or a separate Fabric Copilot capacity, so size it during the proof of value.</w:t>
      </w:r>
    </w:p>
    <w:p>
      <w:pPr>
        <w:pStyle w:val="ListBullet"/>
      </w:pPr>
      <w:r>
        <w:t>Agentforce usage in Tableau is billed separately from the Tableau+ subscription.</w:t>
      </w:r>
    </w:p>
    <w:p>
      <w:pPr>
        <w:pStyle w:val="ListBullet"/>
      </w:pPr>
      <w:r>
        <w:t>A hybrid model limits the AI premium: upgrade only authors and analysts (QuickSight Author Pro) rather than all consumers.</w:t>
      </w:r>
    </w:p>
    <w:p>
      <w:pPr>
        <w:pStyle w:val="Heading2"/>
      </w:pPr>
      <w:r>
        <w:t>6.6 Interpretation and recommended next steps</w:t>
      </w:r>
    </w:p>
    <w:p>
      <w:pPr>
        <w:pStyle w:val="ListBullet"/>
      </w:pPr>
      <w:r>
        <w:t>Fabric F64 Reserved is the recommended Power BI licensing model at 500-consumer scale. Capacity is fixed, consumers view for free, Copilot can run on the capacity, and the five-year TCO is $119,840 lower than Pro on the same cloud.</w:t>
      </w:r>
    </w:p>
    <w:p>
      <w:pPr>
        <w:pStyle w:val="ListBullet"/>
      </w:pPr>
      <w:r>
        <w:t>If Snowflake is on Azure, Power BI on Fabric F64 Reserved is the strongest combined value: $1.15M over five years, versus $1.32M for the same model with Snowflake on AWS.</w:t>
      </w:r>
    </w:p>
    <w:p>
      <w:pPr>
        <w:pStyle w:val="ListBullet"/>
      </w:pPr>
      <w:r>
        <w:t>QuickSight with Snowflake on AWS is the lowest-cost option overall ($1.14M over five years). It also carries the highest enablement risk, given IDB's existing skills.</w:t>
      </w:r>
    </w:p>
    <w:p>
      <w:pPr>
        <w:pStyle w:val="ListBullet"/>
      </w:pPr>
      <w:r>
        <w:t>If Snowflake is on AWS, Tableau Cloud is the cloud-neutral option without a cross-cloud premium ($1.50M). Power BI remains viable with a premium of about $33,400 a year, which can be reduced to about $22,240 a year.</w:t>
      </w:r>
    </w:p>
    <w:p>
      <w:pPr>
        <w:pStyle w:val="ListBullet"/>
      </w:pPr>
      <w:r>
        <w:t>Request enterprise-agreement quotes from Microsoft, Salesforce and AWS, and enter them in the yellow input cells of the Cost Simulator to get binding, IDB-specific TCO figures.</w:t>
      </w:r>
    </w:p>
    <w:p>
      <w:pPr/>
      <w:r>
        <w:rPr>
          <w:i/>
          <w:color w:val="595959"/>
          <w:sz w:val="16"/>
        </w:rPr>
        <w:t>Disclaimer: All figures are illustrative estimates derived from public list prices (validated 23 October 2026) and the IDB BI Cost Simulator v2. They exclude taxes and IDB enterprise discounts. Fabric, Premium P1, Tableau+ and QuickSight Pro pricing may differ materially under enterprise agreements.</w:t>
      </w:r>
    </w:p>
    <w:p w14:paraId="66142154" w14:textId="77777777" w:rsidR="00C72F04" w:rsidRDefault="00FA795C">
      <w:pPr>
        <w:pStyle w:val="Heading1"/>
      </w:pPr>
      <w:r>
        <w:lastRenderedPageBreak/>
        <w:t>7. Fabric Mirroring Consideration for Power BI</w:t>
      </w:r>
    </w:p>
    <w:p w14:paraId="2D4F90CC" w14:textId="77777777" w:rsidR="00C72F04" w:rsidRDefault="00FA795C">
      <w:r>
        <w:t>If Power BI is selected, IDB must decide whether to connect directly to Snowflake or mirror selected Snowflake data into Microsoft Fabric OneLake. Mirroring can reduce repeated dashboard queries to Snowflake, but it introduces a second governed copy, Fabric capacity consumption and duplicated security controls.</w:t>
      </w:r>
    </w:p>
    <w:tbl>
      <w:tblPr>
        <w:tblStyle w:val="TableGrid"/>
        <w:tblW w:w="0" w:type="auto"/>
        <w:jc w:val="center"/>
        <w:tblLook w:val="04A0" w:firstRow="1" w:lastRow="0" w:firstColumn="1" w:lastColumn="0" w:noHBand="0" w:noVBand="1"/>
      </w:tblPr>
      <w:tblGrid>
        <w:gridCol w:w="2570"/>
        <w:gridCol w:w="2570"/>
        <w:gridCol w:w="2570"/>
        <w:gridCol w:w="2570"/>
      </w:tblGrid>
      <w:tr w:rsidR="00C72F04" w14:paraId="57FEA4FF" w14:textId="77777777">
        <w:trPr>
          <w:tblHeader/>
          <w:jc w:val="center"/>
        </w:trPr>
        <w:tc>
          <w:tcPr>
            <w:tcW w:w="2570" w:type="dxa"/>
            <w:shd w:val="clear" w:color="auto" w:fill="17365D"/>
            <w:tcMar>
              <w:top w:w="55" w:type="dxa"/>
              <w:left w:w="65" w:type="dxa"/>
              <w:bottom w:w="55" w:type="dxa"/>
              <w:right w:w="65" w:type="dxa"/>
            </w:tcMar>
          </w:tcPr>
          <w:p w14:paraId="6072B08F" w14:textId="77777777" w:rsidR="00C72F04" w:rsidRDefault="00FA795C">
            <w:r>
              <w:rPr>
                <w:b/>
                <w:color w:val="FFFFFF"/>
                <w:sz w:val="15"/>
              </w:rPr>
              <w:t>Pattern</w:t>
            </w:r>
          </w:p>
        </w:tc>
        <w:tc>
          <w:tcPr>
            <w:tcW w:w="2570" w:type="dxa"/>
            <w:shd w:val="clear" w:color="auto" w:fill="17365D"/>
            <w:tcMar>
              <w:top w:w="55" w:type="dxa"/>
              <w:left w:w="65" w:type="dxa"/>
              <w:bottom w:w="55" w:type="dxa"/>
              <w:right w:w="65" w:type="dxa"/>
            </w:tcMar>
          </w:tcPr>
          <w:p w14:paraId="2AEC3E9C" w14:textId="77777777" w:rsidR="00C72F04" w:rsidRDefault="00FA795C">
            <w:r>
              <w:rPr>
                <w:b/>
                <w:color w:val="FFFFFF"/>
                <w:sz w:val="15"/>
              </w:rPr>
              <w:t>Advantages</w:t>
            </w:r>
          </w:p>
        </w:tc>
        <w:tc>
          <w:tcPr>
            <w:tcW w:w="2570" w:type="dxa"/>
            <w:shd w:val="clear" w:color="auto" w:fill="17365D"/>
            <w:tcMar>
              <w:top w:w="55" w:type="dxa"/>
              <w:left w:w="65" w:type="dxa"/>
              <w:bottom w:w="55" w:type="dxa"/>
              <w:right w:w="65" w:type="dxa"/>
            </w:tcMar>
          </w:tcPr>
          <w:p w14:paraId="442AA649" w14:textId="77777777" w:rsidR="00C72F04" w:rsidRDefault="00FA795C">
            <w:r>
              <w:rPr>
                <w:b/>
                <w:color w:val="FFFFFF"/>
                <w:sz w:val="15"/>
              </w:rPr>
              <w:t>Trade-offs</w:t>
            </w:r>
          </w:p>
        </w:tc>
        <w:tc>
          <w:tcPr>
            <w:tcW w:w="2570" w:type="dxa"/>
            <w:shd w:val="clear" w:color="auto" w:fill="17365D"/>
            <w:tcMar>
              <w:top w:w="55" w:type="dxa"/>
              <w:left w:w="65" w:type="dxa"/>
              <w:bottom w:w="55" w:type="dxa"/>
              <w:right w:w="65" w:type="dxa"/>
            </w:tcMar>
          </w:tcPr>
          <w:p w14:paraId="333A2087" w14:textId="77777777" w:rsidR="00C72F04" w:rsidRDefault="00FA795C">
            <w:r>
              <w:rPr>
                <w:b/>
                <w:color w:val="FFFFFF"/>
                <w:sz w:val="15"/>
              </w:rPr>
              <w:t>IDB position</w:t>
            </w:r>
          </w:p>
        </w:tc>
      </w:tr>
      <w:tr w:rsidR="00C72F04" w14:paraId="3FEBFA24" w14:textId="77777777">
        <w:trPr>
          <w:jc w:val="center"/>
        </w:trPr>
        <w:tc>
          <w:tcPr>
            <w:tcW w:w="2570" w:type="dxa"/>
            <w:tcMar>
              <w:top w:w="55" w:type="dxa"/>
              <w:left w:w="65" w:type="dxa"/>
              <w:bottom w:w="55" w:type="dxa"/>
              <w:right w:w="65" w:type="dxa"/>
            </w:tcMar>
          </w:tcPr>
          <w:p w14:paraId="5F0CAF30" w14:textId="77777777" w:rsidR="00C72F04" w:rsidRDefault="00FA795C">
            <w:pPr>
              <w:spacing w:after="0"/>
            </w:pPr>
            <w:r>
              <w:rPr>
                <w:sz w:val="13"/>
              </w:rPr>
              <w:t>Power BI Import</w:t>
            </w:r>
          </w:p>
        </w:tc>
        <w:tc>
          <w:tcPr>
            <w:tcW w:w="2570" w:type="dxa"/>
            <w:tcMar>
              <w:top w:w="55" w:type="dxa"/>
              <w:left w:w="65" w:type="dxa"/>
              <w:bottom w:w="55" w:type="dxa"/>
              <w:right w:w="65" w:type="dxa"/>
            </w:tcMar>
          </w:tcPr>
          <w:p w14:paraId="04A9BB81" w14:textId="77777777" w:rsidR="00C72F04" w:rsidRDefault="00FA795C">
            <w:pPr>
              <w:spacing w:after="0"/>
            </w:pPr>
            <w:r>
              <w:rPr>
                <w:sz w:val="13"/>
              </w:rPr>
              <w:t>Simple, mature and efficient for reusable curated data.</w:t>
            </w:r>
          </w:p>
        </w:tc>
        <w:tc>
          <w:tcPr>
            <w:tcW w:w="2570" w:type="dxa"/>
            <w:tcMar>
              <w:top w:w="55" w:type="dxa"/>
              <w:left w:w="65" w:type="dxa"/>
              <w:bottom w:w="55" w:type="dxa"/>
              <w:right w:w="65" w:type="dxa"/>
            </w:tcMar>
          </w:tcPr>
          <w:p w14:paraId="7E8AE906" w14:textId="77777777" w:rsidR="00C72F04" w:rsidRDefault="00FA795C">
            <w:pPr>
              <w:spacing w:after="0"/>
            </w:pPr>
            <w:r>
              <w:rPr>
                <w:sz w:val="13"/>
              </w:rPr>
              <w:t>Scheduled latency, semantic-model memory and refresh transfer.</w:t>
            </w:r>
          </w:p>
        </w:tc>
        <w:tc>
          <w:tcPr>
            <w:tcW w:w="2570" w:type="dxa"/>
            <w:tcMar>
              <w:top w:w="55" w:type="dxa"/>
              <w:left w:w="65" w:type="dxa"/>
              <w:bottom w:w="55" w:type="dxa"/>
              <w:right w:w="65" w:type="dxa"/>
            </w:tcMar>
          </w:tcPr>
          <w:p w14:paraId="321A8EFB" w14:textId="77777777" w:rsidR="00C72F04" w:rsidRDefault="00FA795C">
            <w:pPr>
              <w:spacing w:after="0"/>
            </w:pPr>
            <w:r>
              <w:rPr>
                <w:sz w:val="13"/>
              </w:rPr>
              <w:t>Default for small-to-medium governed datasets.</w:t>
            </w:r>
          </w:p>
        </w:tc>
      </w:tr>
      <w:tr w:rsidR="00C72F04" w14:paraId="7FDE8F22" w14:textId="77777777">
        <w:trPr>
          <w:jc w:val="center"/>
        </w:trPr>
        <w:tc>
          <w:tcPr>
            <w:tcW w:w="2570" w:type="dxa"/>
            <w:shd w:val="clear" w:color="auto" w:fill="EEF5FA"/>
            <w:tcMar>
              <w:top w:w="55" w:type="dxa"/>
              <w:left w:w="65" w:type="dxa"/>
              <w:bottom w:w="55" w:type="dxa"/>
              <w:right w:w="65" w:type="dxa"/>
            </w:tcMar>
          </w:tcPr>
          <w:p w14:paraId="5AE81171" w14:textId="77777777" w:rsidR="00C72F04" w:rsidRDefault="00FA795C">
            <w:pPr>
              <w:spacing w:after="0"/>
            </w:pPr>
            <w:r>
              <w:rPr>
                <w:sz w:val="13"/>
              </w:rPr>
              <w:t>Power BI DirectQuery</w:t>
            </w:r>
          </w:p>
        </w:tc>
        <w:tc>
          <w:tcPr>
            <w:tcW w:w="2570" w:type="dxa"/>
            <w:shd w:val="clear" w:color="auto" w:fill="EEF5FA"/>
            <w:tcMar>
              <w:top w:w="55" w:type="dxa"/>
              <w:left w:w="65" w:type="dxa"/>
              <w:bottom w:w="55" w:type="dxa"/>
              <w:right w:w="65" w:type="dxa"/>
            </w:tcMar>
          </w:tcPr>
          <w:p w14:paraId="13F1F824" w14:textId="77777777" w:rsidR="00C72F04" w:rsidRDefault="00FA795C">
            <w:pPr>
              <w:spacing w:after="0"/>
            </w:pPr>
            <w:r>
              <w:rPr>
                <w:sz w:val="13"/>
              </w:rPr>
              <w:t>Near-current data and Snowflake remains authoritative.</w:t>
            </w:r>
          </w:p>
        </w:tc>
        <w:tc>
          <w:tcPr>
            <w:tcW w:w="2570" w:type="dxa"/>
            <w:shd w:val="clear" w:color="auto" w:fill="EEF5FA"/>
            <w:tcMar>
              <w:top w:w="55" w:type="dxa"/>
              <w:left w:w="65" w:type="dxa"/>
              <w:bottom w:w="55" w:type="dxa"/>
              <w:right w:w="65" w:type="dxa"/>
            </w:tcMar>
          </w:tcPr>
          <w:p w14:paraId="44C9399F" w14:textId="77777777" w:rsidR="00C72F04" w:rsidRDefault="00FA795C">
            <w:pPr>
              <w:spacing w:after="0"/>
            </w:pPr>
            <w:r>
              <w:rPr>
                <w:sz w:val="13"/>
              </w:rPr>
              <w:t>Variable Snowflake compute, latency and cross-cloud result traffic.</w:t>
            </w:r>
          </w:p>
        </w:tc>
        <w:tc>
          <w:tcPr>
            <w:tcW w:w="2570" w:type="dxa"/>
            <w:shd w:val="clear" w:color="auto" w:fill="EEF5FA"/>
            <w:tcMar>
              <w:top w:w="55" w:type="dxa"/>
              <w:left w:w="65" w:type="dxa"/>
              <w:bottom w:w="55" w:type="dxa"/>
              <w:right w:w="65" w:type="dxa"/>
            </w:tcMar>
          </w:tcPr>
          <w:p w14:paraId="76B4599B" w14:textId="77777777" w:rsidR="00C72F04" w:rsidRDefault="00FA795C">
            <w:pPr>
              <w:spacing w:after="0"/>
            </w:pPr>
            <w:r>
              <w:rPr>
                <w:sz w:val="13"/>
              </w:rPr>
              <w:t>Use selectively for freshness-sensitive detail.</w:t>
            </w:r>
          </w:p>
        </w:tc>
      </w:tr>
      <w:tr w:rsidR="00C72F04" w14:paraId="2463B5C4" w14:textId="77777777">
        <w:trPr>
          <w:jc w:val="center"/>
        </w:trPr>
        <w:tc>
          <w:tcPr>
            <w:tcW w:w="2570" w:type="dxa"/>
            <w:tcMar>
              <w:top w:w="55" w:type="dxa"/>
              <w:left w:w="65" w:type="dxa"/>
              <w:bottom w:w="55" w:type="dxa"/>
              <w:right w:w="65" w:type="dxa"/>
            </w:tcMar>
          </w:tcPr>
          <w:p w14:paraId="18260710" w14:textId="77777777" w:rsidR="00C72F04" w:rsidRDefault="00FA795C">
            <w:pPr>
              <w:spacing w:after="0"/>
            </w:pPr>
            <w:r>
              <w:rPr>
                <w:sz w:val="13"/>
              </w:rPr>
              <w:t>Fabric Mirroring + Power BI</w:t>
            </w:r>
          </w:p>
        </w:tc>
        <w:tc>
          <w:tcPr>
            <w:tcW w:w="2570" w:type="dxa"/>
            <w:tcMar>
              <w:top w:w="55" w:type="dxa"/>
              <w:left w:w="65" w:type="dxa"/>
              <w:bottom w:w="55" w:type="dxa"/>
              <w:right w:w="65" w:type="dxa"/>
            </w:tcMar>
          </w:tcPr>
          <w:p w14:paraId="05E9A019" w14:textId="77777777" w:rsidR="00C72F04" w:rsidRDefault="00FA795C">
            <w:pPr>
              <w:spacing w:after="0"/>
            </w:pPr>
            <w:r>
              <w:rPr>
                <w:sz w:val="13"/>
              </w:rPr>
              <w:t>Moves repetitive analytics to OneLake/Fabric; supports BI, engineering, data science and sharing.</w:t>
            </w:r>
          </w:p>
        </w:tc>
        <w:tc>
          <w:tcPr>
            <w:tcW w:w="2570" w:type="dxa"/>
            <w:tcMar>
              <w:top w:w="55" w:type="dxa"/>
              <w:left w:w="65" w:type="dxa"/>
              <w:bottom w:w="55" w:type="dxa"/>
              <w:right w:w="65" w:type="dxa"/>
            </w:tcMar>
          </w:tcPr>
          <w:p w14:paraId="6EAF83CB" w14:textId="77777777" w:rsidR="00C72F04" w:rsidRDefault="00FA795C">
            <w:pPr>
              <w:spacing w:after="0"/>
            </w:pPr>
            <w:r>
              <w:rPr>
                <w:sz w:val="13"/>
              </w:rPr>
              <w:t>Second copy; Fabric query capacity; Snowflake replication compute; security recreation; continuous monitoring and reseed risk.</w:t>
            </w:r>
          </w:p>
        </w:tc>
        <w:tc>
          <w:tcPr>
            <w:tcW w:w="2570" w:type="dxa"/>
            <w:tcMar>
              <w:top w:w="55" w:type="dxa"/>
              <w:left w:w="65" w:type="dxa"/>
              <w:bottom w:w="55" w:type="dxa"/>
              <w:right w:w="65" w:type="dxa"/>
            </w:tcMar>
          </w:tcPr>
          <w:p w14:paraId="5E600319" w14:textId="77777777" w:rsidR="00C72F04" w:rsidRDefault="00FA795C">
            <w:pPr>
              <w:spacing w:after="0"/>
            </w:pPr>
            <w:r>
              <w:rPr>
                <w:sz w:val="13"/>
              </w:rPr>
              <w:t>Relevant for high reuse and the 500-consumer / 5-TB case when Fabric is strategically adopted.</w:t>
            </w:r>
          </w:p>
        </w:tc>
      </w:tr>
      <w:tr w:rsidR="00C72F04" w14:paraId="506D4502" w14:textId="77777777">
        <w:trPr>
          <w:jc w:val="center"/>
        </w:trPr>
        <w:tc>
          <w:tcPr>
            <w:tcW w:w="2570" w:type="dxa"/>
            <w:shd w:val="clear" w:color="auto" w:fill="EEF5FA"/>
            <w:tcMar>
              <w:top w:w="55" w:type="dxa"/>
              <w:left w:w="65" w:type="dxa"/>
              <w:bottom w:w="55" w:type="dxa"/>
              <w:right w:w="65" w:type="dxa"/>
            </w:tcMar>
          </w:tcPr>
          <w:p w14:paraId="2040F852" w14:textId="77777777" w:rsidR="00C72F04" w:rsidRDefault="00FA795C">
            <w:pPr>
              <w:spacing w:after="0"/>
            </w:pPr>
            <w:r>
              <w:rPr>
                <w:sz w:val="13"/>
              </w:rPr>
              <w:t>Snowflake Iceberg + Fabric</w:t>
            </w:r>
          </w:p>
        </w:tc>
        <w:tc>
          <w:tcPr>
            <w:tcW w:w="2570" w:type="dxa"/>
            <w:shd w:val="clear" w:color="auto" w:fill="EEF5FA"/>
            <w:tcMar>
              <w:top w:w="55" w:type="dxa"/>
              <w:left w:w="65" w:type="dxa"/>
              <w:bottom w:w="55" w:type="dxa"/>
              <w:right w:w="65" w:type="dxa"/>
            </w:tcMar>
          </w:tcPr>
          <w:p w14:paraId="77832CA4" w14:textId="77777777" w:rsidR="00C72F04" w:rsidRDefault="00FA795C">
            <w:pPr>
              <w:spacing w:after="0"/>
            </w:pPr>
            <w:r>
              <w:rPr>
                <w:sz w:val="13"/>
              </w:rPr>
              <w:t>Open-table option with less dependence on proprietary serving patterns.</w:t>
            </w:r>
          </w:p>
        </w:tc>
        <w:tc>
          <w:tcPr>
            <w:tcW w:w="2570" w:type="dxa"/>
            <w:shd w:val="clear" w:color="auto" w:fill="EEF5FA"/>
            <w:tcMar>
              <w:top w:w="55" w:type="dxa"/>
              <w:left w:w="65" w:type="dxa"/>
              <w:bottom w:w="55" w:type="dxa"/>
              <w:right w:w="65" w:type="dxa"/>
            </w:tcMar>
          </w:tcPr>
          <w:p w14:paraId="7E547B06" w14:textId="77777777" w:rsidR="00C72F04" w:rsidRDefault="00FA795C">
            <w:pPr>
              <w:spacing w:after="0"/>
            </w:pPr>
            <w:r>
              <w:rPr>
                <w:sz w:val="13"/>
              </w:rPr>
              <w:t>Requires deliberate Iceberg architecture and storage connectivity.</w:t>
            </w:r>
          </w:p>
        </w:tc>
        <w:tc>
          <w:tcPr>
            <w:tcW w:w="2570" w:type="dxa"/>
            <w:shd w:val="clear" w:color="auto" w:fill="EEF5FA"/>
            <w:tcMar>
              <w:top w:w="55" w:type="dxa"/>
              <w:left w:w="65" w:type="dxa"/>
              <w:bottom w:w="55" w:type="dxa"/>
              <w:right w:w="65" w:type="dxa"/>
            </w:tcMar>
          </w:tcPr>
          <w:p w14:paraId="0A00814E" w14:textId="77777777" w:rsidR="00C72F04" w:rsidRDefault="00FA795C">
            <w:pPr>
              <w:spacing w:after="0"/>
            </w:pPr>
            <w:r>
              <w:rPr>
                <w:sz w:val="13"/>
              </w:rPr>
              <w:t>Future-state option only if open tables become an enterprise standard.</w:t>
            </w:r>
          </w:p>
        </w:tc>
      </w:tr>
    </w:tbl>
    <w:p w14:paraId="0AFD35FF" w14:textId="77777777" w:rsidR="00C72F04" w:rsidRDefault="00C72F04">
      <w:pPr>
        <w:spacing w:after="0"/>
      </w:pPr>
    </w:p>
    <w:p w14:paraId="2F0D2A11" w14:textId="77777777" w:rsidR="00C72F04" w:rsidRDefault="00FA795C">
      <w:pPr>
        <w:pStyle w:val="Heading2"/>
      </w:pPr>
      <w:r>
        <w:t>Current mirroring constraints</w:t>
      </w:r>
    </w:p>
    <w:p w14:paraId="27138B05" w14:textId="77777777" w:rsidR="00C72F04" w:rsidRDefault="00FA795C">
      <w:pPr>
        <w:pStyle w:val="ListBullet"/>
      </w:pPr>
      <w:r>
        <w:t>Managed and Iceberg tables are supported; views and materialized views synchronize every 12 hours. External, transient, temporary and dynamic tables are not supported.</w:t>
      </w:r>
    </w:p>
    <w:p w14:paraId="33C9052D" w14:textId="77777777" w:rsidR="00C72F04" w:rsidRDefault="00FA795C">
      <w:pPr>
        <w:pStyle w:val="ListBullet"/>
      </w:pPr>
      <w:r>
        <w:t>Maximum of 1,000 mirrored tables.</w:t>
      </w:r>
    </w:p>
    <w:p w14:paraId="41D85854" w14:textId="77777777" w:rsidR="00C72F04" w:rsidRDefault="00FA795C">
      <w:pPr>
        <w:pStyle w:val="ListBullet"/>
      </w:pPr>
      <w:r>
        <w:t>Snowflake RLS and CLS policies do not replicate and must be recreated in Fabric.</w:t>
      </w:r>
    </w:p>
    <w:p w14:paraId="23C16536" w14:textId="77777777" w:rsidR="00C72F04" w:rsidRDefault="00FA795C">
      <w:pPr>
        <w:pStyle w:val="ListBullet"/>
      </w:pPr>
      <w:r>
        <w:t>Direct Private Link and workspace identity are not currently supported for Snowflake mirroring.</w:t>
      </w:r>
    </w:p>
    <w:p w14:paraId="4D548229" w14:textId="77777777" w:rsidR="00C72F04" w:rsidRDefault="00FA795C">
      <w:pPr>
        <w:pStyle w:val="ListBullet"/>
      </w:pPr>
      <w:r>
        <w:t>Mirroring runs continuously; DDL changes, stop/start actions and some schema-management patterns can trigger full reseeds.</w:t>
      </w:r>
    </w:p>
    <w:p w14:paraId="3E124BEA" w14:textId="77777777" w:rsidR="00C72F04" w:rsidRDefault="00FA795C">
      <w:pPr>
        <w:pStyle w:val="ListBullet"/>
      </w:pPr>
      <w:r>
        <w:t>Replication compute in Fabric is not charged, but Snowflake compute/cloud-services, Fabric query capacity and storage beyond the capacity allowance remain cost factors.</w:t>
      </w:r>
    </w:p>
    <w:tbl>
      <w:tblPr>
        <w:tblStyle w:val="TableGrid"/>
        <w:tblW w:w="0" w:type="auto"/>
        <w:tblLook w:val="04A0" w:firstRow="1" w:lastRow="0" w:firstColumn="1" w:lastColumn="0" w:noHBand="0" w:noVBand="1"/>
      </w:tblPr>
      <w:tblGrid>
        <w:gridCol w:w="10282"/>
      </w:tblGrid>
      <w:tr w:rsidR="00C72F04" w14:paraId="4CB3C87E" w14:textId="77777777">
        <w:tc>
          <w:tcPr>
            <w:tcW w:w="10282" w:type="dxa"/>
            <w:shd w:val="clear" w:color="auto" w:fill="E2F0D9"/>
            <w:tcMar>
              <w:top w:w="110" w:type="dxa"/>
              <w:left w:w="125" w:type="dxa"/>
              <w:bottom w:w="110" w:type="dxa"/>
              <w:right w:w="125" w:type="dxa"/>
            </w:tcMar>
          </w:tcPr>
          <w:p w14:paraId="5EF734DC" w14:textId="77777777" w:rsidR="00C72F04" w:rsidRDefault="00FA795C">
            <w:r>
              <w:rPr>
                <w:b/>
                <w:color w:val="17365D"/>
              </w:rPr>
              <w:t xml:space="preserve">IDB POV:  </w:t>
            </w:r>
            <w:r>
              <w:t>Treat Fabric Mirroring as an optimization within a Power BI strategy, not as a reason to select Power BI. Start with optimized Import/composite models; use mirroring only when measured Snowflake query, egress and support savings exceed incremental Fabric and operating costs.</w:t>
            </w:r>
          </w:p>
        </w:tc>
      </w:tr>
    </w:tbl>
    <w:p w14:paraId="281F6B2F" w14:textId="77777777" w:rsidR="00C72F04" w:rsidRDefault="00C72F04">
      <w:pPr>
        <w:spacing w:after="0"/>
      </w:pPr>
    </w:p>
    <w:p w14:paraId="585FA2A5" w14:textId="77777777" w:rsidR="00C72F04" w:rsidRDefault="00FA795C">
      <w:r>
        <w:br w:type="page"/>
      </w:r>
    </w:p>
    <w:p w14:paraId="67EF7319" w14:textId="77777777" w:rsidR="00C72F04" w:rsidRDefault="00FA795C">
      <w:pPr>
        <w:pStyle w:val="Heading1"/>
      </w:pPr>
      <w:r>
        <w:lastRenderedPageBreak/>
        <w:t>8. Recommendation and Decision Framework</w:t>
      </w:r>
    </w:p>
    <w:tbl>
      <w:tblPr>
        <w:tblStyle w:val="TableGrid"/>
        <w:tblW w:w="0" w:type="auto"/>
        <w:tblLook w:val="04A0" w:firstRow="1" w:lastRow="0" w:firstColumn="1" w:lastColumn="0" w:noHBand="0" w:noVBand="1"/>
      </w:tblPr>
      <w:tblGrid>
        <w:gridCol w:w="10282"/>
      </w:tblGrid>
      <w:tr w:rsidR="00C72F04" w14:paraId="1A9DC525" w14:textId="77777777">
        <w:tc>
          <w:tcPr>
            <w:tcW w:w="10282" w:type="dxa"/>
            <w:shd w:val="clear" w:color="auto" w:fill="E2F0D9"/>
            <w:tcMar>
              <w:top w:w="110" w:type="dxa"/>
              <w:left w:w="125" w:type="dxa"/>
              <w:bottom w:w="110" w:type="dxa"/>
              <w:right w:w="125" w:type="dxa"/>
            </w:tcMar>
          </w:tcPr>
          <w:p w14:paraId="681F7A25" w14:textId="77777777" w:rsidR="00C72F04" w:rsidRDefault="00FA795C">
            <w:r>
              <w:rPr>
                <w:b/>
                <w:color w:val="17365D"/>
              </w:rPr>
              <w:t xml:space="preserve">Strategic recommendation:  </w:t>
            </w:r>
            <w:r>
              <w:t>Do not standardize on a BI tool before confirming the Snowflake hosting cloud and target operating model. Use Tableau as the cloud-neutral benchmark. Select QuickSight if AWS is confirmed and its enterprise-reporting capability is sufficient; select Power BI if Azure is confirmed or IDB deliberately adopts the Microsoft/Fabric ecosystem.</w:t>
            </w:r>
          </w:p>
        </w:tc>
      </w:tr>
    </w:tbl>
    <w:p w14:paraId="31A0DEE7" w14:textId="77777777" w:rsidR="00C72F04" w:rsidRDefault="00C72F04">
      <w:pPr>
        <w:spacing w:after="0"/>
      </w:pPr>
    </w:p>
    <w:tbl>
      <w:tblPr>
        <w:tblStyle w:val="TableGrid"/>
        <w:tblW w:w="0" w:type="auto"/>
        <w:jc w:val="center"/>
        <w:tblLook w:val="04A0" w:firstRow="1" w:lastRow="0" w:firstColumn="1" w:lastColumn="0" w:noHBand="0" w:noVBand="1"/>
      </w:tblPr>
      <w:tblGrid>
        <w:gridCol w:w="3427"/>
        <w:gridCol w:w="3427"/>
        <w:gridCol w:w="3427"/>
      </w:tblGrid>
      <w:tr w:rsidR="00C72F04" w14:paraId="00CDDC5B" w14:textId="77777777">
        <w:trPr>
          <w:tblHeader/>
          <w:jc w:val="center"/>
        </w:trPr>
        <w:tc>
          <w:tcPr>
            <w:tcW w:w="3427" w:type="dxa"/>
            <w:shd w:val="clear" w:color="auto" w:fill="17365D"/>
            <w:tcMar>
              <w:top w:w="55" w:type="dxa"/>
              <w:left w:w="65" w:type="dxa"/>
              <w:bottom w:w="55" w:type="dxa"/>
              <w:right w:w="65" w:type="dxa"/>
            </w:tcMar>
          </w:tcPr>
          <w:p w14:paraId="0394222F" w14:textId="77777777" w:rsidR="00C72F04" w:rsidRDefault="00FA795C">
            <w:r>
              <w:rPr>
                <w:b/>
                <w:color w:val="FFFFFF"/>
                <w:sz w:val="15"/>
              </w:rPr>
              <w:t>Criterion</w:t>
            </w:r>
          </w:p>
        </w:tc>
        <w:tc>
          <w:tcPr>
            <w:tcW w:w="3427" w:type="dxa"/>
            <w:shd w:val="clear" w:color="auto" w:fill="17365D"/>
            <w:tcMar>
              <w:top w:w="55" w:type="dxa"/>
              <w:left w:w="65" w:type="dxa"/>
              <w:bottom w:w="55" w:type="dxa"/>
              <w:right w:w="65" w:type="dxa"/>
            </w:tcMar>
          </w:tcPr>
          <w:p w14:paraId="64F00584" w14:textId="77777777" w:rsidR="00C72F04" w:rsidRDefault="00FA795C">
            <w:r>
              <w:rPr>
                <w:b/>
                <w:color w:val="FFFFFF"/>
                <w:sz w:val="15"/>
              </w:rPr>
              <w:t>Weight</w:t>
            </w:r>
          </w:p>
        </w:tc>
        <w:tc>
          <w:tcPr>
            <w:tcW w:w="3427" w:type="dxa"/>
            <w:shd w:val="clear" w:color="auto" w:fill="17365D"/>
            <w:tcMar>
              <w:top w:w="55" w:type="dxa"/>
              <w:left w:w="65" w:type="dxa"/>
              <w:bottom w:w="55" w:type="dxa"/>
              <w:right w:w="65" w:type="dxa"/>
            </w:tcMar>
          </w:tcPr>
          <w:p w14:paraId="67108BBE" w14:textId="77777777" w:rsidR="00C72F04" w:rsidRDefault="00FA795C">
            <w:r>
              <w:rPr>
                <w:b/>
                <w:color w:val="FFFFFF"/>
                <w:sz w:val="15"/>
              </w:rPr>
              <w:t>Decision evidence</w:t>
            </w:r>
          </w:p>
        </w:tc>
      </w:tr>
      <w:tr w:rsidR="00C72F04" w14:paraId="1B9FE2BD" w14:textId="77777777">
        <w:trPr>
          <w:jc w:val="center"/>
        </w:trPr>
        <w:tc>
          <w:tcPr>
            <w:tcW w:w="3427" w:type="dxa"/>
            <w:tcMar>
              <w:top w:w="55" w:type="dxa"/>
              <w:left w:w="65" w:type="dxa"/>
              <w:bottom w:w="55" w:type="dxa"/>
              <w:right w:w="65" w:type="dxa"/>
            </w:tcMar>
          </w:tcPr>
          <w:p w14:paraId="748B4AD9" w14:textId="77777777" w:rsidR="00C72F04" w:rsidRDefault="00FA795C">
            <w:pPr>
              <w:spacing w:after="0"/>
            </w:pPr>
            <w:r>
              <w:rPr>
                <w:sz w:val="14"/>
              </w:rPr>
              <w:t>Target architecture and cloud alignment</w:t>
            </w:r>
          </w:p>
        </w:tc>
        <w:tc>
          <w:tcPr>
            <w:tcW w:w="3427" w:type="dxa"/>
            <w:tcMar>
              <w:top w:w="55" w:type="dxa"/>
              <w:left w:w="65" w:type="dxa"/>
              <w:bottom w:w="55" w:type="dxa"/>
              <w:right w:w="65" w:type="dxa"/>
            </w:tcMar>
          </w:tcPr>
          <w:p w14:paraId="1EC36517" w14:textId="77777777" w:rsidR="00C72F04" w:rsidRDefault="00FA795C">
            <w:pPr>
              <w:spacing w:after="0"/>
            </w:pPr>
            <w:r>
              <w:rPr>
                <w:sz w:val="14"/>
              </w:rPr>
              <w:t>20%</w:t>
            </w:r>
          </w:p>
        </w:tc>
        <w:tc>
          <w:tcPr>
            <w:tcW w:w="3427" w:type="dxa"/>
            <w:tcMar>
              <w:top w:w="55" w:type="dxa"/>
              <w:left w:w="65" w:type="dxa"/>
              <w:bottom w:w="55" w:type="dxa"/>
              <w:right w:w="65" w:type="dxa"/>
            </w:tcMar>
          </w:tcPr>
          <w:p w14:paraId="4909E4EB" w14:textId="77777777" w:rsidR="00C72F04" w:rsidRDefault="00FA795C">
            <w:pPr>
              <w:spacing w:after="0"/>
            </w:pPr>
            <w:r>
              <w:rPr>
                <w:sz w:val="14"/>
              </w:rPr>
              <w:t>Cloud/region, identity, network and private connectivity.</w:t>
            </w:r>
          </w:p>
        </w:tc>
      </w:tr>
      <w:tr w:rsidR="00C72F04" w14:paraId="7A1B66AE" w14:textId="77777777">
        <w:trPr>
          <w:jc w:val="center"/>
        </w:trPr>
        <w:tc>
          <w:tcPr>
            <w:tcW w:w="3427" w:type="dxa"/>
            <w:shd w:val="clear" w:color="auto" w:fill="EEF5FA"/>
            <w:tcMar>
              <w:top w:w="55" w:type="dxa"/>
              <w:left w:w="65" w:type="dxa"/>
              <w:bottom w:w="55" w:type="dxa"/>
              <w:right w:w="65" w:type="dxa"/>
            </w:tcMar>
          </w:tcPr>
          <w:p w14:paraId="5FCA3E8E" w14:textId="77777777" w:rsidR="00C72F04" w:rsidRDefault="00FA795C">
            <w:pPr>
              <w:spacing w:after="0"/>
            </w:pPr>
            <w:r>
              <w:rPr>
                <w:sz w:val="14"/>
              </w:rPr>
              <w:t>Enterprise reporting / Cognos replacement</w:t>
            </w:r>
          </w:p>
        </w:tc>
        <w:tc>
          <w:tcPr>
            <w:tcW w:w="3427" w:type="dxa"/>
            <w:shd w:val="clear" w:color="auto" w:fill="EEF5FA"/>
            <w:tcMar>
              <w:top w:w="55" w:type="dxa"/>
              <w:left w:w="65" w:type="dxa"/>
              <w:bottom w:w="55" w:type="dxa"/>
              <w:right w:w="65" w:type="dxa"/>
            </w:tcMar>
          </w:tcPr>
          <w:p w14:paraId="6CCEBBE1" w14:textId="77777777" w:rsidR="00C72F04" w:rsidRDefault="00FA795C">
            <w:pPr>
              <w:spacing w:after="0"/>
            </w:pPr>
            <w:r>
              <w:rPr>
                <w:sz w:val="14"/>
              </w:rPr>
              <w:t>15%</w:t>
            </w:r>
          </w:p>
        </w:tc>
        <w:tc>
          <w:tcPr>
            <w:tcW w:w="3427" w:type="dxa"/>
            <w:shd w:val="clear" w:color="auto" w:fill="EEF5FA"/>
            <w:tcMar>
              <w:top w:w="55" w:type="dxa"/>
              <w:left w:w="65" w:type="dxa"/>
              <w:bottom w:w="55" w:type="dxa"/>
              <w:right w:w="65" w:type="dxa"/>
            </w:tcMar>
          </w:tcPr>
          <w:p w14:paraId="520A8EF6" w14:textId="77777777" w:rsidR="00C72F04" w:rsidRDefault="00FA795C">
            <w:pPr>
              <w:spacing w:after="0"/>
            </w:pPr>
            <w:r>
              <w:rPr>
                <w:sz w:val="14"/>
              </w:rPr>
              <w:t>LoanIQ/Actimize-style output, scheduling, export, bursting and reconciliation.</w:t>
            </w:r>
          </w:p>
        </w:tc>
      </w:tr>
      <w:tr w:rsidR="00C72F04" w14:paraId="2FF9875C" w14:textId="77777777">
        <w:trPr>
          <w:jc w:val="center"/>
        </w:trPr>
        <w:tc>
          <w:tcPr>
            <w:tcW w:w="3427" w:type="dxa"/>
            <w:tcMar>
              <w:top w:w="55" w:type="dxa"/>
              <w:left w:w="65" w:type="dxa"/>
              <w:bottom w:w="55" w:type="dxa"/>
              <w:right w:w="65" w:type="dxa"/>
            </w:tcMar>
          </w:tcPr>
          <w:p w14:paraId="083F0FF5" w14:textId="77777777" w:rsidR="00C72F04" w:rsidRDefault="00FA795C">
            <w:pPr>
              <w:spacing w:after="0"/>
            </w:pPr>
            <w:r>
              <w:rPr>
                <w:sz w:val="14"/>
              </w:rPr>
              <w:t>Self-service and semantic governance</w:t>
            </w:r>
          </w:p>
        </w:tc>
        <w:tc>
          <w:tcPr>
            <w:tcW w:w="3427" w:type="dxa"/>
            <w:tcMar>
              <w:top w:w="55" w:type="dxa"/>
              <w:left w:w="65" w:type="dxa"/>
              <w:bottom w:w="55" w:type="dxa"/>
              <w:right w:w="65" w:type="dxa"/>
            </w:tcMar>
          </w:tcPr>
          <w:p w14:paraId="7653EF76" w14:textId="77777777" w:rsidR="00C72F04" w:rsidRDefault="00FA795C">
            <w:pPr>
              <w:spacing w:after="0"/>
            </w:pPr>
            <w:r>
              <w:rPr>
                <w:sz w:val="14"/>
              </w:rPr>
              <w:t>15%</w:t>
            </w:r>
          </w:p>
        </w:tc>
        <w:tc>
          <w:tcPr>
            <w:tcW w:w="3427" w:type="dxa"/>
            <w:tcMar>
              <w:top w:w="55" w:type="dxa"/>
              <w:left w:w="65" w:type="dxa"/>
              <w:bottom w:w="55" w:type="dxa"/>
              <w:right w:w="65" w:type="dxa"/>
            </w:tcMar>
          </w:tcPr>
          <w:p w14:paraId="0D166A52" w14:textId="77777777" w:rsidR="00C72F04" w:rsidRDefault="00FA795C">
            <w:pPr>
              <w:spacing w:after="0"/>
            </w:pPr>
            <w:r>
              <w:rPr>
                <w:sz w:val="14"/>
              </w:rPr>
              <w:t>Certified models, reusable KPIs, lineage and RLS/CLS.</w:t>
            </w:r>
          </w:p>
        </w:tc>
      </w:tr>
      <w:tr w:rsidR="00C72F04" w14:paraId="63946D10" w14:textId="77777777">
        <w:trPr>
          <w:jc w:val="center"/>
        </w:trPr>
        <w:tc>
          <w:tcPr>
            <w:tcW w:w="3427" w:type="dxa"/>
            <w:shd w:val="clear" w:color="auto" w:fill="EEF5FA"/>
            <w:tcMar>
              <w:top w:w="55" w:type="dxa"/>
              <w:left w:w="65" w:type="dxa"/>
              <w:bottom w:w="55" w:type="dxa"/>
              <w:right w:w="65" w:type="dxa"/>
            </w:tcMar>
          </w:tcPr>
          <w:p w14:paraId="12CA9769" w14:textId="77777777" w:rsidR="00C72F04" w:rsidRDefault="00FA795C">
            <w:pPr>
              <w:spacing w:after="0"/>
            </w:pPr>
            <w:r>
              <w:rPr>
                <w:sz w:val="14"/>
              </w:rPr>
              <w:t>Performance and scalability</w:t>
            </w:r>
          </w:p>
        </w:tc>
        <w:tc>
          <w:tcPr>
            <w:tcW w:w="3427" w:type="dxa"/>
            <w:shd w:val="clear" w:color="auto" w:fill="EEF5FA"/>
            <w:tcMar>
              <w:top w:w="55" w:type="dxa"/>
              <w:left w:w="65" w:type="dxa"/>
              <w:bottom w:w="55" w:type="dxa"/>
              <w:right w:w="65" w:type="dxa"/>
            </w:tcMar>
          </w:tcPr>
          <w:p w14:paraId="011F5976" w14:textId="77777777" w:rsidR="00C72F04" w:rsidRDefault="00FA795C">
            <w:pPr>
              <w:spacing w:after="0"/>
            </w:pPr>
            <w:r>
              <w:rPr>
                <w:sz w:val="14"/>
              </w:rPr>
              <w:t>15%</w:t>
            </w:r>
          </w:p>
        </w:tc>
        <w:tc>
          <w:tcPr>
            <w:tcW w:w="3427" w:type="dxa"/>
            <w:shd w:val="clear" w:color="auto" w:fill="EEF5FA"/>
            <w:tcMar>
              <w:top w:w="55" w:type="dxa"/>
              <w:left w:w="65" w:type="dxa"/>
              <w:bottom w:w="55" w:type="dxa"/>
              <w:right w:w="65" w:type="dxa"/>
            </w:tcMar>
          </w:tcPr>
          <w:p w14:paraId="2AB7ADD4" w14:textId="77777777" w:rsidR="00C72F04" w:rsidRDefault="00FA795C">
            <w:pPr>
              <w:spacing w:after="0"/>
            </w:pPr>
            <w:r>
              <w:rPr>
                <w:sz w:val="14"/>
              </w:rPr>
              <w:t>Concurrency, response time, refresh SLA and recovery.</w:t>
            </w:r>
          </w:p>
        </w:tc>
      </w:tr>
      <w:tr w:rsidR="00C72F04" w14:paraId="62490288" w14:textId="77777777">
        <w:trPr>
          <w:jc w:val="center"/>
        </w:trPr>
        <w:tc>
          <w:tcPr>
            <w:tcW w:w="3427" w:type="dxa"/>
            <w:tcMar>
              <w:top w:w="55" w:type="dxa"/>
              <w:left w:w="65" w:type="dxa"/>
              <w:bottom w:w="55" w:type="dxa"/>
              <w:right w:w="65" w:type="dxa"/>
            </w:tcMar>
          </w:tcPr>
          <w:p w14:paraId="5028FC5B" w14:textId="77777777" w:rsidR="00C72F04" w:rsidRDefault="00FA795C">
            <w:pPr>
              <w:spacing w:after="0"/>
            </w:pPr>
            <w:r>
              <w:rPr>
                <w:sz w:val="14"/>
              </w:rPr>
              <w:t>Five-year TCO</w:t>
            </w:r>
          </w:p>
        </w:tc>
        <w:tc>
          <w:tcPr>
            <w:tcW w:w="3427" w:type="dxa"/>
            <w:tcMar>
              <w:top w:w="55" w:type="dxa"/>
              <w:left w:w="65" w:type="dxa"/>
              <w:bottom w:w="55" w:type="dxa"/>
              <w:right w:w="65" w:type="dxa"/>
            </w:tcMar>
          </w:tcPr>
          <w:p w14:paraId="4F6602AE" w14:textId="77777777" w:rsidR="00C72F04" w:rsidRDefault="00FA795C">
            <w:pPr>
              <w:spacing w:after="0"/>
            </w:pPr>
            <w:r>
              <w:rPr>
                <w:sz w:val="14"/>
              </w:rPr>
              <w:t>15%</w:t>
            </w:r>
          </w:p>
        </w:tc>
        <w:tc>
          <w:tcPr>
            <w:tcW w:w="3427" w:type="dxa"/>
            <w:tcMar>
              <w:top w:w="55" w:type="dxa"/>
              <w:left w:w="65" w:type="dxa"/>
              <w:bottom w:w="55" w:type="dxa"/>
              <w:right w:w="65" w:type="dxa"/>
            </w:tcMar>
          </w:tcPr>
          <w:p w14:paraId="17819BF7" w14:textId="77777777" w:rsidR="00C72F04" w:rsidRDefault="00FA795C">
            <w:pPr>
              <w:spacing w:after="0"/>
            </w:pPr>
            <w:r>
              <w:rPr>
                <w:sz w:val="14"/>
              </w:rPr>
              <w:t>Licensing, capacity, Snowflake compute, transfer, infrastructure, support and migration.</w:t>
            </w:r>
          </w:p>
        </w:tc>
      </w:tr>
      <w:tr w:rsidR="00C72F04" w14:paraId="53C879F6" w14:textId="77777777">
        <w:trPr>
          <w:jc w:val="center"/>
        </w:trPr>
        <w:tc>
          <w:tcPr>
            <w:tcW w:w="3427" w:type="dxa"/>
            <w:shd w:val="clear" w:color="auto" w:fill="EEF5FA"/>
            <w:tcMar>
              <w:top w:w="55" w:type="dxa"/>
              <w:left w:w="65" w:type="dxa"/>
              <w:bottom w:w="55" w:type="dxa"/>
              <w:right w:w="65" w:type="dxa"/>
            </w:tcMar>
          </w:tcPr>
          <w:p w14:paraId="25F31744" w14:textId="77777777" w:rsidR="00C72F04" w:rsidRDefault="00FA795C">
            <w:pPr>
              <w:spacing w:after="0"/>
            </w:pPr>
            <w:r>
              <w:rPr>
                <w:sz w:val="14"/>
              </w:rPr>
              <w:t>AI and conversational analytics</w:t>
            </w:r>
          </w:p>
        </w:tc>
        <w:tc>
          <w:tcPr>
            <w:tcW w:w="3427" w:type="dxa"/>
            <w:shd w:val="clear" w:color="auto" w:fill="EEF5FA"/>
            <w:tcMar>
              <w:top w:w="55" w:type="dxa"/>
              <w:left w:w="65" w:type="dxa"/>
              <w:bottom w:w="55" w:type="dxa"/>
              <w:right w:w="65" w:type="dxa"/>
            </w:tcMar>
          </w:tcPr>
          <w:p w14:paraId="79D048D7" w14:textId="77777777" w:rsidR="00C72F04" w:rsidRDefault="00FA795C">
            <w:pPr>
              <w:spacing w:after="0"/>
            </w:pPr>
            <w:r>
              <w:rPr>
                <w:sz w:val="14"/>
              </w:rPr>
              <w:t>10%</w:t>
            </w:r>
          </w:p>
        </w:tc>
        <w:tc>
          <w:tcPr>
            <w:tcW w:w="3427" w:type="dxa"/>
            <w:shd w:val="clear" w:color="auto" w:fill="EEF5FA"/>
            <w:tcMar>
              <w:top w:w="55" w:type="dxa"/>
              <w:left w:w="65" w:type="dxa"/>
              <w:bottom w:w="55" w:type="dxa"/>
              <w:right w:w="65" w:type="dxa"/>
            </w:tcMar>
          </w:tcPr>
          <w:p w14:paraId="468768B3" w14:textId="77777777" w:rsidR="00C72F04" w:rsidRDefault="00FA795C">
            <w:pPr>
              <w:spacing w:after="0"/>
            </w:pPr>
            <w:r>
              <w:rPr>
                <w:sz w:val="14"/>
              </w:rPr>
              <w:t>Accuracy, security trimming, auditability, licensing and region availability.</w:t>
            </w:r>
          </w:p>
        </w:tc>
      </w:tr>
      <w:tr w:rsidR="00C72F04" w14:paraId="4B7A3F08" w14:textId="77777777">
        <w:trPr>
          <w:jc w:val="center"/>
        </w:trPr>
        <w:tc>
          <w:tcPr>
            <w:tcW w:w="3427" w:type="dxa"/>
            <w:tcMar>
              <w:top w:w="55" w:type="dxa"/>
              <w:left w:w="65" w:type="dxa"/>
              <w:bottom w:w="55" w:type="dxa"/>
              <w:right w:w="65" w:type="dxa"/>
            </w:tcMar>
          </w:tcPr>
          <w:p w14:paraId="4CFBB187" w14:textId="77777777" w:rsidR="00C72F04" w:rsidRDefault="00FA795C">
            <w:pPr>
              <w:spacing w:after="0"/>
            </w:pPr>
            <w:r>
              <w:rPr>
                <w:sz w:val="14"/>
              </w:rPr>
              <w:t>Operating model and skills</w:t>
            </w:r>
          </w:p>
        </w:tc>
        <w:tc>
          <w:tcPr>
            <w:tcW w:w="3427" w:type="dxa"/>
            <w:tcMar>
              <w:top w:w="55" w:type="dxa"/>
              <w:left w:w="65" w:type="dxa"/>
              <w:bottom w:w="55" w:type="dxa"/>
              <w:right w:w="65" w:type="dxa"/>
            </w:tcMar>
          </w:tcPr>
          <w:p w14:paraId="6ED655BE" w14:textId="77777777" w:rsidR="00C72F04" w:rsidRDefault="00FA795C">
            <w:pPr>
              <w:spacing w:after="0"/>
            </w:pPr>
            <w:r>
              <w:rPr>
                <w:sz w:val="14"/>
              </w:rPr>
              <w:t>5%</w:t>
            </w:r>
          </w:p>
        </w:tc>
        <w:tc>
          <w:tcPr>
            <w:tcW w:w="3427" w:type="dxa"/>
            <w:tcMar>
              <w:top w:w="55" w:type="dxa"/>
              <w:left w:w="65" w:type="dxa"/>
              <w:bottom w:w="55" w:type="dxa"/>
              <w:right w:w="65" w:type="dxa"/>
            </w:tcMar>
          </w:tcPr>
          <w:p w14:paraId="2FA441BA" w14:textId="77777777" w:rsidR="00C72F04" w:rsidRDefault="00FA795C">
            <w:pPr>
              <w:spacing w:after="0"/>
            </w:pPr>
            <w:r>
              <w:rPr>
                <w:sz w:val="14"/>
              </w:rPr>
              <w:t>Administration, DevOps, monitoring, support and talent.</w:t>
            </w:r>
          </w:p>
        </w:tc>
      </w:tr>
      <w:tr w:rsidR="00C72F04" w14:paraId="3D929E4B" w14:textId="77777777">
        <w:trPr>
          <w:jc w:val="center"/>
        </w:trPr>
        <w:tc>
          <w:tcPr>
            <w:tcW w:w="3427" w:type="dxa"/>
            <w:shd w:val="clear" w:color="auto" w:fill="EEF5FA"/>
            <w:tcMar>
              <w:top w:w="55" w:type="dxa"/>
              <w:left w:w="65" w:type="dxa"/>
              <w:bottom w:w="55" w:type="dxa"/>
              <w:right w:w="65" w:type="dxa"/>
            </w:tcMar>
          </w:tcPr>
          <w:p w14:paraId="2BD0F42B" w14:textId="77777777" w:rsidR="00C72F04" w:rsidRDefault="00FA795C">
            <w:pPr>
              <w:spacing w:after="0"/>
            </w:pPr>
            <w:r>
              <w:rPr>
                <w:sz w:val="14"/>
              </w:rPr>
              <w:t>Portability and exit risk</w:t>
            </w:r>
          </w:p>
        </w:tc>
        <w:tc>
          <w:tcPr>
            <w:tcW w:w="3427" w:type="dxa"/>
            <w:shd w:val="clear" w:color="auto" w:fill="EEF5FA"/>
            <w:tcMar>
              <w:top w:w="55" w:type="dxa"/>
              <w:left w:w="65" w:type="dxa"/>
              <w:bottom w:w="55" w:type="dxa"/>
              <w:right w:w="65" w:type="dxa"/>
            </w:tcMar>
          </w:tcPr>
          <w:p w14:paraId="0A33DC6F" w14:textId="77777777" w:rsidR="00C72F04" w:rsidRDefault="00FA795C">
            <w:pPr>
              <w:spacing w:after="0"/>
            </w:pPr>
            <w:r>
              <w:rPr>
                <w:sz w:val="14"/>
              </w:rPr>
              <w:t>5%</w:t>
            </w:r>
          </w:p>
        </w:tc>
        <w:tc>
          <w:tcPr>
            <w:tcW w:w="3427" w:type="dxa"/>
            <w:shd w:val="clear" w:color="auto" w:fill="EEF5FA"/>
            <w:tcMar>
              <w:top w:w="55" w:type="dxa"/>
              <w:left w:w="65" w:type="dxa"/>
              <w:bottom w:w="55" w:type="dxa"/>
              <w:right w:w="65" w:type="dxa"/>
            </w:tcMar>
          </w:tcPr>
          <w:p w14:paraId="029C3464" w14:textId="77777777" w:rsidR="00C72F04" w:rsidRDefault="00FA795C">
            <w:pPr>
              <w:spacing w:after="0"/>
            </w:pPr>
            <w:r>
              <w:rPr>
                <w:sz w:val="14"/>
              </w:rPr>
              <w:t>Source control, APIs, metadata accessibility and migration complexity.</w:t>
            </w:r>
          </w:p>
        </w:tc>
      </w:tr>
    </w:tbl>
    <w:p w14:paraId="3CCF8568" w14:textId="77777777" w:rsidR="00C72F04" w:rsidRDefault="00C72F04">
      <w:pPr>
        <w:spacing w:after="0"/>
      </w:pPr>
    </w:p>
    <w:p w14:paraId="003DAF51" w14:textId="77777777" w:rsidR="00C72F04" w:rsidRDefault="00FA795C">
      <w:pPr>
        <w:pStyle w:val="Heading2"/>
      </w:pPr>
      <w:r>
        <w:t>Decision gates</w:t>
      </w:r>
    </w:p>
    <w:p w14:paraId="597B634E" w14:textId="77777777" w:rsidR="00C72F04" w:rsidRDefault="00FA795C">
      <w:pPr>
        <w:pStyle w:val="ListBullet"/>
      </w:pPr>
      <w:r>
        <w:t>Cloud: confirm AWS, Azure or multi-cloud direction and expected readiness.</w:t>
      </w:r>
    </w:p>
    <w:p w14:paraId="6D9D9FF8" w14:textId="77777777" w:rsidR="00C72F04" w:rsidRDefault="00FA795C">
      <w:pPr>
        <w:pStyle w:val="ListBullet"/>
      </w:pPr>
      <w:r>
        <w:t>Data: confirm the FIS Snowflake catalogue, history, grain, reconciliation and refresh SLA.</w:t>
      </w:r>
    </w:p>
    <w:p w14:paraId="530EE641" w14:textId="77777777" w:rsidR="00C72F04" w:rsidRDefault="00FA795C">
      <w:pPr>
        <w:pStyle w:val="ListBullet"/>
      </w:pPr>
      <w:r>
        <w:t>Security: confirm identity, private connectivity, residency, audit and regulatory requirements.</w:t>
      </w:r>
    </w:p>
    <w:p w14:paraId="7DA41A82" w14:textId="77777777" w:rsidR="00C72F04" w:rsidRDefault="00FA795C">
      <w:pPr>
        <w:pStyle w:val="ListBullet"/>
      </w:pPr>
      <w:r>
        <w:t>Commercial: obtain comparable five-year vendor and operating-cost scenarios.</w:t>
      </w:r>
    </w:p>
    <w:p w14:paraId="1B99F7B2" w14:textId="77777777" w:rsidR="00C72F04" w:rsidRDefault="00FA795C">
      <w:pPr>
        <w:pStyle w:val="ListBullet"/>
      </w:pPr>
      <w:r>
        <w:t>Fit: confirm functional, non-functional and operating-model viability against representative IDB workloads.</w:t>
      </w:r>
    </w:p>
    <w:p w14:paraId="7CC034E9" w14:textId="77777777" w:rsidR="00C72F04" w:rsidRDefault="00FA795C">
      <w:r>
        <w:br w:type="page"/>
      </w:r>
    </w:p>
    <w:p>
      <w:pPr>
        <w:pStyle w:val="Heading1"/>
      </w:pPr>
      <w:r>
        <w:t>Appendix A - Assumptions, Cost Model and Sources</w:t>
      </w:r>
    </w:p>
    <w:p>
      <w:pPr>
        <w:pStyle w:val="Heading2"/>
      </w:pPr>
      <w:r>
        <w:t>A.1 Cost model assumptions</w:t>
      </w:r>
    </w:p>
    <w:p>
      <w:pPr>
        <w:pStyle w:val="ListBullet"/>
      </w:pPr>
      <w:r>
        <w:t>Base workload: 500 consumers, 25 developers, 25 explorers, 100 peak concurrent users, 5 TB/month BI result traffic, 250 reports in migration scope (estate ~280).</w:t>
      </w:r>
    </w:p>
    <w:p>
      <w:pPr>
        <w:pStyle w:val="ListBullet"/>
      </w:pPr>
      <w:r>
        <w:t>TCO horizon: 5 years; 0% inflation (editable). One-time migration and training are included in Year 1 only.</w:t>
      </w:r>
    </w:p>
    <w:p>
      <w:pPr>
        <w:pStyle w:val="ListBullet"/>
      </w:pPr>
      <w:r>
        <w:t>One-time costs: Power BI $655,000 (250 x $2,500 + $30,000); Tableau $700,000 (250 x $2,700 + $25,000); QuickSight $850,000 (250 x $3,200 + $50,000).</w:t>
      </w:r>
    </w:p>
    <w:p>
      <w:pPr>
        <w:pStyle w:val="ListBullet"/>
      </w:pPr>
      <w:r>
        <w:t>Explorers/analysts are licensed as author-class users on every platform (Power BI Pro, Tableau Explorer, QuickSight Author) for a like-for-like comparison.</w:t>
      </w:r>
    </w:p>
    <w:p>
      <w:pPr>
        <w:pStyle w:val="ListBullet"/>
      </w:pPr>
      <w:r>
        <w:t>Base Snowflake BI compute: 300 credits/month (Power BI, Tableau) or 280 (QuickSight, SPICE caching) at $3.00/credit Enterprise. Business Critical ($4.00) increases all options equally.</w:t>
      </w:r>
    </w:p>
    <w:p>
      <w:pPr>
        <w:pStyle w:val="ListBullet"/>
      </w:pPr>
      <w:r>
        <w:t>Cross-cloud sensitivity: $0.09/GB transfer, $12,000/yr incremental Snowflake compute, $6,000/yr AWS gateway and $10,000/yr additional operations for Power BI on AWS; scaled by 0.75 (Tableau Cloud with Snowflake on Azure) and 1.15 (QuickSight with Snowflake on Azure).</w:t>
      </w:r>
    </w:p>
    <w:p>
      <w:pPr>
        <w:pStyle w:val="ListBullet"/>
      </w:pPr>
      <w:r>
        <w:t>All figures in USD, excluding tax. Planning assumptions are not vendor quotes.</w:t>
      </w:r>
    </w:p>
    <w:p>
      <w:pPr>
        <w:pStyle w:val="Heading2"/>
      </w:pPr>
      <w:r>
        <w:t>A.2 Validated list prices (23 October 2026)</w:t>
      </w:r>
    </w:p>
    <w:tbl>
      <w:tblPr>
        <w:tblStyle w:val="TableGrid"/>
        <w:tblW w:w="10282" w:type="dxa"/>
        <w:jc w:val="center"/>
        <w:tblLayout w:type="fixed"/>
        <w:tblLook w:val="04A0" w:firstRow="1" w:lastRow="0" w:firstColumn="1" w:lastColumn="0" w:noHBand="0" w:noVBand="1"/>
      </w:tblPr>
      <w:tblGrid>
        <w:gridCol w:w="2000"/>
        <w:gridCol w:w="3700"/>
        <w:gridCol w:w="3582"/>
        <w:gridCol w:w="1000"/>
      </w:tblGrid>
      <w:tr>
        <w:trPr>
          <w:tblHeader/>
          <w:cantSplit/>
          <w:jc w:val="center"/>
        </w:trPr>
        <w:tc>
          <w:tcPr>
            <w:tcW w:w="20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Item</w:t>
            </w:r>
          </w:p>
        </w:tc>
        <w:tc>
          <w:tcPr>
            <w:tcW w:w="37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Value used</w:t>
            </w:r>
          </w:p>
        </w:tc>
        <w:tc>
          <w:tcPr>
            <w:tcW w:w="35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Source</w:t>
            </w:r>
          </w:p>
        </w:tc>
        <w:tc>
          <w:tcPr>
            <w:tcW w:w="10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Status</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Pro / PPU</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$14 / $24 per user per month, paid yearly</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microsoft.com/power-platform/products/power-bi/pricing</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$8,409.60/month PAYG; $5,002.67/month 1-yr reserved (US)</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azure.microsoft.com/pricing/details/microsoft-fabric</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Premium P1</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$4,995/month - no new P SKU sales; EA renewals only</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learn.microsoft.com/power-bi/support/premium-migration-overview</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Legacy</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Copilot</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Paid Fabric F2+ or P1+ capacity required</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learn.microsoft.com/power-bi/create-reports/copilot-enable-power-bi</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Standard</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$75 Creator / $42 Explorer / $15 Viewer (Cloud and Server)</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tableau.com/pricing/cloud ; /pricing/server</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Enterprise / Tableau+</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$115 / $70 / $35 Enterprise used as Tableau+ floor</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tableau.com/pricing/cloud</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Quote-only</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hosting</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Salesforce Hyperforce on AWS</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aws.amazon.com/blogs/migration-and-modernization (Tableau Cloud to Hyperforce)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Amazon QuickSight</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$24 Author / $40 Author Pro / $3 Reader / $20 Reader Pro / $250 account fee</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aws.amazon.com/quick/quicksight/pricing</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Snowflake credits</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$2 Standard / $3 Enterprise / $4 Business Critical (AWS US East)</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snowflake.com/pricing/pricing-guide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transfer</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$90/TB to another cloud or internet; no egress on driver query results</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docs.snowflake.com/en/user-guide/cost-understanding-data-transfer</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bl>
    <w:p/>
    <w:p>
      <w:pPr>
        <w:pStyle w:val="Heading2"/>
      </w:pPr>
      <w:r>
        <w:t>A.3 Primary architecture references</w:t>
      </w:r>
    </w:p>
    <w:p>
      <w:pPr>
        <w:pStyle w:val="ListBullet"/>
      </w:pPr>
      <w:r>
        <w:t>Microsoft Learn - Power BI and Azure egress: https://learn.microsoft.com/en-us/power-bi/connect-data/service-azure-egress-power-bi</w:t>
      </w:r>
    </w:p>
    <w:p>
      <w:pPr>
        <w:pStyle w:val="ListBullet"/>
      </w:pPr>
      <w:r>
        <w:t>Microsoft Learn - Connect Power BI to Snowflake: https://learn.microsoft.com/en-us/power-bi/connect-data/service-connect-snowflake</w:t>
      </w:r>
    </w:p>
    <w:p>
      <w:pPr>
        <w:pStyle w:val="ListBullet"/>
      </w:pPr>
      <w:r>
        <w:t>Snowflake - Understanding data transfer cost: https://docs.snowflake.com/en/user-guide/cost-understanding-data-transfer</w:t>
      </w:r>
    </w:p>
    <w:p>
      <w:pPr>
        <w:pStyle w:val="ListBullet"/>
      </w:pPr>
      <w:r>
        <w:t>AWS - Connecting Power BI to AWS data sources: https://docs.aws.amazon.com/whitepapers/latest/using-power-bi-with-aws-cloud/connecting-the-microsoft-power-bi-service-to-aws-data-sources.html</w:t>
      </w:r>
    </w:p>
    <w:p>
      <w:pPr>
        <w:pStyle w:val="ListBullet"/>
      </w:pPr>
      <w:r>
        <w:t>AWS - Using Snowflake with Amazon QuickSight: https://docs.aws.amazon.com/quicksight/latest/user/connecting-to-snowflake.html</w:t>
      </w:r>
    </w:p>
    <w:p>
      <w:pPr>
        <w:pStyle w:val="ListBullet"/>
      </w:pPr>
      <w:r>
        <w:t>Microsoft Learn - Mirroring Snowflake in Fabric: https://learn.microsoft.com/en-us/fabric/mirroring/snowflake</w:t>
      </w:r>
    </w:p>
    <w:p>
      <w:pPr>
        <w:pStyle w:val="ListBullet"/>
      </w:pPr>
      <w:r>
        <w:t>Microsoft Learn - Snowflake mirroring limitations: https://learn.microsoft.com/en-us/fabric/mirroring/snowflake-limitations</w:t>
      </w:r>
    </w:p>
    <w:p>
      <w:pPr/>
      <w:r>
        <w:t>Product ratings, pricing, AI packaging and regional availability change over time and must be validated before procurement. The document focuses on BI tools; FIS, DeX and IMS are referenced only where they affect BI architecture.</w:t>
      </w:r>
    </w:p>
    <w:p>
      <w:pPr>
        <w:pStyle w:val="Heading1"/>
      </w:pPr>
      <w:r>
        <w:t>Appendix B - Annual Licensing and Architecture &amp; Operations by Scenario</w:t>
      </w:r>
    </w:p>
    <w:p>
      <w:pPr/>
      <w:r>
        <w:t>Breakdown of the annual totals in Table 6.2. S1 = 100 consumers / 10 developers / 10 explorers / 1 TB; S2 = 250 / 15 / 20 / 2 TB; S3 = 500 / 25 / 25 / 5 TB.</w:t>
      </w:r>
    </w:p>
    <w:tbl>
      <w:tblPr>
        <w:tblStyle w:val="TableGrid"/>
        <w:tblW w:w="10282" w:type="dxa"/>
        <w:jc w:val="center"/>
        <w:tblLayout w:type="fixed"/>
        <w:tblLook w:val="04A0" w:firstRow="1" w:lastRow="0" w:firstColumn="1" w:lastColumn="0" w:noHBand="0" w:noVBand="1"/>
      </w:tblPr>
      <w:tblGrid>
        <w:gridCol w:w="1560"/>
        <w:gridCol w:w="1690"/>
        <w:gridCol w:w="1172"/>
        <w:gridCol w:w="1172"/>
        <w:gridCol w:w="1172"/>
        <w:gridCol w:w="1172"/>
        <w:gridCol w:w="1172"/>
        <w:gridCol w:w="1172"/>
      </w:tblGrid>
      <w:tr>
        <w:trPr>
          <w:tblHeader/>
          <w:cantSplit/>
          <w:jc w:val="center"/>
        </w:trPr>
        <w:tc>
          <w:tcPr>
            <w:tcW w:w="15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BI platform</w:t>
            </w:r>
          </w:p>
        </w:tc>
        <w:tc>
          <w:tcPr>
            <w:tcW w:w="169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arch &amp; ops</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arch &amp; ops</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arch &amp; ops</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$20,160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$47,880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$92,400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$34,560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$82,080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$158,400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$63,392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$65,912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$68,432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$104,275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$106,795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$109,315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$63,300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$65,820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$68,340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$32,040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$68,580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$125,100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$64,200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$142,500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$265,500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$32,040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$68,580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$125,100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$9,360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$19,080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$32,400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$16,200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$28,800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$20,160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$47,880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$92,400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$34,560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$82,080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$158,400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$63,392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$65,912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$68,432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$104,275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$106,795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$109,315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$63,300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$65,820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$68,340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$32,040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$46,410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$68,580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$49,920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$125,100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$56,850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$64,200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$46,410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$142,500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$49,920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$265,500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$56,850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$32,040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$68,580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$125,100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$9,360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$41,082</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$19,080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$46,464</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$32,400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$57,090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$16,200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$41,082</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$28,800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$46,464</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$57,090</w:t>
            </w:r>
          </w:p>
        </w:tc>
      </w:tr>
    </w:tbl>
    <w:p/>
    <w:p>
      <w:pPr>
        <w:pStyle w:val="Heading1"/>
      </w:pPr>
      <w:r>
        <w:t>Appendix C - Licensing Breakdown at Baseline</w:t>
      </w:r>
    </w:p>
    <w:tbl>
      <w:tblPr>
        <w:tblStyle w:val="TableGrid"/>
        <w:tblW w:w="10282" w:type="dxa"/>
        <w:jc w:val="center"/>
        <w:tblLayout w:type="fixed"/>
        <w:tblLook w:val="04A0" w:firstRow="1" w:lastRow="0" w:firstColumn="1" w:lastColumn="0" w:noHBand="0" w:noVBand="1"/>
      </w:tblPr>
      <w:tblGrid>
        <w:gridCol w:w="3282"/>
        <w:gridCol w:w="1400"/>
        <w:gridCol w:w="1400"/>
        <w:gridCol w:w="1400"/>
        <w:gridCol w:w="1400"/>
        <w:gridCol w:w="1400"/>
      </w:tblGrid>
      <w:tr>
        <w:trPr>
          <w:tblHeader/>
          <w:cantSplit/>
          <w:jc w:val="center"/>
        </w:trPr>
        <w:tc>
          <w:tcPr>
            <w:tcW w:w="32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Licensing model</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25 developers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25 explorers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500 consumers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Capacity / account</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total</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Microsoft Power BI - $14 Pro, $24 PPU; viewers free at F64+ / P1</w:t>
            </w:r>
          </w:p>
        </w:tc>
      </w:tr>
      <w:tr>
        <w:trPr>
          <w:cantSplit/>
          <w:jc w:val="center"/>
        </w:trPr>
        <w:tc>
          <w:tcPr>
            <w:tcW w:w="3282"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Pro - all named</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$84,000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$92,400</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PPU - all named</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$144,000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$158,400</w:t>
            </w:r>
          </w:p>
        </w:tc>
      </w:tr>
      <w:tr>
        <w:trPr>
          <w:cantSplit/>
          <w:jc w:val="center"/>
        </w:trPr>
        <w:tc>
          <w:tcPr>
            <w:tcW w:w="3282"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 authors</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$60,032</w:t>
            </w:r>
          </w:p>
        </w:tc>
        <w:tc>
          <w:tcPr>
            <w:tcW w:w="14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$68,432</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 authors</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$100,915</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$109,315</w:t>
            </w:r>
          </w:p>
        </w:tc>
      </w:tr>
      <w:tr>
        <w:trPr>
          <w:cantSplit/>
          <w:jc w:val="center"/>
        </w:trPr>
        <w:tc>
          <w:tcPr>
            <w:tcW w:w="3282"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 authors (legacy)</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$59,940</w:t>
            </w:r>
          </w:p>
        </w:tc>
        <w:tc>
          <w:tcPr>
            <w:tcW w:w="14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$68,340</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Salesforce Tableau - Standard $75 / $42 / $15; Tableau+ floor $115 / $70 / $35</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Standard (Creator / Explorer / Viewer)</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$22,500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$12,600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$125,100</w:t>
            </w:r>
          </w:p>
        </w:tc>
      </w:tr>
      <w:tr>
        <w:trPr>
          <w:cantSplit/>
          <w:jc w:val="center"/>
        </w:trPr>
        <w:tc>
          <w:tcPr>
            <w:tcW w:w="3282"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 (Enterprise list floor)</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$34,500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$210,000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$265,500</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Amazon QuickSight - $24 Author, $40 Author Pro, $3 Reader, $20 Reader Pro, $250/month account fee</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Standard (Author + Reader)</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$32,400</w:t>
            </w:r>
          </w:p>
        </w:tc>
      </w:tr>
      <w:tr>
        <w:trPr>
          <w:cantSplit/>
          <w:jc w:val="center"/>
        </w:trPr>
        <w:tc>
          <w:tcPr>
            <w:tcW w:w="3282"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 Author Pro + Reader + fee (AI)</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$3,000</w:t>
            </w:r>
          </w:p>
        </w:tc>
        <w:tc>
          <w:tcPr>
            <w:tcW w:w="14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$45,000</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full Pro (Author Pro + Reader Pro) - reference</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$147,000</w:t>
            </w:r>
          </w:p>
        </w:tc>
      </w:tr>
    </w:tbl>
    <w:p/>
    <w:p>
      <w:pPr>
        <w:pStyle w:val="ListBullet"/>
      </w:pPr>
      <w:r>
        <w:t>Fabric F64 Reserved beats Pro at baseline ($68,432 vs $92,400); the consumer break-even is ~357 at list price.</w:t>
      </w:r>
    </w:p>
    <w:p>
      <w:pPr>
        <w:pStyle w:val="ListBullet"/>
      </w:pPr>
      <w:r>
        <w:t>Premium P1 ($68,340) is near-equivalent to F64 Reserved but can no longer be newly purchased; plan on Fabric F-SKUs.</w:t>
      </w:r>
    </w:p>
    <w:p>
      <w:pPr>
        <w:pStyle w:val="ListBullet"/>
      </w:pPr>
      <w:r>
        <w:t>Tableau+ adds at least $140,400 a year over Standard at baseline; QuickSight Author Pro adds $12,600 a year.</w:t>
      </w:r>
    </w:p>
    <w:p>
      <w:pPr>
        <w:pStyle w:val="Heading1"/>
      </w:pPr>
      <w:r>
        <w:t>Appendix D - Architecture and Operations Derivation (Baseline)</w:t>
      </w:r>
    </w:p>
    <w:tbl>
      <w:tblPr>
        <w:tblStyle w:val="TableGrid"/>
        <w:tblW w:w="10282" w:type="dxa"/>
        <w:jc w:val="center"/>
        <w:tblLayout w:type="fixed"/>
        <w:tblLook w:val="04A0" w:firstRow="1" w:lastRow="0" w:firstColumn="1" w:lastColumn="0" w:noHBand="0" w:noVBand="1"/>
      </w:tblPr>
      <w:tblGrid>
        <w:gridCol w:w="2300"/>
        <w:gridCol w:w="1300"/>
        <w:gridCol w:w="1080"/>
        <w:gridCol w:w="1120"/>
        <w:gridCol w:w="1080"/>
        <w:gridCol w:w="1120"/>
        <w:gridCol w:w="1120"/>
        <w:gridCol w:w="1162"/>
      </w:tblGrid>
      <w:tr>
        <w:trPr>
          <w:tblHeader/>
          <w:cantSplit/>
          <w:jc w:val="center"/>
        </w:trPr>
        <w:tc>
          <w:tcPr>
            <w:tcW w:w="2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Configuration</w:t>
            </w:r>
          </w:p>
        </w:tc>
        <w:tc>
          <w:tcPr>
            <w:tcW w:w="1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Alignment</w:t>
            </w:r>
          </w:p>
        </w:tc>
        <w:tc>
          <w:tcPr>
            <w:tcW w:w="108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Transfer</w:t>
            </w:r>
          </w:p>
        </w:tc>
        <w:tc>
          <w:tcPr>
            <w:tcW w:w="112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Incremental compute</w:t>
            </w:r>
          </w:p>
        </w:tc>
        <w:tc>
          <w:tcPr>
            <w:tcW w:w="108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Gateway / server</w:t>
            </w:r>
          </w:p>
        </w:tc>
        <w:tc>
          <w:tcPr>
            <w:tcW w:w="112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Operations</w:t>
            </w:r>
          </w:p>
        </w:tc>
        <w:tc>
          <w:tcPr>
            <w:tcW w:w="112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Base Snowflake</w:t>
            </w:r>
          </w:p>
        </w:tc>
        <w:tc>
          <w:tcPr>
            <w:tcW w:w="116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total</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Cross-cloud</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$12,000</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$64,200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$20,000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$30,800</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 (AWS)</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$35,800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Cross-cloud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$4,050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$33,000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$56,850</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Server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$45,000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$85,800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$85,800</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$15,000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$10,080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$25,080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Cross-cloud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$6,210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$13,800</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$27,000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$10,080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$57,090</w:t>
            </w:r>
          </w:p>
        </w:tc>
      </w:tr>
    </w:tbl>
    <w:p/>
    <w:p>
      <w:pPr>
        <w:pStyle w:val="Heading1"/>
      </w:pPr>
      <w:r>
        <w:t>Appendix E - Cost Drivers by Platform (Qualitative)</w:t>
      </w:r>
    </w:p>
    <w:tbl>
      <w:tblPr>
        <w:tblStyle w:val="TableGrid"/>
        <w:tblW w:w="10282" w:type="dxa"/>
        <w:jc w:val="center"/>
        <w:tblLayout w:type="fixed"/>
        <w:tblLook w:val="04A0" w:firstRow="1" w:lastRow="0" w:firstColumn="1" w:lastColumn="0" w:noHBand="0" w:noVBand="1"/>
      </w:tblPr>
      <w:tblGrid>
        <w:gridCol w:w="1700"/>
        <w:gridCol w:w="2860"/>
        <w:gridCol w:w="2860"/>
        <w:gridCol w:w="2862"/>
      </w:tblGrid>
      <w:tr>
        <w:trPr>
          <w:tblHeader/>
          <w:cantSplit/>
          <w:jc w:val="center"/>
        </w:trPr>
        <w:tc>
          <w:tcPr>
            <w:tcW w:w="17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Cost driver</w:t>
            </w:r>
          </w:p>
        </w:tc>
        <w:tc>
          <w:tcPr>
            <w:tcW w:w="28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Power BI</w:t>
            </w:r>
          </w:p>
        </w:tc>
        <w:tc>
          <w:tcPr>
            <w:tcW w:w="28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Tableau</w:t>
            </w:r>
          </w:p>
        </w:tc>
        <w:tc>
          <w:tcPr>
            <w:tcW w:w="286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QuickSight</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BI commercial model</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Pro/PPU per user, Fabric capacity (F64 Reserved/PAYG) or legacy P1. Consumers view free at F64+/P1.</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Role-based Creator/Explorer/Viewer (Standard or Enterprise) or quote-only Tableau+.</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Author $24 or Author Pro $40; Reader $3; $250/month account fee with any Pro user or Q&amp;A topics.</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AI licensing uplift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Copilot needs paid F2+/P1+ capacity; no extra licence on F64 but consumes capacity.</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Pulse included in Tableau Cloud; Tableau AI/Agentforce via Tableau+; Agentforce usage billed separately.</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Author Pro for generative authoring; Readers include Q&amp;A.</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Cross-cloud traffic</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Yes with Snowflake on AWS: Import/DirectQuery results move to the Azure-hosted service.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runs on AWS: same-cloud with Snowflake on AWS; cross-cloud with Snowflake on Azure. Tableau Server is placed next to Snowflake.</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None on AWS; cross-cloud with Snowflake on Azure.</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compute</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refresh SQL, DirectQuery concurrency, query complexity and warehouse policy.</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live-query concurrency or extract refreshes.</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direct-query traffic or SPICE ingestion refreshes.</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Infrastructure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SaaS; gateway on EC2 needed for private connectivity to AWS-hosted Snowflake.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is SaaS; Tableau Server requires compute, HA, patching and monitoring.</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Serverless; private connectivity and supporting AWS services may add charges.</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Migration effort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Efficient for prior Crystal-to-Power BI assets; Cognos conversion still requires assessment.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Reuses current Tableau skills/assets; Cognos conversion still required.</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Largest enablement and migration learning curve of the three.</w:t>
            </w:r>
          </w:p>
        </w:tc>
      </w:tr>
    </w:tbl>
    <w:p/>
    <w:p>
      <w:pPr/>
      <w:r>
        <w:rPr>
          <w:i/>
          <w:color w:val="595959"/>
          <w:sz w:val="16"/>
        </w:rPr>
        <w:t>Source: IDB BI Cost Simulator v2 (public list prices). Architecture premiums are illustrative; IDB commercial quotes and actual Snowflake sizing must be used for final TCO decisions.</w:t>
      </w:r>
    </w:p>
    <w:sectPr w:rsidR="006B4D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64D9" w14:textId="77777777" w:rsidR="00C2174F" w:rsidRDefault="00C2174F">
      <w:pPr>
        <w:spacing w:after="0" w:line="240" w:lineRule="auto"/>
      </w:pPr>
      <w:r>
        <w:separator/>
      </w:r>
    </w:p>
  </w:endnote>
  <w:endnote w:type="continuationSeparator" w:id="0">
    <w:p w14:paraId="0463B678" w14:textId="77777777" w:rsidR="00C2174F" w:rsidRDefault="00C21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2B7F" w14:textId="2F09D2D3" w:rsidR="00C72F04" w:rsidRDefault="00FA795C">
    <w:pPr>
      <w:pStyle w:val="Footer"/>
      <w:jc w:val="center"/>
    </w:pPr>
    <w:r>
      <w:rPr>
        <w:color w:val="666666"/>
        <w:sz w:val="16"/>
      </w:rPr>
      <w:t xml:space="preserve">Confidential - IDB and Ascendion | 23 October 2026 | </w:t>
    </w:r>
    <w:r>
      <w:fldChar w:fldCharType="begin"/>
    </w:r>
    <w:r>
      <w:instrText>PAGE</w:instrText>
    </w:r>
    <w:r>
      <w:fldChar w:fldCharType="separate"/>
    </w:r>
    <w:r w:rsidR="004941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8B76E" w14:textId="77777777" w:rsidR="00C2174F" w:rsidRDefault="00C2174F">
      <w:pPr>
        <w:spacing w:after="0" w:line="240" w:lineRule="auto"/>
      </w:pPr>
      <w:r>
        <w:separator/>
      </w:r>
    </w:p>
  </w:footnote>
  <w:footnote w:type="continuationSeparator" w:id="0">
    <w:p w14:paraId="72849AD9" w14:textId="77777777" w:rsidR="00C2174F" w:rsidRDefault="00C21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E942" w14:textId="77777777" w:rsidR="00C72F04" w:rsidRDefault="00FA795C">
    <w:pPr>
      <w:pStyle w:val="Header"/>
      <w:jc w:val="right"/>
    </w:pPr>
    <w:r>
      <w:rPr>
        <w:color w:val="666666"/>
        <w:sz w:val="16"/>
      </w:rPr>
      <w:t>IDB Phase 2 | BI Platform Point of 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20806"/>
    <w:multiLevelType w:val="multilevel"/>
    <w:tmpl w:val="112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F303DA"/>
    <w:multiLevelType w:val="multilevel"/>
    <w:tmpl w:val="01A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F578D9"/>
    <w:multiLevelType w:val="multilevel"/>
    <w:tmpl w:val="018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C10E06"/>
    <w:multiLevelType w:val="multilevel"/>
    <w:tmpl w:val="4AE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8E780C"/>
    <w:multiLevelType w:val="multilevel"/>
    <w:tmpl w:val="686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D8614C"/>
    <w:multiLevelType w:val="multilevel"/>
    <w:tmpl w:val="B33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012EFA"/>
    <w:multiLevelType w:val="multilevel"/>
    <w:tmpl w:val="C76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954BEE"/>
    <w:multiLevelType w:val="multilevel"/>
    <w:tmpl w:val="481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416555"/>
    <w:multiLevelType w:val="multilevel"/>
    <w:tmpl w:val="73C4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9573A6"/>
    <w:multiLevelType w:val="multilevel"/>
    <w:tmpl w:val="FCE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F85EDD"/>
    <w:multiLevelType w:val="multilevel"/>
    <w:tmpl w:val="315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363C92"/>
    <w:multiLevelType w:val="multilevel"/>
    <w:tmpl w:val="C01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A21A02"/>
    <w:multiLevelType w:val="multilevel"/>
    <w:tmpl w:val="F27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542B43"/>
    <w:multiLevelType w:val="multilevel"/>
    <w:tmpl w:val="BC6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C56D5E"/>
    <w:multiLevelType w:val="multilevel"/>
    <w:tmpl w:val="E02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425B15"/>
    <w:multiLevelType w:val="multilevel"/>
    <w:tmpl w:val="E7B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CE3F49"/>
    <w:multiLevelType w:val="multilevel"/>
    <w:tmpl w:val="0B7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9E5CF3"/>
    <w:multiLevelType w:val="hybridMultilevel"/>
    <w:tmpl w:val="53E87C58"/>
    <w:lvl w:ilvl="0" w:tplc="C388C61A">
      <w:start w:val="1"/>
      <w:numFmt w:val="bullet"/>
      <w:lvlText w:val="•"/>
      <w:lvlJc w:val="left"/>
      <w:pPr>
        <w:ind w:left="540" w:hanging="260"/>
      </w:pPr>
    </w:lvl>
    <w:lvl w:ilvl="1" w:tplc="5198B79E">
      <w:start w:val="1"/>
      <w:numFmt w:val="decimal"/>
      <w:lvlText w:val="%2."/>
      <w:lvlJc w:val="left"/>
      <w:pPr>
        <w:ind w:left="1440" w:hanging="360"/>
      </w:pPr>
    </w:lvl>
    <w:lvl w:ilvl="2" w:tplc="97AAD40E">
      <w:start w:val="1"/>
      <w:numFmt w:val="decimal"/>
      <w:lvlText w:val="%3."/>
      <w:lvlJc w:val="left"/>
      <w:pPr>
        <w:ind w:left="2160" w:hanging="360"/>
      </w:pPr>
    </w:lvl>
    <w:lvl w:ilvl="3" w:tplc="CE94A258">
      <w:start w:val="1"/>
      <w:numFmt w:val="decimal"/>
      <w:lvlText w:val="%4."/>
      <w:lvlJc w:val="left"/>
      <w:pPr>
        <w:ind w:left="2880" w:hanging="360"/>
      </w:pPr>
    </w:lvl>
    <w:lvl w:ilvl="4" w:tplc="AAE49DA0">
      <w:start w:val="1"/>
      <w:numFmt w:val="decimal"/>
      <w:lvlText w:val="%5."/>
      <w:lvlJc w:val="left"/>
      <w:pPr>
        <w:ind w:left="3600" w:hanging="360"/>
      </w:pPr>
    </w:lvl>
    <w:lvl w:ilvl="5" w:tplc="B192B2B4">
      <w:start w:val="1"/>
      <w:numFmt w:val="decimal"/>
      <w:lvlText w:val="%6."/>
      <w:lvlJc w:val="left"/>
      <w:pPr>
        <w:ind w:left="4320" w:hanging="360"/>
      </w:pPr>
    </w:lvl>
    <w:lvl w:ilvl="6" w:tplc="55482206">
      <w:start w:val="1"/>
      <w:numFmt w:val="decimal"/>
      <w:lvlText w:val="%7."/>
      <w:lvlJc w:val="left"/>
      <w:pPr>
        <w:ind w:left="5040" w:hanging="360"/>
      </w:pPr>
    </w:lvl>
    <w:lvl w:ilvl="7" w:tplc="9D685020">
      <w:start w:val="1"/>
      <w:numFmt w:val="decimal"/>
      <w:lvlText w:val="%8."/>
      <w:lvlJc w:val="left"/>
      <w:pPr>
        <w:ind w:left="5760" w:hanging="360"/>
      </w:pPr>
    </w:lvl>
    <w:lvl w:ilvl="8" w:tplc="3C5E747E">
      <w:start w:val="1"/>
      <w:numFmt w:val="decimal"/>
      <w:lvlText w:val="%9."/>
      <w:lvlJc w:val="left"/>
      <w:pPr>
        <w:ind w:left="6480" w:hanging="360"/>
      </w:pPr>
    </w:lvl>
  </w:abstractNum>
  <w:abstractNum w:abstractNumId="27" w15:restartNumberingAfterBreak="0">
    <w:nsid w:val="6A191F47"/>
    <w:multiLevelType w:val="multilevel"/>
    <w:tmpl w:val="2A4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2A0062"/>
    <w:multiLevelType w:val="multilevel"/>
    <w:tmpl w:val="BEC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9550D7"/>
    <w:multiLevelType w:val="multilevel"/>
    <w:tmpl w:val="33D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2F1464"/>
    <w:multiLevelType w:val="multilevel"/>
    <w:tmpl w:val="CF0E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4347864">
    <w:abstractNumId w:val="8"/>
  </w:num>
  <w:num w:numId="2" w16cid:durableId="163472668">
    <w:abstractNumId w:val="6"/>
  </w:num>
  <w:num w:numId="3" w16cid:durableId="335769935">
    <w:abstractNumId w:val="5"/>
  </w:num>
  <w:num w:numId="4" w16cid:durableId="1122650461">
    <w:abstractNumId w:val="4"/>
  </w:num>
  <w:num w:numId="5" w16cid:durableId="1105658475">
    <w:abstractNumId w:val="7"/>
  </w:num>
  <w:num w:numId="6" w16cid:durableId="1083837827">
    <w:abstractNumId w:val="3"/>
  </w:num>
  <w:num w:numId="7" w16cid:durableId="1984238279">
    <w:abstractNumId w:val="2"/>
  </w:num>
  <w:num w:numId="8" w16cid:durableId="1229264054">
    <w:abstractNumId w:val="1"/>
  </w:num>
  <w:num w:numId="9" w16cid:durableId="148982011">
    <w:abstractNumId w:val="0"/>
  </w:num>
  <w:num w:numId="10" w16cid:durableId="2072268726">
    <w:abstractNumId w:val="28"/>
  </w:num>
  <w:num w:numId="11" w16cid:durableId="353460879">
    <w:abstractNumId w:val="19"/>
  </w:num>
  <w:num w:numId="12" w16cid:durableId="5061093">
    <w:abstractNumId w:val="23"/>
  </w:num>
  <w:num w:numId="13" w16cid:durableId="609627734">
    <w:abstractNumId w:val="18"/>
  </w:num>
  <w:num w:numId="14" w16cid:durableId="1945308500">
    <w:abstractNumId w:val="11"/>
  </w:num>
  <w:num w:numId="15" w16cid:durableId="1492991213">
    <w:abstractNumId w:val="29"/>
  </w:num>
  <w:num w:numId="16" w16cid:durableId="2011828082">
    <w:abstractNumId w:val="9"/>
  </w:num>
  <w:num w:numId="17" w16cid:durableId="1837915875">
    <w:abstractNumId w:val="14"/>
  </w:num>
  <w:num w:numId="18" w16cid:durableId="7753385">
    <w:abstractNumId w:val="30"/>
  </w:num>
  <w:num w:numId="19" w16cid:durableId="2140292545">
    <w:abstractNumId w:val="25"/>
  </w:num>
  <w:num w:numId="20" w16cid:durableId="302659105">
    <w:abstractNumId w:val="21"/>
  </w:num>
  <w:num w:numId="21" w16cid:durableId="1776823771">
    <w:abstractNumId w:val="20"/>
  </w:num>
  <w:num w:numId="22" w16cid:durableId="1709066358">
    <w:abstractNumId w:val="24"/>
  </w:num>
  <w:num w:numId="23" w16cid:durableId="1374765683">
    <w:abstractNumId w:val="13"/>
  </w:num>
  <w:num w:numId="24" w16cid:durableId="719015344">
    <w:abstractNumId w:val="27"/>
  </w:num>
  <w:num w:numId="25" w16cid:durableId="3555168">
    <w:abstractNumId w:val="15"/>
  </w:num>
  <w:num w:numId="26" w16cid:durableId="1641761595">
    <w:abstractNumId w:val="16"/>
  </w:num>
  <w:num w:numId="27" w16cid:durableId="589966502">
    <w:abstractNumId w:val="22"/>
  </w:num>
  <w:num w:numId="28" w16cid:durableId="2097087861">
    <w:abstractNumId w:val="12"/>
  </w:num>
  <w:num w:numId="29" w16cid:durableId="140776430">
    <w:abstractNumId w:val="10"/>
  </w:num>
  <w:num w:numId="30" w16cid:durableId="224343273">
    <w:abstractNumId w:val="17"/>
  </w:num>
  <w:num w:numId="31" w16cid:durableId="388774490">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3A"/>
    <w:rsid w:val="00034616"/>
    <w:rsid w:val="00052F96"/>
    <w:rsid w:val="0006063C"/>
    <w:rsid w:val="00085B5E"/>
    <w:rsid w:val="000925EC"/>
    <w:rsid w:val="000D0C7A"/>
    <w:rsid w:val="00101CF6"/>
    <w:rsid w:val="0012047D"/>
    <w:rsid w:val="00124F2A"/>
    <w:rsid w:val="00134691"/>
    <w:rsid w:val="0015074B"/>
    <w:rsid w:val="00157E02"/>
    <w:rsid w:val="00186B9B"/>
    <w:rsid w:val="001C16CC"/>
    <w:rsid w:val="001E6910"/>
    <w:rsid w:val="001F307A"/>
    <w:rsid w:val="00232570"/>
    <w:rsid w:val="0029639D"/>
    <w:rsid w:val="002E38FC"/>
    <w:rsid w:val="003177E7"/>
    <w:rsid w:val="00326F90"/>
    <w:rsid w:val="00327E1E"/>
    <w:rsid w:val="003435A6"/>
    <w:rsid w:val="00364246"/>
    <w:rsid w:val="003A33E9"/>
    <w:rsid w:val="003E4E19"/>
    <w:rsid w:val="004075C3"/>
    <w:rsid w:val="00422FCB"/>
    <w:rsid w:val="00470D34"/>
    <w:rsid w:val="00474E6E"/>
    <w:rsid w:val="00494181"/>
    <w:rsid w:val="004B220D"/>
    <w:rsid w:val="004F3F45"/>
    <w:rsid w:val="00530060"/>
    <w:rsid w:val="00572593"/>
    <w:rsid w:val="005D5BAB"/>
    <w:rsid w:val="006753F1"/>
    <w:rsid w:val="006B4D07"/>
    <w:rsid w:val="006B506C"/>
    <w:rsid w:val="00722AC1"/>
    <w:rsid w:val="007671BE"/>
    <w:rsid w:val="00770A17"/>
    <w:rsid w:val="00790756"/>
    <w:rsid w:val="007A726F"/>
    <w:rsid w:val="007F02E1"/>
    <w:rsid w:val="00803F6D"/>
    <w:rsid w:val="00822826"/>
    <w:rsid w:val="008B157E"/>
    <w:rsid w:val="008B75B6"/>
    <w:rsid w:val="008D704C"/>
    <w:rsid w:val="008D7508"/>
    <w:rsid w:val="008E6CE9"/>
    <w:rsid w:val="00926304"/>
    <w:rsid w:val="00955615"/>
    <w:rsid w:val="00986C90"/>
    <w:rsid w:val="009E14E6"/>
    <w:rsid w:val="009F0D4D"/>
    <w:rsid w:val="00A36064"/>
    <w:rsid w:val="00A447AE"/>
    <w:rsid w:val="00A60F68"/>
    <w:rsid w:val="00AA1D8D"/>
    <w:rsid w:val="00AA3BC9"/>
    <w:rsid w:val="00AC3D9A"/>
    <w:rsid w:val="00AD0505"/>
    <w:rsid w:val="00B0713E"/>
    <w:rsid w:val="00B171BE"/>
    <w:rsid w:val="00B47730"/>
    <w:rsid w:val="00B948BD"/>
    <w:rsid w:val="00BA047D"/>
    <w:rsid w:val="00C17604"/>
    <w:rsid w:val="00C2174F"/>
    <w:rsid w:val="00C26E73"/>
    <w:rsid w:val="00C37ED1"/>
    <w:rsid w:val="00C54971"/>
    <w:rsid w:val="00C678F0"/>
    <w:rsid w:val="00C72F04"/>
    <w:rsid w:val="00CB0664"/>
    <w:rsid w:val="00CB49B0"/>
    <w:rsid w:val="00CD4FAB"/>
    <w:rsid w:val="00CF1775"/>
    <w:rsid w:val="00D17714"/>
    <w:rsid w:val="00D2774C"/>
    <w:rsid w:val="00DD7086"/>
    <w:rsid w:val="00E044E0"/>
    <w:rsid w:val="00E079D5"/>
    <w:rsid w:val="00E54D66"/>
    <w:rsid w:val="00E7301D"/>
    <w:rsid w:val="00E82A83"/>
    <w:rsid w:val="00F07D71"/>
    <w:rsid w:val="00F85FE3"/>
    <w:rsid w:val="00FA79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77B0F8-F6F1-4196-9A07-DE59F758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17</Pages>
  <Words>4363</Words>
  <Characters>28146</Characters>
  <Application>Microsoft Office Word</Application>
  <DocSecurity>0</DocSecurity>
  <Lines>1005</Lines>
  <Paragraphs>774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 Phase 2 - BI Platform Point of View</dc:title>
  <dc:subject>Power BI vs Tableau vs Amazon QuickSight</dc:subject>
  <dc:creator>Gautham Boppana</dc:creator>
  <cp:keywords/>
  <dc:description>generated by python-docx</dc:description>
  <cp:lastModifiedBy>Gautham Boppana</cp:lastModifiedBy>
  <cp:revision>105</cp:revision>
  <dcterms:created xsi:type="dcterms:W3CDTF">2026-10-22T21:07:00Z</dcterms:created>
  <dcterms:modified xsi:type="dcterms:W3CDTF">2026-10-23T07:27:00Z</dcterms:modified>
  <cp:category/>
</cp:coreProperties>
</file>