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9EAE" w14:textId="40E06540" w:rsidR="00E6413E" w:rsidRDefault="00E6413E" w:rsidP="00C92AB1">
      <w:r w:rsidRPr="00E6413E">
        <w:rPr>
          <w:b/>
        </w:rPr>
        <w:t>Step1:</w:t>
      </w:r>
      <w:r>
        <w:rPr>
          <w:b/>
        </w:rPr>
        <w:t xml:space="preserve"> </w:t>
      </w:r>
      <w:r>
        <w:t xml:space="preserve">Loading Transaction data and adjusting support to 0.03, confidence to 0.20 and </w:t>
      </w:r>
      <w:proofErr w:type="spellStart"/>
      <w:r>
        <w:t>Min.length</w:t>
      </w:r>
      <w:proofErr w:type="spellEnd"/>
      <w:r>
        <w:t xml:space="preserve"> to 1</w:t>
      </w:r>
      <w:r w:rsidR="00E334F5">
        <w:t>.</w:t>
      </w:r>
      <w:r>
        <w:rPr>
          <w:b/>
        </w:rPr>
        <w:t xml:space="preserve"> </w:t>
      </w:r>
      <w:r w:rsidR="00E334F5">
        <w:t>Item frequency plot shows that Magazine is present majority of the transaction.</w:t>
      </w:r>
    </w:p>
    <w:p w14:paraId="7B993199" w14:textId="3FD543D5" w:rsidR="00E334F5" w:rsidRDefault="00E334F5" w:rsidP="00E334F5">
      <w:pPr>
        <w:ind w:left="720" w:firstLine="720"/>
      </w:pPr>
      <w:r>
        <w:rPr>
          <w:noProof/>
        </w:rPr>
        <w:drawing>
          <wp:inline distT="0" distB="0" distL="0" distR="0" wp14:anchorId="73982847" wp14:editId="7D4AA6BD">
            <wp:extent cx="2590800" cy="253949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2708" cy="2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27AE" w14:textId="16859509" w:rsidR="00C92AB1" w:rsidRDefault="00C92AB1" w:rsidP="00C92AB1">
      <w:r w:rsidRPr="00C92AB1">
        <w:rPr>
          <w:b/>
        </w:rPr>
        <w:t xml:space="preserve"> </w:t>
      </w:r>
      <w:r w:rsidR="00983257">
        <w:rPr>
          <w:b/>
        </w:rPr>
        <w:t xml:space="preserve">Step 2: </w:t>
      </w:r>
      <w:r w:rsidR="00983257">
        <w:t>After sorting by lift, the top 10 rules are represented below</w:t>
      </w:r>
    </w:p>
    <w:p w14:paraId="1DB32774" w14:textId="585A299E" w:rsidR="00983257" w:rsidRDefault="00983257" w:rsidP="00983257">
      <w:pPr>
        <w:ind w:left="720"/>
      </w:pPr>
      <w:r>
        <w:rPr>
          <w:noProof/>
        </w:rPr>
        <w:drawing>
          <wp:inline distT="0" distB="0" distL="0" distR="0" wp14:anchorId="162FBB29" wp14:editId="68246C43">
            <wp:extent cx="4393994" cy="1333500"/>
            <wp:effectExtent l="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4691" cy="13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8617" w14:textId="5AA30891" w:rsidR="00983257" w:rsidRDefault="00C650B8" w:rsidP="00983257">
      <w:r w:rsidRPr="00C650B8">
        <w:rPr>
          <w:b/>
        </w:rPr>
        <w:t>Step 3:</w:t>
      </w:r>
      <w:r>
        <w:rPr>
          <w:b/>
        </w:rPr>
        <w:t xml:space="preserve"> </w:t>
      </w:r>
      <w:r w:rsidR="00CF107E">
        <w:t>Two rules have been removed because of redundancy and the results are represented below</w:t>
      </w:r>
    </w:p>
    <w:p w14:paraId="3B8C87D4" w14:textId="7A42ABFA" w:rsidR="00CF107E" w:rsidRDefault="00CF107E" w:rsidP="00CF107E">
      <w:pPr>
        <w:ind w:left="720"/>
      </w:pPr>
      <w:r>
        <w:rPr>
          <w:noProof/>
        </w:rPr>
        <w:drawing>
          <wp:inline distT="0" distB="0" distL="0" distR="0" wp14:anchorId="72F71CEA" wp14:editId="1E9469FF">
            <wp:extent cx="3284220" cy="868177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889" cy="88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834A" w14:textId="60C9BD77" w:rsidR="00CF107E" w:rsidRDefault="00CF107E" w:rsidP="00CF107E"/>
    <w:p w14:paraId="36766A81" w14:textId="6FB2D46E" w:rsidR="00473FBE" w:rsidRDefault="00473FBE" w:rsidP="00CF107E">
      <w:r w:rsidRPr="00473FBE">
        <w:rPr>
          <w:b/>
        </w:rPr>
        <w:t xml:space="preserve">Step </w:t>
      </w:r>
      <w:bookmarkStart w:id="0" w:name="assresults"/>
      <w:bookmarkEnd w:id="0"/>
      <w:r w:rsidRPr="00473FBE">
        <w:rPr>
          <w:b/>
        </w:rPr>
        <w:t>4:</w:t>
      </w:r>
      <w:r>
        <w:rPr>
          <w:b/>
        </w:rPr>
        <w:t xml:space="preserve"> </w:t>
      </w:r>
    </w:p>
    <w:p w14:paraId="65C4F77A" w14:textId="77777777" w:rsidR="00297B00" w:rsidRDefault="00297B00" w:rsidP="00297B00">
      <w:pPr>
        <w:pStyle w:val="ListParagraph"/>
        <w:numPr>
          <w:ilvl w:val="0"/>
          <w:numId w:val="11"/>
        </w:numPr>
      </w:pPr>
      <w:r>
        <w:t>Two rules have the highest lift value of 1.7. Rules are:</w:t>
      </w:r>
    </w:p>
    <w:p w14:paraId="411448ED" w14:textId="77777777" w:rsidR="00297B00" w:rsidRDefault="00297B00" w:rsidP="00297B00">
      <w:pPr>
        <w:pStyle w:val="ListParagraph"/>
      </w:pPr>
      <w:r>
        <w:t>{Greeting Cards} =&gt; {Candy Bar}</w:t>
      </w:r>
    </w:p>
    <w:p w14:paraId="2914E0EE" w14:textId="57B97250" w:rsidR="00297B00" w:rsidRDefault="00297B00" w:rsidP="00C95802">
      <w:pPr>
        <w:pStyle w:val="ListParagraph"/>
      </w:pPr>
      <w:r>
        <w:t>{Candy Bar} =&gt; {Greeting Cards}</w:t>
      </w:r>
    </w:p>
    <w:p w14:paraId="3A8C839C" w14:textId="69C33F2D" w:rsidR="00297B00" w:rsidRDefault="00297B00" w:rsidP="00297B00">
      <w:pPr>
        <w:pStyle w:val="ListParagraph"/>
        <w:numPr>
          <w:ilvl w:val="0"/>
          <w:numId w:val="11"/>
        </w:numPr>
      </w:pPr>
      <w:r>
        <w:t xml:space="preserve"> </w:t>
      </w:r>
    </w:p>
    <w:p w14:paraId="0A0B05DF" w14:textId="77777777" w:rsidR="00C652B7" w:rsidRPr="00C95802" w:rsidRDefault="003D62E2" w:rsidP="00C95802">
      <w:pPr>
        <w:pStyle w:val="ListParagraph"/>
      </w:pPr>
      <w:r w:rsidRPr="00C95802">
        <w:t>Lift ratio = Confidence / Benchmark confidence</w:t>
      </w:r>
    </w:p>
    <w:p w14:paraId="24B24330" w14:textId="77777777" w:rsidR="00C95802" w:rsidRDefault="00C95802" w:rsidP="00C95802">
      <w:pPr>
        <w:pStyle w:val="ListParagraph"/>
      </w:pPr>
    </w:p>
    <w:p w14:paraId="39F848AA" w14:textId="59CD2C6B" w:rsidR="00411D13" w:rsidRDefault="00C95802" w:rsidP="000C5AB2">
      <w:pPr>
        <w:pStyle w:val="ListParagraph"/>
      </w:pPr>
      <w:r w:rsidRPr="00C95802">
        <w:t xml:space="preserve">Benchmark confidence </w:t>
      </w:r>
      <m:oMath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no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.  </m:t>
            </m:r>
            <m:r>
              <w:rPr>
                <w:rFonts w:ascii="Cambria Math" w:hAnsi="Cambria Math" w:cstheme="minorHAnsi"/>
              </w:rPr>
              <m:t>transactions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 </m:t>
            </m:r>
            <m:r>
              <w:rPr>
                <w:rFonts w:ascii="Cambria Math" w:hAnsi="Cambria Math" w:cstheme="minorHAnsi"/>
              </w:rPr>
              <m:t>with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 </m:t>
            </m:r>
            <m:r>
              <w:rPr>
                <w:rFonts w:ascii="Cambria Math" w:hAnsi="Cambria Math" w:cstheme="minorHAnsi"/>
              </w:rPr>
              <m:t>consequent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 </m:t>
            </m:r>
            <m:r>
              <w:rPr>
                <w:rFonts w:ascii="Cambria Math" w:hAnsi="Cambria Math" w:cstheme="minorHAnsi"/>
              </w:rPr>
              <m:t>itemset</m:t>
            </m:r>
          </m:num>
          <m:den>
            <m:r>
              <w:rPr>
                <w:rFonts w:ascii="Cambria Math" w:hAnsi="Cambria Math" w:cstheme="minorHAnsi"/>
              </w:rPr>
              <m:t>no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.  </m:t>
            </m:r>
            <m:r>
              <w:rPr>
                <w:rFonts w:ascii="Cambria Math" w:hAnsi="Cambria Math" w:cstheme="minorHAnsi"/>
              </w:rPr>
              <m:t>transactions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 </m:t>
            </m:r>
            <m:r>
              <w:rPr>
                <w:rFonts w:ascii="Cambria Math" w:hAnsi="Cambria Math" w:cstheme="minorHAnsi"/>
              </w:rPr>
              <m:t>in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 </m:t>
            </m:r>
            <m:r>
              <w:rPr>
                <w:rFonts w:ascii="Cambria Math" w:hAnsi="Cambria Math" w:cstheme="minorHAnsi"/>
              </w:rPr>
              <m:t>database</m:t>
            </m:r>
          </m:den>
        </m:f>
      </m:oMath>
    </w:p>
    <w:p w14:paraId="7D3864C9" w14:textId="77777777" w:rsidR="000C5AB2" w:rsidRDefault="000C5AB2" w:rsidP="00195D6D">
      <w:pPr>
        <w:pStyle w:val="ListParagraph"/>
        <w:numPr>
          <w:ilvl w:val="0"/>
          <w:numId w:val="14"/>
        </w:numPr>
      </w:pPr>
      <w:r>
        <w:lastRenderedPageBreak/>
        <w:t xml:space="preserve">Rule </w:t>
      </w:r>
      <w:r w:rsidR="000E02F8">
        <w:t xml:space="preserve">{Greeting Cards} =&gt; {Candy Bar} </w:t>
      </w:r>
    </w:p>
    <w:p w14:paraId="770C4654" w14:textId="591BD07B" w:rsidR="00195D6D" w:rsidRDefault="000C5AB2" w:rsidP="000C5AB2">
      <w:pPr>
        <w:pStyle w:val="ListParagraph"/>
        <w:ind w:left="1080" w:firstLine="360"/>
      </w:pPr>
      <w:r>
        <w:t xml:space="preserve">Confidence of the rule </w:t>
      </w:r>
      <w:r w:rsidR="000E02F8">
        <w:t>is 0.30</w:t>
      </w:r>
    </w:p>
    <w:p w14:paraId="5320B98A" w14:textId="21A94D6E" w:rsidR="00FE5BEF" w:rsidRDefault="001A610E" w:rsidP="00195D6D">
      <w:pPr>
        <w:pStyle w:val="ListParagraph"/>
        <w:ind w:left="1080" w:firstLine="360"/>
      </w:pPr>
      <w:r>
        <w:t xml:space="preserve">No. of transactions with consequent </w:t>
      </w:r>
      <w:proofErr w:type="gramStart"/>
      <w:r>
        <w:t>{ Candy</w:t>
      </w:r>
      <w:proofErr w:type="gramEnd"/>
      <w:r>
        <w:t xml:space="preserve"> Bar} item are </w:t>
      </w:r>
      <w:r w:rsidR="007348CA">
        <w:t>34,201</w:t>
      </w:r>
    </w:p>
    <w:p w14:paraId="49480762" w14:textId="77777777" w:rsidR="00195D6D" w:rsidRDefault="004C135B" w:rsidP="00195D6D">
      <w:pPr>
        <w:pStyle w:val="ListParagraph"/>
        <w:ind w:firstLine="720"/>
      </w:pPr>
      <w:r>
        <w:t>No. of transactions in the database are 200,000</w:t>
      </w:r>
    </w:p>
    <w:p w14:paraId="24CB18C9" w14:textId="21D84C07" w:rsidR="009F1691" w:rsidRDefault="00DE3F96" w:rsidP="00195D6D">
      <w:pPr>
        <w:pStyle w:val="ListParagraph"/>
        <w:ind w:firstLine="720"/>
      </w:pPr>
      <w:r>
        <w:t xml:space="preserve">Benchmark confidence = </w:t>
      </w:r>
      <w:r w:rsidR="00BD63E3">
        <w:t>34,201/200,000</w:t>
      </w:r>
      <w:r w:rsidR="00E72009">
        <w:t>= 0.171</w:t>
      </w:r>
    </w:p>
    <w:p w14:paraId="4F849F08" w14:textId="61CC2A0A" w:rsidR="00195D6D" w:rsidRDefault="009F1691" w:rsidP="000C5AB2">
      <w:pPr>
        <w:pStyle w:val="ListParagraph"/>
        <w:ind w:firstLine="720"/>
      </w:pPr>
      <w:r>
        <w:t xml:space="preserve">Lift Ratio = </w:t>
      </w:r>
      <w:r w:rsidR="00E72009">
        <w:t>0.30/0.171</w:t>
      </w:r>
      <w:r w:rsidR="00195D6D">
        <w:t xml:space="preserve"> = 1.7</w:t>
      </w:r>
    </w:p>
    <w:p w14:paraId="79361226" w14:textId="5A82397F" w:rsidR="000C5AB2" w:rsidRDefault="00195D6D" w:rsidP="00195D6D">
      <w:pPr>
        <w:pStyle w:val="ListParagraph"/>
      </w:pPr>
      <w:r>
        <w:t xml:space="preserve">ii)  </w:t>
      </w:r>
      <w:r w:rsidR="00C44943">
        <w:t xml:space="preserve">  </w:t>
      </w:r>
      <w:r w:rsidR="005D7BDF">
        <w:t xml:space="preserve">Rule </w:t>
      </w:r>
      <w:r>
        <w:t xml:space="preserve">{Candy Bar} =&gt; {Greeting Cards} </w:t>
      </w:r>
    </w:p>
    <w:p w14:paraId="23D1C7E9" w14:textId="73A99684" w:rsidR="00195D6D" w:rsidRDefault="000C5AB2" w:rsidP="000C5AB2">
      <w:pPr>
        <w:pStyle w:val="ListParagraph"/>
        <w:ind w:left="1440"/>
      </w:pPr>
      <w:r>
        <w:t xml:space="preserve">Confidence of the rule </w:t>
      </w:r>
      <w:r w:rsidR="00195D6D">
        <w:t>is 0.26</w:t>
      </w:r>
    </w:p>
    <w:p w14:paraId="41EF0A17" w14:textId="3FCA1385" w:rsidR="00195D6D" w:rsidRDefault="00195D6D" w:rsidP="00195D6D">
      <w:pPr>
        <w:pStyle w:val="ListParagraph"/>
        <w:ind w:left="1080" w:firstLine="360"/>
      </w:pPr>
      <w:r>
        <w:t xml:space="preserve">No. of transactions with consequent {Greeting Cards} item </w:t>
      </w:r>
      <w:proofErr w:type="gramStart"/>
      <w:r>
        <w:t>are</w:t>
      </w:r>
      <w:proofErr w:type="gramEnd"/>
      <w:r>
        <w:t xml:space="preserve"> 29,377</w:t>
      </w:r>
    </w:p>
    <w:p w14:paraId="0A62E309" w14:textId="77777777" w:rsidR="00195D6D" w:rsidRDefault="00195D6D" w:rsidP="00195D6D">
      <w:pPr>
        <w:pStyle w:val="ListParagraph"/>
        <w:ind w:firstLine="720"/>
      </w:pPr>
      <w:r>
        <w:t>No. of transactions in the database are 200,000</w:t>
      </w:r>
    </w:p>
    <w:p w14:paraId="0EAC791C" w14:textId="59F04154" w:rsidR="00195D6D" w:rsidRDefault="00195D6D" w:rsidP="00195D6D">
      <w:pPr>
        <w:pStyle w:val="ListParagraph"/>
        <w:ind w:firstLine="720"/>
      </w:pPr>
      <w:r>
        <w:t>Benchmark confidence = 29,377/200,000= 0.146</w:t>
      </w:r>
    </w:p>
    <w:p w14:paraId="09AEDA6D" w14:textId="4F3C85F7" w:rsidR="00195D6D" w:rsidRDefault="00195D6D" w:rsidP="00195D6D">
      <w:pPr>
        <w:pStyle w:val="ListParagraph"/>
        <w:ind w:firstLine="720"/>
      </w:pPr>
      <w:r>
        <w:t>Lift Ratio = 0.26/0.171 = 1.7</w:t>
      </w:r>
    </w:p>
    <w:p w14:paraId="68480915" w14:textId="77777777" w:rsidR="00E06336" w:rsidRDefault="0039045F" w:rsidP="0039045F">
      <w:pPr>
        <w:pStyle w:val="ListParagraph"/>
        <w:numPr>
          <w:ilvl w:val="0"/>
          <w:numId w:val="11"/>
        </w:numPr>
      </w:pPr>
      <w:r>
        <w:t xml:space="preserve"> </w:t>
      </w:r>
    </w:p>
    <w:p w14:paraId="55771EF1" w14:textId="494F218D" w:rsidR="00346E45" w:rsidRDefault="00E06336" w:rsidP="008F66DF">
      <w:pPr>
        <w:pStyle w:val="ListParagraph"/>
      </w:pPr>
      <w:r>
        <w:t>Rule 1: {Greeting Cards} =&gt; {Candy Bar}</w:t>
      </w:r>
    </w:p>
    <w:p w14:paraId="0C64B332" w14:textId="7BC6F177" w:rsidR="001D483B" w:rsidRDefault="00E03A8D" w:rsidP="00E06336">
      <w:pPr>
        <w:ind w:left="720"/>
      </w:pPr>
      <w:r>
        <w:t xml:space="preserve">Rule 2: {Candy Bar} =&gt; {Greeting cards} </w:t>
      </w:r>
    </w:p>
    <w:p w14:paraId="1A2A5ADE" w14:textId="4991CCB1" w:rsidR="008F66DF" w:rsidRDefault="008F66DF" w:rsidP="008F66DF">
      <w:pPr>
        <w:ind w:left="720" w:firstLine="720"/>
      </w:pPr>
      <w:r>
        <w:t>Relatively many people buy Candy Bar along with sliced Greeting card and vice versa</w:t>
      </w:r>
    </w:p>
    <w:p w14:paraId="12DD8B7E" w14:textId="7068617F" w:rsidR="000A3EC2" w:rsidRDefault="001D483B" w:rsidP="00E06336">
      <w:pPr>
        <w:ind w:left="720"/>
      </w:pPr>
      <w:r>
        <w:t xml:space="preserve">Rule 3: </w:t>
      </w:r>
      <w:r w:rsidR="000A3EC2">
        <w:t>{Toothpaste} =&gt; {Candy Bar}</w:t>
      </w:r>
    </w:p>
    <w:p w14:paraId="6F71366D" w14:textId="0AFD931A" w:rsidR="0029288B" w:rsidRDefault="0029288B" w:rsidP="005645E5">
      <w:pPr>
        <w:ind w:left="720"/>
      </w:pPr>
      <w:r>
        <w:tab/>
      </w:r>
      <w:r w:rsidR="00996664">
        <w:t>If someone buys Candy Bar</w:t>
      </w:r>
      <w:r>
        <w:t xml:space="preserve">, they are likely </w:t>
      </w:r>
      <w:r w:rsidR="00F0735E">
        <w:t>to have bought Toothpaste</w:t>
      </w:r>
      <w:r>
        <w:t xml:space="preserve"> as well</w:t>
      </w:r>
    </w:p>
    <w:p w14:paraId="49C6EBB1" w14:textId="79667BB0" w:rsidR="003E18C2" w:rsidRDefault="004C7CF1" w:rsidP="00E06336">
      <w:pPr>
        <w:ind w:left="720"/>
      </w:pPr>
      <w:r>
        <w:t xml:space="preserve">Rule 4: </w:t>
      </w:r>
      <w:r w:rsidR="003E18C2">
        <w:t>{Candy Bar} =&gt; {Toothpaste}</w:t>
      </w:r>
    </w:p>
    <w:p w14:paraId="6BA40386" w14:textId="19A014AB" w:rsidR="008F66DF" w:rsidRDefault="008F66DF" w:rsidP="00E06336">
      <w:pPr>
        <w:ind w:left="720"/>
      </w:pPr>
      <w:r>
        <w:tab/>
      </w:r>
      <w:r w:rsidR="00642341">
        <w:t>If someone buys Toothpaste</w:t>
      </w:r>
      <w:r w:rsidR="008A7E79">
        <w:t>, they are</w:t>
      </w:r>
      <w:r w:rsidR="005A10E2">
        <w:t xml:space="preserve"> likely </w:t>
      </w:r>
      <w:r w:rsidR="00490874">
        <w:t>to have bought Candy Bar</w:t>
      </w:r>
      <w:r w:rsidR="005A10E2">
        <w:t xml:space="preserve"> as well</w:t>
      </w:r>
    </w:p>
    <w:p w14:paraId="29A10929" w14:textId="4395A648" w:rsidR="00195D6D" w:rsidRDefault="003E18C2" w:rsidP="00E06336">
      <w:pPr>
        <w:ind w:left="720"/>
      </w:pPr>
      <w:r>
        <w:t xml:space="preserve">Rule 5: </w:t>
      </w:r>
      <w:r w:rsidR="002258E2">
        <w:t>{Pencils} =&gt; {Candy Bar}</w:t>
      </w:r>
      <w:r w:rsidR="00E06336">
        <w:t xml:space="preserve"> </w:t>
      </w:r>
    </w:p>
    <w:p w14:paraId="2D4A922F" w14:textId="58FF1EFF" w:rsidR="00C95802" w:rsidRDefault="00EB0388" w:rsidP="00C95802">
      <w:pPr>
        <w:pStyle w:val="ListParagraph"/>
      </w:pPr>
      <w:r>
        <w:tab/>
        <w:t>People who buy Pencils also bought</w:t>
      </w:r>
      <w:r w:rsidR="009C3624">
        <w:t xml:space="preserve"> Candy bar</w:t>
      </w:r>
    </w:p>
    <w:p w14:paraId="4E551040" w14:textId="75A4CEB8" w:rsidR="000567EE" w:rsidRDefault="00E66432" w:rsidP="000567EE">
      <w:pPr>
        <w:pStyle w:val="ListParagraph"/>
        <w:numPr>
          <w:ilvl w:val="0"/>
          <w:numId w:val="11"/>
        </w:numPr>
      </w:pPr>
      <w:r>
        <w:t>There are</w:t>
      </w:r>
      <w:r w:rsidR="000567EE">
        <w:t xml:space="preserve"> two rules which have been removed because of redundancy and both the rules have lift less than 1.</w:t>
      </w:r>
    </w:p>
    <w:p w14:paraId="34149645" w14:textId="41EF6812" w:rsidR="000567EE" w:rsidRDefault="000567EE" w:rsidP="002E411F">
      <w:pPr>
        <w:pStyle w:val="ListParagraph"/>
      </w:pPr>
      <w:r>
        <w:t>Results after removing redu</w:t>
      </w:r>
      <w:r w:rsidR="002E411F">
        <w:t>ndancy are mentioned in Step 3.</w:t>
      </w:r>
    </w:p>
    <w:p w14:paraId="7AAF7F53" w14:textId="77777777" w:rsidR="009419E4" w:rsidRDefault="009419E4" w:rsidP="002E411F">
      <w:pPr>
        <w:pStyle w:val="ListParagraph"/>
      </w:pPr>
    </w:p>
    <w:p w14:paraId="1BD20DE1" w14:textId="14A68874" w:rsidR="00880793" w:rsidRDefault="00674BA1" w:rsidP="00880793">
      <w:pPr>
        <w:pStyle w:val="ListParagraph"/>
      </w:pPr>
      <w:r>
        <w:t xml:space="preserve">As a decision maker, </w:t>
      </w:r>
      <w:r w:rsidR="00EF111E">
        <w:t xml:space="preserve">I would suggest </w:t>
      </w:r>
      <w:r w:rsidR="00EA40E8">
        <w:t>placing</w:t>
      </w:r>
      <w:r w:rsidR="00D3419D">
        <w:t xml:space="preserve"> the items in the same</w:t>
      </w:r>
      <w:r w:rsidR="00EF111E">
        <w:t xml:space="preserve"> set (mentioned below) together </w:t>
      </w:r>
      <w:r w:rsidR="00CF4A13">
        <w:t>or to be promoted together</w:t>
      </w:r>
      <w:r w:rsidR="00357F19">
        <w:t xml:space="preserve">. </w:t>
      </w:r>
      <w:r w:rsidR="00880793">
        <w:t>This exercise can help in improving sales.</w:t>
      </w:r>
    </w:p>
    <w:p w14:paraId="35831EAD" w14:textId="31211096" w:rsidR="000C7066" w:rsidRDefault="000C7066" w:rsidP="002E411F">
      <w:pPr>
        <w:pStyle w:val="ListParagraph"/>
      </w:pPr>
      <w:r>
        <w:t>Magazine is present acro</w:t>
      </w:r>
      <w:r w:rsidR="00880793">
        <w:t>ss most the</w:t>
      </w:r>
      <w:r>
        <w:t xml:space="preserve"> transactions</w:t>
      </w:r>
      <w:r w:rsidR="00880793">
        <w:t xml:space="preserve">, </w:t>
      </w:r>
      <w:r w:rsidR="00867919">
        <w:t>which means most of the customers in the area where store is located has affinity towards reading magazines. P</w:t>
      </w:r>
      <w:r w:rsidR="00880793">
        <w:t xml:space="preserve">lace </w:t>
      </w:r>
      <w:r w:rsidR="00CC2EAC">
        <w:t>the m</w:t>
      </w:r>
      <w:r w:rsidR="00880793">
        <w:t>agazines in high visibility places</w:t>
      </w:r>
      <w:r w:rsidR="0024675B">
        <w:t xml:space="preserve"> (near checkout counters)</w:t>
      </w:r>
      <w:r w:rsidR="00880793">
        <w:t>, which will help</w:t>
      </w:r>
      <w:r w:rsidR="00867919">
        <w:t xml:space="preserve"> in either maintaining or improving the</w:t>
      </w:r>
      <w:r w:rsidR="00880793">
        <w:t xml:space="preserve"> sales of Magazines.</w:t>
      </w:r>
      <w:r>
        <w:t xml:space="preserve"> </w:t>
      </w:r>
    </w:p>
    <w:p w14:paraId="17A55A24" w14:textId="77777777" w:rsidR="00357F19" w:rsidRDefault="00357F19" w:rsidP="002E411F">
      <w:pPr>
        <w:pStyle w:val="ListParagraph"/>
      </w:pPr>
    </w:p>
    <w:p w14:paraId="0B931DB1" w14:textId="52789719" w:rsidR="00674BA1" w:rsidRDefault="00674BA1" w:rsidP="002E411F">
      <w:pPr>
        <w:pStyle w:val="ListParagraph"/>
      </w:pPr>
      <w:r>
        <w:t>Set 1: {Greeting Cards and Candy Bar}</w:t>
      </w:r>
    </w:p>
    <w:p w14:paraId="083A191C" w14:textId="2C9E7A6F" w:rsidR="00674BA1" w:rsidRDefault="00674BA1" w:rsidP="002E411F">
      <w:pPr>
        <w:pStyle w:val="ListParagraph"/>
      </w:pPr>
      <w:r>
        <w:t>Set 2: {Toothpaste and Candy Bar}</w:t>
      </w:r>
    </w:p>
    <w:p w14:paraId="56CBC1B9" w14:textId="1570AFE9" w:rsidR="00674BA1" w:rsidRDefault="00674BA1" w:rsidP="002E411F">
      <w:pPr>
        <w:pStyle w:val="ListParagraph"/>
      </w:pPr>
      <w:r>
        <w:t>Set 3: {Pencils and Candy Bar}</w:t>
      </w:r>
    </w:p>
    <w:p w14:paraId="1F1945A7" w14:textId="193D411A" w:rsidR="00674BA1" w:rsidRDefault="00465A2E" w:rsidP="002E411F">
      <w:pPr>
        <w:pStyle w:val="ListParagraph"/>
      </w:pPr>
      <w:r>
        <w:t>Ste 4: {Greeting Cards and Tooth paste}</w:t>
      </w:r>
    </w:p>
    <w:p w14:paraId="5DF74940" w14:textId="3D32285C" w:rsidR="00465A2E" w:rsidRDefault="00465A2E" w:rsidP="002E411F">
      <w:pPr>
        <w:pStyle w:val="ListParagraph"/>
      </w:pPr>
      <w:r>
        <w:t xml:space="preserve">Set 5: </w:t>
      </w:r>
      <w:r w:rsidR="003A5C10">
        <w:t>{Greeting Cards and Maga</w:t>
      </w:r>
      <w:bookmarkStart w:id="1" w:name="_GoBack"/>
      <w:bookmarkEnd w:id="1"/>
      <w:r w:rsidR="003A5C10">
        <w:t>zine}</w:t>
      </w:r>
    </w:p>
    <w:p w14:paraId="48431F32" w14:textId="5210AFD5" w:rsidR="00D65FDC" w:rsidRDefault="00D65FDC" w:rsidP="002E411F">
      <w:pPr>
        <w:pStyle w:val="ListParagraph"/>
      </w:pPr>
    </w:p>
    <w:p w14:paraId="65366315" w14:textId="77777777" w:rsidR="00D65FDC" w:rsidRPr="00473FBE" w:rsidRDefault="00D65FDC" w:rsidP="002E411F">
      <w:pPr>
        <w:pStyle w:val="ListParagraph"/>
      </w:pPr>
    </w:p>
    <w:sectPr w:rsidR="00D65FDC" w:rsidRPr="00473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0717"/>
    <w:multiLevelType w:val="hybridMultilevel"/>
    <w:tmpl w:val="74763122"/>
    <w:lvl w:ilvl="0" w:tplc="59F206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D76A3"/>
    <w:multiLevelType w:val="hybridMultilevel"/>
    <w:tmpl w:val="CC383628"/>
    <w:lvl w:ilvl="0" w:tplc="56205C5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C2054"/>
    <w:multiLevelType w:val="hybridMultilevel"/>
    <w:tmpl w:val="607CCE5C"/>
    <w:lvl w:ilvl="0" w:tplc="04090017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35FD"/>
    <w:multiLevelType w:val="hybridMultilevel"/>
    <w:tmpl w:val="8228E0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A605F"/>
    <w:multiLevelType w:val="hybridMultilevel"/>
    <w:tmpl w:val="B2A01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1770D"/>
    <w:multiLevelType w:val="hybridMultilevel"/>
    <w:tmpl w:val="05A4C7A0"/>
    <w:lvl w:ilvl="0" w:tplc="63FE71D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0EE3ED8"/>
    <w:multiLevelType w:val="hybridMultilevel"/>
    <w:tmpl w:val="54D86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23360"/>
    <w:multiLevelType w:val="hybridMultilevel"/>
    <w:tmpl w:val="7D7ED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21182"/>
    <w:multiLevelType w:val="hybridMultilevel"/>
    <w:tmpl w:val="38A6B2DC"/>
    <w:lvl w:ilvl="0" w:tplc="7B560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6B5A3F"/>
    <w:multiLevelType w:val="hybridMultilevel"/>
    <w:tmpl w:val="172EC5BA"/>
    <w:lvl w:ilvl="0" w:tplc="33442BB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921CAB"/>
    <w:multiLevelType w:val="hybridMultilevel"/>
    <w:tmpl w:val="CC383628"/>
    <w:lvl w:ilvl="0" w:tplc="56205C5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B74FE"/>
    <w:multiLevelType w:val="hybridMultilevel"/>
    <w:tmpl w:val="844004C6"/>
    <w:lvl w:ilvl="0" w:tplc="F9105E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FA4858"/>
    <w:multiLevelType w:val="hybridMultilevel"/>
    <w:tmpl w:val="1D70D066"/>
    <w:lvl w:ilvl="0" w:tplc="57C6D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28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4D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8A52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B64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BA6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C6A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DED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F28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3B36F59"/>
    <w:multiLevelType w:val="hybridMultilevel"/>
    <w:tmpl w:val="0DC80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9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6D6"/>
    <w:rsid w:val="000027A3"/>
    <w:rsid w:val="00033EA4"/>
    <w:rsid w:val="000375D2"/>
    <w:rsid w:val="000567EE"/>
    <w:rsid w:val="00094E0E"/>
    <w:rsid w:val="000A3EC2"/>
    <w:rsid w:val="000C5AB2"/>
    <w:rsid w:val="000C7066"/>
    <w:rsid w:val="000E02F8"/>
    <w:rsid w:val="000E050E"/>
    <w:rsid w:val="000E38BA"/>
    <w:rsid w:val="000E6DB4"/>
    <w:rsid w:val="00105ABE"/>
    <w:rsid w:val="00107EDD"/>
    <w:rsid w:val="0011471C"/>
    <w:rsid w:val="00130E06"/>
    <w:rsid w:val="00132F0A"/>
    <w:rsid w:val="00185C88"/>
    <w:rsid w:val="00195D6D"/>
    <w:rsid w:val="001A610E"/>
    <w:rsid w:val="001A78FA"/>
    <w:rsid w:val="001D483B"/>
    <w:rsid w:val="002258E2"/>
    <w:rsid w:val="002315A0"/>
    <w:rsid w:val="0024675B"/>
    <w:rsid w:val="002537A5"/>
    <w:rsid w:val="00283BC7"/>
    <w:rsid w:val="0028451D"/>
    <w:rsid w:val="002857F2"/>
    <w:rsid w:val="0029288B"/>
    <w:rsid w:val="00297B00"/>
    <w:rsid w:val="002A14E3"/>
    <w:rsid w:val="002C0774"/>
    <w:rsid w:val="002E18B7"/>
    <w:rsid w:val="002E411F"/>
    <w:rsid w:val="002E7B33"/>
    <w:rsid w:val="002F6E14"/>
    <w:rsid w:val="002F720A"/>
    <w:rsid w:val="00302776"/>
    <w:rsid w:val="00303331"/>
    <w:rsid w:val="00326D17"/>
    <w:rsid w:val="0033232B"/>
    <w:rsid w:val="003358B4"/>
    <w:rsid w:val="00346E45"/>
    <w:rsid w:val="00357F19"/>
    <w:rsid w:val="00370C57"/>
    <w:rsid w:val="0039045F"/>
    <w:rsid w:val="00396970"/>
    <w:rsid w:val="003A5C10"/>
    <w:rsid w:val="003B0672"/>
    <w:rsid w:val="003B0B9D"/>
    <w:rsid w:val="003D62E2"/>
    <w:rsid w:val="003E18C2"/>
    <w:rsid w:val="00400215"/>
    <w:rsid w:val="00407256"/>
    <w:rsid w:val="00411B8D"/>
    <w:rsid w:val="00411D13"/>
    <w:rsid w:val="004636DF"/>
    <w:rsid w:val="00463D47"/>
    <w:rsid w:val="00465A2E"/>
    <w:rsid w:val="004733F5"/>
    <w:rsid w:val="00473FBE"/>
    <w:rsid w:val="00480594"/>
    <w:rsid w:val="00490874"/>
    <w:rsid w:val="004C135B"/>
    <w:rsid w:val="004C1675"/>
    <w:rsid w:val="004C2765"/>
    <w:rsid w:val="004C7CF1"/>
    <w:rsid w:val="004D10EB"/>
    <w:rsid w:val="004D4D09"/>
    <w:rsid w:val="004F1231"/>
    <w:rsid w:val="0050292F"/>
    <w:rsid w:val="00533596"/>
    <w:rsid w:val="005645E5"/>
    <w:rsid w:val="00575B12"/>
    <w:rsid w:val="005A10E2"/>
    <w:rsid w:val="005A7E9A"/>
    <w:rsid w:val="005B5F5E"/>
    <w:rsid w:val="005D7BDF"/>
    <w:rsid w:val="00641237"/>
    <w:rsid w:val="00642341"/>
    <w:rsid w:val="006441BF"/>
    <w:rsid w:val="006736CC"/>
    <w:rsid w:val="00674BA1"/>
    <w:rsid w:val="0068179E"/>
    <w:rsid w:val="006B23EE"/>
    <w:rsid w:val="006D4EA1"/>
    <w:rsid w:val="007031F2"/>
    <w:rsid w:val="0071062A"/>
    <w:rsid w:val="00720B9B"/>
    <w:rsid w:val="007348CA"/>
    <w:rsid w:val="00743893"/>
    <w:rsid w:val="007449F5"/>
    <w:rsid w:val="007869E3"/>
    <w:rsid w:val="007A2441"/>
    <w:rsid w:val="00866EE8"/>
    <w:rsid w:val="00867919"/>
    <w:rsid w:val="00872D3E"/>
    <w:rsid w:val="008738A7"/>
    <w:rsid w:val="00880793"/>
    <w:rsid w:val="008838D3"/>
    <w:rsid w:val="0089623C"/>
    <w:rsid w:val="008A7E79"/>
    <w:rsid w:val="008B2AF4"/>
    <w:rsid w:val="008D57FD"/>
    <w:rsid w:val="008F66DF"/>
    <w:rsid w:val="00904ACC"/>
    <w:rsid w:val="009178EF"/>
    <w:rsid w:val="00930D36"/>
    <w:rsid w:val="009419E4"/>
    <w:rsid w:val="00946BEC"/>
    <w:rsid w:val="0096452B"/>
    <w:rsid w:val="0097776E"/>
    <w:rsid w:val="009821FF"/>
    <w:rsid w:val="00983257"/>
    <w:rsid w:val="0098677F"/>
    <w:rsid w:val="00996664"/>
    <w:rsid w:val="009A0C6F"/>
    <w:rsid w:val="009C3624"/>
    <w:rsid w:val="009F1691"/>
    <w:rsid w:val="009F1E8E"/>
    <w:rsid w:val="009F3B0F"/>
    <w:rsid w:val="00A7358D"/>
    <w:rsid w:val="00A911EB"/>
    <w:rsid w:val="00A927C6"/>
    <w:rsid w:val="00AD2539"/>
    <w:rsid w:val="00AF669D"/>
    <w:rsid w:val="00B50DBC"/>
    <w:rsid w:val="00B665D2"/>
    <w:rsid w:val="00B67F36"/>
    <w:rsid w:val="00B73162"/>
    <w:rsid w:val="00B84992"/>
    <w:rsid w:val="00B9025B"/>
    <w:rsid w:val="00BD0588"/>
    <w:rsid w:val="00BD4FEC"/>
    <w:rsid w:val="00BD63E3"/>
    <w:rsid w:val="00BD7605"/>
    <w:rsid w:val="00BF2815"/>
    <w:rsid w:val="00BF43C2"/>
    <w:rsid w:val="00C25812"/>
    <w:rsid w:val="00C41066"/>
    <w:rsid w:val="00C44943"/>
    <w:rsid w:val="00C650B8"/>
    <w:rsid w:val="00C652B7"/>
    <w:rsid w:val="00C72023"/>
    <w:rsid w:val="00C80579"/>
    <w:rsid w:val="00C92AB1"/>
    <w:rsid w:val="00C95802"/>
    <w:rsid w:val="00CB56D6"/>
    <w:rsid w:val="00CB5F69"/>
    <w:rsid w:val="00CC2EAC"/>
    <w:rsid w:val="00CE6AF5"/>
    <w:rsid w:val="00CF107E"/>
    <w:rsid w:val="00CF339E"/>
    <w:rsid w:val="00CF4A13"/>
    <w:rsid w:val="00D01A27"/>
    <w:rsid w:val="00D26AB5"/>
    <w:rsid w:val="00D3419D"/>
    <w:rsid w:val="00D57B2B"/>
    <w:rsid w:val="00D65FDC"/>
    <w:rsid w:val="00D7458A"/>
    <w:rsid w:val="00D87EFC"/>
    <w:rsid w:val="00DB5A51"/>
    <w:rsid w:val="00DE3F96"/>
    <w:rsid w:val="00E03A8D"/>
    <w:rsid w:val="00E06336"/>
    <w:rsid w:val="00E24796"/>
    <w:rsid w:val="00E334F5"/>
    <w:rsid w:val="00E42ACF"/>
    <w:rsid w:val="00E507B3"/>
    <w:rsid w:val="00E51C93"/>
    <w:rsid w:val="00E6413E"/>
    <w:rsid w:val="00E66432"/>
    <w:rsid w:val="00E72009"/>
    <w:rsid w:val="00E81C2B"/>
    <w:rsid w:val="00EA40E8"/>
    <w:rsid w:val="00EB0388"/>
    <w:rsid w:val="00EE73C6"/>
    <w:rsid w:val="00EF111E"/>
    <w:rsid w:val="00F0346F"/>
    <w:rsid w:val="00F0735E"/>
    <w:rsid w:val="00F17F3C"/>
    <w:rsid w:val="00F31DD5"/>
    <w:rsid w:val="00F45DEC"/>
    <w:rsid w:val="00F50C88"/>
    <w:rsid w:val="00F6624B"/>
    <w:rsid w:val="00F8418D"/>
    <w:rsid w:val="00F85BD8"/>
    <w:rsid w:val="00F9184D"/>
    <w:rsid w:val="00FE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8DC6"/>
  <w15:chartTrackingRefBased/>
  <w15:docId w15:val="{AF60041D-601D-446B-8D7B-2A5E86C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2A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0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E0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410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77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saivishnu kanisetty</dc:creator>
  <cp:keywords/>
  <dc:description/>
  <cp:lastModifiedBy>saivishnu kanisetty</cp:lastModifiedBy>
  <cp:revision>167</cp:revision>
  <dcterms:created xsi:type="dcterms:W3CDTF">2017-09-27T15:32:00Z</dcterms:created>
  <dcterms:modified xsi:type="dcterms:W3CDTF">2018-01-15T17:58:00Z</dcterms:modified>
</cp:coreProperties>
</file>