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OpenShift Rollout Strategy – 2025</w:t>
      </w:r>
    </w:p>
    <w:p>
      <w:r>
        <w:t>Prepared by: [Your Name]</w:t>
      </w:r>
    </w:p>
    <w:p>
      <w:r>
        <w:t>Target Role: Configuration &amp; Release Architect</w:t>
      </w:r>
    </w:p>
    <w:p/>
    <w:p>
      <w:pPr>
        <w:pStyle w:val="Heading1"/>
      </w:pPr>
      <w:r>
        <w:t>Objective</w:t>
      </w:r>
    </w:p>
    <w:p>
      <w:r>
        <w:t>Modernize containerized application deployment and release workflows using OpenShift, enabling secure, scalable, and standardized delivery pipelines across environments.</w:t>
      </w:r>
    </w:p>
    <w:p>
      <w:pPr>
        <w:pStyle w:val="Heading1"/>
      </w:pPr>
      <w:r>
        <w:t>Phase 1 – Foundation (Q2 2025)</w:t>
      </w:r>
    </w:p>
    <w:p>
      <w:r>
        <w:t>- Assess current Docker/Kubernetes workloads for OpenShift readiness.</w:t>
      </w:r>
    </w:p>
    <w:p>
      <w:r>
        <w:t>- Set up OpenShift clusters (cloud or hybrid) with RBAC, projects, and security context constraints.</w:t>
      </w:r>
    </w:p>
    <w:p>
      <w:r>
        <w:t>- Design multi-namespace architecture (Dev, QA, Staging, Prod) to enforce environment isolation.</w:t>
      </w:r>
    </w:p>
    <w:p>
      <w:r>
        <w:t>- Integrate OpenShift with Bitbucket and Jira for visibility and audit trails.</w:t>
      </w:r>
    </w:p>
    <w:p>
      <w:pPr>
        <w:pStyle w:val="Heading1"/>
      </w:pPr>
      <w:r>
        <w:t>Phase 2 – CI/CD Enablement (Q3 2025)</w:t>
      </w:r>
    </w:p>
    <w:p>
      <w:r>
        <w:t>- Implement GitOps model using ArgoCD or OpenShift Pipelines for automated deployments.</w:t>
      </w:r>
    </w:p>
    <w:p>
      <w:r>
        <w:t>- Migrate key microservices from Kubernetes to OpenShift using Helm charts and reusable templates.</w:t>
      </w:r>
    </w:p>
    <w:p>
      <w:r>
        <w:t>- Establish artifact promotion gates via JFrog/Artifactory into OpenShift builds.</w:t>
      </w:r>
    </w:p>
    <w:p>
      <w:r>
        <w:t>- Define policy-based rollouts (blue-green / canary deployments) with metrics-based triggers.</w:t>
      </w:r>
    </w:p>
    <w:p>
      <w:pPr>
        <w:pStyle w:val="Heading1"/>
      </w:pPr>
      <w:r>
        <w:t>Phase 3 – Security &amp; Governance (Q4 2025)</w:t>
      </w:r>
    </w:p>
    <w:p>
      <w:r>
        <w:t>- Enforce image scanning and vulnerability checks in pipelines.</w:t>
      </w:r>
    </w:p>
    <w:p>
      <w:r>
        <w:t>- Configure role-based access control (RBAC) and secure service meshes.</w:t>
      </w:r>
    </w:p>
    <w:p>
      <w:r>
        <w:t>- Enable cluster monitoring and audit logging with Prometheus, Grafana, and Elasticsearch.</w:t>
      </w:r>
    </w:p>
    <w:p>
      <w:r>
        <w:t>- Define disaster recovery procedures and backup strategies for persistent workloads.</w:t>
      </w:r>
    </w:p>
    <w:p>
      <w:pPr>
        <w:pStyle w:val="Heading1"/>
      </w:pPr>
      <w:r>
        <w:t>Expected Benefits</w:t>
      </w:r>
    </w:p>
    <w:p>
      <w:r>
        <w:t>- Unified deployment experience across all teams.</w:t>
      </w:r>
    </w:p>
    <w:p>
      <w:r>
        <w:t>- Improved release velocity, rollback control, and traceability.</w:t>
      </w:r>
    </w:p>
    <w:p>
      <w:r>
        <w:t>- Enterprise-grade container security and audit compliance.</w:t>
      </w:r>
    </w:p>
    <w:p>
      <w:r>
        <w:t>- Simplified onboarding for new services with reusable deployment templates.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