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8B0" w:rsidRPr="00631405" w:rsidRDefault="002648B0" w:rsidP="00A33695">
      <w:pPr>
        <w:jc w:val="center"/>
        <w:rPr>
          <w:rFonts w:ascii="Times New Roman" w:hAnsi="Times New Roman"/>
          <w:sz w:val="24"/>
        </w:rPr>
      </w:pPr>
      <w:bookmarkStart w:id="0" w:name="_Toc262568021"/>
      <w:bookmarkStart w:id="1" w:name="_Toc295829847"/>
      <w:r w:rsidRPr="00631405">
        <w:rPr>
          <w:rFonts w:ascii="Times New Roman" w:hAnsi="Times New Roman"/>
          <w:sz w:val="24"/>
        </w:rPr>
        <w:t>ANNEX II</w:t>
      </w:r>
    </w:p>
    <w:p w:rsidR="002648B0" w:rsidRPr="00661595" w:rsidRDefault="00D11E4C" w:rsidP="00C87CEE">
      <w:pPr>
        <w:jc w:val="center"/>
        <w:rPr>
          <w:rFonts w:ascii="Times New Roman" w:hAnsi="Times New Roman"/>
          <w:b/>
          <w:sz w:val="24"/>
          <w:lang w:eastAsia="de-DE"/>
        </w:rPr>
      </w:pPr>
      <w:r>
        <w:rPr>
          <w:rFonts w:ascii="Times New Roman" w:hAnsi="Times New Roman"/>
          <w:b/>
          <w:sz w:val="24"/>
          <w:lang w:eastAsia="de-DE"/>
        </w:rPr>
        <w:t xml:space="preserve">INSTRUCTIONS FOR </w:t>
      </w:r>
      <w:r w:rsidR="002648B0" w:rsidRPr="00661595">
        <w:rPr>
          <w:rFonts w:ascii="Times New Roman" w:hAnsi="Times New Roman"/>
          <w:b/>
          <w:sz w:val="24"/>
          <w:lang w:eastAsia="de-DE"/>
        </w:rPr>
        <w:t xml:space="preserve">REPORTING ON </w:t>
      </w:r>
      <w:r w:rsidR="00480A69" w:rsidRPr="00661595">
        <w:rPr>
          <w:rFonts w:ascii="Times New Roman" w:hAnsi="Times New Roman"/>
          <w:b/>
          <w:sz w:val="24"/>
          <w:lang w:eastAsia="de-DE"/>
        </w:rPr>
        <w:t xml:space="preserve">OWN FUNDS AND </w:t>
      </w:r>
      <w:r w:rsidR="002648B0" w:rsidRPr="00661595">
        <w:rPr>
          <w:rFonts w:ascii="Times New Roman" w:hAnsi="Times New Roman"/>
          <w:b/>
          <w:sz w:val="24"/>
          <w:lang w:eastAsia="de-DE"/>
        </w:rPr>
        <w:t>OWN FUNDS REQUIREMENTS</w:t>
      </w:r>
    </w:p>
    <w:p w:rsidR="00436204" w:rsidRPr="00661595" w:rsidRDefault="00436204" w:rsidP="00C87CEE">
      <w:pPr>
        <w:jc w:val="center"/>
        <w:rPr>
          <w:rFonts w:ascii="Times New Roman" w:hAnsi="Times New Roman"/>
          <w:b/>
          <w:sz w:val="24"/>
          <w:lang w:eastAsia="de-DE"/>
        </w:rPr>
      </w:pPr>
    </w:p>
    <w:p w:rsidR="00783881" w:rsidRPr="00661595" w:rsidRDefault="002648B0" w:rsidP="00487A02">
      <w:pPr>
        <w:pStyle w:val="InstructionsText"/>
      </w:pPr>
      <w:r w:rsidRPr="00661595">
        <w:t>Table of Contents</w:t>
      </w:r>
    </w:p>
    <w:p w:rsidR="0048345E" w:rsidRDefault="00745369">
      <w:pPr>
        <w:pStyle w:val="TOC2"/>
        <w:rPr>
          <w:rFonts w:asciiTheme="minorHAnsi" w:eastAsiaTheme="minorEastAsia" w:hAnsiTheme="minorHAnsi" w:cstheme="minorBidi"/>
          <w:b w:val="0"/>
          <w:smallCaps w:val="0"/>
          <w:sz w:val="22"/>
          <w:lang w:val="en-US"/>
        </w:rPr>
      </w:pPr>
      <w:r w:rsidRPr="00661595">
        <w:rPr>
          <w:rFonts w:ascii="Times New Roman" w:hAnsi="Times New Roman"/>
          <w:noProof w:val="0"/>
          <w:sz w:val="24"/>
          <w:szCs w:val="24"/>
        </w:rPr>
        <w:fldChar w:fldCharType="begin"/>
      </w:r>
      <w:r w:rsidR="002648B0" w:rsidRPr="00661595">
        <w:rPr>
          <w:rFonts w:ascii="Times New Roman" w:hAnsi="Times New Roman"/>
          <w:noProof w:val="0"/>
          <w:sz w:val="24"/>
          <w:szCs w:val="24"/>
        </w:rPr>
        <w:instrText xml:space="preserve"> TOC \o "1-3" \h \z \u </w:instrText>
      </w:r>
      <w:r w:rsidRPr="00661595">
        <w:rPr>
          <w:rFonts w:ascii="Times New Roman" w:hAnsi="Times New Roman"/>
          <w:noProof w:val="0"/>
          <w:sz w:val="24"/>
          <w:szCs w:val="24"/>
        </w:rPr>
        <w:fldChar w:fldCharType="separate"/>
      </w:r>
      <w:hyperlink w:anchor="_Toc57831504" w:history="1">
        <w:r w:rsidR="0048345E" w:rsidRPr="00F91932">
          <w:rPr>
            <w:rStyle w:val="Hyperlink"/>
            <w:rFonts w:ascii="Times New Roman" w:hAnsi="Times New Roman"/>
          </w:rPr>
          <w:t>PART I: GENERAL INSTRUCTIONS</w:t>
        </w:r>
        <w:r w:rsidR="0048345E">
          <w:rPr>
            <w:webHidden/>
          </w:rPr>
          <w:tab/>
        </w:r>
        <w:r w:rsidR="0048345E">
          <w:rPr>
            <w:webHidden/>
          </w:rPr>
          <w:fldChar w:fldCharType="begin"/>
        </w:r>
        <w:r w:rsidR="0048345E">
          <w:rPr>
            <w:webHidden/>
          </w:rPr>
          <w:instrText xml:space="preserve"> PAGEREF _Toc57831504 \h </w:instrText>
        </w:r>
        <w:r w:rsidR="0048345E">
          <w:rPr>
            <w:webHidden/>
          </w:rPr>
        </w:r>
        <w:r w:rsidR="0048345E">
          <w:rPr>
            <w:webHidden/>
          </w:rPr>
          <w:fldChar w:fldCharType="separate"/>
        </w:r>
        <w:r w:rsidR="0048345E">
          <w:rPr>
            <w:webHidden/>
          </w:rPr>
          <w:t>7</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05" w:history="1">
        <w:r w:rsidR="0048345E" w:rsidRPr="00F91932">
          <w:rPr>
            <w:rStyle w:val="Hyperlink"/>
            <w:rFonts w:ascii="Times New Roman" w:hAnsi="Times New Roman"/>
          </w:rPr>
          <w:t>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Structure and conventions</w:t>
        </w:r>
        <w:r w:rsidR="0048345E">
          <w:rPr>
            <w:webHidden/>
          </w:rPr>
          <w:tab/>
        </w:r>
        <w:r w:rsidR="0048345E">
          <w:rPr>
            <w:webHidden/>
          </w:rPr>
          <w:fldChar w:fldCharType="begin"/>
        </w:r>
        <w:r w:rsidR="0048345E">
          <w:rPr>
            <w:webHidden/>
          </w:rPr>
          <w:instrText xml:space="preserve"> PAGEREF _Toc57831505 \h </w:instrText>
        </w:r>
        <w:r w:rsidR="0048345E">
          <w:rPr>
            <w:webHidden/>
          </w:rPr>
        </w:r>
        <w:r w:rsidR="0048345E">
          <w:rPr>
            <w:webHidden/>
          </w:rPr>
          <w:fldChar w:fldCharType="separate"/>
        </w:r>
        <w:r w:rsidR="0048345E">
          <w:rPr>
            <w:webHidden/>
          </w:rPr>
          <w:t>7</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06" w:history="1">
        <w:r w:rsidR="0048345E" w:rsidRPr="00F91932">
          <w:rPr>
            <w:rStyle w:val="Hyperlink"/>
            <w:rFonts w:ascii="Times New Roman" w:hAnsi="Times New Roman"/>
          </w:rPr>
          <w:t>1.1.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Structure</w:t>
        </w:r>
        <w:r w:rsidR="0048345E">
          <w:rPr>
            <w:webHidden/>
          </w:rPr>
          <w:tab/>
        </w:r>
        <w:r w:rsidR="0048345E">
          <w:rPr>
            <w:webHidden/>
          </w:rPr>
          <w:fldChar w:fldCharType="begin"/>
        </w:r>
        <w:r w:rsidR="0048345E">
          <w:rPr>
            <w:webHidden/>
          </w:rPr>
          <w:instrText xml:space="preserve"> PAGEREF _Toc57831506 \h </w:instrText>
        </w:r>
        <w:r w:rsidR="0048345E">
          <w:rPr>
            <w:webHidden/>
          </w:rPr>
        </w:r>
        <w:r w:rsidR="0048345E">
          <w:rPr>
            <w:webHidden/>
          </w:rPr>
          <w:fldChar w:fldCharType="separate"/>
        </w:r>
        <w:r w:rsidR="0048345E">
          <w:rPr>
            <w:webHidden/>
          </w:rPr>
          <w:t>7</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07" w:history="1">
        <w:r w:rsidR="0048345E" w:rsidRPr="00F91932">
          <w:rPr>
            <w:rStyle w:val="Hyperlink"/>
            <w:rFonts w:ascii="Times New Roman" w:hAnsi="Times New Roman"/>
          </w:rPr>
          <w:t>1.2.</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Numbering convention</w:t>
        </w:r>
        <w:r w:rsidR="0048345E">
          <w:rPr>
            <w:webHidden/>
          </w:rPr>
          <w:tab/>
        </w:r>
        <w:r w:rsidR="0048345E">
          <w:rPr>
            <w:webHidden/>
          </w:rPr>
          <w:fldChar w:fldCharType="begin"/>
        </w:r>
        <w:r w:rsidR="0048345E">
          <w:rPr>
            <w:webHidden/>
          </w:rPr>
          <w:instrText xml:space="preserve"> PAGEREF _Toc57831507 \h </w:instrText>
        </w:r>
        <w:r w:rsidR="0048345E">
          <w:rPr>
            <w:webHidden/>
          </w:rPr>
        </w:r>
        <w:r w:rsidR="0048345E">
          <w:rPr>
            <w:webHidden/>
          </w:rPr>
          <w:fldChar w:fldCharType="separate"/>
        </w:r>
        <w:r w:rsidR="0048345E">
          <w:rPr>
            <w:webHidden/>
          </w:rPr>
          <w:t>7</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08" w:history="1">
        <w:r w:rsidR="0048345E" w:rsidRPr="00F91932">
          <w:rPr>
            <w:rStyle w:val="Hyperlink"/>
            <w:rFonts w:ascii="Times New Roman" w:hAnsi="Times New Roman"/>
          </w:rPr>
          <w:t>1.3.</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Sign convention</w:t>
        </w:r>
        <w:r w:rsidR="0048345E">
          <w:rPr>
            <w:webHidden/>
          </w:rPr>
          <w:tab/>
        </w:r>
        <w:r w:rsidR="0048345E">
          <w:rPr>
            <w:webHidden/>
          </w:rPr>
          <w:fldChar w:fldCharType="begin"/>
        </w:r>
        <w:r w:rsidR="0048345E">
          <w:rPr>
            <w:webHidden/>
          </w:rPr>
          <w:instrText xml:space="preserve"> PAGEREF _Toc57831508 \h </w:instrText>
        </w:r>
        <w:r w:rsidR="0048345E">
          <w:rPr>
            <w:webHidden/>
          </w:rPr>
        </w:r>
        <w:r w:rsidR="0048345E">
          <w:rPr>
            <w:webHidden/>
          </w:rPr>
          <w:fldChar w:fldCharType="separate"/>
        </w:r>
        <w:r w:rsidR="0048345E">
          <w:rPr>
            <w:webHidden/>
          </w:rPr>
          <w:t>8</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09" w:history="1">
        <w:r w:rsidR="0048345E" w:rsidRPr="00F91932">
          <w:rPr>
            <w:rStyle w:val="Hyperlink"/>
            <w:rFonts w:ascii="Times New Roman" w:hAnsi="Times New Roman"/>
          </w:rPr>
          <w:t>1.4.</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Abbreviations</w:t>
        </w:r>
        <w:r w:rsidR="0048345E">
          <w:rPr>
            <w:webHidden/>
          </w:rPr>
          <w:tab/>
        </w:r>
        <w:r w:rsidR="0048345E">
          <w:rPr>
            <w:webHidden/>
          </w:rPr>
          <w:fldChar w:fldCharType="begin"/>
        </w:r>
        <w:r w:rsidR="0048345E">
          <w:rPr>
            <w:webHidden/>
          </w:rPr>
          <w:instrText xml:space="preserve"> PAGEREF _Toc57831509 \h </w:instrText>
        </w:r>
        <w:r w:rsidR="0048345E">
          <w:rPr>
            <w:webHidden/>
          </w:rPr>
        </w:r>
        <w:r w:rsidR="0048345E">
          <w:rPr>
            <w:webHidden/>
          </w:rPr>
          <w:fldChar w:fldCharType="separate"/>
        </w:r>
        <w:r w:rsidR="0048345E">
          <w:rPr>
            <w:webHidden/>
          </w:rPr>
          <w:t>8</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10" w:history="1">
        <w:r w:rsidR="0048345E" w:rsidRPr="00F91932">
          <w:rPr>
            <w:rStyle w:val="Hyperlink"/>
            <w:rFonts w:ascii="Times New Roman" w:hAnsi="Times New Roman"/>
          </w:rPr>
          <w:t>PART II: TEMPLATE RELATED INSTRUCTIONS</w:t>
        </w:r>
        <w:r w:rsidR="0048345E">
          <w:rPr>
            <w:webHidden/>
          </w:rPr>
          <w:tab/>
        </w:r>
        <w:r w:rsidR="0048345E">
          <w:rPr>
            <w:webHidden/>
          </w:rPr>
          <w:fldChar w:fldCharType="begin"/>
        </w:r>
        <w:r w:rsidR="0048345E">
          <w:rPr>
            <w:webHidden/>
          </w:rPr>
          <w:instrText xml:space="preserve"> PAGEREF _Toc57831510 \h </w:instrText>
        </w:r>
        <w:r w:rsidR="0048345E">
          <w:rPr>
            <w:webHidden/>
          </w:rPr>
        </w:r>
        <w:r w:rsidR="0048345E">
          <w:rPr>
            <w:webHidden/>
          </w:rPr>
          <w:fldChar w:fldCharType="separate"/>
        </w:r>
        <w:r w:rsidR="0048345E">
          <w:rPr>
            <w:webHidden/>
          </w:rPr>
          <w:t>9</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11" w:history="1">
        <w:r w:rsidR="0048345E" w:rsidRPr="00F91932">
          <w:rPr>
            <w:rStyle w:val="Hyperlink"/>
            <w:rFonts w:ascii="Times New Roman" w:hAnsi="Times New Roman"/>
          </w:rPr>
          <w:t>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Capital Adequacy Overview (‘CA’)</w:t>
        </w:r>
        <w:r w:rsidR="0048345E">
          <w:rPr>
            <w:webHidden/>
          </w:rPr>
          <w:tab/>
        </w:r>
        <w:r w:rsidR="0048345E">
          <w:rPr>
            <w:webHidden/>
          </w:rPr>
          <w:fldChar w:fldCharType="begin"/>
        </w:r>
        <w:r w:rsidR="0048345E">
          <w:rPr>
            <w:webHidden/>
          </w:rPr>
          <w:instrText xml:space="preserve"> PAGEREF _Toc57831511 \h </w:instrText>
        </w:r>
        <w:r w:rsidR="0048345E">
          <w:rPr>
            <w:webHidden/>
          </w:rPr>
        </w:r>
        <w:r w:rsidR="0048345E">
          <w:rPr>
            <w:webHidden/>
          </w:rPr>
          <w:fldChar w:fldCharType="separate"/>
        </w:r>
        <w:r w:rsidR="0048345E">
          <w:rPr>
            <w:webHidden/>
          </w:rPr>
          <w:t>9</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12" w:history="1">
        <w:r w:rsidR="0048345E" w:rsidRPr="00F91932">
          <w:rPr>
            <w:rStyle w:val="Hyperlink"/>
            <w:rFonts w:ascii="Times New Roman" w:hAnsi="Times New Roman"/>
          </w:rPr>
          <w:t>1.1.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General remarks</w:t>
        </w:r>
        <w:r w:rsidR="0048345E">
          <w:rPr>
            <w:webHidden/>
          </w:rPr>
          <w:tab/>
        </w:r>
        <w:r w:rsidR="0048345E">
          <w:rPr>
            <w:webHidden/>
          </w:rPr>
          <w:fldChar w:fldCharType="begin"/>
        </w:r>
        <w:r w:rsidR="0048345E">
          <w:rPr>
            <w:webHidden/>
          </w:rPr>
          <w:instrText xml:space="preserve"> PAGEREF _Toc57831512 \h </w:instrText>
        </w:r>
        <w:r w:rsidR="0048345E">
          <w:rPr>
            <w:webHidden/>
          </w:rPr>
        </w:r>
        <w:r w:rsidR="0048345E">
          <w:rPr>
            <w:webHidden/>
          </w:rPr>
          <w:fldChar w:fldCharType="separate"/>
        </w:r>
        <w:r w:rsidR="0048345E">
          <w:rPr>
            <w:webHidden/>
          </w:rPr>
          <w:t>9</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13" w:history="1">
        <w:r w:rsidR="0048345E" w:rsidRPr="00F91932">
          <w:rPr>
            <w:rStyle w:val="Hyperlink"/>
            <w:rFonts w:ascii="Times New Roman" w:hAnsi="Times New Roman"/>
          </w:rPr>
          <w:t>1.2.</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C 01.00 - OWN FUNDS (CA1)</w:t>
        </w:r>
        <w:r w:rsidR="0048345E">
          <w:rPr>
            <w:webHidden/>
          </w:rPr>
          <w:tab/>
        </w:r>
        <w:r w:rsidR="0048345E">
          <w:rPr>
            <w:webHidden/>
          </w:rPr>
          <w:fldChar w:fldCharType="begin"/>
        </w:r>
        <w:r w:rsidR="0048345E">
          <w:rPr>
            <w:webHidden/>
          </w:rPr>
          <w:instrText xml:space="preserve"> PAGEREF _Toc57831513 \h </w:instrText>
        </w:r>
        <w:r w:rsidR="0048345E">
          <w:rPr>
            <w:webHidden/>
          </w:rPr>
        </w:r>
        <w:r w:rsidR="0048345E">
          <w:rPr>
            <w:webHidden/>
          </w:rPr>
          <w:fldChar w:fldCharType="separate"/>
        </w:r>
        <w:r w:rsidR="0048345E">
          <w:rPr>
            <w:webHidden/>
          </w:rPr>
          <w:t>10</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14" w:history="1">
        <w:r w:rsidR="0048345E" w:rsidRPr="00F91932">
          <w:rPr>
            <w:rStyle w:val="Hyperlink"/>
            <w:rFonts w:ascii="Times New Roman" w:hAnsi="Times New Roman"/>
          </w:rPr>
          <w:t>1.2.1.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Instructions concerning specific positions</w:t>
        </w:r>
        <w:r w:rsidR="0048345E">
          <w:rPr>
            <w:webHidden/>
          </w:rPr>
          <w:tab/>
        </w:r>
        <w:r w:rsidR="0048345E">
          <w:rPr>
            <w:webHidden/>
          </w:rPr>
          <w:fldChar w:fldCharType="begin"/>
        </w:r>
        <w:r w:rsidR="0048345E">
          <w:rPr>
            <w:webHidden/>
          </w:rPr>
          <w:instrText xml:space="preserve"> PAGEREF _Toc57831514 \h </w:instrText>
        </w:r>
        <w:r w:rsidR="0048345E">
          <w:rPr>
            <w:webHidden/>
          </w:rPr>
        </w:r>
        <w:r w:rsidR="0048345E">
          <w:rPr>
            <w:webHidden/>
          </w:rPr>
          <w:fldChar w:fldCharType="separate"/>
        </w:r>
        <w:r w:rsidR="0048345E">
          <w:rPr>
            <w:webHidden/>
          </w:rPr>
          <w:t>10</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15" w:history="1">
        <w:r w:rsidR="0048345E" w:rsidRPr="00F91932">
          <w:rPr>
            <w:rStyle w:val="Hyperlink"/>
            <w:rFonts w:ascii="Times New Roman" w:hAnsi="Times New Roman"/>
          </w:rPr>
          <w:t>1.3.</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C 02.00 - OWN FUNDS REQUIREMENTS (CA2)</w:t>
        </w:r>
        <w:r w:rsidR="0048345E">
          <w:rPr>
            <w:webHidden/>
          </w:rPr>
          <w:tab/>
        </w:r>
        <w:r w:rsidR="0048345E">
          <w:rPr>
            <w:webHidden/>
          </w:rPr>
          <w:fldChar w:fldCharType="begin"/>
        </w:r>
        <w:r w:rsidR="0048345E">
          <w:rPr>
            <w:webHidden/>
          </w:rPr>
          <w:instrText xml:space="preserve"> PAGEREF _Toc57831515 \h </w:instrText>
        </w:r>
        <w:r w:rsidR="0048345E">
          <w:rPr>
            <w:webHidden/>
          </w:rPr>
        </w:r>
        <w:r w:rsidR="0048345E">
          <w:rPr>
            <w:webHidden/>
          </w:rPr>
          <w:fldChar w:fldCharType="separate"/>
        </w:r>
        <w:r w:rsidR="0048345E">
          <w:rPr>
            <w:webHidden/>
          </w:rPr>
          <w:t>26</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16" w:history="1">
        <w:r w:rsidR="0048345E" w:rsidRPr="00F91932">
          <w:rPr>
            <w:rStyle w:val="Hyperlink"/>
            <w:rFonts w:ascii="Times New Roman" w:hAnsi="Times New Roman"/>
          </w:rPr>
          <w:t>1.3.1.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Instructions concerning specific positions</w:t>
        </w:r>
        <w:r w:rsidR="0048345E">
          <w:rPr>
            <w:webHidden/>
          </w:rPr>
          <w:tab/>
        </w:r>
        <w:r w:rsidR="0048345E">
          <w:rPr>
            <w:webHidden/>
          </w:rPr>
          <w:fldChar w:fldCharType="begin"/>
        </w:r>
        <w:r w:rsidR="0048345E">
          <w:rPr>
            <w:webHidden/>
          </w:rPr>
          <w:instrText xml:space="preserve"> PAGEREF _Toc57831516 \h </w:instrText>
        </w:r>
        <w:r w:rsidR="0048345E">
          <w:rPr>
            <w:webHidden/>
          </w:rPr>
        </w:r>
        <w:r w:rsidR="0048345E">
          <w:rPr>
            <w:webHidden/>
          </w:rPr>
          <w:fldChar w:fldCharType="separate"/>
        </w:r>
        <w:r w:rsidR="0048345E">
          <w:rPr>
            <w:webHidden/>
          </w:rPr>
          <w:t>26</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17" w:history="1">
        <w:r w:rsidR="0048345E" w:rsidRPr="00F91932">
          <w:rPr>
            <w:rStyle w:val="Hyperlink"/>
            <w:rFonts w:ascii="Times New Roman" w:hAnsi="Times New Roman"/>
          </w:rPr>
          <w:t>1.4</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C 03.00 - CAPITAL RATIOS AND CAPITAL LEVELS (CA3)</w:t>
        </w:r>
        <w:r w:rsidR="0048345E">
          <w:rPr>
            <w:webHidden/>
          </w:rPr>
          <w:tab/>
        </w:r>
        <w:r w:rsidR="0048345E">
          <w:rPr>
            <w:webHidden/>
          </w:rPr>
          <w:fldChar w:fldCharType="begin"/>
        </w:r>
        <w:r w:rsidR="0048345E">
          <w:rPr>
            <w:webHidden/>
          </w:rPr>
          <w:instrText xml:space="preserve"> PAGEREF _Toc57831517 \h </w:instrText>
        </w:r>
        <w:r w:rsidR="0048345E">
          <w:rPr>
            <w:webHidden/>
          </w:rPr>
        </w:r>
        <w:r w:rsidR="0048345E">
          <w:rPr>
            <w:webHidden/>
          </w:rPr>
          <w:fldChar w:fldCharType="separate"/>
        </w:r>
        <w:r w:rsidR="0048345E">
          <w:rPr>
            <w:webHidden/>
          </w:rPr>
          <w:t>33</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18" w:history="1">
        <w:r w:rsidR="0048345E" w:rsidRPr="00F91932">
          <w:rPr>
            <w:rStyle w:val="Hyperlink"/>
            <w:rFonts w:ascii="Times New Roman" w:hAnsi="Times New Roman"/>
          </w:rPr>
          <w:t>1.4.1.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Instructions concerning specific positions</w:t>
        </w:r>
        <w:r w:rsidR="0048345E">
          <w:rPr>
            <w:webHidden/>
          </w:rPr>
          <w:tab/>
        </w:r>
        <w:r w:rsidR="0048345E">
          <w:rPr>
            <w:webHidden/>
          </w:rPr>
          <w:fldChar w:fldCharType="begin"/>
        </w:r>
        <w:r w:rsidR="0048345E">
          <w:rPr>
            <w:webHidden/>
          </w:rPr>
          <w:instrText xml:space="preserve"> PAGEREF _Toc57831518 \h </w:instrText>
        </w:r>
        <w:r w:rsidR="0048345E">
          <w:rPr>
            <w:webHidden/>
          </w:rPr>
        </w:r>
        <w:r w:rsidR="0048345E">
          <w:rPr>
            <w:webHidden/>
          </w:rPr>
          <w:fldChar w:fldCharType="separate"/>
        </w:r>
        <w:r w:rsidR="0048345E">
          <w:rPr>
            <w:webHidden/>
          </w:rPr>
          <w:t>33</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19" w:history="1">
        <w:r w:rsidR="0048345E" w:rsidRPr="00F91932">
          <w:rPr>
            <w:rStyle w:val="Hyperlink"/>
            <w:rFonts w:ascii="Times New Roman" w:hAnsi="Times New Roman"/>
          </w:rPr>
          <w:t>1.5.</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C 04.00 - MEMORANDUM ITEMS (CA4)</w:t>
        </w:r>
        <w:r w:rsidR="0048345E">
          <w:rPr>
            <w:webHidden/>
          </w:rPr>
          <w:tab/>
        </w:r>
        <w:r w:rsidR="0048345E">
          <w:rPr>
            <w:webHidden/>
          </w:rPr>
          <w:fldChar w:fldCharType="begin"/>
        </w:r>
        <w:r w:rsidR="0048345E">
          <w:rPr>
            <w:webHidden/>
          </w:rPr>
          <w:instrText xml:space="preserve"> PAGEREF _Toc57831519 \h </w:instrText>
        </w:r>
        <w:r w:rsidR="0048345E">
          <w:rPr>
            <w:webHidden/>
          </w:rPr>
        </w:r>
        <w:r w:rsidR="0048345E">
          <w:rPr>
            <w:webHidden/>
          </w:rPr>
          <w:fldChar w:fldCharType="separate"/>
        </w:r>
        <w:r w:rsidR="0048345E">
          <w:rPr>
            <w:webHidden/>
          </w:rPr>
          <w:t>36</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20" w:history="1">
        <w:r w:rsidR="0048345E" w:rsidRPr="00F91932">
          <w:rPr>
            <w:rStyle w:val="Hyperlink"/>
            <w:rFonts w:ascii="Times New Roman" w:hAnsi="Times New Roman"/>
          </w:rPr>
          <w:t>1.5.1.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Instructions concerning specific positions</w:t>
        </w:r>
        <w:r w:rsidR="0048345E">
          <w:rPr>
            <w:webHidden/>
          </w:rPr>
          <w:tab/>
        </w:r>
        <w:r w:rsidR="0048345E">
          <w:rPr>
            <w:webHidden/>
          </w:rPr>
          <w:fldChar w:fldCharType="begin"/>
        </w:r>
        <w:r w:rsidR="0048345E">
          <w:rPr>
            <w:webHidden/>
          </w:rPr>
          <w:instrText xml:space="preserve"> PAGEREF _Toc57831520 \h </w:instrText>
        </w:r>
        <w:r w:rsidR="0048345E">
          <w:rPr>
            <w:webHidden/>
          </w:rPr>
        </w:r>
        <w:r w:rsidR="0048345E">
          <w:rPr>
            <w:webHidden/>
          </w:rPr>
          <w:fldChar w:fldCharType="separate"/>
        </w:r>
        <w:r w:rsidR="0048345E">
          <w:rPr>
            <w:webHidden/>
          </w:rPr>
          <w:t>36</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21" w:history="1">
        <w:r w:rsidR="0048345E" w:rsidRPr="00F91932">
          <w:rPr>
            <w:rStyle w:val="Hyperlink"/>
            <w:rFonts w:ascii="Times New Roman" w:hAnsi="Times New Roman"/>
          </w:rPr>
          <w:t>1.6</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TRANSITIONAL PROVISIONS and GRANDFATHERED INSTRUMENTS: INSTRUMENTS NOT CONSTITUTING STATE AID (CA5)</w:t>
        </w:r>
        <w:r w:rsidR="0048345E">
          <w:rPr>
            <w:webHidden/>
          </w:rPr>
          <w:tab/>
        </w:r>
        <w:r w:rsidR="0048345E">
          <w:rPr>
            <w:webHidden/>
          </w:rPr>
          <w:fldChar w:fldCharType="begin"/>
        </w:r>
        <w:r w:rsidR="0048345E">
          <w:rPr>
            <w:webHidden/>
          </w:rPr>
          <w:instrText xml:space="preserve"> PAGEREF _Toc57831521 \h </w:instrText>
        </w:r>
        <w:r w:rsidR="0048345E">
          <w:rPr>
            <w:webHidden/>
          </w:rPr>
        </w:r>
        <w:r w:rsidR="0048345E">
          <w:rPr>
            <w:webHidden/>
          </w:rPr>
          <w:fldChar w:fldCharType="separate"/>
        </w:r>
        <w:r w:rsidR="0048345E">
          <w:rPr>
            <w:webHidden/>
          </w:rPr>
          <w:t>52</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22" w:history="1">
        <w:r w:rsidR="0048345E" w:rsidRPr="00F91932">
          <w:rPr>
            <w:rStyle w:val="Hyperlink"/>
            <w:rFonts w:ascii="Times New Roman" w:hAnsi="Times New Roman"/>
          </w:rPr>
          <w:t>1.6.1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General remarks</w:t>
        </w:r>
        <w:r w:rsidR="0048345E">
          <w:rPr>
            <w:webHidden/>
          </w:rPr>
          <w:tab/>
        </w:r>
        <w:r w:rsidR="0048345E">
          <w:rPr>
            <w:webHidden/>
          </w:rPr>
          <w:fldChar w:fldCharType="begin"/>
        </w:r>
        <w:r w:rsidR="0048345E">
          <w:rPr>
            <w:webHidden/>
          </w:rPr>
          <w:instrText xml:space="preserve"> PAGEREF _Toc57831522 \h </w:instrText>
        </w:r>
        <w:r w:rsidR="0048345E">
          <w:rPr>
            <w:webHidden/>
          </w:rPr>
        </w:r>
        <w:r w:rsidR="0048345E">
          <w:rPr>
            <w:webHidden/>
          </w:rPr>
          <w:fldChar w:fldCharType="separate"/>
        </w:r>
        <w:r w:rsidR="0048345E">
          <w:rPr>
            <w:webHidden/>
          </w:rPr>
          <w:t>52</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23" w:history="1">
        <w:r w:rsidR="0048345E" w:rsidRPr="00F91932">
          <w:rPr>
            <w:rStyle w:val="Hyperlink"/>
            <w:rFonts w:ascii="Times New Roman" w:hAnsi="Times New Roman"/>
          </w:rPr>
          <w:t>1.6.2.</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C 05.01 - TRANSITIONAL PROVISIONS (CA5.1)</w:t>
        </w:r>
        <w:r w:rsidR="0048345E">
          <w:rPr>
            <w:webHidden/>
          </w:rPr>
          <w:tab/>
        </w:r>
        <w:r w:rsidR="0048345E">
          <w:rPr>
            <w:webHidden/>
          </w:rPr>
          <w:fldChar w:fldCharType="begin"/>
        </w:r>
        <w:r w:rsidR="0048345E">
          <w:rPr>
            <w:webHidden/>
          </w:rPr>
          <w:instrText xml:space="preserve"> PAGEREF _Toc57831523 \h </w:instrText>
        </w:r>
        <w:r w:rsidR="0048345E">
          <w:rPr>
            <w:webHidden/>
          </w:rPr>
        </w:r>
        <w:r w:rsidR="0048345E">
          <w:rPr>
            <w:webHidden/>
          </w:rPr>
          <w:fldChar w:fldCharType="separate"/>
        </w:r>
        <w:r w:rsidR="0048345E">
          <w:rPr>
            <w:webHidden/>
          </w:rPr>
          <w:t>53</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24" w:history="1">
        <w:r w:rsidR="0048345E" w:rsidRPr="00F91932">
          <w:rPr>
            <w:rStyle w:val="Hyperlink"/>
            <w:rFonts w:ascii="Times New Roman" w:hAnsi="Times New Roman"/>
          </w:rPr>
          <w:t>1.6.2.1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Instructions concerning specific positions</w:t>
        </w:r>
        <w:r w:rsidR="0048345E">
          <w:rPr>
            <w:webHidden/>
          </w:rPr>
          <w:tab/>
        </w:r>
        <w:r w:rsidR="0048345E">
          <w:rPr>
            <w:webHidden/>
          </w:rPr>
          <w:fldChar w:fldCharType="begin"/>
        </w:r>
        <w:r w:rsidR="0048345E">
          <w:rPr>
            <w:webHidden/>
          </w:rPr>
          <w:instrText xml:space="preserve"> PAGEREF _Toc57831524 \h </w:instrText>
        </w:r>
        <w:r w:rsidR="0048345E">
          <w:rPr>
            <w:webHidden/>
          </w:rPr>
        </w:r>
        <w:r w:rsidR="0048345E">
          <w:rPr>
            <w:webHidden/>
          </w:rPr>
          <w:fldChar w:fldCharType="separate"/>
        </w:r>
        <w:r w:rsidR="0048345E">
          <w:rPr>
            <w:webHidden/>
          </w:rPr>
          <w:t>53</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25" w:history="1">
        <w:r w:rsidR="0048345E" w:rsidRPr="00F91932">
          <w:rPr>
            <w:rStyle w:val="Hyperlink"/>
            <w:rFonts w:ascii="Times New Roman" w:hAnsi="Times New Roman"/>
          </w:rPr>
          <w:t>1.6.3</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C 05.02 - GRANDFATHERED INSTRUMENTS: INSTRUMENTS NOT CONSTITUING STATE AID (CA5.2)</w:t>
        </w:r>
        <w:r w:rsidR="0048345E">
          <w:rPr>
            <w:webHidden/>
          </w:rPr>
          <w:tab/>
        </w:r>
        <w:r w:rsidR="0048345E">
          <w:rPr>
            <w:webHidden/>
          </w:rPr>
          <w:fldChar w:fldCharType="begin"/>
        </w:r>
        <w:r w:rsidR="0048345E">
          <w:rPr>
            <w:webHidden/>
          </w:rPr>
          <w:instrText xml:space="preserve"> PAGEREF _Toc57831525 \h </w:instrText>
        </w:r>
        <w:r w:rsidR="0048345E">
          <w:rPr>
            <w:webHidden/>
          </w:rPr>
        </w:r>
        <w:r w:rsidR="0048345E">
          <w:rPr>
            <w:webHidden/>
          </w:rPr>
          <w:fldChar w:fldCharType="separate"/>
        </w:r>
        <w:r w:rsidR="0048345E">
          <w:rPr>
            <w:webHidden/>
          </w:rPr>
          <w:t>58</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26" w:history="1">
        <w:r w:rsidR="0048345E" w:rsidRPr="00F91932">
          <w:rPr>
            <w:rStyle w:val="Hyperlink"/>
            <w:rFonts w:ascii="Times New Roman" w:hAnsi="Times New Roman"/>
          </w:rPr>
          <w:t>1.6.3.1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Instructions concerning specific positions</w:t>
        </w:r>
        <w:r w:rsidR="0048345E">
          <w:rPr>
            <w:webHidden/>
          </w:rPr>
          <w:tab/>
        </w:r>
        <w:r w:rsidR="0048345E">
          <w:rPr>
            <w:webHidden/>
          </w:rPr>
          <w:fldChar w:fldCharType="begin"/>
        </w:r>
        <w:r w:rsidR="0048345E">
          <w:rPr>
            <w:webHidden/>
          </w:rPr>
          <w:instrText xml:space="preserve"> PAGEREF _Toc57831526 \h </w:instrText>
        </w:r>
        <w:r w:rsidR="0048345E">
          <w:rPr>
            <w:webHidden/>
          </w:rPr>
        </w:r>
        <w:r w:rsidR="0048345E">
          <w:rPr>
            <w:webHidden/>
          </w:rPr>
          <w:fldChar w:fldCharType="separate"/>
        </w:r>
        <w:r w:rsidR="0048345E">
          <w:rPr>
            <w:webHidden/>
          </w:rPr>
          <w:t>58</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27" w:history="1">
        <w:r w:rsidR="0048345E" w:rsidRPr="00F91932">
          <w:rPr>
            <w:rStyle w:val="Hyperlink"/>
            <w:rFonts w:ascii="Times New Roman" w:hAnsi="Times New Roman"/>
          </w:rPr>
          <w:t>2.</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GROUP SOLVENCY: INFORMATION ON AFFILIATES (GS)</w:t>
        </w:r>
        <w:r w:rsidR="0048345E">
          <w:rPr>
            <w:webHidden/>
          </w:rPr>
          <w:tab/>
        </w:r>
        <w:r w:rsidR="0048345E">
          <w:rPr>
            <w:webHidden/>
          </w:rPr>
          <w:fldChar w:fldCharType="begin"/>
        </w:r>
        <w:r w:rsidR="0048345E">
          <w:rPr>
            <w:webHidden/>
          </w:rPr>
          <w:instrText xml:space="preserve"> PAGEREF _Toc57831527 \h </w:instrText>
        </w:r>
        <w:r w:rsidR="0048345E">
          <w:rPr>
            <w:webHidden/>
          </w:rPr>
        </w:r>
        <w:r w:rsidR="0048345E">
          <w:rPr>
            <w:webHidden/>
          </w:rPr>
          <w:fldChar w:fldCharType="separate"/>
        </w:r>
        <w:r w:rsidR="0048345E">
          <w:rPr>
            <w:webHidden/>
          </w:rPr>
          <w:t>61</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28" w:history="1">
        <w:r w:rsidR="0048345E" w:rsidRPr="00F91932">
          <w:rPr>
            <w:rStyle w:val="Hyperlink"/>
            <w:rFonts w:ascii="Times New Roman" w:hAnsi="Times New Roman"/>
          </w:rPr>
          <w:t>2.1.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General remarks</w:t>
        </w:r>
        <w:r w:rsidR="0048345E">
          <w:rPr>
            <w:webHidden/>
          </w:rPr>
          <w:tab/>
        </w:r>
        <w:r w:rsidR="0048345E">
          <w:rPr>
            <w:webHidden/>
          </w:rPr>
          <w:fldChar w:fldCharType="begin"/>
        </w:r>
        <w:r w:rsidR="0048345E">
          <w:rPr>
            <w:webHidden/>
          </w:rPr>
          <w:instrText xml:space="preserve"> PAGEREF _Toc57831528 \h </w:instrText>
        </w:r>
        <w:r w:rsidR="0048345E">
          <w:rPr>
            <w:webHidden/>
          </w:rPr>
        </w:r>
        <w:r w:rsidR="0048345E">
          <w:rPr>
            <w:webHidden/>
          </w:rPr>
          <w:fldChar w:fldCharType="separate"/>
        </w:r>
        <w:r w:rsidR="0048345E">
          <w:rPr>
            <w:webHidden/>
          </w:rPr>
          <w:t>61</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29" w:history="1">
        <w:r w:rsidR="0048345E" w:rsidRPr="00F91932">
          <w:rPr>
            <w:rStyle w:val="Hyperlink"/>
            <w:rFonts w:ascii="Times New Roman" w:hAnsi="Times New Roman"/>
          </w:rPr>
          <w:t>2.2.</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Detailed group solvency information</w:t>
        </w:r>
        <w:r w:rsidR="0048345E">
          <w:rPr>
            <w:webHidden/>
          </w:rPr>
          <w:tab/>
        </w:r>
        <w:r w:rsidR="0048345E">
          <w:rPr>
            <w:webHidden/>
          </w:rPr>
          <w:fldChar w:fldCharType="begin"/>
        </w:r>
        <w:r w:rsidR="0048345E">
          <w:rPr>
            <w:webHidden/>
          </w:rPr>
          <w:instrText xml:space="preserve"> PAGEREF _Toc57831529 \h </w:instrText>
        </w:r>
        <w:r w:rsidR="0048345E">
          <w:rPr>
            <w:webHidden/>
          </w:rPr>
        </w:r>
        <w:r w:rsidR="0048345E">
          <w:rPr>
            <w:webHidden/>
          </w:rPr>
          <w:fldChar w:fldCharType="separate"/>
        </w:r>
        <w:r w:rsidR="0048345E">
          <w:rPr>
            <w:webHidden/>
          </w:rPr>
          <w:t>61</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30" w:history="1">
        <w:r w:rsidR="0048345E" w:rsidRPr="00F91932">
          <w:rPr>
            <w:rStyle w:val="Hyperlink"/>
            <w:rFonts w:ascii="Times New Roman" w:hAnsi="Times New Roman"/>
          </w:rPr>
          <w:t>2.3.</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Information on the contributions of individual entities to group solvency</w:t>
        </w:r>
        <w:r w:rsidR="0048345E">
          <w:rPr>
            <w:webHidden/>
          </w:rPr>
          <w:tab/>
        </w:r>
        <w:r w:rsidR="0048345E">
          <w:rPr>
            <w:webHidden/>
          </w:rPr>
          <w:fldChar w:fldCharType="begin"/>
        </w:r>
        <w:r w:rsidR="0048345E">
          <w:rPr>
            <w:webHidden/>
          </w:rPr>
          <w:instrText xml:space="preserve"> PAGEREF _Toc57831530 \h </w:instrText>
        </w:r>
        <w:r w:rsidR="0048345E">
          <w:rPr>
            <w:webHidden/>
          </w:rPr>
        </w:r>
        <w:r w:rsidR="0048345E">
          <w:rPr>
            <w:webHidden/>
          </w:rPr>
          <w:fldChar w:fldCharType="separate"/>
        </w:r>
        <w:r w:rsidR="0048345E">
          <w:rPr>
            <w:webHidden/>
          </w:rPr>
          <w:t>62</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31" w:history="1">
        <w:r w:rsidR="0048345E" w:rsidRPr="00F91932">
          <w:rPr>
            <w:rStyle w:val="Hyperlink"/>
            <w:rFonts w:ascii="Times New Roman" w:hAnsi="Times New Roman"/>
          </w:rPr>
          <w:t>2.4.</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C 06.01 – GROUP SOLVENCY: INFORMATION ON AFFILIATES – Total (GS Total)</w:t>
        </w:r>
        <w:r w:rsidR="0048345E">
          <w:rPr>
            <w:webHidden/>
          </w:rPr>
          <w:tab/>
        </w:r>
        <w:r w:rsidR="0048345E">
          <w:rPr>
            <w:webHidden/>
          </w:rPr>
          <w:fldChar w:fldCharType="begin"/>
        </w:r>
        <w:r w:rsidR="0048345E">
          <w:rPr>
            <w:webHidden/>
          </w:rPr>
          <w:instrText xml:space="preserve"> PAGEREF _Toc57831531 \h </w:instrText>
        </w:r>
        <w:r w:rsidR="0048345E">
          <w:rPr>
            <w:webHidden/>
          </w:rPr>
        </w:r>
        <w:r w:rsidR="0048345E">
          <w:rPr>
            <w:webHidden/>
          </w:rPr>
          <w:fldChar w:fldCharType="separate"/>
        </w:r>
        <w:r w:rsidR="0048345E">
          <w:rPr>
            <w:webHidden/>
          </w:rPr>
          <w:t>63</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32" w:history="1">
        <w:r w:rsidR="0048345E" w:rsidRPr="00F91932">
          <w:rPr>
            <w:rStyle w:val="Hyperlink"/>
            <w:rFonts w:ascii="Times New Roman" w:hAnsi="Times New Roman"/>
          </w:rPr>
          <w:t>2.5.</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C 06.02 – GROUP SOLVENCY: INFORMATION ON AFFILIATES (GS)</w:t>
        </w:r>
        <w:r w:rsidR="0048345E">
          <w:rPr>
            <w:webHidden/>
          </w:rPr>
          <w:tab/>
        </w:r>
        <w:r w:rsidR="0048345E">
          <w:rPr>
            <w:webHidden/>
          </w:rPr>
          <w:fldChar w:fldCharType="begin"/>
        </w:r>
        <w:r w:rsidR="0048345E">
          <w:rPr>
            <w:webHidden/>
          </w:rPr>
          <w:instrText xml:space="preserve"> PAGEREF _Toc57831532 \h </w:instrText>
        </w:r>
        <w:r w:rsidR="0048345E">
          <w:rPr>
            <w:webHidden/>
          </w:rPr>
        </w:r>
        <w:r w:rsidR="0048345E">
          <w:rPr>
            <w:webHidden/>
          </w:rPr>
          <w:fldChar w:fldCharType="separate"/>
        </w:r>
        <w:r w:rsidR="0048345E">
          <w:rPr>
            <w:webHidden/>
          </w:rPr>
          <w:t>63</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33" w:history="1">
        <w:r w:rsidR="0048345E" w:rsidRPr="00F91932">
          <w:rPr>
            <w:rStyle w:val="Hyperlink"/>
            <w:rFonts w:ascii="Times New Roman" w:hAnsi="Times New Roman"/>
          </w:rPr>
          <w:t>3.</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Credit Risk Templates</w:t>
        </w:r>
        <w:r w:rsidR="0048345E">
          <w:rPr>
            <w:webHidden/>
          </w:rPr>
          <w:tab/>
        </w:r>
        <w:r w:rsidR="0048345E">
          <w:rPr>
            <w:webHidden/>
          </w:rPr>
          <w:fldChar w:fldCharType="begin"/>
        </w:r>
        <w:r w:rsidR="0048345E">
          <w:rPr>
            <w:webHidden/>
          </w:rPr>
          <w:instrText xml:space="preserve"> PAGEREF _Toc57831533 \h </w:instrText>
        </w:r>
        <w:r w:rsidR="0048345E">
          <w:rPr>
            <w:webHidden/>
          </w:rPr>
        </w:r>
        <w:r w:rsidR="0048345E">
          <w:rPr>
            <w:webHidden/>
          </w:rPr>
          <w:fldChar w:fldCharType="separate"/>
        </w:r>
        <w:r w:rsidR="0048345E">
          <w:rPr>
            <w:webHidden/>
          </w:rPr>
          <w:t>71</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34" w:history="1">
        <w:r w:rsidR="0048345E" w:rsidRPr="00F91932">
          <w:rPr>
            <w:rStyle w:val="Hyperlink"/>
            <w:rFonts w:ascii="Times New Roman" w:hAnsi="Times New Roman"/>
          </w:rPr>
          <w:t>3.1.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General remarks</w:t>
        </w:r>
        <w:r w:rsidR="0048345E">
          <w:rPr>
            <w:webHidden/>
          </w:rPr>
          <w:tab/>
        </w:r>
        <w:r w:rsidR="0048345E">
          <w:rPr>
            <w:webHidden/>
          </w:rPr>
          <w:fldChar w:fldCharType="begin"/>
        </w:r>
        <w:r w:rsidR="0048345E">
          <w:rPr>
            <w:webHidden/>
          </w:rPr>
          <w:instrText xml:space="preserve"> PAGEREF _Toc57831534 \h </w:instrText>
        </w:r>
        <w:r w:rsidR="0048345E">
          <w:rPr>
            <w:webHidden/>
          </w:rPr>
        </w:r>
        <w:r w:rsidR="0048345E">
          <w:rPr>
            <w:webHidden/>
          </w:rPr>
          <w:fldChar w:fldCharType="separate"/>
        </w:r>
        <w:r w:rsidR="0048345E">
          <w:rPr>
            <w:webHidden/>
          </w:rPr>
          <w:t>71</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35" w:history="1">
        <w:r w:rsidR="0048345E" w:rsidRPr="00F91932">
          <w:rPr>
            <w:rStyle w:val="Hyperlink"/>
            <w:rFonts w:ascii="Times New Roman" w:hAnsi="Times New Roman"/>
          </w:rPr>
          <w:t>3.1.1.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Reporting of CRM techniques with substitution effect</w:t>
        </w:r>
        <w:r w:rsidR="0048345E">
          <w:rPr>
            <w:webHidden/>
          </w:rPr>
          <w:tab/>
        </w:r>
        <w:r w:rsidR="0048345E">
          <w:rPr>
            <w:webHidden/>
          </w:rPr>
          <w:fldChar w:fldCharType="begin"/>
        </w:r>
        <w:r w:rsidR="0048345E">
          <w:rPr>
            <w:webHidden/>
          </w:rPr>
          <w:instrText xml:space="preserve"> PAGEREF _Toc57831535 \h </w:instrText>
        </w:r>
        <w:r w:rsidR="0048345E">
          <w:rPr>
            <w:webHidden/>
          </w:rPr>
        </w:r>
        <w:r w:rsidR="0048345E">
          <w:rPr>
            <w:webHidden/>
          </w:rPr>
          <w:fldChar w:fldCharType="separate"/>
        </w:r>
        <w:r w:rsidR="0048345E">
          <w:rPr>
            <w:webHidden/>
          </w:rPr>
          <w:t>71</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36" w:history="1">
        <w:r w:rsidR="0048345E" w:rsidRPr="00F91932">
          <w:rPr>
            <w:rStyle w:val="Hyperlink"/>
            <w:rFonts w:ascii="Times New Roman" w:hAnsi="Times New Roman"/>
          </w:rPr>
          <w:t>3.1.2.</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Reporting of Counterparty Credit Risk</w:t>
        </w:r>
        <w:r w:rsidR="0048345E">
          <w:rPr>
            <w:webHidden/>
          </w:rPr>
          <w:tab/>
        </w:r>
        <w:r w:rsidR="0048345E">
          <w:rPr>
            <w:webHidden/>
          </w:rPr>
          <w:fldChar w:fldCharType="begin"/>
        </w:r>
        <w:r w:rsidR="0048345E">
          <w:rPr>
            <w:webHidden/>
          </w:rPr>
          <w:instrText xml:space="preserve"> PAGEREF _Toc57831536 \h </w:instrText>
        </w:r>
        <w:r w:rsidR="0048345E">
          <w:rPr>
            <w:webHidden/>
          </w:rPr>
        </w:r>
        <w:r w:rsidR="0048345E">
          <w:rPr>
            <w:webHidden/>
          </w:rPr>
          <w:fldChar w:fldCharType="separate"/>
        </w:r>
        <w:r w:rsidR="0048345E">
          <w:rPr>
            <w:webHidden/>
          </w:rPr>
          <w:t>72</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37" w:history="1">
        <w:r w:rsidR="0048345E" w:rsidRPr="00F91932">
          <w:rPr>
            <w:rStyle w:val="Hyperlink"/>
            <w:rFonts w:ascii="Times New Roman" w:hAnsi="Times New Roman"/>
          </w:rPr>
          <w:t>3.2.</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C 07.00 - Credit and counterparty credit risks and free deliveries: Standardised approach to Capital Requirements (CR SA)</w:t>
        </w:r>
        <w:r w:rsidR="0048345E">
          <w:rPr>
            <w:webHidden/>
          </w:rPr>
          <w:tab/>
        </w:r>
        <w:r w:rsidR="0048345E">
          <w:rPr>
            <w:webHidden/>
          </w:rPr>
          <w:fldChar w:fldCharType="begin"/>
        </w:r>
        <w:r w:rsidR="0048345E">
          <w:rPr>
            <w:webHidden/>
          </w:rPr>
          <w:instrText xml:space="preserve"> PAGEREF _Toc57831537 \h </w:instrText>
        </w:r>
        <w:r w:rsidR="0048345E">
          <w:rPr>
            <w:webHidden/>
          </w:rPr>
        </w:r>
        <w:r w:rsidR="0048345E">
          <w:rPr>
            <w:webHidden/>
          </w:rPr>
          <w:fldChar w:fldCharType="separate"/>
        </w:r>
        <w:r w:rsidR="0048345E">
          <w:rPr>
            <w:webHidden/>
          </w:rPr>
          <w:t>72</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38" w:history="1">
        <w:r w:rsidR="0048345E" w:rsidRPr="00F91932">
          <w:rPr>
            <w:rStyle w:val="Hyperlink"/>
            <w:rFonts w:ascii="Times New Roman" w:hAnsi="Times New Roman"/>
          </w:rPr>
          <w:t>3.2.1.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General remarks</w:t>
        </w:r>
        <w:r w:rsidR="0048345E">
          <w:rPr>
            <w:webHidden/>
          </w:rPr>
          <w:tab/>
        </w:r>
        <w:r w:rsidR="0048345E">
          <w:rPr>
            <w:webHidden/>
          </w:rPr>
          <w:fldChar w:fldCharType="begin"/>
        </w:r>
        <w:r w:rsidR="0048345E">
          <w:rPr>
            <w:webHidden/>
          </w:rPr>
          <w:instrText xml:space="preserve"> PAGEREF _Toc57831538 \h </w:instrText>
        </w:r>
        <w:r w:rsidR="0048345E">
          <w:rPr>
            <w:webHidden/>
          </w:rPr>
        </w:r>
        <w:r w:rsidR="0048345E">
          <w:rPr>
            <w:webHidden/>
          </w:rPr>
          <w:fldChar w:fldCharType="separate"/>
        </w:r>
        <w:r w:rsidR="0048345E">
          <w:rPr>
            <w:webHidden/>
          </w:rPr>
          <w:t>72</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39" w:history="1">
        <w:r w:rsidR="0048345E" w:rsidRPr="00F91932">
          <w:rPr>
            <w:rStyle w:val="Hyperlink"/>
            <w:rFonts w:ascii="Times New Roman" w:hAnsi="Times New Roman"/>
          </w:rPr>
          <w:t>3.2.2.</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Scope of the CR SA template</w:t>
        </w:r>
        <w:r w:rsidR="0048345E">
          <w:rPr>
            <w:webHidden/>
          </w:rPr>
          <w:tab/>
        </w:r>
        <w:r w:rsidR="0048345E">
          <w:rPr>
            <w:webHidden/>
          </w:rPr>
          <w:fldChar w:fldCharType="begin"/>
        </w:r>
        <w:r w:rsidR="0048345E">
          <w:rPr>
            <w:webHidden/>
          </w:rPr>
          <w:instrText xml:space="preserve"> PAGEREF _Toc57831539 \h </w:instrText>
        </w:r>
        <w:r w:rsidR="0048345E">
          <w:rPr>
            <w:webHidden/>
          </w:rPr>
        </w:r>
        <w:r w:rsidR="0048345E">
          <w:rPr>
            <w:webHidden/>
          </w:rPr>
          <w:fldChar w:fldCharType="separate"/>
        </w:r>
        <w:r w:rsidR="0048345E">
          <w:rPr>
            <w:webHidden/>
          </w:rPr>
          <w:t>72</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40" w:history="1">
        <w:r w:rsidR="0048345E" w:rsidRPr="00F91932">
          <w:rPr>
            <w:rStyle w:val="Hyperlink"/>
            <w:rFonts w:ascii="Times New Roman" w:hAnsi="Times New Roman"/>
          </w:rPr>
          <w:t>3.2.3.</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 xml:space="preserve"> Assignment of exposures to exposure classes under the Standardised approach</w:t>
        </w:r>
        <w:r w:rsidR="0048345E">
          <w:rPr>
            <w:webHidden/>
          </w:rPr>
          <w:tab/>
        </w:r>
        <w:r w:rsidR="0048345E">
          <w:rPr>
            <w:webHidden/>
          </w:rPr>
          <w:fldChar w:fldCharType="begin"/>
        </w:r>
        <w:r w:rsidR="0048345E">
          <w:rPr>
            <w:webHidden/>
          </w:rPr>
          <w:instrText xml:space="preserve"> PAGEREF _Toc57831540 \h </w:instrText>
        </w:r>
        <w:r w:rsidR="0048345E">
          <w:rPr>
            <w:webHidden/>
          </w:rPr>
        </w:r>
        <w:r w:rsidR="0048345E">
          <w:rPr>
            <w:webHidden/>
          </w:rPr>
          <w:fldChar w:fldCharType="separate"/>
        </w:r>
        <w:r w:rsidR="0048345E">
          <w:rPr>
            <w:webHidden/>
          </w:rPr>
          <w:t>74</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41" w:history="1">
        <w:r w:rsidR="0048345E" w:rsidRPr="00F91932">
          <w:rPr>
            <w:rStyle w:val="Hyperlink"/>
            <w:rFonts w:ascii="Times New Roman" w:hAnsi="Times New Roman"/>
          </w:rPr>
          <w:t>3.2.4.</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Clarifications on the scope of some specific exposure classes referred to in Article 112 CRR</w:t>
        </w:r>
        <w:r w:rsidR="0048345E">
          <w:rPr>
            <w:webHidden/>
          </w:rPr>
          <w:tab/>
        </w:r>
        <w:r w:rsidR="0048345E">
          <w:rPr>
            <w:webHidden/>
          </w:rPr>
          <w:fldChar w:fldCharType="begin"/>
        </w:r>
        <w:r w:rsidR="0048345E">
          <w:rPr>
            <w:webHidden/>
          </w:rPr>
          <w:instrText xml:space="preserve"> PAGEREF _Toc57831541 \h </w:instrText>
        </w:r>
        <w:r w:rsidR="0048345E">
          <w:rPr>
            <w:webHidden/>
          </w:rPr>
        </w:r>
        <w:r w:rsidR="0048345E">
          <w:rPr>
            <w:webHidden/>
          </w:rPr>
          <w:fldChar w:fldCharType="separate"/>
        </w:r>
        <w:r w:rsidR="0048345E">
          <w:rPr>
            <w:webHidden/>
          </w:rPr>
          <w:t>79</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42" w:history="1">
        <w:r w:rsidR="0048345E" w:rsidRPr="00F91932">
          <w:rPr>
            <w:rStyle w:val="Hyperlink"/>
            <w:rFonts w:ascii="Times New Roman" w:hAnsi="Times New Roman"/>
          </w:rPr>
          <w:t>3.2.4.1.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Exposure Class “Institutions”</w:t>
        </w:r>
        <w:r w:rsidR="0048345E">
          <w:rPr>
            <w:webHidden/>
          </w:rPr>
          <w:tab/>
        </w:r>
        <w:r w:rsidR="0048345E">
          <w:rPr>
            <w:webHidden/>
          </w:rPr>
          <w:fldChar w:fldCharType="begin"/>
        </w:r>
        <w:r w:rsidR="0048345E">
          <w:rPr>
            <w:webHidden/>
          </w:rPr>
          <w:instrText xml:space="preserve"> PAGEREF _Toc57831542 \h </w:instrText>
        </w:r>
        <w:r w:rsidR="0048345E">
          <w:rPr>
            <w:webHidden/>
          </w:rPr>
        </w:r>
        <w:r w:rsidR="0048345E">
          <w:rPr>
            <w:webHidden/>
          </w:rPr>
          <w:fldChar w:fldCharType="separate"/>
        </w:r>
        <w:r w:rsidR="0048345E">
          <w:rPr>
            <w:webHidden/>
          </w:rPr>
          <w:t>79</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43" w:history="1">
        <w:r w:rsidR="0048345E" w:rsidRPr="00F91932">
          <w:rPr>
            <w:rStyle w:val="Hyperlink"/>
            <w:rFonts w:ascii="Times New Roman" w:hAnsi="Times New Roman"/>
          </w:rPr>
          <w:t>3.2.4.2.</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Exposure Class “Covered Bonds”</w:t>
        </w:r>
        <w:r w:rsidR="0048345E">
          <w:rPr>
            <w:webHidden/>
          </w:rPr>
          <w:tab/>
        </w:r>
        <w:r w:rsidR="0048345E">
          <w:rPr>
            <w:webHidden/>
          </w:rPr>
          <w:fldChar w:fldCharType="begin"/>
        </w:r>
        <w:r w:rsidR="0048345E">
          <w:rPr>
            <w:webHidden/>
          </w:rPr>
          <w:instrText xml:space="preserve"> PAGEREF _Toc57831543 \h </w:instrText>
        </w:r>
        <w:r w:rsidR="0048345E">
          <w:rPr>
            <w:webHidden/>
          </w:rPr>
        </w:r>
        <w:r w:rsidR="0048345E">
          <w:rPr>
            <w:webHidden/>
          </w:rPr>
          <w:fldChar w:fldCharType="separate"/>
        </w:r>
        <w:r w:rsidR="0048345E">
          <w:rPr>
            <w:webHidden/>
          </w:rPr>
          <w:t>79</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44" w:history="1">
        <w:r w:rsidR="0048345E" w:rsidRPr="00F91932">
          <w:rPr>
            <w:rStyle w:val="Hyperlink"/>
            <w:rFonts w:ascii="Times New Roman" w:hAnsi="Times New Roman"/>
          </w:rPr>
          <w:t>3.2.4.3.</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Exposure class “Collective Investment Undertakings”</w:t>
        </w:r>
        <w:r w:rsidR="0048345E">
          <w:rPr>
            <w:webHidden/>
          </w:rPr>
          <w:tab/>
        </w:r>
        <w:r w:rsidR="0048345E">
          <w:rPr>
            <w:webHidden/>
          </w:rPr>
          <w:fldChar w:fldCharType="begin"/>
        </w:r>
        <w:r w:rsidR="0048345E">
          <w:rPr>
            <w:webHidden/>
          </w:rPr>
          <w:instrText xml:space="preserve"> PAGEREF _Toc57831544 \h </w:instrText>
        </w:r>
        <w:r w:rsidR="0048345E">
          <w:rPr>
            <w:webHidden/>
          </w:rPr>
        </w:r>
        <w:r w:rsidR="0048345E">
          <w:rPr>
            <w:webHidden/>
          </w:rPr>
          <w:fldChar w:fldCharType="separate"/>
        </w:r>
        <w:r w:rsidR="0048345E">
          <w:rPr>
            <w:webHidden/>
          </w:rPr>
          <w:t>79</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45" w:history="1">
        <w:r w:rsidR="0048345E" w:rsidRPr="00F91932">
          <w:rPr>
            <w:rStyle w:val="Hyperlink"/>
            <w:rFonts w:ascii="Times New Roman" w:hAnsi="Times New Roman"/>
          </w:rPr>
          <w:t>3.2.5.</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Instructions concerning specific positions</w:t>
        </w:r>
        <w:r w:rsidR="0048345E">
          <w:rPr>
            <w:webHidden/>
          </w:rPr>
          <w:tab/>
        </w:r>
        <w:r w:rsidR="0048345E">
          <w:rPr>
            <w:webHidden/>
          </w:rPr>
          <w:fldChar w:fldCharType="begin"/>
        </w:r>
        <w:r w:rsidR="0048345E">
          <w:rPr>
            <w:webHidden/>
          </w:rPr>
          <w:instrText xml:space="preserve"> PAGEREF _Toc57831545 \h </w:instrText>
        </w:r>
        <w:r w:rsidR="0048345E">
          <w:rPr>
            <w:webHidden/>
          </w:rPr>
        </w:r>
        <w:r w:rsidR="0048345E">
          <w:rPr>
            <w:webHidden/>
          </w:rPr>
          <w:fldChar w:fldCharType="separate"/>
        </w:r>
        <w:r w:rsidR="0048345E">
          <w:rPr>
            <w:webHidden/>
          </w:rPr>
          <w:t>80</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46" w:history="1">
        <w:r w:rsidR="0048345E" w:rsidRPr="00F91932">
          <w:rPr>
            <w:rStyle w:val="Hyperlink"/>
            <w:rFonts w:ascii="Times New Roman" w:hAnsi="Times New Roman"/>
          </w:rPr>
          <w:t>3.3.</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Credit and counterparty credit risks and free deliveries: IRB approach to Own funds Requirements (CR IRB)</w:t>
        </w:r>
        <w:r w:rsidR="0048345E">
          <w:rPr>
            <w:webHidden/>
          </w:rPr>
          <w:tab/>
        </w:r>
        <w:r w:rsidR="0048345E">
          <w:rPr>
            <w:webHidden/>
          </w:rPr>
          <w:fldChar w:fldCharType="begin"/>
        </w:r>
        <w:r w:rsidR="0048345E">
          <w:rPr>
            <w:webHidden/>
          </w:rPr>
          <w:instrText xml:space="preserve"> PAGEREF _Toc57831546 \h </w:instrText>
        </w:r>
        <w:r w:rsidR="0048345E">
          <w:rPr>
            <w:webHidden/>
          </w:rPr>
        </w:r>
        <w:r w:rsidR="0048345E">
          <w:rPr>
            <w:webHidden/>
          </w:rPr>
          <w:fldChar w:fldCharType="separate"/>
        </w:r>
        <w:r w:rsidR="0048345E">
          <w:rPr>
            <w:webHidden/>
          </w:rPr>
          <w:t>88</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47" w:history="1">
        <w:r w:rsidR="0048345E" w:rsidRPr="00F91932">
          <w:rPr>
            <w:rStyle w:val="Hyperlink"/>
            <w:rFonts w:ascii="Times New Roman" w:hAnsi="Times New Roman"/>
          </w:rPr>
          <w:t>3.3.1.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Scope of the CR IRB template</w:t>
        </w:r>
        <w:r w:rsidR="0048345E">
          <w:rPr>
            <w:webHidden/>
          </w:rPr>
          <w:tab/>
        </w:r>
        <w:r w:rsidR="0048345E">
          <w:rPr>
            <w:webHidden/>
          </w:rPr>
          <w:fldChar w:fldCharType="begin"/>
        </w:r>
        <w:r w:rsidR="0048345E">
          <w:rPr>
            <w:webHidden/>
          </w:rPr>
          <w:instrText xml:space="preserve"> PAGEREF _Toc57831547 \h </w:instrText>
        </w:r>
        <w:r w:rsidR="0048345E">
          <w:rPr>
            <w:webHidden/>
          </w:rPr>
        </w:r>
        <w:r w:rsidR="0048345E">
          <w:rPr>
            <w:webHidden/>
          </w:rPr>
          <w:fldChar w:fldCharType="separate"/>
        </w:r>
        <w:r w:rsidR="0048345E">
          <w:rPr>
            <w:webHidden/>
          </w:rPr>
          <w:t>88</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48" w:history="1">
        <w:r w:rsidR="0048345E" w:rsidRPr="00F91932">
          <w:rPr>
            <w:rStyle w:val="Hyperlink"/>
            <w:rFonts w:ascii="Times New Roman" w:hAnsi="Times New Roman"/>
          </w:rPr>
          <w:t>3.3.2.</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Breakdown of the CR IRB template</w:t>
        </w:r>
        <w:r w:rsidR="0048345E">
          <w:rPr>
            <w:webHidden/>
          </w:rPr>
          <w:tab/>
        </w:r>
        <w:r w:rsidR="0048345E">
          <w:rPr>
            <w:webHidden/>
          </w:rPr>
          <w:fldChar w:fldCharType="begin"/>
        </w:r>
        <w:r w:rsidR="0048345E">
          <w:rPr>
            <w:webHidden/>
          </w:rPr>
          <w:instrText xml:space="preserve"> PAGEREF _Toc57831548 \h </w:instrText>
        </w:r>
        <w:r w:rsidR="0048345E">
          <w:rPr>
            <w:webHidden/>
          </w:rPr>
        </w:r>
        <w:r w:rsidR="0048345E">
          <w:rPr>
            <w:webHidden/>
          </w:rPr>
          <w:fldChar w:fldCharType="separate"/>
        </w:r>
        <w:r w:rsidR="0048345E">
          <w:rPr>
            <w:webHidden/>
          </w:rPr>
          <w:t>89</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49" w:history="1">
        <w:r w:rsidR="0048345E" w:rsidRPr="00F91932">
          <w:rPr>
            <w:rStyle w:val="Hyperlink"/>
            <w:rFonts w:ascii="Times New Roman" w:hAnsi="Times New Roman"/>
          </w:rPr>
          <w:t>3.3.3.</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C 08.01 - Credit and counterparty credit risks and free deliveries: IRB approach to Capital Requirements (CR IRB 1)</w:t>
        </w:r>
        <w:r w:rsidR="0048345E">
          <w:rPr>
            <w:webHidden/>
          </w:rPr>
          <w:tab/>
        </w:r>
        <w:r w:rsidR="0048345E">
          <w:rPr>
            <w:webHidden/>
          </w:rPr>
          <w:fldChar w:fldCharType="begin"/>
        </w:r>
        <w:r w:rsidR="0048345E">
          <w:rPr>
            <w:webHidden/>
          </w:rPr>
          <w:instrText xml:space="preserve"> PAGEREF _Toc57831549 \h </w:instrText>
        </w:r>
        <w:r w:rsidR="0048345E">
          <w:rPr>
            <w:webHidden/>
          </w:rPr>
        </w:r>
        <w:r w:rsidR="0048345E">
          <w:rPr>
            <w:webHidden/>
          </w:rPr>
          <w:fldChar w:fldCharType="separate"/>
        </w:r>
        <w:r w:rsidR="0048345E">
          <w:rPr>
            <w:webHidden/>
          </w:rPr>
          <w:t>90</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50" w:history="1">
        <w:r w:rsidR="0048345E" w:rsidRPr="00F91932">
          <w:rPr>
            <w:rStyle w:val="Hyperlink"/>
            <w:rFonts w:ascii="Times New Roman" w:hAnsi="Times New Roman"/>
          </w:rPr>
          <w:t>3.3.3.1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Instructions concerning specific positions</w:t>
        </w:r>
        <w:r w:rsidR="0048345E">
          <w:rPr>
            <w:webHidden/>
          </w:rPr>
          <w:tab/>
        </w:r>
        <w:r w:rsidR="0048345E">
          <w:rPr>
            <w:webHidden/>
          </w:rPr>
          <w:fldChar w:fldCharType="begin"/>
        </w:r>
        <w:r w:rsidR="0048345E">
          <w:rPr>
            <w:webHidden/>
          </w:rPr>
          <w:instrText xml:space="preserve"> PAGEREF _Toc57831550 \h </w:instrText>
        </w:r>
        <w:r w:rsidR="0048345E">
          <w:rPr>
            <w:webHidden/>
          </w:rPr>
        </w:r>
        <w:r w:rsidR="0048345E">
          <w:rPr>
            <w:webHidden/>
          </w:rPr>
          <w:fldChar w:fldCharType="separate"/>
        </w:r>
        <w:r w:rsidR="0048345E">
          <w:rPr>
            <w:webHidden/>
          </w:rPr>
          <w:t>90</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51" w:history="1">
        <w:r w:rsidR="0048345E" w:rsidRPr="00F91932">
          <w:rPr>
            <w:rStyle w:val="Hyperlink"/>
            <w:rFonts w:ascii="Times New Roman" w:hAnsi="Times New Roman"/>
          </w:rPr>
          <w:t>3.3.4.</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C 08.02 - Credit and counterparty credit risks and free deliveries: IRB approach to capital requirements: breakdown by obligor grades or pools (CR IRB 2 template)</w:t>
        </w:r>
        <w:r w:rsidR="0048345E">
          <w:rPr>
            <w:webHidden/>
          </w:rPr>
          <w:tab/>
        </w:r>
        <w:r w:rsidR="0048345E">
          <w:rPr>
            <w:webHidden/>
          </w:rPr>
          <w:fldChar w:fldCharType="begin"/>
        </w:r>
        <w:r w:rsidR="0048345E">
          <w:rPr>
            <w:webHidden/>
          </w:rPr>
          <w:instrText xml:space="preserve"> PAGEREF _Toc57831551 \h </w:instrText>
        </w:r>
        <w:r w:rsidR="0048345E">
          <w:rPr>
            <w:webHidden/>
          </w:rPr>
        </w:r>
        <w:r w:rsidR="0048345E">
          <w:rPr>
            <w:webHidden/>
          </w:rPr>
          <w:fldChar w:fldCharType="separate"/>
        </w:r>
        <w:r w:rsidR="0048345E">
          <w:rPr>
            <w:webHidden/>
          </w:rPr>
          <w:t>100</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52" w:history="1">
        <w:r w:rsidR="0048345E" w:rsidRPr="00F91932">
          <w:rPr>
            <w:rStyle w:val="Hyperlink"/>
            <w:rFonts w:ascii="Times New Roman" w:hAnsi="Times New Roman"/>
          </w:rPr>
          <w:t>3.3.1.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C 08.03 - Credit risk and free deliveries: IRB approach to Capital Requirements (breakdown by PD ranges (CR IRB 3))</w:t>
        </w:r>
        <w:r w:rsidR="0048345E">
          <w:rPr>
            <w:webHidden/>
          </w:rPr>
          <w:tab/>
        </w:r>
        <w:r w:rsidR="0048345E">
          <w:rPr>
            <w:webHidden/>
          </w:rPr>
          <w:fldChar w:fldCharType="begin"/>
        </w:r>
        <w:r w:rsidR="0048345E">
          <w:rPr>
            <w:webHidden/>
          </w:rPr>
          <w:instrText xml:space="preserve"> PAGEREF _Toc57831552 \h </w:instrText>
        </w:r>
        <w:r w:rsidR="0048345E">
          <w:rPr>
            <w:webHidden/>
          </w:rPr>
        </w:r>
        <w:r w:rsidR="0048345E">
          <w:rPr>
            <w:webHidden/>
          </w:rPr>
          <w:fldChar w:fldCharType="separate"/>
        </w:r>
        <w:r w:rsidR="0048345E">
          <w:rPr>
            <w:webHidden/>
          </w:rPr>
          <w:t>101</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53" w:history="1">
        <w:r w:rsidR="0048345E" w:rsidRPr="00F91932">
          <w:rPr>
            <w:rStyle w:val="Hyperlink"/>
            <w:rFonts w:ascii="Times New Roman" w:hAnsi="Times New Roman"/>
          </w:rPr>
          <w:t>3.3.1.1.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General remarks</w:t>
        </w:r>
        <w:r w:rsidR="0048345E">
          <w:rPr>
            <w:webHidden/>
          </w:rPr>
          <w:tab/>
        </w:r>
        <w:r w:rsidR="0048345E">
          <w:rPr>
            <w:webHidden/>
          </w:rPr>
          <w:fldChar w:fldCharType="begin"/>
        </w:r>
        <w:r w:rsidR="0048345E">
          <w:rPr>
            <w:webHidden/>
          </w:rPr>
          <w:instrText xml:space="preserve"> PAGEREF _Toc57831553 \h </w:instrText>
        </w:r>
        <w:r w:rsidR="0048345E">
          <w:rPr>
            <w:webHidden/>
          </w:rPr>
        </w:r>
        <w:r w:rsidR="0048345E">
          <w:rPr>
            <w:webHidden/>
          </w:rPr>
          <w:fldChar w:fldCharType="separate"/>
        </w:r>
        <w:r w:rsidR="0048345E">
          <w:rPr>
            <w:webHidden/>
          </w:rPr>
          <w:t>101</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54" w:history="1">
        <w:r w:rsidR="0048345E" w:rsidRPr="00F91932">
          <w:rPr>
            <w:rStyle w:val="Hyperlink"/>
            <w:rFonts w:ascii="Times New Roman" w:hAnsi="Times New Roman"/>
          </w:rPr>
          <w:t>3.3.1.2.</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Instructions concerning specific positions</w:t>
        </w:r>
        <w:r w:rsidR="0048345E">
          <w:rPr>
            <w:webHidden/>
          </w:rPr>
          <w:tab/>
        </w:r>
        <w:r w:rsidR="0048345E">
          <w:rPr>
            <w:webHidden/>
          </w:rPr>
          <w:fldChar w:fldCharType="begin"/>
        </w:r>
        <w:r w:rsidR="0048345E">
          <w:rPr>
            <w:webHidden/>
          </w:rPr>
          <w:instrText xml:space="preserve"> PAGEREF _Toc57831554 \h </w:instrText>
        </w:r>
        <w:r w:rsidR="0048345E">
          <w:rPr>
            <w:webHidden/>
          </w:rPr>
        </w:r>
        <w:r w:rsidR="0048345E">
          <w:rPr>
            <w:webHidden/>
          </w:rPr>
          <w:fldChar w:fldCharType="separate"/>
        </w:r>
        <w:r w:rsidR="0048345E">
          <w:rPr>
            <w:webHidden/>
          </w:rPr>
          <w:t>101</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55" w:history="1">
        <w:r w:rsidR="0048345E" w:rsidRPr="00F91932">
          <w:rPr>
            <w:rStyle w:val="Hyperlink"/>
            <w:rFonts w:ascii="Times New Roman" w:hAnsi="Times New Roman"/>
          </w:rPr>
          <w:t>3.3.2.</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C 08.04 - Credit risk and free deliveries: IRB approach to Capital Requirements (RWEA flow statements (CR IRB 4))</w:t>
        </w:r>
        <w:r w:rsidR="0048345E">
          <w:rPr>
            <w:webHidden/>
          </w:rPr>
          <w:tab/>
        </w:r>
        <w:r w:rsidR="0048345E">
          <w:rPr>
            <w:webHidden/>
          </w:rPr>
          <w:fldChar w:fldCharType="begin"/>
        </w:r>
        <w:r w:rsidR="0048345E">
          <w:rPr>
            <w:webHidden/>
          </w:rPr>
          <w:instrText xml:space="preserve"> PAGEREF _Toc57831555 \h </w:instrText>
        </w:r>
        <w:r w:rsidR="0048345E">
          <w:rPr>
            <w:webHidden/>
          </w:rPr>
        </w:r>
        <w:r w:rsidR="0048345E">
          <w:rPr>
            <w:webHidden/>
          </w:rPr>
          <w:fldChar w:fldCharType="separate"/>
        </w:r>
        <w:r w:rsidR="0048345E">
          <w:rPr>
            <w:webHidden/>
          </w:rPr>
          <w:t>103</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56" w:history="1">
        <w:r w:rsidR="0048345E" w:rsidRPr="00F91932">
          <w:rPr>
            <w:rStyle w:val="Hyperlink"/>
            <w:rFonts w:ascii="Times New Roman" w:hAnsi="Times New Roman"/>
          </w:rPr>
          <w:t>3.3.2.1.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General remarks</w:t>
        </w:r>
        <w:r w:rsidR="0048345E">
          <w:rPr>
            <w:webHidden/>
          </w:rPr>
          <w:tab/>
        </w:r>
        <w:r w:rsidR="0048345E">
          <w:rPr>
            <w:webHidden/>
          </w:rPr>
          <w:fldChar w:fldCharType="begin"/>
        </w:r>
        <w:r w:rsidR="0048345E">
          <w:rPr>
            <w:webHidden/>
          </w:rPr>
          <w:instrText xml:space="preserve"> PAGEREF _Toc57831556 \h </w:instrText>
        </w:r>
        <w:r w:rsidR="0048345E">
          <w:rPr>
            <w:webHidden/>
          </w:rPr>
        </w:r>
        <w:r w:rsidR="0048345E">
          <w:rPr>
            <w:webHidden/>
          </w:rPr>
          <w:fldChar w:fldCharType="separate"/>
        </w:r>
        <w:r w:rsidR="0048345E">
          <w:rPr>
            <w:webHidden/>
          </w:rPr>
          <w:t>103</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57" w:history="1">
        <w:r w:rsidR="0048345E" w:rsidRPr="00F91932">
          <w:rPr>
            <w:rStyle w:val="Hyperlink"/>
            <w:rFonts w:ascii="Times New Roman" w:hAnsi="Times New Roman"/>
          </w:rPr>
          <w:t>3.3.2.2.</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Instructions concerning specific positions</w:t>
        </w:r>
        <w:r w:rsidR="0048345E">
          <w:rPr>
            <w:webHidden/>
          </w:rPr>
          <w:tab/>
        </w:r>
        <w:r w:rsidR="0048345E">
          <w:rPr>
            <w:webHidden/>
          </w:rPr>
          <w:fldChar w:fldCharType="begin"/>
        </w:r>
        <w:r w:rsidR="0048345E">
          <w:rPr>
            <w:webHidden/>
          </w:rPr>
          <w:instrText xml:space="preserve"> PAGEREF _Toc57831557 \h </w:instrText>
        </w:r>
        <w:r w:rsidR="0048345E">
          <w:rPr>
            <w:webHidden/>
          </w:rPr>
        </w:r>
        <w:r w:rsidR="0048345E">
          <w:rPr>
            <w:webHidden/>
          </w:rPr>
          <w:fldChar w:fldCharType="separate"/>
        </w:r>
        <w:r w:rsidR="0048345E">
          <w:rPr>
            <w:webHidden/>
          </w:rPr>
          <w:t>103</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58" w:history="1">
        <w:r w:rsidR="0048345E" w:rsidRPr="00F91932">
          <w:rPr>
            <w:rStyle w:val="Hyperlink"/>
            <w:rFonts w:ascii="Times New Roman" w:hAnsi="Times New Roman"/>
          </w:rPr>
          <w:t>3.3.3.</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C 08.05 - Credit risk and free deliveries: IRB approach to Capital Requirements (Back-testing of PD (CR IRB 5))</w:t>
        </w:r>
        <w:r w:rsidR="0048345E">
          <w:rPr>
            <w:webHidden/>
          </w:rPr>
          <w:tab/>
        </w:r>
        <w:r w:rsidR="0048345E">
          <w:rPr>
            <w:webHidden/>
          </w:rPr>
          <w:fldChar w:fldCharType="begin"/>
        </w:r>
        <w:r w:rsidR="0048345E">
          <w:rPr>
            <w:webHidden/>
          </w:rPr>
          <w:instrText xml:space="preserve"> PAGEREF _Toc57831558 \h </w:instrText>
        </w:r>
        <w:r w:rsidR="0048345E">
          <w:rPr>
            <w:webHidden/>
          </w:rPr>
        </w:r>
        <w:r w:rsidR="0048345E">
          <w:rPr>
            <w:webHidden/>
          </w:rPr>
          <w:fldChar w:fldCharType="separate"/>
        </w:r>
        <w:r w:rsidR="0048345E">
          <w:rPr>
            <w:webHidden/>
          </w:rPr>
          <w:t>105</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59" w:history="1">
        <w:r w:rsidR="0048345E" w:rsidRPr="00F91932">
          <w:rPr>
            <w:rStyle w:val="Hyperlink"/>
            <w:rFonts w:ascii="Times New Roman" w:hAnsi="Times New Roman"/>
          </w:rPr>
          <w:t>3.3.3.1.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General remarks</w:t>
        </w:r>
        <w:r w:rsidR="0048345E">
          <w:rPr>
            <w:webHidden/>
          </w:rPr>
          <w:tab/>
        </w:r>
        <w:r w:rsidR="0048345E">
          <w:rPr>
            <w:webHidden/>
          </w:rPr>
          <w:fldChar w:fldCharType="begin"/>
        </w:r>
        <w:r w:rsidR="0048345E">
          <w:rPr>
            <w:webHidden/>
          </w:rPr>
          <w:instrText xml:space="preserve"> PAGEREF _Toc57831559 \h </w:instrText>
        </w:r>
        <w:r w:rsidR="0048345E">
          <w:rPr>
            <w:webHidden/>
          </w:rPr>
        </w:r>
        <w:r w:rsidR="0048345E">
          <w:rPr>
            <w:webHidden/>
          </w:rPr>
          <w:fldChar w:fldCharType="separate"/>
        </w:r>
        <w:r w:rsidR="0048345E">
          <w:rPr>
            <w:webHidden/>
          </w:rPr>
          <w:t>105</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60" w:history="1">
        <w:r w:rsidR="0048345E" w:rsidRPr="00F91932">
          <w:rPr>
            <w:rStyle w:val="Hyperlink"/>
            <w:rFonts w:ascii="Times New Roman" w:hAnsi="Times New Roman"/>
          </w:rPr>
          <w:t>3.3.3.2.</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Instructions concerning specific positions</w:t>
        </w:r>
        <w:r w:rsidR="0048345E">
          <w:rPr>
            <w:webHidden/>
          </w:rPr>
          <w:tab/>
        </w:r>
        <w:r w:rsidR="0048345E">
          <w:rPr>
            <w:webHidden/>
          </w:rPr>
          <w:fldChar w:fldCharType="begin"/>
        </w:r>
        <w:r w:rsidR="0048345E">
          <w:rPr>
            <w:webHidden/>
          </w:rPr>
          <w:instrText xml:space="preserve"> PAGEREF _Toc57831560 \h </w:instrText>
        </w:r>
        <w:r w:rsidR="0048345E">
          <w:rPr>
            <w:webHidden/>
          </w:rPr>
        </w:r>
        <w:r w:rsidR="0048345E">
          <w:rPr>
            <w:webHidden/>
          </w:rPr>
          <w:fldChar w:fldCharType="separate"/>
        </w:r>
        <w:r w:rsidR="0048345E">
          <w:rPr>
            <w:webHidden/>
          </w:rPr>
          <w:t>105</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61" w:history="1">
        <w:r w:rsidR="0048345E" w:rsidRPr="00F91932">
          <w:rPr>
            <w:rStyle w:val="Hyperlink"/>
            <w:rFonts w:ascii="Times New Roman" w:hAnsi="Times New Roman"/>
          </w:rPr>
          <w:t>3.3.4.</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C 08.05.1 - Credit risk and free deliveries: IRB approach to Capital Requirements: Back-testing of PD (CR IRB 5B)</w:t>
        </w:r>
        <w:r w:rsidR="0048345E">
          <w:rPr>
            <w:webHidden/>
          </w:rPr>
          <w:tab/>
        </w:r>
        <w:r w:rsidR="0048345E">
          <w:rPr>
            <w:webHidden/>
          </w:rPr>
          <w:fldChar w:fldCharType="begin"/>
        </w:r>
        <w:r w:rsidR="0048345E">
          <w:rPr>
            <w:webHidden/>
          </w:rPr>
          <w:instrText xml:space="preserve"> PAGEREF _Toc57831561 \h </w:instrText>
        </w:r>
        <w:r w:rsidR="0048345E">
          <w:rPr>
            <w:webHidden/>
          </w:rPr>
        </w:r>
        <w:r w:rsidR="0048345E">
          <w:rPr>
            <w:webHidden/>
          </w:rPr>
          <w:fldChar w:fldCharType="separate"/>
        </w:r>
        <w:r w:rsidR="0048345E">
          <w:rPr>
            <w:webHidden/>
          </w:rPr>
          <w:t>106</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62" w:history="1">
        <w:r w:rsidR="0048345E" w:rsidRPr="00F91932">
          <w:rPr>
            <w:rStyle w:val="Hyperlink"/>
            <w:rFonts w:ascii="Times New Roman" w:hAnsi="Times New Roman"/>
          </w:rPr>
          <w:t>3.3.4.1.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Instructions concerning specific positions</w:t>
        </w:r>
        <w:r w:rsidR="0048345E">
          <w:rPr>
            <w:webHidden/>
          </w:rPr>
          <w:tab/>
        </w:r>
        <w:r w:rsidR="0048345E">
          <w:rPr>
            <w:webHidden/>
          </w:rPr>
          <w:fldChar w:fldCharType="begin"/>
        </w:r>
        <w:r w:rsidR="0048345E">
          <w:rPr>
            <w:webHidden/>
          </w:rPr>
          <w:instrText xml:space="preserve"> PAGEREF _Toc57831562 \h </w:instrText>
        </w:r>
        <w:r w:rsidR="0048345E">
          <w:rPr>
            <w:webHidden/>
          </w:rPr>
        </w:r>
        <w:r w:rsidR="0048345E">
          <w:rPr>
            <w:webHidden/>
          </w:rPr>
          <w:fldChar w:fldCharType="separate"/>
        </w:r>
        <w:r w:rsidR="0048345E">
          <w:rPr>
            <w:webHidden/>
          </w:rPr>
          <w:t>106</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63" w:history="1">
        <w:r w:rsidR="0048345E" w:rsidRPr="00F91932">
          <w:rPr>
            <w:rStyle w:val="Hyperlink"/>
            <w:rFonts w:ascii="Times New Roman" w:hAnsi="Times New Roman"/>
          </w:rPr>
          <w:t>3.3.5.</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C 08.06 - Credit risk and free deliveries: IRB approach to Capital Requirements (Specialised lending slotting approach (CR IRB 6))</w:t>
        </w:r>
        <w:r w:rsidR="0048345E">
          <w:rPr>
            <w:webHidden/>
          </w:rPr>
          <w:tab/>
        </w:r>
        <w:r w:rsidR="0048345E">
          <w:rPr>
            <w:webHidden/>
          </w:rPr>
          <w:fldChar w:fldCharType="begin"/>
        </w:r>
        <w:r w:rsidR="0048345E">
          <w:rPr>
            <w:webHidden/>
          </w:rPr>
          <w:instrText xml:space="preserve"> PAGEREF _Toc57831563 \h </w:instrText>
        </w:r>
        <w:r w:rsidR="0048345E">
          <w:rPr>
            <w:webHidden/>
          </w:rPr>
        </w:r>
        <w:r w:rsidR="0048345E">
          <w:rPr>
            <w:webHidden/>
          </w:rPr>
          <w:fldChar w:fldCharType="separate"/>
        </w:r>
        <w:r w:rsidR="0048345E">
          <w:rPr>
            <w:webHidden/>
          </w:rPr>
          <w:t>107</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64" w:history="1">
        <w:r w:rsidR="0048345E" w:rsidRPr="00F91932">
          <w:rPr>
            <w:rStyle w:val="Hyperlink"/>
            <w:rFonts w:ascii="Times New Roman" w:hAnsi="Times New Roman"/>
          </w:rPr>
          <w:t>3.3.5.1.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General remarks</w:t>
        </w:r>
        <w:r w:rsidR="0048345E">
          <w:rPr>
            <w:webHidden/>
          </w:rPr>
          <w:tab/>
        </w:r>
        <w:r w:rsidR="0048345E">
          <w:rPr>
            <w:webHidden/>
          </w:rPr>
          <w:fldChar w:fldCharType="begin"/>
        </w:r>
        <w:r w:rsidR="0048345E">
          <w:rPr>
            <w:webHidden/>
          </w:rPr>
          <w:instrText xml:space="preserve"> PAGEREF _Toc57831564 \h </w:instrText>
        </w:r>
        <w:r w:rsidR="0048345E">
          <w:rPr>
            <w:webHidden/>
          </w:rPr>
        </w:r>
        <w:r w:rsidR="0048345E">
          <w:rPr>
            <w:webHidden/>
          </w:rPr>
          <w:fldChar w:fldCharType="separate"/>
        </w:r>
        <w:r w:rsidR="0048345E">
          <w:rPr>
            <w:webHidden/>
          </w:rPr>
          <w:t>107</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65" w:history="1">
        <w:r w:rsidR="0048345E" w:rsidRPr="00F91932">
          <w:rPr>
            <w:rStyle w:val="Hyperlink"/>
            <w:rFonts w:ascii="Times New Roman" w:hAnsi="Times New Roman"/>
          </w:rPr>
          <w:t>3.3.5.2.</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Instructions concerning specific positions</w:t>
        </w:r>
        <w:r w:rsidR="0048345E">
          <w:rPr>
            <w:webHidden/>
          </w:rPr>
          <w:tab/>
        </w:r>
        <w:r w:rsidR="0048345E">
          <w:rPr>
            <w:webHidden/>
          </w:rPr>
          <w:fldChar w:fldCharType="begin"/>
        </w:r>
        <w:r w:rsidR="0048345E">
          <w:rPr>
            <w:webHidden/>
          </w:rPr>
          <w:instrText xml:space="preserve"> PAGEREF _Toc57831565 \h </w:instrText>
        </w:r>
        <w:r w:rsidR="0048345E">
          <w:rPr>
            <w:webHidden/>
          </w:rPr>
        </w:r>
        <w:r w:rsidR="0048345E">
          <w:rPr>
            <w:webHidden/>
          </w:rPr>
          <w:fldChar w:fldCharType="separate"/>
        </w:r>
        <w:r w:rsidR="0048345E">
          <w:rPr>
            <w:webHidden/>
          </w:rPr>
          <w:t>107</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66" w:history="1">
        <w:r w:rsidR="0048345E" w:rsidRPr="00F91932">
          <w:rPr>
            <w:rStyle w:val="Hyperlink"/>
            <w:rFonts w:ascii="Times New Roman" w:hAnsi="Times New Roman"/>
          </w:rPr>
          <w:t>3.3.6.</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C 08.07 - Credit risk and free deliveries: IRB approach to Capital Requirements (Scope of use of IRB and SA approaches (CR IRB 7))</w:t>
        </w:r>
        <w:r w:rsidR="0048345E">
          <w:rPr>
            <w:webHidden/>
          </w:rPr>
          <w:tab/>
        </w:r>
        <w:r w:rsidR="0048345E">
          <w:rPr>
            <w:webHidden/>
          </w:rPr>
          <w:fldChar w:fldCharType="begin"/>
        </w:r>
        <w:r w:rsidR="0048345E">
          <w:rPr>
            <w:webHidden/>
          </w:rPr>
          <w:instrText xml:space="preserve"> PAGEREF _Toc57831566 \h </w:instrText>
        </w:r>
        <w:r w:rsidR="0048345E">
          <w:rPr>
            <w:webHidden/>
          </w:rPr>
        </w:r>
        <w:r w:rsidR="0048345E">
          <w:rPr>
            <w:webHidden/>
          </w:rPr>
          <w:fldChar w:fldCharType="separate"/>
        </w:r>
        <w:r w:rsidR="0048345E">
          <w:rPr>
            <w:webHidden/>
          </w:rPr>
          <w:t>108</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67" w:history="1">
        <w:r w:rsidR="0048345E" w:rsidRPr="00F91932">
          <w:rPr>
            <w:rStyle w:val="Hyperlink"/>
            <w:rFonts w:ascii="Times New Roman" w:hAnsi="Times New Roman"/>
          </w:rPr>
          <w:t>3.3.6.1.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General remarks</w:t>
        </w:r>
        <w:r w:rsidR="0048345E">
          <w:rPr>
            <w:webHidden/>
          </w:rPr>
          <w:tab/>
        </w:r>
        <w:r w:rsidR="0048345E">
          <w:rPr>
            <w:webHidden/>
          </w:rPr>
          <w:fldChar w:fldCharType="begin"/>
        </w:r>
        <w:r w:rsidR="0048345E">
          <w:rPr>
            <w:webHidden/>
          </w:rPr>
          <w:instrText xml:space="preserve"> PAGEREF _Toc57831567 \h </w:instrText>
        </w:r>
        <w:r w:rsidR="0048345E">
          <w:rPr>
            <w:webHidden/>
          </w:rPr>
        </w:r>
        <w:r w:rsidR="0048345E">
          <w:rPr>
            <w:webHidden/>
          </w:rPr>
          <w:fldChar w:fldCharType="separate"/>
        </w:r>
        <w:r w:rsidR="0048345E">
          <w:rPr>
            <w:webHidden/>
          </w:rPr>
          <w:t>108</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68" w:history="1">
        <w:r w:rsidR="0048345E" w:rsidRPr="00F91932">
          <w:rPr>
            <w:rStyle w:val="Hyperlink"/>
            <w:rFonts w:ascii="Times New Roman" w:hAnsi="Times New Roman"/>
          </w:rPr>
          <w:t>3.3.6.2.</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Instructions concerning specific positions</w:t>
        </w:r>
        <w:r w:rsidR="0048345E">
          <w:rPr>
            <w:webHidden/>
          </w:rPr>
          <w:tab/>
        </w:r>
        <w:r w:rsidR="0048345E">
          <w:rPr>
            <w:webHidden/>
          </w:rPr>
          <w:fldChar w:fldCharType="begin"/>
        </w:r>
        <w:r w:rsidR="0048345E">
          <w:rPr>
            <w:webHidden/>
          </w:rPr>
          <w:instrText xml:space="preserve"> PAGEREF _Toc57831568 \h </w:instrText>
        </w:r>
        <w:r w:rsidR="0048345E">
          <w:rPr>
            <w:webHidden/>
          </w:rPr>
        </w:r>
        <w:r w:rsidR="0048345E">
          <w:rPr>
            <w:webHidden/>
          </w:rPr>
          <w:fldChar w:fldCharType="separate"/>
        </w:r>
        <w:r w:rsidR="0048345E">
          <w:rPr>
            <w:webHidden/>
          </w:rPr>
          <w:t>108</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69" w:history="1">
        <w:r w:rsidR="0048345E" w:rsidRPr="00F91932">
          <w:rPr>
            <w:rStyle w:val="Hyperlink"/>
            <w:rFonts w:ascii="Times New Roman" w:hAnsi="Times New Roman"/>
          </w:rPr>
          <w:t>3.4.</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Credit and counterparty credit risks and free deliveries: Information with geographical breakdown</w:t>
        </w:r>
        <w:r w:rsidR="0048345E">
          <w:rPr>
            <w:webHidden/>
          </w:rPr>
          <w:tab/>
        </w:r>
        <w:r w:rsidR="0048345E">
          <w:rPr>
            <w:webHidden/>
          </w:rPr>
          <w:fldChar w:fldCharType="begin"/>
        </w:r>
        <w:r w:rsidR="0048345E">
          <w:rPr>
            <w:webHidden/>
          </w:rPr>
          <w:instrText xml:space="preserve"> PAGEREF _Toc57831569 \h </w:instrText>
        </w:r>
        <w:r w:rsidR="0048345E">
          <w:rPr>
            <w:webHidden/>
          </w:rPr>
        </w:r>
        <w:r w:rsidR="0048345E">
          <w:rPr>
            <w:webHidden/>
          </w:rPr>
          <w:fldChar w:fldCharType="separate"/>
        </w:r>
        <w:r w:rsidR="0048345E">
          <w:rPr>
            <w:webHidden/>
          </w:rPr>
          <w:t>110</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70" w:history="1">
        <w:r w:rsidR="0048345E" w:rsidRPr="00F91932">
          <w:rPr>
            <w:rStyle w:val="Hyperlink"/>
            <w:rFonts w:ascii="Times New Roman" w:hAnsi="Times New Roman"/>
          </w:rPr>
          <w:t>3.4.1.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C 09.01 – Geographical breakdown of exposures by residence of the obligor: SA exposures (CR GB 1)</w:t>
        </w:r>
        <w:r w:rsidR="0048345E">
          <w:rPr>
            <w:webHidden/>
          </w:rPr>
          <w:tab/>
        </w:r>
        <w:r w:rsidR="0048345E">
          <w:rPr>
            <w:webHidden/>
          </w:rPr>
          <w:fldChar w:fldCharType="begin"/>
        </w:r>
        <w:r w:rsidR="0048345E">
          <w:rPr>
            <w:webHidden/>
          </w:rPr>
          <w:instrText xml:space="preserve"> PAGEREF _Toc57831570 \h </w:instrText>
        </w:r>
        <w:r w:rsidR="0048345E">
          <w:rPr>
            <w:webHidden/>
          </w:rPr>
        </w:r>
        <w:r w:rsidR="0048345E">
          <w:rPr>
            <w:webHidden/>
          </w:rPr>
          <w:fldChar w:fldCharType="separate"/>
        </w:r>
        <w:r w:rsidR="0048345E">
          <w:rPr>
            <w:webHidden/>
          </w:rPr>
          <w:t>110</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71" w:history="1">
        <w:r w:rsidR="0048345E" w:rsidRPr="00F91932">
          <w:rPr>
            <w:rStyle w:val="Hyperlink"/>
            <w:rFonts w:ascii="Times New Roman" w:hAnsi="Times New Roman"/>
          </w:rPr>
          <w:t>3.4.1.1.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Instructions concerning specific positions</w:t>
        </w:r>
        <w:r w:rsidR="0048345E">
          <w:rPr>
            <w:webHidden/>
          </w:rPr>
          <w:tab/>
        </w:r>
        <w:r w:rsidR="0048345E">
          <w:rPr>
            <w:webHidden/>
          </w:rPr>
          <w:fldChar w:fldCharType="begin"/>
        </w:r>
        <w:r w:rsidR="0048345E">
          <w:rPr>
            <w:webHidden/>
          </w:rPr>
          <w:instrText xml:space="preserve"> PAGEREF _Toc57831571 \h </w:instrText>
        </w:r>
        <w:r w:rsidR="0048345E">
          <w:rPr>
            <w:webHidden/>
          </w:rPr>
        </w:r>
        <w:r w:rsidR="0048345E">
          <w:rPr>
            <w:webHidden/>
          </w:rPr>
          <w:fldChar w:fldCharType="separate"/>
        </w:r>
        <w:r w:rsidR="0048345E">
          <w:rPr>
            <w:webHidden/>
          </w:rPr>
          <w:t>110</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72" w:history="1">
        <w:r w:rsidR="0048345E" w:rsidRPr="00F91932">
          <w:rPr>
            <w:rStyle w:val="Hyperlink"/>
            <w:rFonts w:ascii="Times New Roman" w:hAnsi="Times New Roman"/>
          </w:rPr>
          <w:t>3.4.2.</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C 09.02 – Geographical breakdown of exposures by residence of the obligor: IRB exposures (CR GB 2)</w:t>
        </w:r>
        <w:r w:rsidR="0048345E">
          <w:rPr>
            <w:webHidden/>
          </w:rPr>
          <w:tab/>
        </w:r>
        <w:r w:rsidR="0048345E">
          <w:rPr>
            <w:webHidden/>
          </w:rPr>
          <w:fldChar w:fldCharType="begin"/>
        </w:r>
        <w:r w:rsidR="0048345E">
          <w:rPr>
            <w:webHidden/>
          </w:rPr>
          <w:instrText xml:space="preserve"> PAGEREF _Toc57831572 \h </w:instrText>
        </w:r>
        <w:r w:rsidR="0048345E">
          <w:rPr>
            <w:webHidden/>
          </w:rPr>
        </w:r>
        <w:r w:rsidR="0048345E">
          <w:rPr>
            <w:webHidden/>
          </w:rPr>
          <w:fldChar w:fldCharType="separate"/>
        </w:r>
        <w:r w:rsidR="0048345E">
          <w:rPr>
            <w:webHidden/>
          </w:rPr>
          <w:t>113</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73" w:history="1">
        <w:r w:rsidR="0048345E" w:rsidRPr="00F91932">
          <w:rPr>
            <w:rStyle w:val="Hyperlink"/>
            <w:rFonts w:ascii="Times New Roman" w:hAnsi="Times New Roman"/>
          </w:rPr>
          <w:t>3.4.2.1.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Instructions concerning specific positions</w:t>
        </w:r>
        <w:r w:rsidR="0048345E">
          <w:rPr>
            <w:webHidden/>
          </w:rPr>
          <w:tab/>
        </w:r>
        <w:r w:rsidR="0048345E">
          <w:rPr>
            <w:webHidden/>
          </w:rPr>
          <w:fldChar w:fldCharType="begin"/>
        </w:r>
        <w:r w:rsidR="0048345E">
          <w:rPr>
            <w:webHidden/>
          </w:rPr>
          <w:instrText xml:space="preserve"> PAGEREF _Toc57831573 \h </w:instrText>
        </w:r>
        <w:r w:rsidR="0048345E">
          <w:rPr>
            <w:webHidden/>
          </w:rPr>
        </w:r>
        <w:r w:rsidR="0048345E">
          <w:rPr>
            <w:webHidden/>
          </w:rPr>
          <w:fldChar w:fldCharType="separate"/>
        </w:r>
        <w:r w:rsidR="0048345E">
          <w:rPr>
            <w:webHidden/>
          </w:rPr>
          <w:t>113</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74" w:history="1">
        <w:r w:rsidR="0048345E" w:rsidRPr="00F91932">
          <w:rPr>
            <w:rStyle w:val="Hyperlink"/>
            <w:rFonts w:ascii="Times New Roman" w:hAnsi="Times New Roman"/>
          </w:rPr>
          <w:t>3.4.3.</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C 09.04 – Breakdown of credit exposures relevant for the calculation of the countercyclical buffer by country and institution-specific countercyclical buffer rate (CCB)</w:t>
        </w:r>
        <w:r w:rsidR="0048345E">
          <w:rPr>
            <w:webHidden/>
          </w:rPr>
          <w:tab/>
        </w:r>
        <w:r w:rsidR="0048345E">
          <w:rPr>
            <w:webHidden/>
          </w:rPr>
          <w:fldChar w:fldCharType="begin"/>
        </w:r>
        <w:r w:rsidR="0048345E">
          <w:rPr>
            <w:webHidden/>
          </w:rPr>
          <w:instrText xml:space="preserve"> PAGEREF _Toc57831574 \h </w:instrText>
        </w:r>
        <w:r w:rsidR="0048345E">
          <w:rPr>
            <w:webHidden/>
          </w:rPr>
        </w:r>
        <w:r w:rsidR="0048345E">
          <w:rPr>
            <w:webHidden/>
          </w:rPr>
          <w:fldChar w:fldCharType="separate"/>
        </w:r>
        <w:r w:rsidR="0048345E">
          <w:rPr>
            <w:webHidden/>
          </w:rPr>
          <w:t>116</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75" w:history="1">
        <w:r w:rsidR="0048345E" w:rsidRPr="00F91932">
          <w:rPr>
            <w:rStyle w:val="Hyperlink"/>
            <w:rFonts w:ascii="Times New Roman" w:hAnsi="Times New Roman"/>
          </w:rPr>
          <w:t>3.4.3.1.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General remarks</w:t>
        </w:r>
        <w:r w:rsidR="0048345E">
          <w:rPr>
            <w:webHidden/>
          </w:rPr>
          <w:tab/>
        </w:r>
        <w:r w:rsidR="0048345E">
          <w:rPr>
            <w:webHidden/>
          </w:rPr>
          <w:fldChar w:fldCharType="begin"/>
        </w:r>
        <w:r w:rsidR="0048345E">
          <w:rPr>
            <w:webHidden/>
          </w:rPr>
          <w:instrText xml:space="preserve"> PAGEREF _Toc57831575 \h </w:instrText>
        </w:r>
        <w:r w:rsidR="0048345E">
          <w:rPr>
            <w:webHidden/>
          </w:rPr>
        </w:r>
        <w:r w:rsidR="0048345E">
          <w:rPr>
            <w:webHidden/>
          </w:rPr>
          <w:fldChar w:fldCharType="separate"/>
        </w:r>
        <w:r w:rsidR="0048345E">
          <w:rPr>
            <w:webHidden/>
          </w:rPr>
          <w:t>116</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76" w:history="1">
        <w:r w:rsidR="0048345E" w:rsidRPr="00F91932">
          <w:rPr>
            <w:rStyle w:val="Hyperlink"/>
            <w:rFonts w:ascii="Times New Roman" w:hAnsi="Times New Roman"/>
          </w:rPr>
          <w:t>3.4.3.2.</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Instructions concerning specific positions</w:t>
        </w:r>
        <w:r w:rsidR="0048345E">
          <w:rPr>
            <w:webHidden/>
          </w:rPr>
          <w:tab/>
        </w:r>
        <w:r w:rsidR="0048345E">
          <w:rPr>
            <w:webHidden/>
          </w:rPr>
          <w:fldChar w:fldCharType="begin"/>
        </w:r>
        <w:r w:rsidR="0048345E">
          <w:rPr>
            <w:webHidden/>
          </w:rPr>
          <w:instrText xml:space="preserve"> PAGEREF _Toc57831576 \h </w:instrText>
        </w:r>
        <w:r w:rsidR="0048345E">
          <w:rPr>
            <w:webHidden/>
          </w:rPr>
        </w:r>
        <w:r w:rsidR="0048345E">
          <w:rPr>
            <w:webHidden/>
          </w:rPr>
          <w:fldChar w:fldCharType="separate"/>
        </w:r>
        <w:r w:rsidR="0048345E">
          <w:rPr>
            <w:webHidden/>
          </w:rPr>
          <w:t>117</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77" w:history="1">
        <w:r w:rsidR="0048345E" w:rsidRPr="00F91932">
          <w:rPr>
            <w:rStyle w:val="Hyperlink"/>
            <w:rFonts w:ascii="Times New Roman" w:hAnsi="Times New Roman"/>
          </w:rPr>
          <w:t>3.5.</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C 10.01 and C 10.02 – Equity exposures under the internal ratings based approach (CR EQU IRB 1 and CR EQU IRB 2)</w:t>
        </w:r>
        <w:r w:rsidR="0048345E">
          <w:rPr>
            <w:webHidden/>
          </w:rPr>
          <w:tab/>
        </w:r>
        <w:r w:rsidR="0048345E">
          <w:rPr>
            <w:webHidden/>
          </w:rPr>
          <w:fldChar w:fldCharType="begin"/>
        </w:r>
        <w:r w:rsidR="0048345E">
          <w:rPr>
            <w:webHidden/>
          </w:rPr>
          <w:instrText xml:space="preserve"> PAGEREF _Toc57831577 \h </w:instrText>
        </w:r>
        <w:r w:rsidR="0048345E">
          <w:rPr>
            <w:webHidden/>
          </w:rPr>
        </w:r>
        <w:r w:rsidR="0048345E">
          <w:rPr>
            <w:webHidden/>
          </w:rPr>
          <w:fldChar w:fldCharType="separate"/>
        </w:r>
        <w:r w:rsidR="0048345E">
          <w:rPr>
            <w:webHidden/>
          </w:rPr>
          <w:t>121</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78" w:history="1">
        <w:r w:rsidR="0048345E" w:rsidRPr="00F91932">
          <w:rPr>
            <w:rStyle w:val="Hyperlink"/>
            <w:rFonts w:ascii="Times New Roman" w:hAnsi="Times New Roman"/>
          </w:rPr>
          <w:t>3.5.1.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General remarks</w:t>
        </w:r>
        <w:r w:rsidR="0048345E">
          <w:rPr>
            <w:webHidden/>
          </w:rPr>
          <w:tab/>
        </w:r>
        <w:r w:rsidR="0048345E">
          <w:rPr>
            <w:webHidden/>
          </w:rPr>
          <w:fldChar w:fldCharType="begin"/>
        </w:r>
        <w:r w:rsidR="0048345E">
          <w:rPr>
            <w:webHidden/>
          </w:rPr>
          <w:instrText xml:space="preserve"> PAGEREF _Toc57831578 \h </w:instrText>
        </w:r>
        <w:r w:rsidR="0048345E">
          <w:rPr>
            <w:webHidden/>
          </w:rPr>
        </w:r>
        <w:r w:rsidR="0048345E">
          <w:rPr>
            <w:webHidden/>
          </w:rPr>
          <w:fldChar w:fldCharType="separate"/>
        </w:r>
        <w:r w:rsidR="0048345E">
          <w:rPr>
            <w:webHidden/>
          </w:rPr>
          <w:t>121</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79" w:history="1">
        <w:r w:rsidR="0048345E" w:rsidRPr="00F91932">
          <w:rPr>
            <w:rStyle w:val="Hyperlink"/>
            <w:rFonts w:ascii="Times New Roman" w:hAnsi="Times New Roman"/>
          </w:rPr>
          <w:t>3.5.2.</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Instructions concerning specific positions (applicable to both CR EQU IRB 1 and CR EQU IRB 2)</w:t>
        </w:r>
        <w:r w:rsidR="0048345E">
          <w:rPr>
            <w:webHidden/>
          </w:rPr>
          <w:tab/>
        </w:r>
        <w:r w:rsidR="0048345E">
          <w:rPr>
            <w:webHidden/>
          </w:rPr>
          <w:fldChar w:fldCharType="begin"/>
        </w:r>
        <w:r w:rsidR="0048345E">
          <w:rPr>
            <w:webHidden/>
          </w:rPr>
          <w:instrText xml:space="preserve"> PAGEREF _Toc57831579 \h </w:instrText>
        </w:r>
        <w:r w:rsidR="0048345E">
          <w:rPr>
            <w:webHidden/>
          </w:rPr>
        </w:r>
        <w:r w:rsidR="0048345E">
          <w:rPr>
            <w:webHidden/>
          </w:rPr>
          <w:fldChar w:fldCharType="separate"/>
        </w:r>
        <w:r w:rsidR="0048345E">
          <w:rPr>
            <w:webHidden/>
          </w:rPr>
          <w:t>122</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80" w:history="1">
        <w:r w:rsidR="0048345E" w:rsidRPr="00F91932">
          <w:rPr>
            <w:rStyle w:val="Hyperlink"/>
            <w:rFonts w:ascii="Times New Roman" w:hAnsi="Times New Roman"/>
          </w:rPr>
          <w:t>3.6.</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C 11.00 – Settlement/Delivery Risk (CR SETT)</w:t>
        </w:r>
        <w:r w:rsidR="0048345E">
          <w:rPr>
            <w:webHidden/>
          </w:rPr>
          <w:tab/>
        </w:r>
        <w:r w:rsidR="0048345E">
          <w:rPr>
            <w:webHidden/>
          </w:rPr>
          <w:fldChar w:fldCharType="begin"/>
        </w:r>
        <w:r w:rsidR="0048345E">
          <w:rPr>
            <w:webHidden/>
          </w:rPr>
          <w:instrText xml:space="preserve"> PAGEREF _Toc57831580 \h </w:instrText>
        </w:r>
        <w:r w:rsidR="0048345E">
          <w:rPr>
            <w:webHidden/>
          </w:rPr>
        </w:r>
        <w:r w:rsidR="0048345E">
          <w:rPr>
            <w:webHidden/>
          </w:rPr>
          <w:fldChar w:fldCharType="separate"/>
        </w:r>
        <w:r w:rsidR="0048345E">
          <w:rPr>
            <w:webHidden/>
          </w:rPr>
          <w:t>126</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81" w:history="1">
        <w:r w:rsidR="0048345E" w:rsidRPr="00F91932">
          <w:rPr>
            <w:rStyle w:val="Hyperlink"/>
            <w:rFonts w:ascii="Times New Roman" w:hAnsi="Times New Roman"/>
          </w:rPr>
          <w:t>3.6.1.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General remarks</w:t>
        </w:r>
        <w:r w:rsidR="0048345E">
          <w:rPr>
            <w:webHidden/>
          </w:rPr>
          <w:tab/>
        </w:r>
        <w:r w:rsidR="0048345E">
          <w:rPr>
            <w:webHidden/>
          </w:rPr>
          <w:fldChar w:fldCharType="begin"/>
        </w:r>
        <w:r w:rsidR="0048345E">
          <w:rPr>
            <w:webHidden/>
          </w:rPr>
          <w:instrText xml:space="preserve"> PAGEREF _Toc57831581 \h </w:instrText>
        </w:r>
        <w:r w:rsidR="0048345E">
          <w:rPr>
            <w:webHidden/>
          </w:rPr>
        </w:r>
        <w:r w:rsidR="0048345E">
          <w:rPr>
            <w:webHidden/>
          </w:rPr>
          <w:fldChar w:fldCharType="separate"/>
        </w:r>
        <w:r w:rsidR="0048345E">
          <w:rPr>
            <w:webHidden/>
          </w:rPr>
          <w:t>126</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82" w:history="1">
        <w:r w:rsidR="0048345E" w:rsidRPr="00F91932">
          <w:rPr>
            <w:rStyle w:val="Hyperlink"/>
            <w:rFonts w:ascii="Times New Roman" w:hAnsi="Times New Roman"/>
          </w:rPr>
          <w:t>3.6.2.</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Instructions concerning specific positions</w:t>
        </w:r>
        <w:r w:rsidR="0048345E">
          <w:rPr>
            <w:webHidden/>
          </w:rPr>
          <w:tab/>
        </w:r>
        <w:r w:rsidR="0048345E">
          <w:rPr>
            <w:webHidden/>
          </w:rPr>
          <w:fldChar w:fldCharType="begin"/>
        </w:r>
        <w:r w:rsidR="0048345E">
          <w:rPr>
            <w:webHidden/>
          </w:rPr>
          <w:instrText xml:space="preserve"> PAGEREF _Toc57831582 \h </w:instrText>
        </w:r>
        <w:r w:rsidR="0048345E">
          <w:rPr>
            <w:webHidden/>
          </w:rPr>
        </w:r>
        <w:r w:rsidR="0048345E">
          <w:rPr>
            <w:webHidden/>
          </w:rPr>
          <w:fldChar w:fldCharType="separate"/>
        </w:r>
        <w:r w:rsidR="0048345E">
          <w:rPr>
            <w:webHidden/>
          </w:rPr>
          <w:t>126</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83" w:history="1">
        <w:r w:rsidR="0048345E" w:rsidRPr="00F91932">
          <w:rPr>
            <w:rStyle w:val="Hyperlink"/>
            <w:rFonts w:ascii="Times New Roman" w:hAnsi="Times New Roman"/>
          </w:rPr>
          <w:t>3.7.</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C 13.01 - Credit Risk – Securitisations (CR SEC)</w:t>
        </w:r>
        <w:r w:rsidR="0048345E">
          <w:rPr>
            <w:webHidden/>
          </w:rPr>
          <w:tab/>
        </w:r>
        <w:r w:rsidR="0048345E">
          <w:rPr>
            <w:webHidden/>
          </w:rPr>
          <w:fldChar w:fldCharType="begin"/>
        </w:r>
        <w:r w:rsidR="0048345E">
          <w:rPr>
            <w:webHidden/>
          </w:rPr>
          <w:instrText xml:space="preserve"> PAGEREF _Toc57831583 \h </w:instrText>
        </w:r>
        <w:r w:rsidR="0048345E">
          <w:rPr>
            <w:webHidden/>
          </w:rPr>
        </w:r>
        <w:r w:rsidR="0048345E">
          <w:rPr>
            <w:webHidden/>
          </w:rPr>
          <w:fldChar w:fldCharType="separate"/>
        </w:r>
        <w:r w:rsidR="0048345E">
          <w:rPr>
            <w:webHidden/>
          </w:rPr>
          <w:t>129</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84" w:history="1">
        <w:r w:rsidR="0048345E" w:rsidRPr="00F91932">
          <w:rPr>
            <w:rStyle w:val="Hyperlink"/>
            <w:rFonts w:ascii="Times New Roman" w:hAnsi="Times New Roman"/>
          </w:rPr>
          <w:t>3.7.1.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General remarks</w:t>
        </w:r>
        <w:r w:rsidR="0048345E">
          <w:rPr>
            <w:webHidden/>
          </w:rPr>
          <w:tab/>
        </w:r>
        <w:r w:rsidR="0048345E">
          <w:rPr>
            <w:webHidden/>
          </w:rPr>
          <w:fldChar w:fldCharType="begin"/>
        </w:r>
        <w:r w:rsidR="0048345E">
          <w:rPr>
            <w:webHidden/>
          </w:rPr>
          <w:instrText xml:space="preserve"> PAGEREF _Toc57831584 \h </w:instrText>
        </w:r>
        <w:r w:rsidR="0048345E">
          <w:rPr>
            <w:webHidden/>
          </w:rPr>
        </w:r>
        <w:r w:rsidR="0048345E">
          <w:rPr>
            <w:webHidden/>
          </w:rPr>
          <w:fldChar w:fldCharType="separate"/>
        </w:r>
        <w:r w:rsidR="0048345E">
          <w:rPr>
            <w:webHidden/>
          </w:rPr>
          <w:t>129</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85" w:history="1">
        <w:r w:rsidR="0048345E" w:rsidRPr="00F91932">
          <w:rPr>
            <w:rStyle w:val="Hyperlink"/>
            <w:rFonts w:ascii="Times New Roman" w:hAnsi="Times New Roman"/>
          </w:rPr>
          <w:t>3.7.2.</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Instructions concerning specific positions</w:t>
        </w:r>
        <w:r w:rsidR="0048345E">
          <w:rPr>
            <w:webHidden/>
          </w:rPr>
          <w:tab/>
        </w:r>
        <w:r w:rsidR="0048345E">
          <w:rPr>
            <w:webHidden/>
          </w:rPr>
          <w:fldChar w:fldCharType="begin"/>
        </w:r>
        <w:r w:rsidR="0048345E">
          <w:rPr>
            <w:webHidden/>
          </w:rPr>
          <w:instrText xml:space="preserve"> PAGEREF _Toc57831585 \h </w:instrText>
        </w:r>
        <w:r w:rsidR="0048345E">
          <w:rPr>
            <w:webHidden/>
          </w:rPr>
        </w:r>
        <w:r w:rsidR="0048345E">
          <w:rPr>
            <w:webHidden/>
          </w:rPr>
          <w:fldChar w:fldCharType="separate"/>
        </w:r>
        <w:r w:rsidR="0048345E">
          <w:rPr>
            <w:webHidden/>
          </w:rPr>
          <w:t>129</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86" w:history="1">
        <w:r w:rsidR="0048345E" w:rsidRPr="00F91932">
          <w:rPr>
            <w:rStyle w:val="Hyperlink"/>
            <w:rFonts w:ascii="Times New Roman" w:hAnsi="Times New Roman"/>
          </w:rPr>
          <w:t>3.8.</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Detailed information on securitisations (SEC DETAILS)</w:t>
        </w:r>
        <w:r w:rsidR="0048345E">
          <w:rPr>
            <w:webHidden/>
          </w:rPr>
          <w:tab/>
        </w:r>
        <w:r w:rsidR="0048345E">
          <w:rPr>
            <w:webHidden/>
          </w:rPr>
          <w:fldChar w:fldCharType="begin"/>
        </w:r>
        <w:r w:rsidR="0048345E">
          <w:rPr>
            <w:webHidden/>
          </w:rPr>
          <w:instrText xml:space="preserve"> PAGEREF _Toc57831586 \h </w:instrText>
        </w:r>
        <w:r w:rsidR="0048345E">
          <w:rPr>
            <w:webHidden/>
          </w:rPr>
        </w:r>
        <w:r w:rsidR="0048345E">
          <w:rPr>
            <w:webHidden/>
          </w:rPr>
          <w:fldChar w:fldCharType="separate"/>
        </w:r>
        <w:r w:rsidR="0048345E">
          <w:rPr>
            <w:webHidden/>
          </w:rPr>
          <w:t>140</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87" w:history="1">
        <w:r w:rsidR="0048345E" w:rsidRPr="00F91932">
          <w:rPr>
            <w:rStyle w:val="Hyperlink"/>
            <w:rFonts w:ascii="Times New Roman" w:hAnsi="Times New Roman"/>
          </w:rPr>
          <w:t>3.8.1.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Scope of the SEC DETAILS template</w:t>
        </w:r>
        <w:r w:rsidR="0048345E">
          <w:rPr>
            <w:webHidden/>
          </w:rPr>
          <w:tab/>
        </w:r>
        <w:r w:rsidR="0048345E">
          <w:rPr>
            <w:webHidden/>
          </w:rPr>
          <w:fldChar w:fldCharType="begin"/>
        </w:r>
        <w:r w:rsidR="0048345E">
          <w:rPr>
            <w:webHidden/>
          </w:rPr>
          <w:instrText xml:space="preserve"> PAGEREF _Toc57831587 \h </w:instrText>
        </w:r>
        <w:r w:rsidR="0048345E">
          <w:rPr>
            <w:webHidden/>
          </w:rPr>
        </w:r>
        <w:r w:rsidR="0048345E">
          <w:rPr>
            <w:webHidden/>
          </w:rPr>
          <w:fldChar w:fldCharType="separate"/>
        </w:r>
        <w:r w:rsidR="0048345E">
          <w:rPr>
            <w:webHidden/>
          </w:rPr>
          <w:t>140</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88" w:history="1">
        <w:r w:rsidR="0048345E" w:rsidRPr="00F91932">
          <w:rPr>
            <w:rStyle w:val="Hyperlink"/>
            <w:rFonts w:ascii="Times New Roman" w:hAnsi="Times New Roman"/>
          </w:rPr>
          <w:t>3.8.2 Breakdown of the SEC DETAILS template</w:t>
        </w:r>
        <w:r w:rsidR="0048345E">
          <w:rPr>
            <w:webHidden/>
          </w:rPr>
          <w:tab/>
        </w:r>
        <w:r w:rsidR="0048345E">
          <w:rPr>
            <w:webHidden/>
          </w:rPr>
          <w:fldChar w:fldCharType="begin"/>
        </w:r>
        <w:r w:rsidR="0048345E">
          <w:rPr>
            <w:webHidden/>
          </w:rPr>
          <w:instrText xml:space="preserve"> PAGEREF _Toc57831588 \h </w:instrText>
        </w:r>
        <w:r w:rsidR="0048345E">
          <w:rPr>
            <w:webHidden/>
          </w:rPr>
        </w:r>
        <w:r w:rsidR="0048345E">
          <w:rPr>
            <w:webHidden/>
          </w:rPr>
          <w:fldChar w:fldCharType="separate"/>
        </w:r>
        <w:r w:rsidR="0048345E">
          <w:rPr>
            <w:webHidden/>
          </w:rPr>
          <w:t>141</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89" w:history="1">
        <w:r w:rsidR="0048345E" w:rsidRPr="00F91932">
          <w:rPr>
            <w:rStyle w:val="Hyperlink"/>
            <w:rFonts w:ascii="Times New Roman" w:hAnsi="Times New Roman"/>
          </w:rPr>
          <w:t>3.8.3 C 14.00 – Detailed information on securitisations (SEC DETAILS)</w:t>
        </w:r>
        <w:r w:rsidR="0048345E">
          <w:rPr>
            <w:webHidden/>
          </w:rPr>
          <w:tab/>
        </w:r>
        <w:r w:rsidR="0048345E">
          <w:rPr>
            <w:webHidden/>
          </w:rPr>
          <w:fldChar w:fldCharType="begin"/>
        </w:r>
        <w:r w:rsidR="0048345E">
          <w:rPr>
            <w:webHidden/>
          </w:rPr>
          <w:instrText xml:space="preserve"> PAGEREF _Toc57831589 \h </w:instrText>
        </w:r>
        <w:r w:rsidR="0048345E">
          <w:rPr>
            <w:webHidden/>
          </w:rPr>
        </w:r>
        <w:r w:rsidR="0048345E">
          <w:rPr>
            <w:webHidden/>
          </w:rPr>
          <w:fldChar w:fldCharType="separate"/>
        </w:r>
        <w:r w:rsidR="0048345E">
          <w:rPr>
            <w:webHidden/>
          </w:rPr>
          <w:t>141</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90" w:history="1">
        <w:r w:rsidR="0048345E" w:rsidRPr="00F91932">
          <w:rPr>
            <w:rStyle w:val="Hyperlink"/>
            <w:rFonts w:ascii="Times New Roman" w:hAnsi="Times New Roman"/>
          </w:rPr>
          <w:t>3.8.4.</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C 14.01 – Detailed information on securitisations (SEC DETAILS 2)</w:t>
        </w:r>
        <w:r w:rsidR="0048345E">
          <w:rPr>
            <w:webHidden/>
          </w:rPr>
          <w:tab/>
        </w:r>
        <w:r w:rsidR="0048345E">
          <w:rPr>
            <w:webHidden/>
          </w:rPr>
          <w:fldChar w:fldCharType="begin"/>
        </w:r>
        <w:r w:rsidR="0048345E">
          <w:rPr>
            <w:webHidden/>
          </w:rPr>
          <w:instrText xml:space="preserve"> PAGEREF _Toc57831590 \h </w:instrText>
        </w:r>
        <w:r w:rsidR="0048345E">
          <w:rPr>
            <w:webHidden/>
          </w:rPr>
        </w:r>
        <w:r w:rsidR="0048345E">
          <w:rPr>
            <w:webHidden/>
          </w:rPr>
          <w:fldChar w:fldCharType="separate"/>
        </w:r>
        <w:r w:rsidR="0048345E">
          <w:rPr>
            <w:webHidden/>
          </w:rPr>
          <w:t>154</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91" w:history="1">
        <w:r w:rsidR="0048345E" w:rsidRPr="00F91932">
          <w:rPr>
            <w:rStyle w:val="Hyperlink"/>
            <w:rFonts w:ascii="Times New Roman" w:hAnsi="Times New Roman"/>
          </w:rPr>
          <w:t>3.9.</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Counterparty Credit Risk</w:t>
        </w:r>
        <w:r w:rsidR="0048345E">
          <w:rPr>
            <w:webHidden/>
          </w:rPr>
          <w:tab/>
        </w:r>
        <w:r w:rsidR="0048345E">
          <w:rPr>
            <w:webHidden/>
          </w:rPr>
          <w:fldChar w:fldCharType="begin"/>
        </w:r>
        <w:r w:rsidR="0048345E">
          <w:rPr>
            <w:webHidden/>
          </w:rPr>
          <w:instrText xml:space="preserve"> PAGEREF _Toc57831591 \h </w:instrText>
        </w:r>
        <w:r w:rsidR="0048345E">
          <w:rPr>
            <w:webHidden/>
          </w:rPr>
        </w:r>
        <w:r w:rsidR="0048345E">
          <w:rPr>
            <w:webHidden/>
          </w:rPr>
          <w:fldChar w:fldCharType="separate"/>
        </w:r>
        <w:r w:rsidR="0048345E">
          <w:rPr>
            <w:webHidden/>
          </w:rPr>
          <w:t>157</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92" w:history="1">
        <w:r w:rsidR="0048345E" w:rsidRPr="00F91932">
          <w:rPr>
            <w:rStyle w:val="Hyperlink"/>
            <w:rFonts w:ascii="Times New Roman" w:hAnsi="Times New Roman"/>
          </w:rPr>
          <w:t>3.9.1.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Scope of the counterparty credit risk templates</w:t>
        </w:r>
        <w:r w:rsidR="0048345E">
          <w:rPr>
            <w:webHidden/>
          </w:rPr>
          <w:tab/>
        </w:r>
        <w:r w:rsidR="0048345E">
          <w:rPr>
            <w:webHidden/>
          </w:rPr>
          <w:fldChar w:fldCharType="begin"/>
        </w:r>
        <w:r w:rsidR="0048345E">
          <w:rPr>
            <w:webHidden/>
          </w:rPr>
          <w:instrText xml:space="preserve"> PAGEREF _Toc57831592 \h </w:instrText>
        </w:r>
        <w:r w:rsidR="0048345E">
          <w:rPr>
            <w:webHidden/>
          </w:rPr>
        </w:r>
        <w:r w:rsidR="0048345E">
          <w:rPr>
            <w:webHidden/>
          </w:rPr>
          <w:fldChar w:fldCharType="separate"/>
        </w:r>
        <w:r w:rsidR="0048345E">
          <w:rPr>
            <w:webHidden/>
          </w:rPr>
          <w:t>157</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93" w:history="1">
        <w:r w:rsidR="0048345E" w:rsidRPr="00F91932">
          <w:rPr>
            <w:rStyle w:val="Hyperlink"/>
            <w:rFonts w:ascii="Times New Roman" w:hAnsi="Times New Roman"/>
          </w:rPr>
          <w:t>3.9.2.</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C 34.01 - Size of the derivative business</w:t>
        </w:r>
        <w:r w:rsidR="0048345E">
          <w:rPr>
            <w:webHidden/>
          </w:rPr>
          <w:tab/>
        </w:r>
        <w:r w:rsidR="0048345E">
          <w:rPr>
            <w:webHidden/>
          </w:rPr>
          <w:fldChar w:fldCharType="begin"/>
        </w:r>
        <w:r w:rsidR="0048345E">
          <w:rPr>
            <w:webHidden/>
          </w:rPr>
          <w:instrText xml:space="preserve"> PAGEREF _Toc57831593 \h </w:instrText>
        </w:r>
        <w:r w:rsidR="0048345E">
          <w:rPr>
            <w:webHidden/>
          </w:rPr>
        </w:r>
        <w:r w:rsidR="0048345E">
          <w:rPr>
            <w:webHidden/>
          </w:rPr>
          <w:fldChar w:fldCharType="separate"/>
        </w:r>
        <w:r w:rsidR="0048345E">
          <w:rPr>
            <w:webHidden/>
          </w:rPr>
          <w:t>158</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94" w:history="1">
        <w:r w:rsidR="0048345E" w:rsidRPr="00F91932">
          <w:rPr>
            <w:rStyle w:val="Hyperlink"/>
            <w:rFonts w:ascii="Times New Roman" w:hAnsi="Times New Roman"/>
          </w:rPr>
          <w:t>3.9.2.1.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General remarks</w:t>
        </w:r>
        <w:r w:rsidR="0048345E">
          <w:rPr>
            <w:webHidden/>
          </w:rPr>
          <w:tab/>
        </w:r>
        <w:r w:rsidR="0048345E">
          <w:rPr>
            <w:webHidden/>
          </w:rPr>
          <w:fldChar w:fldCharType="begin"/>
        </w:r>
        <w:r w:rsidR="0048345E">
          <w:rPr>
            <w:webHidden/>
          </w:rPr>
          <w:instrText xml:space="preserve"> PAGEREF _Toc57831594 \h </w:instrText>
        </w:r>
        <w:r w:rsidR="0048345E">
          <w:rPr>
            <w:webHidden/>
          </w:rPr>
        </w:r>
        <w:r w:rsidR="0048345E">
          <w:rPr>
            <w:webHidden/>
          </w:rPr>
          <w:fldChar w:fldCharType="separate"/>
        </w:r>
        <w:r w:rsidR="0048345E">
          <w:rPr>
            <w:webHidden/>
          </w:rPr>
          <w:t>158</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95" w:history="1">
        <w:r w:rsidR="0048345E" w:rsidRPr="00F91932">
          <w:rPr>
            <w:rStyle w:val="Hyperlink"/>
            <w:rFonts w:ascii="Times New Roman" w:hAnsi="Times New Roman"/>
          </w:rPr>
          <w:t>3.9.2.2.</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Instructions concerning specific positions</w:t>
        </w:r>
        <w:r w:rsidR="0048345E">
          <w:rPr>
            <w:webHidden/>
          </w:rPr>
          <w:tab/>
        </w:r>
        <w:r w:rsidR="0048345E">
          <w:rPr>
            <w:webHidden/>
          </w:rPr>
          <w:fldChar w:fldCharType="begin"/>
        </w:r>
        <w:r w:rsidR="0048345E">
          <w:rPr>
            <w:webHidden/>
          </w:rPr>
          <w:instrText xml:space="preserve"> PAGEREF _Toc57831595 \h </w:instrText>
        </w:r>
        <w:r w:rsidR="0048345E">
          <w:rPr>
            <w:webHidden/>
          </w:rPr>
        </w:r>
        <w:r w:rsidR="0048345E">
          <w:rPr>
            <w:webHidden/>
          </w:rPr>
          <w:fldChar w:fldCharType="separate"/>
        </w:r>
        <w:r w:rsidR="0048345E">
          <w:rPr>
            <w:webHidden/>
          </w:rPr>
          <w:t>158</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96" w:history="1">
        <w:r w:rsidR="0048345E" w:rsidRPr="00F91932">
          <w:rPr>
            <w:rStyle w:val="Hyperlink"/>
            <w:rFonts w:ascii="Times New Roman" w:hAnsi="Times New Roman"/>
          </w:rPr>
          <w:t>3.9.3.</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C 34.02 - CCR exposures by approach</w:t>
        </w:r>
        <w:r w:rsidR="0048345E">
          <w:rPr>
            <w:webHidden/>
          </w:rPr>
          <w:tab/>
        </w:r>
        <w:r w:rsidR="0048345E">
          <w:rPr>
            <w:webHidden/>
          </w:rPr>
          <w:fldChar w:fldCharType="begin"/>
        </w:r>
        <w:r w:rsidR="0048345E">
          <w:rPr>
            <w:webHidden/>
          </w:rPr>
          <w:instrText xml:space="preserve"> PAGEREF _Toc57831596 \h </w:instrText>
        </w:r>
        <w:r w:rsidR="0048345E">
          <w:rPr>
            <w:webHidden/>
          </w:rPr>
        </w:r>
        <w:r w:rsidR="0048345E">
          <w:rPr>
            <w:webHidden/>
          </w:rPr>
          <w:fldChar w:fldCharType="separate"/>
        </w:r>
        <w:r w:rsidR="0048345E">
          <w:rPr>
            <w:webHidden/>
          </w:rPr>
          <w:t>160</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97" w:history="1">
        <w:r w:rsidR="0048345E" w:rsidRPr="00F91932">
          <w:rPr>
            <w:rStyle w:val="Hyperlink"/>
            <w:rFonts w:ascii="Times New Roman" w:hAnsi="Times New Roman"/>
          </w:rPr>
          <w:t>3.9.3.1.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General remarks</w:t>
        </w:r>
        <w:r w:rsidR="0048345E">
          <w:rPr>
            <w:webHidden/>
          </w:rPr>
          <w:tab/>
        </w:r>
        <w:r w:rsidR="0048345E">
          <w:rPr>
            <w:webHidden/>
          </w:rPr>
          <w:fldChar w:fldCharType="begin"/>
        </w:r>
        <w:r w:rsidR="0048345E">
          <w:rPr>
            <w:webHidden/>
          </w:rPr>
          <w:instrText xml:space="preserve"> PAGEREF _Toc57831597 \h </w:instrText>
        </w:r>
        <w:r w:rsidR="0048345E">
          <w:rPr>
            <w:webHidden/>
          </w:rPr>
        </w:r>
        <w:r w:rsidR="0048345E">
          <w:rPr>
            <w:webHidden/>
          </w:rPr>
          <w:fldChar w:fldCharType="separate"/>
        </w:r>
        <w:r w:rsidR="0048345E">
          <w:rPr>
            <w:webHidden/>
          </w:rPr>
          <w:t>160</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98" w:history="1">
        <w:r w:rsidR="0048345E" w:rsidRPr="00F91932">
          <w:rPr>
            <w:rStyle w:val="Hyperlink"/>
            <w:rFonts w:ascii="Times New Roman" w:hAnsi="Times New Roman"/>
          </w:rPr>
          <w:t>3.9.3.2.</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Instructions concerning specific positions</w:t>
        </w:r>
        <w:r w:rsidR="0048345E">
          <w:rPr>
            <w:webHidden/>
          </w:rPr>
          <w:tab/>
        </w:r>
        <w:r w:rsidR="0048345E">
          <w:rPr>
            <w:webHidden/>
          </w:rPr>
          <w:fldChar w:fldCharType="begin"/>
        </w:r>
        <w:r w:rsidR="0048345E">
          <w:rPr>
            <w:webHidden/>
          </w:rPr>
          <w:instrText xml:space="preserve"> PAGEREF _Toc57831598 \h </w:instrText>
        </w:r>
        <w:r w:rsidR="0048345E">
          <w:rPr>
            <w:webHidden/>
          </w:rPr>
        </w:r>
        <w:r w:rsidR="0048345E">
          <w:rPr>
            <w:webHidden/>
          </w:rPr>
          <w:fldChar w:fldCharType="separate"/>
        </w:r>
        <w:r w:rsidR="0048345E">
          <w:rPr>
            <w:webHidden/>
          </w:rPr>
          <w:t>160</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599" w:history="1">
        <w:r w:rsidR="0048345E" w:rsidRPr="00F91932">
          <w:rPr>
            <w:rStyle w:val="Hyperlink"/>
            <w:rFonts w:ascii="Times New Roman" w:hAnsi="Times New Roman"/>
          </w:rPr>
          <w:t>3.9.4.</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C 34.03 - CCR exposures treated with standardised approaches: SA-CCR and Simplified SA-CCR</w:t>
        </w:r>
        <w:r w:rsidR="0048345E">
          <w:rPr>
            <w:webHidden/>
          </w:rPr>
          <w:tab/>
        </w:r>
        <w:r w:rsidR="0048345E">
          <w:rPr>
            <w:webHidden/>
          </w:rPr>
          <w:fldChar w:fldCharType="begin"/>
        </w:r>
        <w:r w:rsidR="0048345E">
          <w:rPr>
            <w:webHidden/>
          </w:rPr>
          <w:instrText xml:space="preserve"> PAGEREF _Toc57831599 \h </w:instrText>
        </w:r>
        <w:r w:rsidR="0048345E">
          <w:rPr>
            <w:webHidden/>
          </w:rPr>
        </w:r>
        <w:r w:rsidR="0048345E">
          <w:rPr>
            <w:webHidden/>
          </w:rPr>
          <w:fldChar w:fldCharType="separate"/>
        </w:r>
        <w:r w:rsidR="0048345E">
          <w:rPr>
            <w:webHidden/>
          </w:rPr>
          <w:t>166</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00" w:history="1">
        <w:r w:rsidR="0048345E" w:rsidRPr="00F91932">
          <w:rPr>
            <w:rStyle w:val="Hyperlink"/>
            <w:rFonts w:ascii="Times New Roman" w:hAnsi="Times New Roman"/>
          </w:rPr>
          <w:t>3.9.4.1.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General remarks</w:t>
        </w:r>
        <w:r w:rsidR="0048345E">
          <w:rPr>
            <w:webHidden/>
          </w:rPr>
          <w:tab/>
        </w:r>
        <w:r w:rsidR="0048345E">
          <w:rPr>
            <w:webHidden/>
          </w:rPr>
          <w:fldChar w:fldCharType="begin"/>
        </w:r>
        <w:r w:rsidR="0048345E">
          <w:rPr>
            <w:webHidden/>
          </w:rPr>
          <w:instrText xml:space="preserve"> PAGEREF _Toc57831600 \h </w:instrText>
        </w:r>
        <w:r w:rsidR="0048345E">
          <w:rPr>
            <w:webHidden/>
          </w:rPr>
        </w:r>
        <w:r w:rsidR="0048345E">
          <w:rPr>
            <w:webHidden/>
          </w:rPr>
          <w:fldChar w:fldCharType="separate"/>
        </w:r>
        <w:r w:rsidR="0048345E">
          <w:rPr>
            <w:webHidden/>
          </w:rPr>
          <w:t>166</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01" w:history="1">
        <w:r w:rsidR="0048345E" w:rsidRPr="00F91932">
          <w:rPr>
            <w:rStyle w:val="Hyperlink"/>
            <w:rFonts w:ascii="Times New Roman" w:hAnsi="Times New Roman"/>
          </w:rPr>
          <w:t>3.9.4.2.</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Instructions concerning specific positions</w:t>
        </w:r>
        <w:r w:rsidR="0048345E">
          <w:rPr>
            <w:webHidden/>
          </w:rPr>
          <w:tab/>
        </w:r>
        <w:r w:rsidR="0048345E">
          <w:rPr>
            <w:webHidden/>
          </w:rPr>
          <w:fldChar w:fldCharType="begin"/>
        </w:r>
        <w:r w:rsidR="0048345E">
          <w:rPr>
            <w:webHidden/>
          </w:rPr>
          <w:instrText xml:space="preserve"> PAGEREF _Toc57831601 \h </w:instrText>
        </w:r>
        <w:r w:rsidR="0048345E">
          <w:rPr>
            <w:webHidden/>
          </w:rPr>
        </w:r>
        <w:r w:rsidR="0048345E">
          <w:rPr>
            <w:webHidden/>
          </w:rPr>
          <w:fldChar w:fldCharType="separate"/>
        </w:r>
        <w:r w:rsidR="0048345E">
          <w:rPr>
            <w:webHidden/>
          </w:rPr>
          <w:t>166</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02" w:history="1">
        <w:r w:rsidR="0048345E" w:rsidRPr="00F91932">
          <w:rPr>
            <w:rStyle w:val="Hyperlink"/>
            <w:rFonts w:ascii="Times New Roman" w:hAnsi="Times New Roman"/>
          </w:rPr>
          <w:t>3.9.5.</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C 34.04 - CCR exposures treated with the Original Exposure Method (OEM)</w:t>
        </w:r>
        <w:r w:rsidR="0048345E">
          <w:rPr>
            <w:webHidden/>
          </w:rPr>
          <w:tab/>
        </w:r>
        <w:r w:rsidR="0048345E">
          <w:rPr>
            <w:webHidden/>
          </w:rPr>
          <w:fldChar w:fldCharType="begin"/>
        </w:r>
        <w:r w:rsidR="0048345E">
          <w:rPr>
            <w:webHidden/>
          </w:rPr>
          <w:instrText xml:space="preserve"> PAGEREF _Toc57831602 \h </w:instrText>
        </w:r>
        <w:r w:rsidR="0048345E">
          <w:rPr>
            <w:webHidden/>
          </w:rPr>
        </w:r>
        <w:r w:rsidR="0048345E">
          <w:rPr>
            <w:webHidden/>
          </w:rPr>
          <w:fldChar w:fldCharType="separate"/>
        </w:r>
        <w:r w:rsidR="0048345E">
          <w:rPr>
            <w:webHidden/>
          </w:rPr>
          <w:t>169</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03" w:history="1">
        <w:r w:rsidR="0048345E" w:rsidRPr="00F91932">
          <w:rPr>
            <w:rStyle w:val="Hyperlink"/>
            <w:rFonts w:ascii="Times New Roman" w:hAnsi="Times New Roman"/>
          </w:rPr>
          <w:t>3.9.5.1.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Instructions concerning specific positions</w:t>
        </w:r>
        <w:r w:rsidR="0048345E">
          <w:rPr>
            <w:webHidden/>
          </w:rPr>
          <w:tab/>
        </w:r>
        <w:r w:rsidR="0048345E">
          <w:rPr>
            <w:webHidden/>
          </w:rPr>
          <w:fldChar w:fldCharType="begin"/>
        </w:r>
        <w:r w:rsidR="0048345E">
          <w:rPr>
            <w:webHidden/>
          </w:rPr>
          <w:instrText xml:space="preserve"> PAGEREF _Toc57831603 \h </w:instrText>
        </w:r>
        <w:r w:rsidR="0048345E">
          <w:rPr>
            <w:webHidden/>
          </w:rPr>
        </w:r>
        <w:r w:rsidR="0048345E">
          <w:rPr>
            <w:webHidden/>
          </w:rPr>
          <w:fldChar w:fldCharType="separate"/>
        </w:r>
        <w:r w:rsidR="0048345E">
          <w:rPr>
            <w:webHidden/>
          </w:rPr>
          <w:t>169</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04" w:history="1">
        <w:r w:rsidR="0048345E" w:rsidRPr="00F91932">
          <w:rPr>
            <w:rStyle w:val="Hyperlink"/>
            <w:rFonts w:ascii="Times New Roman" w:hAnsi="Times New Roman"/>
          </w:rPr>
          <w:t>3.9.6.</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C 34.05 – CCR exposures treated with the Internal Model Method (IMM)</w:t>
        </w:r>
        <w:r w:rsidR="0048345E">
          <w:rPr>
            <w:webHidden/>
          </w:rPr>
          <w:tab/>
        </w:r>
        <w:r w:rsidR="0048345E">
          <w:rPr>
            <w:webHidden/>
          </w:rPr>
          <w:fldChar w:fldCharType="begin"/>
        </w:r>
        <w:r w:rsidR="0048345E">
          <w:rPr>
            <w:webHidden/>
          </w:rPr>
          <w:instrText xml:space="preserve"> PAGEREF _Toc57831604 \h </w:instrText>
        </w:r>
        <w:r w:rsidR="0048345E">
          <w:rPr>
            <w:webHidden/>
          </w:rPr>
        </w:r>
        <w:r w:rsidR="0048345E">
          <w:rPr>
            <w:webHidden/>
          </w:rPr>
          <w:fldChar w:fldCharType="separate"/>
        </w:r>
        <w:r w:rsidR="0048345E">
          <w:rPr>
            <w:webHidden/>
          </w:rPr>
          <w:t>169</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05" w:history="1">
        <w:r w:rsidR="0048345E" w:rsidRPr="00F91932">
          <w:rPr>
            <w:rStyle w:val="Hyperlink"/>
            <w:rFonts w:ascii="Times New Roman" w:hAnsi="Times New Roman"/>
          </w:rPr>
          <w:t>3.9.6.1.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Instructions concerning specific positions</w:t>
        </w:r>
        <w:r w:rsidR="0048345E">
          <w:rPr>
            <w:webHidden/>
          </w:rPr>
          <w:tab/>
        </w:r>
        <w:r w:rsidR="0048345E">
          <w:rPr>
            <w:webHidden/>
          </w:rPr>
          <w:fldChar w:fldCharType="begin"/>
        </w:r>
        <w:r w:rsidR="0048345E">
          <w:rPr>
            <w:webHidden/>
          </w:rPr>
          <w:instrText xml:space="preserve"> PAGEREF _Toc57831605 \h </w:instrText>
        </w:r>
        <w:r w:rsidR="0048345E">
          <w:rPr>
            <w:webHidden/>
          </w:rPr>
        </w:r>
        <w:r w:rsidR="0048345E">
          <w:rPr>
            <w:webHidden/>
          </w:rPr>
          <w:fldChar w:fldCharType="separate"/>
        </w:r>
        <w:r w:rsidR="0048345E">
          <w:rPr>
            <w:webHidden/>
          </w:rPr>
          <w:t>169</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06" w:history="1">
        <w:r w:rsidR="0048345E" w:rsidRPr="00F91932">
          <w:rPr>
            <w:rStyle w:val="Hyperlink"/>
            <w:rFonts w:ascii="Times New Roman" w:hAnsi="Times New Roman"/>
          </w:rPr>
          <w:t>3.9.7.</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C 34.06 – Top twenty counterparties</w:t>
        </w:r>
        <w:r w:rsidR="0048345E">
          <w:rPr>
            <w:webHidden/>
          </w:rPr>
          <w:tab/>
        </w:r>
        <w:r w:rsidR="0048345E">
          <w:rPr>
            <w:webHidden/>
          </w:rPr>
          <w:fldChar w:fldCharType="begin"/>
        </w:r>
        <w:r w:rsidR="0048345E">
          <w:rPr>
            <w:webHidden/>
          </w:rPr>
          <w:instrText xml:space="preserve"> PAGEREF _Toc57831606 \h </w:instrText>
        </w:r>
        <w:r w:rsidR="0048345E">
          <w:rPr>
            <w:webHidden/>
          </w:rPr>
        </w:r>
        <w:r w:rsidR="0048345E">
          <w:rPr>
            <w:webHidden/>
          </w:rPr>
          <w:fldChar w:fldCharType="separate"/>
        </w:r>
        <w:r w:rsidR="0048345E">
          <w:rPr>
            <w:webHidden/>
          </w:rPr>
          <w:t>171</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07" w:history="1">
        <w:r w:rsidR="0048345E" w:rsidRPr="00F91932">
          <w:rPr>
            <w:rStyle w:val="Hyperlink"/>
            <w:rFonts w:ascii="Times New Roman" w:hAnsi="Times New Roman"/>
          </w:rPr>
          <w:t>3.9.7.1.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General remarks</w:t>
        </w:r>
        <w:r w:rsidR="0048345E">
          <w:rPr>
            <w:webHidden/>
          </w:rPr>
          <w:tab/>
        </w:r>
        <w:r w:rsidR="0048345E">
          <w:rPr>
            <w:webHidden/>
          </w:rPr>
          <w:fldChar w:fldCharType="begin"/>
        </w:r>
        <w:r w:rsidR="0048345E">
          <w:rPr>
            <w:webHidden/>
          </w:rPr>
          <w:instrText xml:space="preserve"> PAGEREF _Toc57831607 \h </w:instrText>
        </w:r>
        <w:r w:rsidR="0048345E">
          <w:rPr>
            <w:webHidden/>
          </w:rPr>
        </w:r>
        <w:r w:rsidR="0048345E">
          <w:rPr>
            <w:webHidden/>
          </w:rPr>
          <w:fldChar w:fldCharType="separate"/>
        </w:r>
        <w:r w:rsidR="0048345E">
          <w:rPr>
            <w:webHidden/>
          </w:rPr>
          <w:t>171</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08" w:history="1">
        <w:r w:rsidR="0048345E" w:rsidRPr="00F91932">
          <w:rPr>
            <w:rStyle w:val="Hyperlink"/>
            <w:rFonts w:ascii="Times New Roman" w:hAnsi="Times New Roman"/>
          </w:rPr>
          <w:t>3.9.7.2.</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Instructions concerning specific positions</w:t>
        </w:r>
        <w:r w:rsidR="0048345E">
          <w:rPr>
            <w:webHidden/>
          </w:rPr>
          <w:tab/>
        </w:r>
        <w:r w:rsidR="0048345E">
          <w:rPr>
            <w:webHidden/>
          </w:rPr>
          <w:fldChar w:fldCharType="begin"/>
        </w:r>
        <w:r w:rsidR="0048345E">
          <w:rPr>
            <w:webHidden/>
          </w:rPr>
          <w:instrText xml:space="preserve"> PAGEREF _Toc57831608 \h </w:instrText>
        </w:r>
        <w:r w:rsidR="0048345E">
          <w:rPr>
            <w:webHidden/>
          </w:rPr>
        </w:r>
        <w:r w:rsidR="0048345E">
          <w:rPr>
            <w:webHidden/>
          </w:rPr>
          <w:fldChar w:fldCharType="separate"/>
        </w:r>
        <w:r w:rsidR="0048345E">
          <w:rPr>
            <w:webHidden/>
          </w:rPr>
          <w:t>172</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09" w:history="1">
        <w:r w:rsidR="0048345E" w:rsidRPr="00F91932">
          <w:rPr>
            <w:rStyle w:val="Hyperlink"/>
            <w:rFonts w:ascii="Times New Roman" w:hAnsi="Times New Roman"/>
          </w:rPr>
          <w:t>3.9.8.</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C 34.07 - IRB approach – CCR exposures by exposure class and PD scale</w:t>
        </w:r>
        <w:r w:rsidR="0048345E">
          <w:rPr>
            <w:webHidden/>
          </w:rPr>
          <w:tab/>
        </w:r>
        <w:r w:rsidR="0048345E">
          <w:rPr>
            <w:webHidden/>
          </w:rPr>
          <w:fldChar w:fldCharType="begin"/>
        </w:r>
        <w:r w:rsidR="0048345E">
          <w:rPr>
            <w:webHidden/>
          </w:rPr>
          <w:instrText xml:space="preserve"> PAGEREF _Toc57831609 \h </w:instrText>
        </w:r>
        <w:r w:rsidR="0048345E">
          <w:rPr>
            <w:webHidden/>
          </w:rPr>
        </w:r>
        <w:r w:rsidR="0048345E">
          <w:rPr>
            <w:webHidden/>
          </w:rPr>
          <w:fldChar w:fldCharType="separate"/>
        </w:r>
        <w:r w:rsidR="0048345E">
          <w:rPr>
            <w:webHidden/>
          </w:rPr>
          <w:t>173</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10" w:history="1">
        <w:r w:rsidR="0048345E" w:rsidRPr="00F91932">
          <w:rPr>
            <w:rStyle w:val="Hyperlink"/>
            <w:rFonts w:ascii="Times New Roman" w:hAnsi="Times New Roman"/>
          </w:rPr>
          <w:t>3.9.8.1.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General remarks</w:t>
        </w:r>
        <w:r w:rsidR="0048345E">
          <w:rPr>
            <w:webHidden/>
          </w:rPr>
          <w:tab/>
        </w:r>
        <w:r w:rsidR="0048345E">
          <w:rPr>
            <w:webHidden/>
          </w:rPr>
          <w:fldChar w:fldCharType="begin"/>
        </w:r>
        <w:r w:rsidR="0048345E">
          <w:rPr>
            <w:webHidden/>
          </w:rPr>
          <w:instrText xml:space="preserve"> PAGEREF _Toc57831610 \h </w:instrText>
        </w:r>
        <w:r w:rsidR="0048345E">
          <w:rPr>
            <w:webHidden/>
          </w:rPr>
        </w:r>
        <w:r w:rsidR="0048345E">
          <w:rPr>
            <w:webHidden/>
          </w:rPr>
          <w:fldChar w:fldCharType="separate"/>
        </w:r>
        <w:r w:rsidR="0048345E">
          <w:rPr>
            <w:webHidden/>
          </w:rPr>
          <w:t>173</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11" w:history="1">
        <w:r w:rsidR="0048345E" w:rsidRPr="00F91932">
          <w:rPr>
            <w:rStyle w:val="Hyperlink"/>
            <w:rFonts w:ascii="Times New Roman" w:hAnsi="Times New Roman"/>
          </w:rPr>
          <w:t>3.9.8.2.</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Instructions concerning specific positions</w:t>
        </w:r>
        <w:r w:rsidR="0048345E">
          <w:rPr>
            <w:webHidden/>
          </w:rPr>
          <w:tab/>
        </w:r>
        <w:r w:rsidR="0048345E">
          <w:rPr>
            <w:webHidden/>
          </w:rPr>
          <w:fldChar w:fldCharType="begin"/>
        </w:r>
        <w:r w:rsidR="0048345E">
          <w:rPr>
            <w:webHidden/>
          </w:rPr>
          <w:instrText xml:space="preserve"> PAGEREF _Toc57831611 \h </w:instrText>
        </w:r>
        <w:r w:rsidR="0048345E">
          <w:rPr>
            <w:webHidden/>
          </w:rPr>
        </w:r>
        <w:r w:rsidR="0048345E">
          <w:rPr>
            <w:webHidden/>
          </w:rPr>
          <w:fldChar w:fldCharType="separate"/>
        </w:r>
        <w:r w:rsidR="0048345E">
          <w:rPr>
            <w:webHidden/>
          </w:rPr>
          <w:t>174</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12" w:history="1">
        <w:r w:rsidR="0048345E" w:rsidRPr="00F91932">
          <w:rPr>
            <w:rStyle w:val="Hyperlink"/>
            <w:rFonts w:ascii="Times New Roman" w:hAnsi="Times New Roman"/>
          </w:rPr>
          <w:t>3.9.9.</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C 34.08 - Composition of collateral for CCR exposures</w:t>
        </w:r>
        <w:r w:rsidR="0048345E">
          <w:rPr>
            <w:webHidden/>
          </w:rPr>
          <w:tab/>
        </w:r>
        <w:r w:rsidR="0048345E">
          <w:rPr>
            <w:webHidden/>
          </w:rPr>
          <w:fldChar w:fldCharType="begin"/>
        </w:r>
        <w:r w:rsidR="0048345E">
          <w:rPr>
            <w:webHidden/>
          </w:rPr>
          <w:instrText xml:space="preserve"> PAGEREF _Toc57831612 \h </w:instrText>
        </w:r>
        <w:r w:rsidR="0048345E">
          <w:rPr>
            <w:webHidden/>
          </w:rPr>
        </w:r>
        <w:r w:rsidR="0048345E">
          <w:rPr>
            <w:webHidden/>
          </w:rPr>
          <w:fldChar w:fldCharType="separate"/>
        </w:r>
        <w:r w:rsidR="0048345E">
          <w:rPr>
            <w:webHidden/>
          </w:rPr>
          <w:t>175</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13" w:history="1">
        <w:r w:rsidR="0048345E" w:rsidRPr="00F91932">
          <w:rPr>
            <w:rStyle w:val="Hyperlink"/>
            <w:rFonts w:ascii="Times New Roman" w:hAnsi="Times New Roman"/>
          </w:rPr>
          <w:t>3.9.9.1.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General remarks</w:t>
        </w:r>
        <w:r w:rsidR="0048345E">
          <w:rPr>
            <w:webHidden/>
          </w:rPr>
          <w:tab/>
        </w:r>
        <w:r w:rsidR="0048345E">
          <w:rPr>
            <w:webHidden/>
          </w:rPr>
          <w:fldChar w:fldCharType="begin"/>
        </w:r>
        <w:r w:rsidR="0048345E">
          <w:rPr>
            <w:webHidden/>
          </w:rPr>
          <w:instrText xml:space="preserve"> PAGEREF _Toc57831613 \h </w:instrText>
        </w:r>
        <w:r w:rsidR="0048345E">
          <w:rPr>
            <w:webHidden/>
          </w:rPr>
        </w:r>
        <w:r w:rsidR="0048345E">
          <w:rPr>
            <w:webHidden/>
          </w:rPr>
          <w:fldChar w:fldCharType="separate"/>
        </w:r>
        <w:r w:rsidR="0048345E">
          <w:rPr>
            <w:webHidden/>
          </w:rPr>
          <w:t>175</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14" w:history="1">
        <w:r w:rsidR="0048345E" w:rsidRPr="00F91932">
          <w:rPr>
            <w:rStyle w:val="Hyperlink"/>
            <w:rFonts w:ascii="Times New Roman" w:hAnsi="Times New Roman"/>
          </w:rPr>
          <w:t>3.9.9.2.</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Instructions concerning specific positions</w:t>
        </w:r>
        <w:r w:rsidR="0048345E">
          <w:rPr>
            <w:webHidden/>
          </w:rPr>
          <w:tab/>
        </w:r>
        <w:r w:rsidR="0048345E">
          <w:rPr>
            <w:webHidden/>
          </w:rPr>
          <w:fldChar w:fldCharType="begin"/>
        </w:r>
        <w:r w:rsidR="0048345E">
          <w:rPr>
            <w:webHidden/>
          </w:rPr>
          <w:instrText xml:space="preserve"> PAGEREF _Toc57831614 \h </w:instrText>
        </w:r>
        <w:r w:rsidR="0048345E">
          <w:rPr>
            <w:webHidden/>
          </w:rPr>
        </w:r>
        <w:r w:rsidR="0048345E">
          <w:rPr>
            <w:webHidden/>
          </w:rPr>
          <w:fldChar w:fldCharType="separate"/>
        </w:r>
        <w:r w:rsidR="0048345E">
          <w:rPr>
            <w:webHidden/>
          </w:rPr>
          <w:t>176</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15" w:history="1">
        <w:r w:rsidR="0048345E" w:rsidRPr="00F91932">
          <w:rPr>
            <w:rStyle w:val="Hyperlink"/>
            <w:rFonts w:ascii="Times New Roman" w:hAnsi="Times New Roman"/>
          </w:rPr>
          <w:t>3.9.10.</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C 34.09 - Credit derivatives exposures</w:t>
        </w:r>
        <w:r w:rsidR="0048345E">
          <w:rPr>
            <w:webHidden/>
          </w:rPr>
          <w:tab/>
        </w:r>
        <w:r w:rsidR="0048345E">
          <w:rPr>
            <w:webHidden/>
          </w:rPr>
          <w:fldChar w:fldCharType="begin"/>
        </w:r>
        <w:r w:rsidR="0048345E">
          <w:rPr>
            <w:webHidden/>
          </w:rPr>
          <w:instrText xml:space="preserve"> PAGEREF _Toc57831615 \h </w:instrText>
        </w:r>
        <w:r w:rsidR="0048345E">
          <w:rPr>
            <w:webHidden/>
          </w:rPr>
        </w:r>
        <w:r w:rsidR="0048345E">
          <w:rPr>
            <w:webHidden/>
          </w:rPr>
          <w:fldChar w:fldCharType="separate"/>
        </w:r>
        <w:r w:rsidR="0048345E">
          <w:rPr>
            <w:webHidden/>
          </w:rPr>
          <w:t>177</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16" w:history="1">
        <w:r w:rsidR="0048345E" w:rsidRPr="00F91932">
          <w:rPr>
            <w:rStyle w:val="Hyperlink"/>
            <w:rFonts w:ascii="Times New Roman" w:hAnsi="Times New Roman"/>
          </w:rPr>
          <w:t>3.9.10.1.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Instructions concerning specific positions</w:t>
        </w:r>
        <w:r w:rsidR="0048345E">
          <w:rPr>
            <w:webHidden/>
          </w:rPr>
          <w:tab/>
        </w:r>
        <w:r w:rsidR="0048345E">
          <w:rPr>
            <w:webHidden/>
          </w:rPr>
          <w:fldChar w:fldCharType="begin"/>
        </w:r>
        <w:r w:rsidR="0048345E">
          <w:rPr>
            <w:webHidden/>
          </w:rPr>
          <w:instrText xml:space="preserve"> PAGEREF _Toc57831616 \h </w:instrText>
        </w:r>
        <w:r w:rsidR="0048345E">
          <w:rPr>
            <w:webHidden/>
          </w:rPr>
        </w:r>
        <w:r w:rsidR="0048345E">
          <w:rPr>
            <w:webHidden/>
          </w:rPr>
          <w:fldChar w:fldCharType="separate"/>
        </w:r>
        <w:r w:rsidR="0048345E">
          <w:rPr>
            <w:webHidden/>
          </w:rPr>
          <w:t>177</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17" w:history="1">
        <w:r w:rsidR="0048345E" w:rsidRPr="00F91932">
          <w:rPr>
            <w:rStyle w:val="Hyperlink"/>
            <w:rFonts w:ascii="Times New Roman" w:hAnsi="Times New Roman"/>
          </w:rPr>
          <w:t>3.9.11.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C 34.10 - Exposures to CCPs</w:t>
        </w:r>
        <w:r w:rsidR="0048345E">
          <w:rPr>
            <w:webHidden/>
          </w:rPr>
          <w:tab/>
        </w:r>
        <w:r w:rsidR="0048345E">
          <w:rPr>
            <w:webHidden/>
          </w:rPr>
          <w:fldChar w:fldCharType="begin"/>
        </w:r>
        <w:r w:rsidR="0048345E">
          <w:rPr>
            <w:webHidden/>
          </w:rPr>
          <w:instrText xml:space="preserve"> PAGEREF _Toc57831617 \h </w:instrText>
        </w:r>
        <w:r w:rsidR="0048345E">
          <w:rPr>
            <w:webHidden/>
          </w:rPr>
        </w:r>
        <w:r w:rsidR="0048345E">
          <w:rPr>
            <w:webHidden/>
          </w:rPr>
          <w:fldChar w:fldCharType="separate"/>
        </w:r>
        <w:r w:rsidR="0048345E">
          <w:rPr>
            <w:webHidden/>
          </w:rPr>
          <w:t>177</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18" w:history="1">
        <w:r w:rsidR="0048345E" w:rsidRPr="00F91932">
          <w:rPr>
            <w:rStyle w:val="Hyperlink"/>
            <w:rFonts w:ascii="Times New Roman" w:hAnsi="Times New Roman"/>
          </w:rPr>
          <w:t>3.9.11.1.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General remarks</w:t>
        </w:r>
        <w:r w:rsidR="0048345E">
          <w:rPr>
            <w:webHidden/>
          </w:rPr>
          <w:tab/>
        </w:r>
        <w:r w:rsidR="0048345E">
          <w:rPr>
            <w:webHidden/>
          </w:rPr>
          <w:fldChar w:fldCharType="begin"/>
        </w:r>
        <w:r w:rsidR="0048345E">
          <w:rPr>
            <w:webHidden/>
          </w:rPr>
          <w:instrText xml:space="preserve"> PAGEREF _Toc57831618 \h </w:instrText>
        </w:r>
        <w:r w:rsidR="0048345E">
          <w:rPr>
            <w:webHidden/>
          </w:rPr>
        </w:r>
        <w:r w:rsidR="0048345E">
          <w:rPr>
            <w:webHidden/>
          </w:rPr>
          <w:fldChar w:fldCharType="separate"/>
        </w:r>
        <w:r w:rsidR="0048345E">
          <w:rPr>
            <w:webHidden/>
          </w:rPr>
          <w:t>177</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19" w:history="1">
        <w:r w:rsidR="0048345E" w:rsidRPr="00F91932">
          <w:rPr>
            <w:rStyle w:val="Hyperlink"/>
            <w:rFonts w:ascii="Times New Roman" w:hAnsi="Times New Roman"/>
          </w:rPr>
          <w:t>3.9.11.2.</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Instructions concerning specific positions</w:t>
        </w:r>
        <w:r w:rsidR="0048345E">
          <w:rPr>
            <w:webHidden/>
          </w:rPr>
          <w:tab/>
        </w:r>
        <w:r w:rsidR="0048345E">
          <w:rPr>
            <w:webHidden/>
          </w:rPr>
          <w:fldChar w:fldCharType="begin"/>
        </w:r>
        <w:r w:rsidR="0048345E">
          <w:rPr>
            <w:webHidden/>
          </w:rPr>
          <w:instrText xml:space="preserve"> PAGEREF _Toc57831619 \h </w:instrText>
        </w:r>
        <w:r w:rsidR="0048345E">
          <w:rPr>
            <w:webHidden/>
          </w:rPr>
        </w:r>
        <w:r w:rsidR="0048345E">
          <w:rPr>
            <w:webHidden/>
          </w:rPr>
          <w:fldChar w:fldCharType="separate"/>
        </w:r>
        <w:r w:rsidR="0048345E">
          <w:rPr>
            <w:webHidden/>
          </w:rPr>
          <w:t>178</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20" w:history="1">
        <w:r w:rsidR="0048345E" w:rsidRPr="00F91932">
          <w:rPr>
            <w:rStyle w:val="Hyperlink"/>
            <w:rFonts w:ascii="Times New Roman" w:hAnsi="Times New Roman"/>
          </w:rPr>
          <w:t>3.9.12.</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C 34.11 - Risk weighted exposure amounts (RWEA) flow statements of CCR exposures under the IMM</w:t>
        </w:r>
        <w:r w:rsidR="0048345E">
          <w:rPr>
            <w:webHidden/>
          </w:rPr>
          <w:tab/>
        </w:r>
        <w:r w:rsidR="0048345E">
          <w:rPr>
            <w:webHidden/>
          </w:rPr>
          <w:fldChar w:fldCharType="begin"/>
        </w:r>
        <w:r w:rsidR="0048345E">
          <w:rPr>
            <w:webHidden/>
          </w:rPr>
          <w:instrText xml:space="preserve"> PAGEREF _Toc57831620 \h </w:instrText>
        </w:r>
        <w:r w:rsidR="0048345E">
          <w:rPr>
            <w:webHidden/>
          </w:rPr>
        </w:r>
        <w:r w:rsidR="0048345E">
          <w:rPr>
            <w:webHidden/>
          </w:rPr>
          <w:fldChar w:fldCharType="separate"/>
        </w:r>
        <w:r w:rsidR="0048345E">
          <w:rPr>
            <w:webHidden/>
          </w:rPr>
          <w:t>179</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21" w:history="1">
        <w:r w:rsidR="0048345E" w:rsidRPr="00F91932">
          <w:rPr>
            <w:rStyle w:val="Hyperlink"/>
            <w:rFonts w:ascii="Times New Roman" w:hAnsi="Times New Roman"/>
          </w:rPr>
          <w:t>3.9.12.1.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General remarks</w:t>
        </w:r>
        <w:r w:rsidR="0048345E">
          <w:rPr>
            <w:webHidden/>
          </w:rPr>
          <w:tab/>
        </w:r>
        <w:r w:rsidR="0048345E">
          <w:rPr>
            <w:webHidden/>
          </w:rPr>
          <w:fldChar w:fldCharType="begin"/>
        </w:r>
        <w:r w:rsidR="0048345E">
          <w:rPr>
            <w:webHidden/>
          </w:rPr>
          <w:instrText xml:space="preserve"> PAGEREF _Toc57831621 \h </w:instrText>
        </w:r>
        <w:r w:rsidR="0048345E">
          <w:rPr>
            <w:webHidden/>
          </w:rPr>
        </w:r>
        <w:r w:rsidR="0048345E">
          <w:rPr>
            <w:webHidden/>
          </w:rPr>
          <w:fldChar w:fldCharType="separate"/>
        </w:r>
        <w:r w:rsidR="0048345E">
          <w:rPr>
            <w:webHidden/>
          </w:rPr>
          <w:t>179</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22" w:history="1">
        <w:r w:rsidR="0048345E" w:rsidRPr="00F91932">
          <w:rPr>
            <w:rStyle w:val="Hyperlink"/>
            <w:rFonts w:ascii="Times New Roman" w:hAnsi="Times New Roman"/>
          </w:rPr>
          <w:t>3.9.12.2.</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Instructions concerning specific positions</w:t>
        </w:r>
        <w:r w:rsidR="0048345E">
          <w:rPr>
            <w:webHidden/>
          </w:rPr>
          <w:tab/>
        </w:r>
        <w:r w:rsidR="0048345E">
          <w:rPr>
            <w:webHidden/>
          </w:rPr>
          <w:fldChar w:fldCharType="begin"/>
        </w:r>
        <w:r w:rsidR="0048345E">
          <w:rPr>
            <w:webHidden/>
          </w:rPr>
          <w:instrText xml:space="preserve"> PAGEREF _Toc57831622 \h </w:instrText>
        </w:r>
        <w:r w:rsidR="0048345E">
          <w:rPr>
            <w:webHidden/>
          </w:rPr>
        </w:r>
        <w:r w:rsidR="0048345E">
          <w:rPr>
            <w:webHidden/>
          </w:rPr>
          <w:fldChar w:fldCharType="separate"/>
        </w:r>
        <w:r w:rsidR="0048345E">
          <w:rPr>
            <w:webHidden/>
          </w:rPr>
          <w:t>179</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23" w:history="1">
        <w:r w:rsidR="0048345E" w:rsidRPr="00F91932">
          <w:rPr>
            <w:rStyle w:val="Hyperlink"/>
            <w:rFonts w:ascii="Times New Roman" w:hAnsi="Times New Roman"/>
          </w:rPr>
          <w:t>4.</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Operational Risk Templates</w:t>
        </w:r>
        <w:r w:rsidR="0048345E">
          <w:rPr>
            <w:webHidden/>
          </w:rPr>
          <w:tab/>
        </w:r>
        <w:r w:rsidR="0048345E">
          <w:rPr>
            <w:webHidden/>
          </w:rPr>
          <w:fldChar w:fldCharType="begin"/>
        </w:r>
        <w:r w:rsidR="0048345E">
          <w:rPr>
            <w:webHidden/>
          </w:rPr>
          <w:instrText xml:space="preserve"> PAGEREF _Toc57831623 \h </w:instrText>
        </w:r>
        <w:r w:rsidR="0048345E">
          <w:rPr>
            <w:webHidden/>
          </w:rPr>
        </w:r>
        <w:r w:rsidR="0048345E">
          <w:rPr>
            <w:webHidden/>
          </w:rPr>
          <w:fldChar w:fldCharType="separate"/>
        </w:r>
        <w:r w:rsidR="0048345E">
          <w:rPr>
            <w:webHidden/>
          </w:rPr>
          <w:t>181</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24" w:history="1">
        <w:r w:rsidR="0048345E" w:rsidRPr="00F91932">
          <w:rPr>
            <w:rStyle w:val="Hyperlink"/>
            <w:rFonts w:ascii="Times New Roman" w:hAnsi="Times New Roman"/>
          </w:rPr>
          <w:t>4.1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 xml:space="preserve"> C 16.00 – Operational Risk (OPR)</w:t>
        </w:r>
        <w:r w:rsidR="0048345E">
          <w:rPr>
            <w:webHidden/>
          </w:rPr>
          <w:tab/>
        </w:r>
        <w:r w:rsidR="0048345E">
          <w:rPr>
            <w:webHidden/>
          </w:rPr>
          <w:fldChar w:fldCharType="begin"/>
        </w:r>
        <w:r w:rsidR="0048345E">
          <w:rPr>
            <w:webHidden/>
          </w:rPr>
          <w:instrText xml:space="preserve"> PAGEREF _Toc57831624 \h </w:instrText>
        </w:r>
        <w:r w:rsidR="0048345E">
          <w:rPr>
            <w:webHidden/>
          </w:rPr>
        </w:r>
        <w:r w:rsidR="0048345E">
          <w:rPr>
            <w:webHidden/>
          </w:rPr>
          <w:fldChar w:fldCharType="separate"/>
        </w:r>
        <w:r w:rsidR="0048345E">
          <w:rPr>
            <w:webHidden/>
          </w:rPr>
          <w:t>181</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25" w:history="1">
        <w:r w:rsidR="0048345E" w:rsidRPr="00F91932">
          <w:rPr>
            <w:rStyle w:val="Hyperlink"/>
            <w:rFonts w:ascii="Times New Roman" w:hAnsi="Times New Roman"/>
          </w:rPr>
          <w:t>4.1.1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General Remarks</w:t>
        </w:r>
        <w:r w:rsidR="0048345E">
          <w:rPr>
            <w:webHidden/>
          </w:rPr>
          <w:tab/>
        </w:r>
        <w:r w:rsidR="0048345E">
          <w:rPr>
            <w:webHidden/>
          </w:rPr>
          <w:fldChar w:fldCharType="begin"/>
        </w:r>
        <w:r w:rsidR="0048345E">
          <w:rPr>
            <w:webHidden/>
          </w:rPr>
          <w:instrText xml:space="preserve"> PAGEREF _Toc57831625 \h </w:instrText>
        </w:r>
        <w:r w:rsidR="0048345E">
          <w:rPr>
            <w:webHidden/>
          </w:rPr>
        </w:r>
        <w:r w:rsidR="0048345E">
          <w:rPr>
            <w:webHidden/>
          </w:rPr>
          <w:fldChar w:fldCharType="separate"/>
        </w:r>
        <w:r w:rsidR="0048345E">
          <w:rPr>
            <w:webHidden/>
          </w:rPr>
          <w:t>181</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26" w:history="1">
        <w:r w:rsidR="0048345E" w:rsidRPr="00F91932">
          <w:rPr>
            <w:rStyle w:val="Hyperlink"/>
            <w:rFonts w:ascii="Times New Roman" w:hAnsi="Times New Roman"/>
          </w:rPr>
          <w:t>4.1.2.</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Instructions concerning specific positions</w:t>
        </w:r>
        <w:r w:rsidR="0048345E">
          <w:rPr>
            <w:webHidden/>
          </w:rPr>
          <w:tab/>
        </w:r>
        <w:r w:rsidR="0048345E">
          <w:rPr>
            <w:webHidden/>
          </w:rPr>
          <w:fldChar w:fldCharType="begin"/>
        </w:r>
        <w:r w:rsidR="0048345E">
          <w:rPr>
            <w:webHidden/>
          </w:rPr>
          <w:instrText xml:space="preserve"> PAGEREF _Toc57831626 \h </w:instrText>
        </w:r>
        <w:r w:rsidR="0048345E">
          <w:rPr>
            <w:webHidden/>
          </w:rPr>
        </w:r>
        <w:r w:rsidR="0048345E">
          <w:rPr>
            <w:webHidden/>
          </w:rPr>
          <w:fldChar w:fldCharType="separate"/>
        </w:r>
        <w:r w:rsidR="0048345E">
          <w:rPr>
            <w:webHidden/>
          </w:rPr>
          <w:t>182</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27" w:history="1">
        <w:r w:rsidR="0048345E" w:rsidRPr="00F91932">
          <w:rPr>
            <w:rStyle w:val="Hyperlink"/>
            <w:rFonts w:ascii="Times New Roman" w:hAnsi="Times New Roman"/>
          </w:rPr>
          <w:t>4.2.</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Operational Risk: Detailed information on losses in the last year (OPR DETAILS)</w:t>
        </w:r>
        <w:r w:rsidR="0048345E">
          <w:rPr>
            <w:webHidden/>
          </w:rPr>
          <w:tab/>
        </w:r>
        <w:r w:rsidR="0048345E">
          <w:rPr>
            <w:webHidden/>
          </w:rPr>
          <w:fldChar w:fldCharType="begin"/>
        </w:r>
        <w:r w:rsidR="0048345E">
          <w:rPr>
            <w:webHidden/>
          </w:rPr>
          <w:instrText xml:space="preserve"> PAGEREF _Toc57831627 \h </w:instrText>
        </w:r>
        <w:r w:rsidR="0048345E">
          <w:rPr>
            <w:webHidden/>
          </w:rPr>
        </w:r>
        <w:r w:rsidR="0048345E">
          <w:rPr>
            <w:webHidden/>
          </w:rPr>
          <w:fldChar w:fldCharType="separate"/>
        </w:r>
        <w:r w:rsidR="0048345E">
          <w:rPr>
            <w:webHidden/>
          </w:rPr>
          <w:t>185</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28" w:history="1">
        <w:r w:rsidR="0048345E" w:rsidRPr="00F91932">
          <w:rPr>
            <w:rStyle w:val="Hyperlink"/>
            <w:rFonts w:ascii="Times New Roman" w:hAnsi="Times New Roman"/>
          </w:rPr>
          <w:t>4.2.1.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General Remarks</w:t>
        </w:r>
        <w:r w:rsidR="0048345E">
          <w:rPr>
            <w:webHidden/>
          </w:rPr>
          <w:tab/>
        </w:r>
        <w:r w:rsidR="0048345E">
          <w:rPr>
            <w:webHidden/>
          </w:rPr>
          <w:fldChar w:fldCharType="begin"/>
        </w:r>
        <w:r w:rsidR="0048345E">
          <w:rPr>
            <w:webHidden/>
          </w:rPr>
          <w:instrText xml:space="preserve"> PAGEREF _Toc57831628 \h </w:instrText>
        </w:r>
        <w:r w:rsidR="0048345E">
          <w:rPr>
            <w:webHidden/>
          </w:rPr>
        </w:r>
        <w:r w:rsidR="0048345E">
          <w:rPr>
            <w:webHidden/>
          </w:rPr>
          <w:fldChar w:fldCharType="separate"/>
        </w:r>
        <w:r w:rsidR="0048345E">
          <w:rPr>
            <w:webHidden/>
          </w:rPr>
          <w:t>185</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29" w:history="1">
        <w:r w:rsidR="0048345E" w:rsidRPr="00F91932">
          <w:rPr>
            <w:rStyle w:val="Hyperlink"/>
            <w:rFonts w:ascii="Times New Roman" w:hAnsi="Times New Roman"/>
          </w:rPr>
          <w:t>4.2.2.</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C 17.01: Operational risk losses and recoveries by business lines and loss event types in the last year (OPR DETAILS 1)</w:t>
        </w:r>
        <w:r w:rsidR="0048345E">
          <w:rPr>
            <w:webHidden/>
          </w:rPr>
          <w:tab/>
        </w:r>
        <w:r w:rsidR="0048345E">
          <w:rPr>
            <w:webHidden/>
          </w:rPr>
          <w:fldChar w:fldCharType="begin"/>
        </w:r>
        <w:r w:rsidR="0048345E">
          <w:rPr>
            <w:webHidden/>
          </w:rPr>
          <w:instrText xml:space="preserve"> PAGEREF _Toc57831629 \h </w:instrText>
        </w:r>
        <w:r w:rsidR="0048345E">
          <w:rPr>
            <w:webHidden/>
          </w:rPr>
        </w:r>
        <w:r w:rsidR="0048345E">
          <w:rPr>
            <w:webHidden/>
          </w:rPr>
          <w:fldChar w:fldCharType="separate"/>
        </w:r>
        <w:r w:rsidR="0048345E">
          <w:rPr>
            <w:webHidden/>
          </w:rPr>
          <w:t>186</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30" w:history="1">
        <w:r w:rsidR="0048345E" w:rsidRPr="00F91932">
          <w:rPr>
            <w:rStyle w:val="Hyperlink"/>
            <w:rFonts w:ascii="Times New Roman" w:hAnsi="Times New Roman"/>
          </w:rPr>
          <w:t>4.2.2.1.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General Remarks</w:t>
        </w:r>
        <w:r w:rsidR="0048345E">
          <w:rPr>
            <w:webHidden/>
          </w:rPr>
          <w:tab/>
        </w:r>
        <w:r w:rsidR="0048345E">
          <w:rPr>
            <w:webHidden/>
          </w:rPr>
          <w:fldChar w:fldCharType="begin"/>
        </w:r>
        <w:r w:rsidR="0048345E">
          <w:rPr>
            <w:webHidden/>
          </w:rPr>
          <w:instrText xml:space="preserve"> PAGEREF _Toc57831630 \h </w:instrText>
        </w:r>
        <w:r w:rsidR="0048345E">
          <w:rPr>
            <w:webHidden/>
          </w:rPr>
        </w:r>
        <w:r w:rsidR="0048345E">
          <w:rPr>
            <w:webHidden/>
          </w:rPr>
          <w:fldChar w:fldCharType="separate"/>
        </w:r>
        <w:r w:rsidR="0048345E">
          <w:rPr>
            <w:webHidden/>
          </w:rPr>
          <w:t>186</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31" w:history="1">
        <w:r w:rsidR="0048345E" w:rsidRPr="00F91932">
          <w:rPr>
            <w:rStyle w:val="Hyperlink"/>
            <w:rFonts w:ascii="Times New Roman" w:hAnsi="Times New Roman"/>
          </w:rPr>
          <w:t>4.2.2.2.</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Instructions concerning specific positions</w:t>
        </w:r>
        <w:r w:rsidR="0048345E">
          <w:rPr>
            <w:webHidden/>
          </w:rPr>
          <w:tab/>
        </w:r>
        <w:r w:rsidR="0048345E">
          <w:rPr>
            <w:webHidden/>
          </w:rPr>
          <w:fldChar w:fldCharType="begin"/>
        </w:r>
        <w:r w:rsidR="0048345E">
          <w:rPr>
            <w:webHidden/>
          </w:rPr>
          <w:instrText xml:space="preserve"> PAGEREF _Toc57831631 \h </w:instrText>
        </w:r>
        <w:r w:rsidR="0048345E">
          <w:rPr>
            <w:webHidden/>
          </w:rPr>
        </w:r>
        <w:r w:rsidR="0048345E">
          <w:rPr>
            <w:webHidden/>
          </w:rPr>
          <w:fldChar w:fldCharType="separate"/>
        </w:r>
        <w:r w:rsidR="0048345E">
          <w:rPr>
            <w:webHidden/>
          </w:rPr>
          <w:t>187</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32" w:history="1">
        <w:r w:rsidR="0048345E" w:rsidRPr="00F91932">
          <w:rPr>
            <w:rStyle w:val="Hyperlink"/>
            <w:rFonts w:ascii="Times New Roman" w:hAnsi="Times New Roman"/>
          </w:rPr>
          <w:t>4.2.3.</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C 17.02: Operational risk: Detailed information on the largest loss events in the last year (OPR DETAILS 2)</w:t>
        </w:r>
        <w:r w:rsidR="0048345E">
          <w:rPr>
            <w:webHidden/>
          </w:rPr>
          <w:tab/>
        </w:r>
        <w:r w:rsidR="0048345E">
          <w:rPr>
            <w:webHidden/>
          </w:rPr>
          <w:fldChar w:fldCharType="begin"/>
        </w:r>
        <w:r w:rsidR="0048345E">
          <w:rPr>
            <w:webHidden/>
          </w:rPr>
          <w:instrText xml:space="preserve"> PAGEREF _Toc57831632 \h </w:instrText>
        </w:r>
        <w:r w:rsidR="0048345E">
          <w:rPr>
            <w:webHidden/>
          </w:rPr>
        </w:r>
        <w:r w:rsidR="0048345E">
          <w:rPr>
            <w:webHidden/>
          </w:rPr>
          <w:fldChar w:fldCharType="separate"/>
        </w:r>
        <w:r w:rsidR="0048345E">
          <w:rPr>
            <w:webHidden/>
          </w:rPr>
          <w:t>193</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33" w:history="1">
        <w:r w:rsidR="0048345E" w:rsidRPr="00F91932">
          <w:rPr>
            <w:rStyle w:val="Hyperlink"/>
            <w:rFonts w:ascii="Times New Roman" w:hAnsi="Times New Roman"/>
          </w:rPr>
          <w:t>4.2.3.1.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General Remarks</w:t>
        </w:r>
        <w:r w:rsidR="0048345E">
          <w:rPr>
            <w:webHidden/>
          </w:rPr>
          <w:tab/>
        </w:r>
        <w:r w:rsidR="0048345E">
          <w:rPr>
            <w:webHidden/>
          </w:rPr>
          <w:fldChar w:fldCharType="begin"/>
        </w:r>
        <w:r w:rsidR="0048345E">
          <w:rPr>
            <w:webHidden/>
          </w:rPr>
          <w:instrText xml:space="preserve"> PAGEREF _Toc57831633 \h </w:instrText>
        </w:r>
        <w:r w:rsidR="0048345E">
          <w:rPr>
            <w:webHidden/>
          </w:rPr>
        </w:r>
        <w:r w:rsidR="0048345E">
          <w:rPr>
            <w:webHidden/>
          </w:rPr>
          <w:fldChar w:fldCharType="separate"/>
        </w:r>
        <w:r w:rsidR="0048345E">
          <w:rPr>
            <w:webHidden/>
          </w:rPr>
          <w:t>193</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34" w:history="1">
        <w:r w:rsidR="0048345E" w:rsidRPr="00F91932">
          <w:rPr>
            <w:rStyle w:val="Hyperlink"/>
            <w:rFonts w:ascii="Times New Roman" w:hAnsi="Times New Roman"/>
          </w:rPr>
          <w:t>4.2.3.2.</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Instructions concerning specific positions</w:t>
        </w:r>
        <w:r w:rsidR="0048345E">
          <w:rPr>
            <w:webHidden/>
          </w:rPr>
          <w:tab/>
        </w:r>
        <w:r w:rsidR="0048345E">
          <w:rPr>
            <w:webHidden/>
          </w:rPr>
          <w:fldChar w:fldCharType="begin"/>
        </w:r>
        <w:r w:rsidR="0048345E">
          <w:rPr>
            <w:webHidden/>
          </w:rPr>
          <w:instrText xml:space="preserve"> PAGEREF _Toc57831634 \h </w:instrText>
        </w:r>
        <w:r w:rsidR="0048345E">
          <w:rPr>
            <w:webHidden/>
          </w:rPr>
        </w:r>
        <w:r w:rsidR="0048345E">
          <w:rPr>
            <w:webHidden/>
          </w:rPr>
          <w:fldChar w:fldCharType="separate"/>
        </w:r>
        <w:r w:rsidR="0048345E">
          <w:rPr>
            <w:webHidden/>
          </w:rPr>
          <w:t>193</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35" w:history="1">
        <w:r w:rsidR="0048345E" w:rsidRPr="00F91932">
          <w:rPr>
            <w:rStyle w:val="Hyperlink"/>
            <w:rFonts w:ascii="Times New Roman" w:hAnsi="Times New Roman"/>
          </w:rPr>
          <w:t>5.</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Market Risk Templates</w:t>
        </w:r>
        <w:r w:rsidR="0048345E">
          <w:rPr>
            <w:webHidden/>
          </w:rPr>
          <w:tab/>
        </w:r>
        <w:r w:rsidR="0048345E">
          <w:rPr>
            <w:webHidden/>
          </w:rPr>
          <w:fldChar w:fldCharType="begin"/>
        </w:r>
        <w:r w:rsidR="0048345E">
          <w:rPr>
            <w:webHidden/>
          </w:rPr>
          <w:instrText xml:space="preserve"> PAGEREF _Toc57831635 \h </w:instrText>
        </w:r>
        <w:r w:rsidR="0048345E">
          <w:rPr>
            <w:webHidden/>
          </w:rPr>
        </w:r>
        <w:r w:rsidR="0048345E">
          <w:rPr>
            <w:webHidden/>
          </w:rPr>
          <w:fldChar w:fldCharType="separate"/>
        </w:r>
        <w:r w:rsidR="0048345E">
          <w:rPr>
            <w:webHidden/>
          </w:rPr>
          <w:t>196</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36" w:history="1">
        <w:r w:rsidR="0048345E" w:rsidRPr="00F91932">
          <w:rPr>
            <w:rStyle w:val="Hyperlink"/>
            <w:rFonts w:ascii="Times New Roman" w:hAnsi="Times New Roman"/>
          </w:rPr>
          <w:t>5.1.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C 18.00 – Market Risk: Standardised Approach for Position Risks in Traded Debt Instruments (MKR SA TDI)</w:t>
        </w:r>
        <w:r w:rsidR="0048345E">
          <w:rPr>
            <w:webHidden/>
          </w:rPr>
          <w:tab/>
        </w:r>
        <w:r w:rsidR="0048345E">
          <w:rPr>
            <w:webHidden/>
          </w:rPr>
          <w:fldChar w:fldCharType="begin"/>
        </w:r>
        <w:r w:rsidR="0048345E">
          <w:rPr>
            <w:webHidden/>
          </w:rPr>
          <w:instrText xml:space="preserve"> PAGEREF _Toc57831636 \h </w:instrText>
        </w:r>
        <w:r w:rsidR="0048345E">
          <w:rPr>
            <w:webHidden/>
          </w:rPr>
        </w:r>
        <w:r w:rsidR="0048345E">
          <w:rPr>
            <w:webHidden/>
          </w:rPr>
          <w:fldChar w:fldCharType="separate"/>
        </w:r>
        <w:r w:rsidR="0048345E">
          <w:rPr>
            <w:webHidden/>
          </w:rPr>
          <w:t>196</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37" w:history="1">
        <w:r w:rsidR="0048345E" w:rsidRPr="00F91932">
          <w:rPr>
            <w:rStyle w:val="Hyperlink"/>
            <w:rFonts w:ascii="Times New Roman" w:hAnsi="Times New Roman"/>
          </w:rPr>
          <w:t>5.1.1.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General Remarks</w:t>
        </w:r>
        <w:r w:rsidR="0048345E">
          <w:rPr>
            <w:webHidden/>
          </w:rPr>
          <w:tab/>
        </w:r>
        <w:r w:rsidR="0048345E">
          <w:rPr>
            <w:webHidden/>
          </w:rPr>
          <w:fldChar w:fldCharType="begin"/>
        </w:r>
        <w:r w:rsidR="0048345E">
          <w:rPr>
            <w:webHidden/>
          </w:rPr>
          <w:instrText xml:space="preserve"> PAGEREF _Toc57831637 \h </w:instrText>
        </w:r>
        <w:r w:rsidR="0048345E">
          <w:rPr>
            <w:webHidden/>
          </w:rPr>
        </w:r>
        <w:r w:rsidR="0048345E">
          <w:rPr>
            <w:webHidden/>
          </w:rPr>
          <w:fldChar w:fldCharType="separate"/>
        </w:r>
        <w:r w:rsidR="0048345E">
          <w:rPr>
            <w:webHidden/>
          </w:rPr>
          <w:t>196</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38" w:history="1">
        <w:r w:rsidR="0048345E" w:rsidRPr="00F91932">
          <w:rPr>
            <w:rStyle w:val="Hyperlink"/>
            <w:rFonts w:ascii="Times New Roman" w:hAnsi="Times New Roman"/>
          </w:rPr>
          <w:t>5.1.2.</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Instructions concerning specific positions</w:t>
        </w:r>
        <w:r w:rsidR="0048345E">
          <w:rPr>
            <w:webHidden/>
          </w:rPr>
          <w:tab/>
        </w:r>
        <w:r w:rsidR="0048345E">
          <w:rPr>
            <w:webHidden/>
          </w:rPr>
          <w:fldChar w:fldCharType="begin"/>
        </w:r>
        <w:r w:rsidR="0048345E">
          <w:rPr>
            <w:webHidden/>
          </w:rPr>
          <w:instrText xml:space="preserve"> PAGEREF _Toc57831638 \h </w:instrText>
        </w:r>
        <w:r w:rsidR="0048345E">
          <w:rPr>
            <w:webHidden/>
          </w:rPr>
        </w:r>
        <w:r w:rsidR="0048345E">
          <w:rPr>
            <w:webHidden/>
          </w:rPr>
          <w:fldChar w:fldCharType="separate"/>
        </w:r>
        <w:r w:rsidR="0048345E">
          <w:rPr>
            <w:webHidden/>
          </w:rPr>
          <w:t>196</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39" w:history="1">
        <w:r w:rsidR="0048345E" w:rsidRPr="00F91932">
          <w:rPr>
            <w:rStyle w:val="Hyperlink"/>
            <w:rFonts w:ascii="Times New Roman" w:hAnsi="Times New Roman"/>
          </w:rPr>
          <w:t>5.2.</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C 19.00 - MARKET RISK: STANDARDISED APPROACH FOR SPECIFIC RISK IN SECURITISATIONS (MKR SA SEC)</w:t>
        </w:r>
        <w:r w:rsidR="0048345E">
          <w:rPr>
            <w:webHidden/>
          </w:rPr>
          <w:tab/>
        </w:r>
        <w:r w:rsidR="0048345E">
          <w:rPr>
            <w:webHidden/>
          </w:rPr>
          <w:fldChar w:fldCharType="begin"/>
        </w:r>
        <w:r w:rsidR="0048345E">
          <w:rPr>
            <w:webHidden/>
          </w:rPr>
          <w:instrText xml:space="preserve"> PAGEREF _Toc57831639 \h </w:instrText>
        </w:r>
        <w:r w:rsidR="0048345E">
          <w:rPr>
            <w:webHidden/>
          </w:rPr>
        </w:r>
        <w:r w:rsidR="0048345E">
          <w:rPr>
            <w:webHidden/>
          </w:rPr>
          <w:fldChar w:fldCharType="separate"/>
        </w:r>
        <w:r w:rsidR="0048345E">
          <w:rPr>
            <w:webHidden/>
          </w:rPr>
          <w:t>199</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40" w:history="1">
        <w:r w:rsidR="0048345E" w:rsidRPr="00F91932">
          <w:rPr>
            <w:rStyle w:val="Hyperlink"/>
            <w:rFonts w:ascii="Times New Roman" w:hAnsi="Times New Roman"/>
          </w:rPr>
          <w:t>5.2.1.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General Remarks</w:t>
        </w:r>
        <w:r w:rsidR="0048345E">
          <w:rPr>
            <w:webHidden/>
          </w:rPr>
          <w:tab/>
        </w:r>
        <w:r w:rsidR="0048345E">
          <w:rPr>
            <w:webHidden/>
          </w:rPr>
          <w:fldChar w:fldCharType="begin"/>
        </w:r>
        <w:r w:rsidR="0048345E">
          <w:rPr>
            <w:webHidden/>
          </w:rPr>
          <w:instrText xml:space="preserve"> PAGEREF _Toc57831640 \h </w:instrText>
        </w:r>
        <w:r w:rsidR="0048345E">
          <w:rPr>
            <w:webHidden/>
          </w:rPr>
        </w:r>
        <w:r w:rsidR="0048345E">
          <w:rPr>
            <w:webHidden/>
          </w:rPr>
          <w:fldChar w:fldCharType="separate"/>
        </w:r>
        <w:r w:rsidR="0048345E">
          <w:rPr>
            <w:webHidden/>
          </w:rPr>
          <w:t>199</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41" w:history="1">
        <w:r w:rsidR="0048345E" w:rsidRPr="00F91932">
          <w:rPr>
            <w:rStyle w:val="Hyperlink"/>
            <w:rFonts w:ascii="Times New Roman" w:hAnsi="Times New Roman"/>
          </w:rPr>
          <w:t>5.2.2.</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Instructions concerning specific positions</w:t>
        </w:r>
        <w:r w:rsidR="0048345E">
          <w:rPr>
            <w:webHidden/>
          </w:rPr>
          <w:tab/>
        </w:r>
        <w:r w:rsidR="0048345E">
          <w:rPr>
            <w:webHidden/>
          </w:rPr>
          <w:fldChar w:fldCharType="begin"/>
        </w:r>
        <w:r w:rsidR="0048345E">
          <w:rPr>
            <w:webHidden/>
          </w:rPr>
          <w:instrText xml:space="preserve"> PAGEREF _Toc57831641 \h </w:instrText>
        </w:r>
        <w:r w:rsidR="0048345E">
          <w:rPr>
            <w:webHidden/>
          </w:rPr>
        </w:r>
        <w:r w:rsidR="0048345E">
          <w:rPr>
            <w:webHidden/>
          </w:rPr>
          <w:fldChar w:fldCharType="separate"/>
        </w:r>
        <w:r w:rsidR="0048345E">
          <w:rPr>
            <w:webHidden/>
          </w:rPr>
          <w:t>199</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42" w:history="1">
        <w:r w:rsidR="0048345E" w:rsidRPr="00F91932">
          <w:rPr>
            <w:rStyle w:val="Hyperlink"/>
            <w:rFonts w:ascii="Times New Roman" w:hAnsi="Times New Roman"/>
          </w:rPr>
          <w:t>5.3.</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C 20.00 - MARKET RISK: STANDARDISED APPROACH FOR SPECIFIC RISK FOR POSITIONS ASSIGNED TO THE CORRELATION TRADING PORTFOLIO (MKR SA CTP)</w:t>
        </w:r>
        <w:r w:rsidR="0048345E">
          <w:rPr>
            <w:webHidden/>
          </w:rPr>
          <w:tab/>
        </w:r>
        <w:r w:rsidR="0048345E">
          <w:rPr>
            <w:webHidden/>
          </w:rPr>
          <w:fldChar w:fldCharType="begin"/>
        </w:r>
        <w:r w:rsidR="0048345E">
          <w:rPr>
            <w:webHidden/>
          </w:rPr>
          <w:instrText xml:space="preserve"> PAGEREF _Toc57831642 \h </w:instrText>
        </w:r>
        <w:r w:rsidR="0048345E">
          <w:rPr>
            <w:webHidden/>
          </w:rPr>
        </w:r>
        <w:r w:rsidR="0048345E">
          <w:rPr>
            <w:webHidden/>
          </w:rPr>
          <w:fldChar w:fldCharType="separate"/>
        </w:r>
        <w:r w:rsidR="0048345E">
          <w:rPr>
            <w:webHidden/>
          </w:rPr>
          <w:t>201</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43" w:history="1">
        <w:r w:rsidR="0048345E" w:rsidRPr="00F91932">
          <w:rPr>
            <w:rStyle w:val="Hyperlink"/>
            <w:rFonts w:ascii="Times New Roman" w:hAnsi="Times New Roman"/>
          </w:rPr>
          <w:t>5.3.1.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General Remarks</w:t>
        </w:r>
        <w:r w:rsidR="0048345E">
          <w:rPr>
            <w:webHidden/>
          </w:rPr>
          <w:tab/>
        </w:r>
        <w:r w:rsidR="0048345E">
          <w:rPr>
            <w:webHidden/>
          </w:rPr>
          <w:fldChar w:fldCharType="begin"/>
        </w:r>
        <w:r w:rsidR="0048345E">
          <w:rPr>
            <w:webHidden/>
          </w:rPr>
          <w:instrText xml:space="preserve"> PAGEREF _Toc57831643 \h </w:instrText>
        </w:r>
        <w:r w:rsidR="0048345E">
          <w:rPr>
            <w:webHidden/>
          </w:rPr>
        </w:r>
        <w:r w:rsidR="0048345E">
          <w:rPr>
            <w:webHidden/>
          </w:rPr>
          <w:fldChar w:fldCharType="separate"/>
        </w:r>
        <w:r w:rsidR="0048345E">
          <w:rPr>
            <w:webHidden/>
          </w:rPr>
          <w:t>201</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44" w:history="1">
        <w:r w:rsidR="0048345E" w:rsidRPr="00F91932">
          <w:rPr>
            <w:rStyle w:val="Hyperlink"/>
            <w:rFonts w:ascii="Times New Roman" w:hAnsi="Times New Roman"/>
          </w:rPr>
          <w:t>5.3.2.</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Instructions concerning specific positions</w:t>
        </w:r>
        <w:r w:rsidR="0048345E">
          <w:rPr>
            <w:webHidden/>
          </w:rPr>
          <w:tab/>
        </w:r>
        <w:r w:rsidR="0048345E">
          <w:rPr>
            <w:webHidden/>
          </w:rPr>
          <w:fldChar w:fldCharType="begin"/>
        </w:r>
        <w:r w:rsidR="0048345E">
          <w:rPr>
            <w:webHidden/>
          </w:rPr>
          <w:instrText xml:space="preserve"> PAGEREF _Toc57831644 \h </w:instrText>
        </w:r>
        <w:r w:rsidR="0048345E">
          <w:rPr>
            <w:webHidden/>
          </w:rPr>
        </w:r>
        <w:r w:rsidR="0048345E">
          <w:rPr>
            <w:webHidden/>
          </w:rPr>
          <w:fldChar w:fldCharType="separate"/>
        </w:r>
        <w:r w:rsidR="0048345E">
          <w:rPr>
            <w:webHidden/>
          </w:rPr>
          <w:t>202</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45" w:history="1">
        <w:r w:rsidR="0048345E" w:rsidRPr="00F91932">
          <w:rPr>
            <w:rStyle w:val="Hyperlink"/>
            <w:rFonts w:ascii="Times New Roman" w:hAnsi="Times New Roman"/>
          </w:rPr>
          <w:t>5.4.</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C 21.00 - Market Risk: Standardised Approach for Position Risk in Equities (MKR SA EQU)</w:t>
        </w:r>
        <w:r w:rsidR="0048345E">
          <w:rPr>
            <w:webHidden/>
          </w:rPr>
          <w:tab/>
        </w:r>
        <w:r w:rsidR="0048345E">
          <w:rPr>
            <w:webHidden/>
          </w:rPr>
          <w:fldChar w:fldCharType="begin"/>
        </w:r>
        <w:r w:rsidR="0048345E">
          <w:rPr>
            <w:webHidden/>
          </w:rPr>
          <w:instrText xml:space="preserve"> PAGEREF _Toc57831645 \h </w:instrText>
        </w:r>
        <w:r w:rsidR="0048345E">
          <w:rPr>
            <w:webHidden/>
          </w:rPr>
        </w:r>
        <w:r w:rsidR="0048345E">
          <w:rPr>
            <w:webHidden/>
          </w:rPr>
          <w:fldChar w:fldCharType="separate"/>
        </w:r>
        <w:r w:rsidR="0048345E">
          <w:rPr>
            <w:webHidden/>
          </w:rPr>
          <w:t>204</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46" w:history="1">
        <w:r w:rsidR="0048345E" w:rsidRPr="00F91932">
          <w:rPr>
            <w:rStyle w:val="Hyperlink"/>
            <w:rFonts w:ascii="Times New Roman" w:hAnsi="Times New Roman"/>
          </w:rPr>
          <w:t>5.4.1.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General Remarks</w:t>
        </w:r>
        <w:r w:rsidR="0048345E">
          <w:rPr>
            <w:webHidden/>
          </w:rPr>
          <w:tab/>
        </w:r>
        <w:r w:rsidR="0048345E">
          <w:rPr>
            <w:webHidden/>
          </w:rPr>
          <w:fldChar w:fldCharType="begin"/>
        </w:r>
        <w:r w:rsidR="0048345E">
          <w:rPr>
            <w:webHidden/>
          </w:rPr>
          <w:instrText xml:space="preserve"> PAGEREF _Toc57831646 \h </w:instrText>
        </w:r>
        <w:r w:rsidR="0048345E">
          <w:rPr>
            <w:webHidden/>
          </w:rPr>
        </w:r>
        <w:r w:rsidR="0048345E">
          <w:rPr>
            <w:webHidden/>
          </w:rPr>
          <w:fldChar w:fldCharType="separate"/>
        </w:r>
        <w:r w:rsidR="0048345E">
          <w:rPr>
            <w:webHidden/>
          </w:rPr>
          <w:t>204</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47" w:history="1">
        <w:r w:rsidR="0048345E" w:rsidRPr="00F91932">
          <w:rPr>
            <w:rStyle w:val="Hyperlink"/>
            <w:rFonts w:ascii="Times New Roman" w:hAnsi="Times New Roman"/>
          </w:rPr>
          <w:t>5.4.2.</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Instructions concerning specific positions</w:t>
        </w:r>
        <w:r w:rsidR="0048345E">
          <w:rPr>
            <w:webHidden/>
          </w:rPr>
          <w:tab/>
        </w:r>
        <w:r w:rsidR="0048345E">
          <w:rPr>
            <w:webHidden/>
          </w:rPr>
          <w:fldChar w:fldCharType="begin"/>
        </w:r>
        <w:r w:rsidR="0048345E">
          <w:rPr>
            <w:webHidden/>
          </w:rPr>
          <w:instrText xml:space="preserve"> PAGEREF _Toc57831647 \h </w:instrText>
        </w:r>
        <w:r w:rsidR="0048345E">
          <w:rPr>
            <w:webHidden/>
          </w:rPr>
        </w:r>
        <w:r w:rsidR="0048345E">
          <w:rPr>
            <w:webHidden/>
          </w:rPr>
          <w:fldChar w:fldCharType="separate"/>
        </w:r>
        <w:r w:rsidR="0048345E">
          <w:rPr>
            <w:webHidden/>
          </w:rPr>
          <w:t>204</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48" w:history="1">
        <w:r w:rsidR="0048345E" w:rsidRPr="00F91932">
          <w:rPr>
            <w:rStyle w:val="Hyperlink"/>
            <w:rFonts w:ascii="Times New Roman" w:hAnsi="Times New Roman"/>
          </w:rPr>
          <w:t>5.5.</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C 22.00 - Market Risk: Standardised Approaches for Foreign Exchange Risk (MKR SA FX)</w:t>
        </w:r>
        <w:r w:rsidR="0048345E">
          <w:rPr>
            <w:webHidden/>
          </w:rPr>
          <w:tab/>
        </w:r>
        <w:r w:rsidR="0048345E">
          <w:rPr>
            <w:webHidden/>
          </w:rPr>
          <w:fldChar w:fldCharType="begin"/>
        </w:r>
        <w:r w:rsidR="0048345E">
          <w:rPr>
            <w:webHidden/>
          </w:rPr>
          <w:instrText xml:space="preserve"> PAGEREF _Toc57831648 \h </w:instrText>
        </w:r>
        <w:r w:rsidR="0048345E">
          <w:rPr>
            <w:webHidden/>
          </w:rPr>
        </w:r>
        <w:r w:rsidR="0048345E">
          <w:rPr>
            <w:webHidden/>
          </w:rPr>
          <w:fldChar w:fldCharType="separate"/>
        </w:r>
        <w:r w:rsidR="0048345E">
          <w:rPr>
            <w:webHidden/>
          </w:rPr>
          <w:t>206</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49" w:history="1">
        <w:r w:rsidR="0048345E" w:rsidRPr="00F91932">
          <w:rPr>
            <w:rStyle w:val="Hyperlink"/>
            <w:rFonts w:ascii="Times New Roman" w:hAnsi="Times New Roman"/>
          </w:rPr>
          <w:t>5.5.1.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General Remarks</w:t>
        </w:r>
        <w:r w:rsidR="0048345E">
          <w:rPr>
            <w:webHidden/>
          </w:rPr>
          <w:tab/>
        </w:r>
        <w:r w:rsidR="0048345E">
          <w:rPr>
            <w:webHidden/>
          </w:rPr>
          <w:fldChar w:fldCharType="begin"/>
        </w:r>
        <w:r w:rsidR="0048345E">
          <w:rPr>
            <w:webHidden/>
          </w:rPr>
          <w:instrText xml:space="preserve"> PAGEREF _Toc57831649 \h </w:instrText>
        </w:r>
        <w:r w:rsidR="0048345E">
          <w:rPr>
            <w:webHidden/>
          </w:rPr>
        </w:r>
        <w:r w:rsidR="0048345E">
          <w:rPr>
            <w:webHidden/>
          </w:rPr>
          <w:fldChar w:fldCharType="separate"/>
        </w:r>
        <w:r w:rsidR="0048345E">
          <w:rPr>
            <w:webHidden/>
          </w:rPr>
          <w:t>206</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50" w:history="1">
        <w:r w:rsidR="0048345E" w:rsidRPr="00F91932">
          <w:rPr>
            <w:rStyle w:val="Hyperlink"/>
            <w:rFonts w:ascii="Times New Roman" w:hAnsi="Times New Roman"/>
          </w:rPr>
          <w:t>5.5.2.</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Instructions concerning specific positions</w:t>
        </w:r>
        <w:r w:rsidR="0048345E">
          <w:rPr>
            <w:webHidden/>
          </w:rPr>
          <w:tab/>
        </w:r>
        <w:r w:rsidR="0048345E">
          <w:rPr>
            <w:webHidden/>
          </w:rPr>
          <w:fldChar w:fldCharType="begin"/>
        </w:r>
        <w:r w:rsidR="0048345E">
          <w:rPr>
            <w:webHidden/>
          </w:rPr>
          <w:instrText xml:space="preserve"> PAGEREF _Toc57831650 \h </w:instrText>
        </w:r>
        <w:r w:rsidR="0048345E">
          <w:rPr>
            <w:webHidden/>
          </w:rPr>
        </w:r>
        <w:r w:rsidR="0048345E">
          <w:rPr>
            <w:webHidden/>
          </w:rPr>
          <w:fldChar w:fldCharType="separate"/>
        </w:r>
        <w:r w:rsidR="0048345E">
          <w:rPr>
            <w:webHidden/>
          </w:rPr>
          <w:t>206</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51" w:history="1">
        <w:r w:rsidR="0048345E" w:rsidRPr="00F91932">
          <w:rPr>
            <w:rStyle w:val="Hyperlink"/>
            <w:rFonts w:ascii="Times New Roman" w:hAnsi="Times New Roman"/>
          </w:rPr>
          <w:t>5.6.</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C 23.00 - Market Risk: Standardised Approaches for Commodities (MKR SA COM)</w:t>
        </w:r>
        <w:r w:rsidR="0048345E">
          <w:rPr>
            <w:webHidden/>
          </w:rPr>
          <w:tab/>
        </w:r>
        <w:r w:rsidR="0048345E">
          <w:rPr>
            <w:webHidden/>
          </w:rPr>
          <w:fldChar w:fldCharType="begin"/>
        </w:r>
        <w:r w:rsidR="0048345E">
          <w:rPr>
            <w:webHidden/>
          </w:rPr>
          <w:instrText xml:space="preserve"> PAGEREF _Toc57831651 \h </w:instrText>
        </w:r>
        <w:r w:rsidR="0048345E">
          <w:rPr>
            <w:webHidden/>
          </w:rPr>
        </w:r>
        <w:r w:rsidR="0048345E">
          <w:rPr>
            <w:webHidden/>
          </w:rPr>
          <w:fldChar w:fldCharType="separate"/>
        </w:r>
        <w:r w:rsidR="0048345E">
          <w:rPr>
            <w:webHidden/>
          </w:rPr>
          <w:t>209</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52" w:history="1">
        <w:r w:rsidR="0048345E" w:rsidRPr="00F91932">
          <w:rPr>
            <w:rStyle w:val="Hyperlink"/>
            <w:rFonts w:ascii="Times New Roman" w:hAnsi="Times New Roman"/>
          </w:rPr>
          <w:t>5.6.1.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General Remarks</w:t>
        </w:r>
        <w:r w:rsidR="0048345E">
          <w:rPr>
            <w:webHidden/>
          </w:rPr>
          <w:tab/>
        </w:r>
        <w:r w:rsidR="0048345E">
          <w:rPr>
            <w:webHidden/>
          </w:rPr>
          <w:fldChar w:fldCharType="begin"/>
        </w:r>
        <w:r w:rsidR="0048345E">
          <w:rPr>
            <w:webHidden/>
          </w:rPr>
          <w:instrText xml:space="preserve"> PAGEREF _Toc57831652 \h </w:instrText>
        </w:r>
        <w:r w:rsidR="0048345E">
          <w:rPr>
            <w:webHidden/>
          </w:rPr>
        </w:r>
        <w:r w:rsidR="0048345E">
          <w:rPr>
            <w:webHidden/>
          </w:rPr>
          <w:fldChar w:fldCharType="separate"/>
        </w:r>
        <w:r w:rsidR="0048345E">
          <w:rPr>
            <w:webHidden/>
          </w:rPr>
          <w:t>209</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53" w:history="1">
        <w:r w:rsidR="0048345E" w:rsidRPr="00F91932">
          <w:rPr>
            <w:rStyle w:val="Hyperlink"/>
            <w:rFonts w:ascii="Times New Roman" w:hAnsi="Times New Roman"/>
          </w:rPr>
          <w:t>5.6.2.</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Instructions concerning specific positions</w:t>
        </w:r>
        <w:r w:rsidR="0048345E">
          <w:rPr>
            <w:webHidden/>
          </w:rPr>
          <w:tab/>
        </w:r>
        <w:r w:rsidR="0048345E">
          <w:rPr>
            <w:webHidden/>
          </w:rPr>
          <w:fldChar w:fldCharType="begin"/>
        </w:r>
        <w:r w:rsidR="0048345E">
          <w:rPr>
            <w:webHidden/>
          </w:rPr>
          <w:instrText xml:space="preserve"> PAGEREF _Toc57831653 \h </w:instrText>
        </w:r>
        <w:r w:rsidR="0048345E">
          <w:rPr>
            <w:webHidden/>
          </w:rPr>
        </w:r>
        <w:r w:rsidR="0048345E">
          <w:rPr>
            <w:webHidden/>
          </w:rPr>
          <w:fldChar w:fldCharType="separate"/>
        </w:r>
        <w:r w:rsidR="0048345E">
          <w:rPr>
            <w:webHidden/>
          </w:rPr>
          <w:t>209</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54" w:history="1">
        <w:r w:rsidR="0048345E" w:rsidRPr="00F91932">
          <w:rPr>
            <w:rStyle w:val="Hyperlink"/>
            <w:rFonts w:ascii="Times New Roman" w:hAnsi="Times New Roman"/>
          </w:rPr>
          <w:t>5.7.</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C 24.00 - Market Risk Internal Model (MKR IM)</w:t>
        </w:r>
        <w:r w:rsidR="0048345E">
          <w:rPr>
            <w:webHidden/>
          </w:rPr>
          <w:tab/>
        </w:r>
        <w:r w:rsidR="0048345E">
          <w:rPr>
            <w:webHidden/>
          </w:rPr>
          <w:fldChar w:fldCharType="begin"/>
        </w:r>
        <w:r w:rsidR="0048345E">
          <w:rPr>
            <w:webHidden/>
          </w:rPr>
          <w:instrText xml:space="preserve"> PAGEREF _Toc57831654 \h </w:instrText>
        </w:r>
        <w:r w:rsidR="0048345E">
          <w:rPr>
            <w:webHidden/>
          </w:rPr>
        </w:r>
        <w:r w:rsidR="0048345E">
          <w:rPr>
            <w:webHidden/>
          </w:rPr>
          <w:fldChar w:fldCharType="separate"/>
        </w:r>
        <w:r w:rsidR="0048345E">
          <w:rPr>
            <w:webHidden/>
          </w:rPr>
          <w:t>211</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55" w:history="1">
        <w:r w:rsidR="0048345E" w:rsidRPr="00F91932">
          <w:rPr>
            <w:rStyle w:val="Hyperlink"/>
            <w:rFonts w:ascii="Times New Roman" w:hAnsi="Times New Roman"/>
          </w:rPr>
          <w:t>5.7.1.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General Remarks</w:t>
        </w:r>
        <w:r w:rsidR="0048345E">
          <w:rPr>
            <w:webHidden/>
          </w:rPr>
          <w:tab/>
        </w:r>
        <w:r w:rsidR="0048345E">
          <w:rPr>
            <w:webHidden/>
          </w:rPr>
          <w:fldChar w:fldCharType="begin"/>
        </w:r>
        <w:r w:rsidR="0048345E">
          <w:rPr>
            <w:webHidden/>
          </w:rPr>
          <w:instrText xml:space="preserve"> PAGEREF _Toc57831655 \h </w:instrText>
        </w:r>
        <w:r w:rsidR="0048345E">
          <w:rPr>
            <w:webHidden/>
          </w:rPr>
        </w:r>
        <w:r w:rsidR="0048345E">
          <w:rPr>
            <w:webHidden/>
          </w:rPr>
          <w:fldChar w:fldCharType="separate"/>
        </w:r>
        <w:r w:rsidR="0048345E">
          <w:rPr>
            <w:webHidden/>
          </w:rPr>
          <w:t>211</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56" w:history="1">
        <w:r w:rsidR="0048345E" w:rsidRPr="00F91932">
          <w:rPr>
            <w:rStyle w:val="Hyperlink"/>
            <w:rFonts w:ascii="Times New Roman" w:hAnsi="Times New Roman"/>
          </w:rPr>
          <w:t>5.7.2.</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Instructions concerning specific positions</w:t>
        </w:r>
        <w:r w:rsidR="0048345E">
          <w:rPr>
            <w:webHidden/>
          </w:rPr>
          <w:tab/>
        </w:r>
        <w:r w:rsidR="0048345E">
          <w:rPr>
            <w:webHidden/>
          </w:rPr>
          <w:fldChar w:fldCharType="begin"/>
        </w:r>
        <w:r w:rsidR="0048345E">
          <w:rPr>
            <w:webHidden/>
          </w:rPr>
          <w:instrText xml:space="preserve"> PAGEREF _Toc57831656 \h </w:instrText>
        </w:r>
        <w:r w:rsidR="0048345E">
          <w:rPr>
            <w:webHidden/>
          </w:rPr>
        </w:r>
        <w:r w:rsidR="0048345E">
          <w:rPr>
            <w:webHidden/>
          </w:rPr>
          <w:fldChar w:fldCharType="separate"/>
        </w:r>
        <w:r w:rsidR="0048345E">
          <w:rPr>
            <w:webHidden/>
          </w:rPr>
          <w:t>211</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57" w:history="1">
        <w:r w:rsidR="0048345E" w:rsidRPr="00F91932">
          <w:rPr>
            <w:rStyle w:val="Hyperlink"/>
            <w:rFonts w:ascii="Times New Roman" w:hAnsi="Times New Roman"/>
          </w:rPr>
          <w:t>5.8.</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C 25.00 - CREDIT VALUATION ADJUSTMENT RISK (CVA)</w:t>
        </w:r>
        <w:r w:rsidR="0048345E">
          <w:rPr>
            <w:webHidden/>
          </w:rPr>
          <w:tab/>
        </w:r>
        <w:r w:rsidR="0048345E">
          <w:rPr>
            <w:webHidden/>
          </w:rPr>
          <w:fldChar w:fldCharType="begin"/>
        </w:r>
        <w:r w:rsidR="0048345E">
          <w:rPr>
            <w:webHidden/>
          </w:rPr>
          <w:instrText xml:space="preserve"> PAGEREF _Toc57831657 \h </w:instrText>
        </w:r>
        <w:r w:rsidR="0048345E">
          <w:rPr>
            <w:webHidden/>
          </w:rPr>
        </w:r>
        <w:r w:rsidR="0048345E">
          <w:rPr>
            <w:webHidden/>
          </w:rPr>
          <w:fldChar w:fldCharType="separate"/>
        </w:r>
        <w:r w:rsidR="0048345E">
          <w:rPr>
            <w:webHidden/>
          </w:rPr>
          <w:t>214</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58" w:history="1">
        <w:r w:rsidR="0048345E" w:rsidRPr="00F91932">
          <w:rPr>
            <w:rStyle w:val="Hyperlink"/>
            <w:rFonts w:ascii="Times New Roman" w:hAnsi="Times New Roman"/>
          </w:rPr>
          <w:t>5.8.1.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Instructions concerning specific positions</w:t>
        </w:r>
        <w:r w:rsidR="0048345E">
          <w:rPr>
            <w:webHidden/>
          </w:rPr>
          <w:tab/>
        </w:r>
        <w:r w:rsidR="0048345E">
          <w:rPr>
            <w:webHidden/>
          </w:rPr>
          <w:fldChar w:fldCharType="begin"/>
        </w:r>
        <w:r w:rsidR="0048345E">
          <w:rPr>
            <w:webHidden/>
          </w:rPr>
          <w:instrText xml:space="preserve"> PAGEREF _Toc57831658 \h </w:instrText>
        </w:r>
        <w:r w:rsidR="0048345E">
          <w:rPr>
            <w:webHidden/>
          </w:rPr>
        </w:r>
        <w:r w:rsidR="0048345E">
          <w:rPr>
            <w:webHidden/>
          </w:rPr>
          <w:fldChar w:fldCharType="separate"/>
        </w:r>
        <w:r w:rsidR="0048345E">
          <w:rPr>
            <w:webHidden/>
          </w:rPr>
          <w:t>214</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59" w:history="1">
        <w:r w:rsidR="0048345E" w:rsidRPr="00F91932">
          <w:rPr>
            <w:rStyle w:val="Hyperlink"/>
            <w:rFonts w:ascii="Times New Roman" w:hAnsi="Times New Roman"/>
          </w:rPr>
          <w:t>6.</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Prudent valuation (PruVal)</w:t>
        </w:r>
        <w:r w:rsidR="0048345E">
          <w:rPr>
            <w:webHidden/>
          </w:rPr>
          <w:tab/>
        </w:r>
        <w:r w:rsidR="0048345E">
          <w:rPr>
            <w:webHidden/>
          </w:rPr>
          <w:fldChar w:fldCharType="begin"/>
        </w:r>
        <w:r w:rsidR="0048345E">
          <w:rPr>
            <w:webHidden/>
          </w:rPr>
          <w:instrText xml:space="preserve"> PAGEREF _Toc57831659 \h </w:instrText>
        </w:r>
        <w:r w:rsidR="0048345E">
          <w:rPr>
            <w:webHidden/>
          </w:rPr>
        </w:r>
        <w:r w:rsidR="0048345E">
          <w:rPr>
            <w:webHidden/>
          </w:rPr>
          <w:fldChar w:fldCharType="separate"/>
        </w:r>
        <w:r w:rsidR="0048345E">
          <w:rPr>
            <w:webHidden/>
          </w:rPr>
          <w:t>216</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60" w:history="1">
        <w:r w:rsidR="0048345E" w:rsidRPr="00F91932">
          <w:rPr>
            <w:rStyle w:val="Hyperlink"/>
            <w:rFonts w:ascii="Times New Roman" w:hAnsi="Times New Roman"/>
          </w:rPr>
          <w:t>6.1.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C 32.01 - Prudent Valuation: Fair-Valued Assets and Liabilities (PruVal 1)</w:t>
        </w:r>
        <w:r w:rsidR="0048345E">
          <w:rPr>
            <w:webHidden/>
          </w:rPr>
          <w:tab/>
        </w:r>
        <w:r w:rsidR="0048345E">
          <w:rPr>
            <w:webHidden/>
          </w:rPr>
          <w:fldChar w:fldCharType="begin"/>
        </w:r>
        <w:r w:rsidR="0048345E">
          <w:rPr>
            <w:webHidden/>
          </w:rPr>
          <w:instrText xml:space="preserve"> PAGEREF _Toc57831660 \h </w:instrText>
        </w:r>
        <w:r w:rsidR="0048345E">
          <w:rPr>
            <w:webHidden/>
          </w:rPr>
        </w:r>
        <w:r w:rsidR="0048345E">
          <w:rPr>
            <w:webHidden/>
          </w:rPr>
          <w:fldChar w:fldCharType="separate"/>
        </w:r>
        <w:r w:rsidR="0048345E">
          <w:rPr>
            <w:webHidden/>
          </w:rPr>
          <w:t>216</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61" w:history="1">
        <w:r w:rsidR="0048345E" w:rsidRPr="00F91932">
          <w:rPr>
            <w:rStyle w:val="Hyperlink"/>
            <w:rFonts w:ascii="Times New Roman" w:hAnsi="Times New Roman"/>
          </w:rPr>
          <w:t>6.1.1.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General remarks</w:t>
        </w:r>
        <w:r w:rsidR="0048345E">
          <w:rPr>
            <w:webHidden/>
          </w:rPr>
          <w:tab/>
        </w:r>
        <w:r w:rsidR="0048345E">
          <w:rPr>
            <w:webHidden/>
          </w:rPr>
          <w:fldChar w:fldCharType="begin"/>
        </w:r>
        <w:r w:rsidR="0048345E">
          <w:rPr>
            <w:webHidden/>
          </w:rPr>
          <w:instrText xml:space="preserve"> PAGEREF _Toc57831661 \h </w:instrText>
        </w:r>
        <w:r w:rsidR="0048345E">
          <w:rPr>
            <w:webHidden/>
          </w:rPr>
        </w:r>
        <w:r w:rsidR="0048345E">
          <w:rPr>
            <w:webHidden/>
          </w:rPr>
          <w:fldChar w:fldCharType="separate"/>
        </w:r>
        <w:r w:rsidR="0048345E">
          <w:rPr>
            <w:webHidden/>
          </w:rPr>
          <w:t>216</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62" w:history="1">
        <w:r w:rsidR="0048345E" w:rsidRPr="00F91932">
          <w:rPr>
            <w:rStyle w:val="Hyperlink"/>
            <w:rFonts w:ascii="Times New Roman" w:hAnsi="Times New Roman"/>
          </w:rPr>
          <w:t>6.1.2.</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Instructions concerning specific positions</w:t>
        </w:r>
        <w:r w:rsidR="0048345E">
          <w:rPr>
            <w:webHidden/>
          </w:rPr>
          <w:tab/>
        </w:r>
        <w:r w:rsidR="0048345E">
          <w:rPr>
            <w:webHidden/>
          </w:rPr>
          <w:fldChar w:fldCharType="begin"/>
        </w:r>
        <w:r w:rsidR="0048345E">
          <w:rPr>
            <w:webHidden/>
          </w:rPr>
          <w:instrText xml:space="preserve"> PAGEREF _Toc57831662 \h </w:instrText>
        </w:r>
        <w:r w:rsidR="0048345E">
          <w:rPr>
            <w:webHidden/>
          </w:rPr>
        </w:r>
        <w:r w:rsidR="0048345E">
          <w:rPr>
            <w:webHidden/>
          </w:rPr>
          <w:fldChar w:fldCharType="separate"/>
        </w:r>
        <w:r w:rsidR="0048345E">
          <w:rPr>
            <w:webHidden/>
          </w:rPr>
          <w:t>216</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63" w:history="1">
        <w:r w:rsidR="0048345E" w:rsidRPr="00F91932">
          <w:rPr>
            <w:rStyle w:val="Hyperlink"/>
            <w:rFonts w:ascii="Times New Roman" w:hAnsi="Times New Roman"/>
          </w:rPr>
          <w:t>6.2.</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C 32.02 - Prudent Valuation: Core Approach (PruVal 2)</w:t>
        </w:r>
        <w:r w:rsidR="0048345E">
          <w:rPr>
            <w:webHidden/>
          </w:rPr>
          <w:tab/>
        </w:r>
        <w:r w:rsidR="0048345E">
          <w:rPr>
            <w:webHidden/>
          </w:rPr>
          <w:fldChar w:fldCharType="begin"/>
        </w:r>
        <w:r w:rsidR="0048345E">
          <w:rPr>
            <w:webHidden/>
          </w:rPr>
          <w:instrText xml:space="preserve"> PAGEREF _Toc57831663 \h </w:instrText>
        </w:r>
        <w:r w:rsidR="0048345E">
          <w:rPr>
            <w:webHidden/>
          </w:rPr>
        </w:r>
        <w:r w:rsidR="0048345E">
          <w:rPr>
            <w:webHidden/>
          </w:rPr>
          <w:fldChar w:fldCharType="separate"/>
        </w:r>
        <w:r w:rsidR="0048345E">
          <w:rPr>
            <w:webHidden/>
          </w:rPr>
          <w:t>221</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64" w:history="1">
        <w:r w:rsidR="0048345E" w:rsidRPr="00F91932">
          <w:rPr>
            <w:rStyle w:val="Hyperlink"/>
            <w:rFonts w:ascii="Times New Roman" w:hAnsi="Times New Roman"/>
          </w:rPr>
          <w:t>6.2.1.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General remarks</w:t>
        </w:r>
        <w:r w:rsidR="0048345E">
          <w:rPr>
            <w:webHidden/>
          </w:rPr>
          <w:tab/>
        </w:r>
        <w:r w:rsidR="0048345E">
          <w:rPr>
            <w:webHidden/>
          </w:rPr>
          <w:fldChar w:fldCharType="begin"/>
        </w:r>
        <w:r w:rsidR="0048345E">
          <w:rPr>
            <w:webHidden/>
          </w:rPr>
          <w:instrText xml:space="preserve"> PAGEREF _Toc57831664 \h </w:instrText>
        </w:r>
        <w:r w:rsidR="0048345E">
          <w:rPr>
            <w:webHidden/>
          </w:rPr>
        </w:r>
        <w:r w:rsidR="0048345E">
          <w:rPr>
            <w:webHidden/>
          </w:rPr>
          <w:fldChar w:fldCharType="separate"/>
        </w:r>
        <w:r w:rsidR="0048345E">
          <w:rPr>
            <w:webHidden/>
          </w:rPr>
          <w:t>221</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65" w:history="1">
        <w:r w:rsidR="0048345E" w:rsidRPr="00F91932">
          <w:rPr>
            <w:rStyle w:val="Hyperlink"/>
            <w:rFonts w:ascii="Times New Roman" w:hAnsi="Times New Roman"/>
          </w:rPr>
          <w:t>6.2.2.</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Instructions concerning specific positions</w:t>
        </w:r>
        <w:r w:rsidR="0048345E">
          <w:rPr>
            <w:webHidden/>
          </w:rPr>
          <w:tab/>
        </w:r>
        <w:r w:rsidR="0048345E">
          <w:rPr>
            <w:webHidden/>
          </w:rPr>
          <w:fldChar w:fldCharType="begin"/>
        </w:r>
        <w:r w:rsidR="0048345E">
          <w:rPr>
            <w:webHidden/>
          </w:rPr>
          <w:instrText xml:space="preserve"> PAGEREF _Toc57831665 \h </w:instrText>
        </w:r>
        <w:r w:rsidR="0048345E">
          <w:rPr>
            <w:webHidden/>
          </w:rPr>
        </w:r>
        <w:r w:rsidR="0048345E">
          <w:rPr>
            <w:webHidden/>
          </w:rPr>
          <w:fldChar w:fldCharType="separate"/>
        </w:r>
        <w:r w:rsidR="0048345E">
          <w:rPr>
            <w:webHidden/>
          </w:rPr>
          <w:t>222</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66" w:history="1">
        <w:r w:rsidR="0048345E" w:rsidRPr="00F91932">
          <w:rPr>
            <w:rStyle w:val="Hyperlink"/>
            <w:rFonts w:ascii="Times New Roman" w:hAnsi="Times New Roman"/>
          </w:rPr>
          <w:t>6.3. C 32.03 - Prudent Valuation: Model Risk AVA (PruVal 3)</w:t>
        </w:r>
        <w:r w:rsidR="0048345E">
          <w:rPr>
            <w:webHidden/>
          </w:rPr>
          <w:tab/>
        </w:r>
        <w:r w:rsidR="0048345E">
          <w:rPr>
            <w:webHidden/>
          </w:rPr>
          <w:fldChar w:fldCharType="begin"/>
        </w:r>
        <w:r w:rsidR="0048345E">
          <w:rPr>
            <w:webHidden/>
          </w:rPr>
          <w:instrText xml:space="preserve"> PAGEREF _Toc57831666 \h </w:instrText>
        </w:r>
        <w:r w:rsidR="0048345E">
          <w:rPr>
            <w:webHidden/>
          </w:rPr>
        </w:r>
        <w:r w:rsidR="0048345E">
          <w:rPr>
            <w:webHidden/>
          </w:rPr>
          <w:fldChar w:fldCharType="separate"/>
        </w:r>
        <w:r w:rsidR="0048345E">
          <w:rPr>
            <w:webHidden/>
          </w:rPr>
          <w:t>231</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67" w:history="1">
        <w:r w:rsidR="0048345E" w:rsidRPr="00F91932">
          <w:rPr>
            <w:rStyle w:val="Hyperlink"/>
            <w:rFonts w:ascii="Times New Roman" w:hAnsi="Times New Roman"/>
          </w:rPr>
          <w:t>6.3.1.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General remarks</w:t>
        </w:r>
        <w:r w:rsidR="0048345E">
          <w:rPr>
            <w:webHidden/>
          </w:rPr>
          <w:tab/>
        </w:r>
        <w:r w:rsidR="0048345E">
          <w:rPr>
            <w:webHidden/>
          </w:rPr>
          <w:fldChar w:fldCharType="begin"/>
        </w:r>
        <w:r w:rsidR="0048345E">
          <w:rPr>
            <w:webHidden/>
          </w:rPr>
          <w:instrText xml:space="preserve"> PAGEREF _Toc57831667 \h </w:instrText>
        </w:r>
        <w:r w:rsidR="0048345E">
          <w:rPr>
            <w:webHidden/>
          </w:rPr>
        </w:r>
        <w:r w:rsidR="0048345E">
          <w:rPr>
            <w:webHidden/>
          </w:rPr>
          <w:fldChar w:fldCharType="separate"/>
        </w:r>
        <w:r w:rsidR="0048345E">
          <w:rPr>
            <w:webHidden/>
          </w:rPr>
          <w:t>231</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68" w:history="1">
        <w:r w:rsidR="0048345E" w:rsidRPr="00F91932">
          <w:rPr>
            <w:rStyle w:val="Hyperlink"/>
            <w:rFonts w:ascii="Times New Roman" w:hAnsi="Times New Roman"/>
          </w:rPr>
          <w:t>6.3.2.</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Instructions concerning specific positions</w:t>
        </w:r>
        <w:r w:rsidR="0048345E">
          <w:rPr>
            <w:webHidden/>
          </w:rPr>
          <w:tab/>
        </w:r>
        <w:r w:rsidR="0048345E">
          <w:rPr>
            <w:webHidden/>
          </w:rPr>
          <w:fldChar w:fldCharType="begin"/>
        </w:r>
        <w:r w:rsidR="0048345E">
          <w:rPr>
            <w:webHidden/>
          </w:rPr>
          <w:instrText xml:space="preserve"> PAGEREF _Toc57831668 \h </w:instrText>
        </w:r>
        <w:r w:rsidR="0048345E">
          <w:rPr>
            <w:webHidden/>
          </w:rPr>
        </w:r>
        <w:r w:rsidR="0048345E">
          <w:rPr>
            <w:webHidden/>
          </w:rPr>
          <w:fldChar w:fldCharType="separate"/>
        </w:r>
        <w:r w:rsidR="0048345E">
          <w:rPr>
            <w:webHidden/>
          </w:rPr>
          <w:t>232</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69" w:history="1">
        <w:r w:rsidR="0048345E" w:rsidRPr="00F91932">
          <w:rPr>
            <w:rStyle w:val="Hyperlink"/>
            <w:rFonts w:ascii="Times New Roman" w:hAnsi="Times New Roman"/>
          </w:rPr>
          <w:t>6.4 C 32.04 - Prudent Valuation: Concentrated positions AVA (PruVal 4)</w:t>
        </w:r>
        <w:r w:rsidR="0048345E">
          <w:rPr>
            <w:webHidden/>
          </w:rPr>
          <w:tab/>
        </w:r>
        <w:r w:rsidR="0048345E">
          <w:rPr>
            <w:webHidden/>
          </w:rPr>
          <w:fldChar w:fldCharType="begin"/>
        </w:r>
        <w:r w:rsidR="0048345E">
          <w:rPr>
            <w:webHidden/>
          </w:rPr>
          <w:instrText xml:space="preserve"> PAGEREF _Toc57831669 \h </w:instrText>
        </w:r>
        <w:r w:rsidR="0048345E">
          <w:rPr>
            <w:webHidden/>
          </w:rPr>
        </w:r>
        <w:r w:rsidR="0048345E">
          <w:rPr>
            <w:webHidden/>
          </w:rPr>
          <w:fldChar w:fldCharType="separate"/>
        </w:r>
        <w:r w:rsidR="0048345E">
          <w:rPr>
            <w:webHidden/>
          </w:rPr>
          <w:t>234</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70" w:history="1">
        <w:r w:rsidR="0048345E" w:rsidRPr="00F91932">
          <w:rPr>
            <w:rStyle w:val="Hyperlink"/>
            <w:rFonts w:ascii="Times New Roman" w:hAnsi="Times New Roman"/>
          </w:rPr>
          <w:t>6.4.1.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General remarks</w:t>
        </w:r>
        <w:r w:rsidR="0048345E">
          <w:rPr>
            <w:webHidden/>
          </w:rPr>
          <w:tab/>
        </w:r>
        <w:r w:rsidR="0048345E">
          <w:rPr>
            <w:webHidden/>
          </w:rPr>
          <w:fldChar w:fldCharType="begin"/>
        </w:r>
        <w:r w:rsidR="0048345E">
          <w:rPr>
            <w:webHidden/>
          </w:rPr>
          <w:instrText xml:space="preserve"> PAGEREF _Toc57831670 \h </w:instrText>
        </w:r>
        <w:r w:rsidR="0048345E">
          <w:rPr>
            <w:webHidden/>
          </w:rPr>
        </w:r>
        <w:r w:rsidR="0048345E">
          <w:rPr>
            <w:webHidden/>
          </w:rPr>
          <w:fldChar w:fldCharType="separate"/>
        </w:r>
        <w:r w:rsidR="0048345E">
          <w:rPr>
            <w:webHidden/>
          </w:rPr>
          <w:t>234</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71" w:history="1">
        <w:r w:rsidR="0048345E" w:rsidRPr="00F91932">
          <w:rPr>
            <w:rStyle w:val="Hyperlink"/>
            <w:rFonts w:ascii="Times New Roman" w:hAnsi="Times New Roman"/>
          </w:rPr>
          <w:t>6.4.2.</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Instructions concerning specific positions</w:t>
        </w:r>
        <w:r w:rsidR="0048345E">
          <w:rPr>
            <w:webHidden/>
          </w:rPr>
          <w:tab/>
        </w:r>
        <w:r w:rsidR="0048345E">
          <w:rPr>
            <w:webHidden/>
          </w:rPr>
          <w:fldChar w:fldCharType="begin"/>
        </w:r>
        <w:r w:rsidR="0048345E">
          <w:rPr>
            <w:webHidden/>
          </w:rPr>
          <w:instrText xml:space="preserve"> PAGEREF _Toc57831671 \h </w:instrText>
        </w:r>
        <w:r w:rsidR="0048345E">
          <w:rPr>
            <w:webHidden/>
          </w:rPr>
        </w:r>
        <w:r w:rsidR="0048345E">
          <w:rPr>
            <w:webHidden/>
          </w:rPr>
          <w:fldChar w:fldCharType="separate"/>
        </w:r>
        <w:r w:rsidR="0048345E">
          <w:rPr>
            <w:webHidden/>
          </w:rPr>
          <w:t>234</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72" w:history="1">
        <w:r w:rsidR="0048345E" w:rsidRPr="00F91932">
          <w:rPr>
            <w:rStyle w:val="Hyperlink"/>
            <w:rFonts w:ascii="Times New Roman" w:hAnsi="Times New Roman"/>
          </w:rPr>
          <w:t>7.</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C 33.00 - Exposures to General governments (GOV)</w:t>
        </w:r>
        <w:r w:rsidR="0048345E">
          <w:rPr>
            <w:webHidden/>
          </w:rPr>
          <w:tab/>
        </w:r>
        <w:r w:rsidR="0048345E">
          <w:rPr>
            <w:webHidden/>
          </w:rPr>
          <w:fldChar w:fldCharType="begin"/>
        </w:r>
        <w:r w:rsidR="0048345E">
          <w:rPr>
            <w:webHidden/>
          </w:rPr>
          <w:instrText xml:space="preserve"> PAGEREF _Toc57831672 \h </w:instrText>
        </w:r>
        <w:r w:rsidR="0048345E">
          <w:rPr>
            <w:webHidden/>
          </w:rPr>
        </w:r>
        <w:r w:rsidR="0048345E">
          <w:rPr>
            <w:webHidden/>
          </w:rPr>
          <w:fldChar w:fldCharType="separate"/>
        </w:r>
        <w:r w:rsidR="0048345E">
          <w:rPr>
            <w:webHidden/>
          </w:rPr>
          <w:t>236</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73" w:history="1">
        <w:r w:rsidR="0048345E" w:rsidRPr="00F91932">
          <w:rPr>
            <w:rStyle w:val="Hyperlink"/>
            <w:rFonts w:ascii="Times New Roman" w:hAnsi="Times New Roman"/>
          </w:rPr>
          <w:t>7.1.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General remarks</w:t>
        </w:r>
        <w:r w:rsidR="0048345E">
          <w:rPr>
            <w:webHidden/>
          </w:rPr>
          <w:tab/>
        </w:r>
        <w:r w:rsidR="0048345E">
          <w:rPr>
            <w:webHidden/>
          </w:rPr>
          <w:fldChar w:fldCharType="begin"/>
        </w:r>
        <w:r w:rsidR="0048345E">
          <w:rPr>
            <w:webHidden/>
          </w:rPr>
          <w:instrText xml:space="preserve"> PAGEREF _Toc57831673 \h </w:instrText>
        </w:r>
        <w:r w:rsidR="0048345E">
          <w:rPr>
            <w:webHidden/>
          </w:rPr>
        </w:r>
        <w:r w:rsidR="0048345E">
          <w:rPr>
            <w:webHidden/>
          </w:rPr>
          <w:fldChar w:fldCharType="separate"/>
        </w:r>
        <w:r w:rsidR="0048345E">
          <w:rPr>
            <w:webHidden/>
          </w:rPr>
          <w:t>236</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74" w:history="1">
        <w:r w:rsidR="0048345E" w:rsidRPr="00F91932">
          <w:rPr>
            <w:rStyle w:val="Hyperlink"/>
            <w:rFonts w:ascii="Times New Roman" w:hAnsi="Times New Roman"/>
          </w:rPr>
          <w:t>7.2.</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Scope of the template on exposures to “General governments”</w:t>
        </w:r>
        <w:r w:rsidR="0048345E">
          <w:rPr>
            <w:webHidden/>
          </w:rPr>
          <w:tab/>
        </w:r>
        <w:r w:rsidR="0048345E">
          <w:rPr>
            <w:webHidden/>
          </w:rPr>
          <w:fldChar w:fldCharType="begin"/>
        </w:r>
        <w:r w:rsidR="0048345E">
          <w:rPr>
            <w:webHidden/>
          </w:rPr>
          <w:instrText xml:space="preserve"> PAGEREF _Toc57831674 \h </w:instrText>
        </w:r>
        <w:r w:rsidR="0048345E">
          <w:rPr>
            <w:webHidden/>
          </w:rPr>
        </w:r>
        <w:r w:rsidR="0048345E">
          <w:rPr>
            <w:webHidden/>
          </w:rPr>
          <w:fldChar w:fldCharType="separate"/>
        </w:r>
        <w:r w:rsidR="0048345E">
          <w:rPr>
            <w:webHidden/>
          </w:rPr>
          <w:t>237</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75" w:history="1">
        <w:r w:rsidR="0048345E" w:rsidRPr="00F91932">
          <w:rPr>
            <w:rStyle w:val="Hyperlink"/>
            <w:rFonts w:ascii="Times New Roman" w:hAnsi="Times New Roman"/>
          </w:rPr>
          <w:t>7.3.</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Instructions concerning specific positions</w:t>
        </w:r>
        <w:r w:rsidR="0048345E">
          <w:rPr>
            <w:webHidden/>
          </w:rPr>
          <w:tab/>
        </w:r>
        <w:r w:rsidR="0048345E">
          <w:rPr>
            <w:webHidden/>
          </w:rPr>
          <w:fldChar w:fldCharType="begin"/>
        </w:r>
        <w:r w:rsidR="0048345E">
          <w:rPr>
            <w:webHidden/>
          </w:rPr>
          <w:instrText xml:space="preserve"> PAGEREF _Toc57831675 \h </w:instrText>
        </w:r>
        <w:r w:rsidR="0048345E">
          <w:rPr>
            <w:webHidden/>
          </w:rPr>
        </w:r>
        <w:r w:rsidR="0048345E">
          <w:rPr>
            <w:webHidden/>
          </w:rPr>
          <w:fldChar w:fldCharType="separate"/>
        </w:r>
        <w:r w:rsidR="0048345E">
          <w:rPr>
            <w:webHidden/>
          </w:rPr>
          <w:t>237</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76" w:history="1">
        <w:r w:rsidR="0048345E" w:rsidRPr="00F91932">
          <w:rPr>
            <w:rStyle w:val="Hyperlink"/>
            <w:rFonts w:ascii="Times New Roman" w:hAnsi="Times New Roman"/>
          </w:rPr>
          <w:t>8.</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NPE Loss Coverage (NPE LC)</w:t>
        </w:r>
        <w:r w:rsidR="0048345E">
          <w:rPr>
            <w:webHidden/>
          </w:rPr>
          <w:tab/>
        </w:r>
        <w:r w:rsidR="0048345E">
          <w:rPr>
            <w:webHidden/>
          </w:rPr>
          <w:fldChar w:fldCharType="begin"/>
        </w:r>
        <w:r w:rsidR="0048345E">
          <w:rPr>
            <w:webHidden/>
          </w:rPr>
          <w:instrText xml:space="preserve"> PAGEREF _Toc57831676 \h </w:instrText>
        </w:r>
        <w:r w:rsidR="0048345E">
          <w:rPr>
            <w:webHidden/>
          </w:rPr>
        </w:r>
        <w:r w:rsidR="0048345E">
          <w:rPr>
            <w:webHidden/>
          </w:rPr>
          <w:fldChar w:fldCharType="separate"/>
        </w:r>
        <w:r w:rsidR="0048345E">
          <w:rPr>
            <w:webHidden/>
          </w:rPr>
          <w:t>248</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77" w:history="1">
        <w:r w:rsidR="0048345E" w:rsidRPr="00F91932">
          <w:rPr>
            <w:rStyle w:val="Hyperlink"/>
            <w:rFonts w:ascii="Times New Roman" w:hAnsi="Times New Roman"/>
          </w:rPr>
          <w:t>8.1.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General remarks</w:t>
        </w:r>
        <w:r w:rsidR="0048345E">
          <w:rPr>
            <w:webHidden/>
          </w:rPr>
          <w:tab/>
        </w:r>
        <w:r w:rsidR="0048345E">
          <w:rPr>
            <w:webHidden/>
          </w:rPr>
          <w:fldChar w:fldCharType="begin"/>
        </w:r>
        <w:r w:rsidR="0048345E">
          <w:rPr>
            <w:webHidden/>
          </w:rPr>
          <w:instrText xml:space="preserve"> PAGEREF _Toc57831677 \h </w:instrText>
        </w:r>
        <w:r w:rsidR="0048345E">
          <w:rPr>
            <w:webHidden/>
          </w:rPr>
        </w:r>
        <w:r w:rsidR="0048345E">
          <w:rPr>
            <w:webHidden/>
          </w:rPr>
          <w:fldChar w:fldCharType="separate"/>
        </w:r>
        <w:r w:rsidR="0048345E">
          <w:rPr>
            <w:webHidden/>
          </w:rPr>
          <w:t>248</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78" w:history="1">
        <w:r w:rsidR="0048345E" w:rsidRPr="00F91932">
          <w:rPr>
            <w:rStyle w:val="Hyperlink"/>
            <w:rFonts w:ascii="Times New Roman" w:hAnsi="Times New Roman"/>
          </w:rPr>
          <w:t>8.2. C 35.01 – THE CALCULATION OF DEDUCTIONS FOR NON-PERFORMING EXPOSURES (NPE LC1)</w:t>
        </w:r>
        <w:r w:rsidR="0048345E">
          <w:rPr>
            <w:webHidden/>
          </w:rPr>
          <w:tab/>
        </w:r>
        <w:r w:rsidR="0048345E">
          <w:rPr>
            <w:webHidden/>
          </w:rPr>
          <w:fldChar w:fldCharType="begin"/>
        </w:r>
        <w:r w:rsidR="0048345E">
          <w:rPr>
            <w:webHidden/>
          </w:rPr>
          <w:instrText xml:space="preserve"> PAGEREF _Toc57831678 \h </w:instrText>
        </w:r>
        <w:r w:rsidR="0048345E">
          <w:rPr>
            <w:webHidden/>
          </w:rPr>
        </w:r>
        <w:r w:rsidR="0048345E">
          <w:rPr>
            <w:webHidden/>
          </w:rPr>
          <w:fldChar w:fldCharType="separate"/>
        </w:r>
        <w:r w:rsidR="0048345E">
          <w:rPr>
            <w:webHidden/>
          </w:rPr>
          <w:t>249</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79" w:history="1">
        <w:r w:rsidR="0048345E" w:rsidRPr="00F91932">
          <w:rPr>
            <w:rStyle w:val="Hyperlink"/>
            <w:rFonts w:ascii="Times New Roman" w:hAnsi="Times New Roman"/>
          </w:rPr>
          <w:t>8.2.1.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Instructions concerning specific positions</w:t>
        </w:r>
        <w:r w:rsidR="0048345E">
          <w:rPr>
            <w:webHidden/>
          </w:rPr>
          <w:tab/>
        </w:r>
        <w:r w:rsidR="0048345E">
          <w:rPr>
            <w:webHidden/>
          </w:rPr>
          <w:fldChar w:fldCharType="begin"/>
        </w:r>
        <w:r w:rsidR="0048345E">
          <w:rPr>
            <w:webHidden/>
          </w:rPr>
          <w:instrText xml:space="preserve"> PAGEREF _Toc57831679 \h </w:instrText>
        </w:r>
        <w:r w:rsidR="0048345E">
          <w:rPr>
            <w:webHidden/>
          </w:rPr>
        </w:r>
        <w:r w:rsidR="0048345E">
          <w:rPr>
            <w:webHidden/>
          </w:rPr>
          <w:fldChar w:fldCharType="separate"/>
        </w:r>
        <w:r w:rsidR="0048345E">
          <w:rPr>
            <w:webHidden/>
          </w:rPr>
          <w:t>249</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80" w:history="1">
        <w:r w:rsidR="0048345E" w:rsidRPr="00F91932">
          <w:rPr>
            <w:rStyle w:val="Hyperlink"/>
            <w:rFonts w:ascii="Times New Roman" w:hAnsi="Times New Roman"/>
          </w:rPr>
          <w:t>8.3.</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C 35.02 – MINIMUM COVERAGE REQUIREMENTS AND EXPOSURE VALUES OF NON-PERFORMING EXPOSURES EXCLUDING FORBORNE EXPOSURES THAT FALL UNDER ARTICLE 47C (6) CRR (NPE LC2)</w:t>
        </w:r>
        <w:r w:rsidR="0048345E">
          <w:rPr>
            <w:webHidden/>
          </w:rPr>
          <w:tab/>
        </w:r>
        <w:r w:rsidR="0048345E">
          <w:rPr>
            <w:webHidden/>
          </w:rPr>
          <w:fldChar w:fldCharType="begin"/>
        </w:r>
        <w:r w:rsidR="0048345E">
          <w:rPr>
            <w:webHidden/>
          </w:rPr>
          <w:instrText xml:space="preserve"> PAGEREF _Toc57831680 \h </w:instrText>
        </w:r>
        <w:r w:rsidR="0048345E">
          <w:rPr>
            <w:webHidden/>
          </w:rPr>
        </w:r>
        <w:r w:rsidR="0048345E">
          <w:rPr>
            <w:webHidden/>
          </w:rPr>
          <w:fldChar w:fldCharType="separate"/>
        </w:r>
        <w:r w:rsidR="0048345E">
          <w:rPr>
            <w:webHidden/>
          </w:rPr>
          <w:t>251</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81" w:history="1">
        <w:r w:rsidR="0048345E" w:rsidRPr="00F91932">
          <w:rPr>
            <w:rStyle w:val="Hyperlink"/>
            <w:rFonts w:ascii="Times New Roman" w:hAnsi="Times New Roman"/>
          </w:rPr>
          <w:t>8.3.1.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Instructions concerning specific positions</w:t>
        </w:r>
        <w:r w:rsidR="0048345E">
          <w:rPr>
            <w:webHidden/>
          </w:rPr>
          <w:tab/>
        </w:r>
        <w:r w:rsidR="0048345E">
          <w:rPr>
            <w:webHidden/>
          </w:rPr>
          <w:fldChar w:fldCharType="begin"/>
        </w:r>
        <w:r w:rsidR="0048345E">
          <w:rPr>
            <w:webHidden/>
          </w:rPr>
          <w:instrText xml:space="preserve"> PAGEREF _Toc57831681 \h </w:instrText>
        </w:r>
        <w:r w:rsidR="0048345E">
          <w:rPr>
            <w:webHidden/>
          </w:rPr>
        </w:r>
        <w:r w:rsidR="0048345E">
          <w:rPr>
            <w:webHidden/>
          </w:rPr>
          <w:fldChar w:fldCharType="separate"/>
        </w:r>
        <w:r w:rsidR="0048345E">
          <w:rPr>
            <w:webHidden/>
          </w:rPr>
          <w:t>251</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82" w:history="1">
        <w:r w:rsidR="0048345E" w:rsidRPr="00F91932">
          <w:rPr>
            <w:rStyle w:val="Hyperlink"/>
            <w:rFonts w:ascii="Times New Roman" w:hAnsi="Times New Roman"/>
          </w:rPr>
          <w:t>8.4.</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C 35.03 – MINIMUM COVERAGE REQUIREMENTS AND EXPOSURE VALUES OF NON-PERFORMING FORBORNE EXPOSURES THAT FALL UNDER ARTICLE 47C (6) CRR (NPE LC3)</w:t>
        </w:r>
        <w:r w:rsidR="0048345E">
          <w:rPr>
            <w:webHidden/>
          </w:rPr>
          <w:tab/>
        </w:r>
        <w:r w:rsidR="0048345E">
          <w:rPr>
            <w:webHidden/>
          </w:rPr>
          <w:fldChar w:fldCharType="begin"/>
        </w:r>
        <w:r w:rsidR="0048345E">
          <w:rPr>
            <w:webHidden/>
          </w:rPr>
          <w:instrText xml:space="preserve"> PAGEREF _Toc57831682 \h </w:instrText>
        </w:r>
        <w:r w:rsidR="0048345E">
          <w:rPr>
            <w:webHidden/>
          </w:rPr>
        </w:r>
        <w:r w:rsidR="0048345E">
          <w:rPr>
            <w:webHidden/>
          </w:rPr>
          <w:fldChar w:fldCharType="separate"/>
        </w:r>
        <w:r w:rsidR="0048345E">
          <w:rPr>
            <w:webHidden/>
          </w:rPr>
          <w:t>253</w:t>
        </w:r>
        <w:r w:rsidR="0048345E">
          <w:rPr>
            <w:webHidden/>
          </w:rPr>
          <w:fldChar w:fldCharType="end"/>
        </w:r>
      </w:hyperlink>
    </w:p>
    <w:p w:rsidR="0048345E" w:rsidRDefault="009B627A">
      <w:pPr>
        <w:pStyle w:val="TOC2"/>
        <w:rPr>
          <w:rFonts w:asciiTheme="minorHAnsi" w:eastAsiaTheme="minorEastAsia" w:hAnsiTheme="minorHAnsi" w:cstheme="minorBidi"/>
          <w:b w:val="0"/>
          <w:smallCaps w:val="0"/>
          <w:sz w:val="22"/>
          <w:lang w:val="en-US"/>
        </w:rPr>
      </w:pPr>
      <w:hyperlink w:anchor="_Toc57831683" w:history="1">
        <w:r w:rsidR="0048345E" w:rsidRPr="00F91932">
          <w:rPr>
            <w:rStyle w:val="Hyperlink"/>
            <w:rFonts w:ascii="Times New Roman" w:hAnsi="Times New Roman"/>
          </w:rPr>
          <w:t>8.4.1.</w:t>
        </w:r>
        <w:r w:rsidR="0048345E">
          <w:rPr>
            <w:rFonts w:asciiTheme="minorHAnsi" w:eastAsiaTheme="minorEastAsia" w:hAnsiTheme="minorHAnsi" w:cstheme="minorBidi"/>
            <w:b w:val="0"/>
            <w:smallCaps w:val="0"/>
            <w:sz w:val="22"/>
            <w:lang w:val="en-US"/>
          </w:rPr>
          <w:tab/>
        </w:r>
        <w:r w:rsidR="0048345E" w:rsidRPr="00F91932">
          <w:rPr>
            <w:rStyle w:val="Hyperlink"/>
            <w:rFonts w:ascii="Times New Roman" w:hAnsi="Times New Roman"/>
          </w:rPr>
          <w:t>Instructions concerning specific positions</w:t>
        </w:r>
        <w:r w:rsidR="0048345E">
          <w:rPr>
            <w:webHidden/>
          </w:rPr>
          <w:tab/>
        </w:r>
        <w:r w:rsidR="0048345E">
          <w:rPr>
            <w:webHidden/>
          </w:rPr>
          <w:fldChar w:fldCharType="begin"/>
        </w:r>
        <w:r w:rsidR="0048345E">
          <w:rPr>
            <w:webHidden/>
          </w:rPr>
          <w:instrText xml:space="preserve"> PAGEREF _Toc57831683 \h </w:instrText>
        </w:r>
        <w:r w:rsidR="0048345E">
          <w:rPr>
            <w:webHidden/>
          </w:rPr>
        </w:r>
        <w:r w:rsidR="0048345E">
          <w:rPr>
            <w:webHidden/>
          </w:rPr>
          <w:fldChar w:fldCharType="separate"/>
        </w:r>
        <w:r w:rsidR="0048345E">
          <w:rPr>
            <w:webHidden/>
          </w:rPr>
          <w:t>253</w:t>
        </w:r>
        <w:r w:rsidR="0048345E">
          <w:rPr>
            <w:webHidden/>
          </w:rPr>
          <w:fldChar w:fldCharType="end"/>
        </w:r>
      </w:hyperlink>
    </w:p>
    <w:p w:rsidR="002648B0" w:rsidRPr="00661595" w:rsidRDefault="00745369" w:rsidP="00005FFC">
      <w:pPr>
        <w:rPr>
          <w:rFonts w:ascii="Times New Roman" w:hAnsi="Times New Roman"/>
          <w:sz w:val="24"/>
        </w:rPr>
        <w:sectPr w:rsidR="002648B0" w:rsidRPr="00661595" w:rsidSect="004D4419">
          <w:headerReference w:type="even" r:id="rId8"/>
          <w:headerReference w:type="default" r:id="rId9"/>
          <w:footerReference w:type="even" r:id="rId10"/>
          <w:footerReference w:type="default" r:id="rId11"/>
          <w:headerReference w:type="first" r:id="rId12"/>
          <w:footerReference w:type="first" r:id="rId13"/>
          <w:endnotePr>
            <w:numFmt w:val="decimal"/>
          </w:endnotePr>
          <w:type w:val="continuous"/>
          <w:pgSz w:w="11906" w:h="16838"/>
          <w:pgMar w:top="1417" w:right="1417" w:bottom="1134" w:left="1417" w:header="708" w:footer="708" w:gutter="0"/>
          <w:cols w:space="708"/>
          <w:titlePg/>
          <w:docGrid w:linePitch="360"/>
        </w:sectPr>
      </w:pPr>
      <w:r w:rsidRPr="00661595">
        <w:rPr>
          <w:rFonts w:ascii="Times New Roman" w:hAnsi="Times New Roman"/>
          <w:sz w:val="24"/>
        </w:rPr>
        <w:fldChar w:fldCharType="end"/>
      </w:r>
    </w:p>
    <w:p w:rsidR="007B4FD3" w:rsidRPr="00661595" w:rsidRDefault="007B4FD3" w:rsidP="00EC5046">
      <w:pPr>
        <w:rPr>
          <w:rFonts w:ascii="Times New Roman" w:hAnsi="Times New Roman"/>
          <w:sz w:val="24"/>
        </w:rPr>
      </w:pPr>
    </w:p>
    <w:p w:rsidR="002648B0" w:rsidRPr="00661595" w:rsidRDefault="002648B0" w:rsidP="00D64B66">
      <w:pPr>
        <w:pStyle w:val="Heading2"/>
        <w:rPr>
          <w:rFonts w:ascii="Times New Roman" w:hAnsi="Times New Roman"/>
          <w:lang w:val="en-GB"/>
        </w:rPr>
      </w:pPr>
      <w:bookmarkStart w:id="2" w:name="_Toc264038394"/>
      <w:bookmarkStart w:id="3" w:name="_Toc360188317"/>
      <w:bookmarkStart w:id="4" w:name="_Toc473560865"/>
      <w:bookmarkStart w:id="5" w:name="_Toc57831504"/>
      <w:r w:rsidRPr="00661595">
        <w:rPr>
          <w:rFonts w:ascii="Times New Roman" w:hAnsi="Times New Roman"/>
          <w:lang w:val="en-GB"/>
        </w:rPr>
        <w:t>PART I:</w:t>
      </w:r>
      <w:bookmarkEnd w:id="2"/>
      <w:r w:rsidRPr="00661595">
        <w:rPr>
          <w:rFonts w:ascii="Times New Roman" w:hAnsi="Times New Roman"/>
          <w:lang w:val="en-GB"/>
        </w:rPr>
        <w:t xml:space="preserve"> GENERAL INSTRUCTIONS</w:t>
      </w:r>
      <w:bookmarkEnd w:id="3"/>
      <w:bookmarkEnd w:id="4"/>
      <w:bookmarkEnd w:id="5"/>
    </w:p>
    <w:p w:rsidR="002648B0" w:rsidRPr="00661595" w:rsidRDefault="00125707" w:rsidP="0023700C">
      <w:pPr>
        <w:pStyle w:val="Instructionsberschrift2"/>
        <w:numPr>
          <w:ilvl w:val="0"/>
          <w:numId w:val="0"/>
        </w:numPr>
        <w:ind w:left="357" w:hanging="357"/>
        <w:rPr>
          <w:rFonts w:ascii="Times New Roman" w:hAnsi="Times New Roman" w:cs="Times New Roman"/>
          <w:sz w:val="24"/>
          <w:u w:val="none"/>
          <w:lang w:val="en-GB"/>
        </w:rPr>
      </w:pPr>
      <w:bookmarkStart w:id="6" w:name="_Toc360188318"/>
      <w:bookmarkStart w:id="7" w:name="_Toc473560866"/>
      <w:bookmarkStart w:id="8" w:name="_Toc57831505"/>
      <w:r w:rsidRPr="00661595">
        <w:rPr>
          <w:rFonts w:ascii="Times New Roman" w:hAnsi="Times New Roman" w:cs="Times New Roman"/>
          <w:sz w:val="24"/>
          <w:u w:val="none"/>
          <w:lang w:val="en-GB"/>
        </w:rPr>
        <w:t>1.</w:t>
      </w:r>
      <w:r w:rsidRPr="00661595">
        <w:rPr>
          <w:rFonts w:ascii="Times New Roman" w:hAnsi="Times New Roman" w:cs="Times New Roman"/>
          <w:sz w:val="24"/>
          <w:u w:val="none"/>
          <w:lang w:val="en-GB"/>
        </w:rPr>
        <w:tab/>
      </w:r>
      <w:r w:rsidR="002648B0" w:rsidRPr="00661595">
        <w:rPr>
          <w:rFonts w:ascii="Times New Roman" w:hAnsi="Times New Roman" w:cs="Times New Roman"/>
          <w:sz w:val="24"/>
          <w:u w:val="none"/>
          <w:lang w:val="en-GB"/>
        </w:rPr>
        <w:t>Structure and conventions</w:t>
      </w:r>
      <w:bookmarkEnd w:id="6"/>
      <w:bookmarkEnd w:id="7"/>
      <w:bookmarkEnd w:id="8"/>
    </w:p>
    <w:p w:rsidR="002648B0" w:rsidRPr="00661595" w:rsidRDefault="00125707" w:rsidP="00304CA5">
      <w:pPr>
        <w:pStyle w:val="Instructionsberschrift2"/>
        <w:numPr>
          <w:ilvl w:val="0"/>
          <w:numId w:val="0"/>
        </w:numPr>
        <w:ind w:left="357" w:hanging="357"/>
        <w:rPr>
          <w:rFonts w:ascii="Times New Roman" w:hAnsi="Times New Roman" w:cs="Times New Roman"/>
          <w:sz w:val="24"/>
          <w:u w:val="none"/>
          <w:lang w:val="en-GB"/>
        </w:rPr>
      </w:pPr>
      <w:bookmarkStart w:id="9" w:name="_Toc360188319"/>
      <w:bookmarkStart w:id="10" w:name="_Toc473560867"/>
      <w:bookmarkStart w:id="11" w:name="_Toc57831506"/>
      <w:bookmarkStart w:id="12" w:name="_Toc264038399"/>
      <w:bookmarkStart w:id="13" w:name="_Toc294018834"/>
      <w:r w:rsidRPr="00661595">
        <w:rPr>
          <w:rFonts w:ascii="Times New Roman" w:hAnsi="Times New Roman" w:cs="Times New Roman"/>
          <w:sz w:val="24"/>
          <w:u w:val="none"/>
          <w:lang w:val="en-GB"/>
        </w:rPr>
        <w:t>1.1.</w:t>
      </w:r>
      <w:r w:rsidRPr="00661595">
        <w:rPr>
          <w:rFonts w:ascii="Times New Roman" w:hAnsi="Times New Roman" w:cs="Times New Roman"/>
          <w:sz w:val="24"/>
          <w:u w:val="none"/>
          <w:lang w:val="en-GB"/>
        </w:rPr>
        <w:tab/>
      </w:r>
      <w:r w:rsidR="002648B0" w:rsidRPr="00661595">
        <w:rPr>
          <w:rFonts w:ascii="Times New Roman" w:hAnsi="Times New Roman" w:cs="Times New Roman"/>
          <w:sz w:val="24"/>
          <w:u w:val="none"/>
          <w:lang w:val="en-GB"/>
        </w:rPr>
        <w:t>Structure</w:t>
      </w:r>
      <w:bookmarkEnd w:id="9"/>
      <w:bookmarkEnd w:id="10"/>
      <w:bookmarkEnd w:id="11"/>
    </w:p>
    <w:p w:rsidR="002648B0" w:rsidRPr="00661595" w:rsidRDefault="00D11E4C" w:rsidP="00487A02">
      <w:pPr>
        <w:pStyle w:val="InstructionsText2"/>
        <w:numPr>
          <w:ilvl w:val="0"/>
          <w:numId w:val="0"/>
        </w:numPr>
        <w:ind w:left="1353" w:hanging="360"/>
      </w:pPr>
      <w:fldSimple w:instr=" seq paragraphs ">
        <w:r w:rsidR="00771068">
          <w:rPr>
            <w:noProof/>
          </w:rPr>
          <w:t>1</w:t>
        </w:r>
      </w:fldSimple>
      <w:r w:rsidR="00125707" w:rsidRPr="00661595">
        <w:t>.</w:t>
      </w:r>
      <w:r w:rsidR="00125707" w:rsidRPr="00661595">
        <w:tab/>
      </w:r>
      <w:r w:rsidR="002648B0" w:rsidRPr="00661595">
        <w:t xml:space="preserve">Overall, the framework </w:t>
      </w:r>
      <w:r w:rsidR="00C44C83" w:rsidRPr="00661595">
        <w:t>covers</w:t>
      </w:r>
      <w:r w:rsidR="002648B0" w:rsidRPr="00661595">
        <w:t xml:space="preserve"> </w:t>
      </w:r>
      <w:r w:rsidR="00C44C83" w:rsidRPr="00661595">
        <w:t>six</w:t>
      </w:r>
      <w:r w:rsidR="002648B0" w:rsidRPr="00661595">
        <w:t xml:space="preserve"> </w:t>
      </w:r>
      <w:r w:rsidR="00C44C83" w:rsidRPr="00661595">
        <w:t>topics</w:t>
      </w:r>
      <w:r w:rsidR="002648B0" w:rsidRPr="00661595">
        <w:t>:</w:t>
      </w:r>
    </w:p>
    <w:p w:rsidR="002648B0" w:rsidRPr="00661595" w:rsidRDefault="00125707" w:rsidP="00487A02">
      <w:pPr>
        <w:pStyle w:val="InstructionsText2"/>
        <w:numPr>
          <w:ilvl w:val="0"/>
          <w:numId w:val="0"/>
        </w:numPr>
        <w:ind w:left="1353" w:hanging="360"/>
      </w:pPr>
      <w:r w:rsidRPr="00661595">
        <w:t>(a)</w:t>
      </w:r>
      <w:r w:rsidRPr="00661595">
        <w:tab/>
      </w:r>
      <w:r w:rsidR="008C017D" w:rsidRPr="00661595">
        <w:t>c</w:t>
      </w:r>
      <w:r w:rsidR="002648B0" w:rsidRPr="00661595">
        <w:t>apital adequacy, an overview of regulatory capi</w:t>
      </w:r>
      <w:r w:rsidR="00436204" w:rsidRPr="00661595">
        <w:t>tal; total risk exposure amount</w:t>
      </w:r>
      <w:r w:rsidR="002648B0" w:rsidRPr="00661595">
        <w:t>;</w:t>
      </w:r>
      <w:r w:rsidR="00C44C83" w:rsidRPr="00661595">
        <w:t xml:space="preserve"> prudent valuation; NPE loss coverage;</w:t>
      </w:r>
    </w:p>
    <w:p w:rsidR="00436204" w:rsidRPr="00661595" w:rsidRDefault="00125707" w:rsidP="00487A02">
      <w:pPr>
        <w:pStyle w:val="InstructionsText2"/>
        <w:numPr>
          <w:ilvl w:val="0"/>
          <w:numId w:val="0"/>
        </w:numPr>
        <w:ind w:left="1353" w:hanging="360"/>
      </w:pPr>
      <w:r w:rsidRPr="00661595">
        <w:t>(b)</w:t>
      </w:r>
      <w:r w:rsidRPr="00661595">
        <w:tab/>
      </w:r>
      <w:r w:rsidR="008C017D" w:rsidRPr="00661595">
        <w:t>g</w:t>
      </w:r>
      <w:r w:rsidR="00436204" w:rsidRPr="00661595">
        <w:t>roup solvency, an overview of the fulfilment of the solvency requirements by all individual entities included in the scope of consolidation of the reporting entity</w:t>
      </w:r>
      <w:r w:rsidR="00C7103D" w:rsidRPr="00661595">
        <w:t>;</w:t>
      </w:r>
    </w:p>
    <w:p w:rsidR="002648B0" w:rsidRPr="00661595" w:rsidRDefault="00125707" w:rsidP="00487A02">
      <w:pPr>
        <w:pStyle w:val="InstructionsText2"/>
        <w:numPr>
          <w:ilvl w:val="0"/>
          <w:numId w:val="0"/>
        </w:numPr>
        <w:ind w:left="1353" w:hanging="360"/>
      </w:pPr>
      <w:r w:rsidRPr="00661595">
        <w:t>(c)</w:t>
      </w:r>
      <w:r w:rsidRPr="00661595">
        <w:tab/>
      </w:r>
      <w:r w:rsidR="008C017D" w:rsidRPr="00661595">
        <w:t>c</w:t>
      </w:r>
      <w:r w:rsidR="002648B0" w:rsidRPr="00661595">
        <w:t>redit risk (including counterparty, dilution and settlement risks);</w:t>
      </w:r>
    </w:p>
    <w:p w:rsidR="002648B0" w:rsidRPr="00661595" w:rsidRDefault="00125707" w:rsidP="00487A02">
      <w:pPr>
        <w:pStyle w:val="InstructionsText2"/>
        <w:numPr>
          <w:ilvl w:val="0"/>
          <w:numId w:val="0"/>
        </w:numPr>
        <w:ind w:left="1353" w:hanging="360"/>
      </w:pPr>
      <w:r w:rsidRPr="00661595">
        <w:t>(d)</w:t>
      </w:r>
      <w:r w:rsidRPr="00661595">
        <w:tab/>
      </w:r>
      <w:r w:rsidR="008C017D" w:rsidRPr="00661595">
        <w:t>m</w:t>
      </w:r>
      <w:r w:rsidR="002648B0" w:rsidRPr="00661595">
        <w:t>arket risk (</w:t>
      </w:r>
      <w:r w:rsidR="00436204" w:rsidRPr="00661595">
        <w:t>including</w:t>
      </w:r>
      <w:r w:rsidR="002648B0" w:rsidRPr="00661595">
        <w:t xml:space="preserve"> position risk in trading book, foreign exchange risk</w:t>
      </w:r>
      <w:r w:rsidR="00436204" w:rsidRPr="00661595">
        <w:t>,</w:t>
      </w:r>
      <w:r w:rsidR="002648B0" w:rsidRPr="00661595">
        <w:t xml:space="preserve"> commodities risk</w:t>
      </w:r>
      <w:r w:rsidR="00436204" w:rsidRPr="00661595">
        <w:t xml:space="preserve"> and CVA risk</w:t>
      </w:r>
      <w:r w:rsidR="002648B0" w:rsidRPr="00661595">
        <w:t>);</w:t>
      </w:r>
    </w:p>
    <w:p w:rsidR="00C44C83" w:rsidRPr="00661595" w:rsidRDefault="00125707" w:rsidP="00487A02">
      <w:pPr>
        <w:pStyle w:val="InstructionsText2"/>
        <w:numPr>
          <w:ilvl w:val="0"/>
          <w:numId w:val="0"/>
        </w:numPr>
        <w:ind w:left="1353" w:hanging="360"/>
      </w:pPr>
      <w:r w:rsidRPr="00661595">
        <w:t>(e)</w:t>
      </w:r>
      <w:r w:rsidRPr="00661595">
        <w:tab/>
      </w:r>
      <w:r w:rsidR="008C017D" w:rsidRPr="00661595">
        <w:t>o</w:t>
      </w:r>
      <w:r w:rsidR="00436204" w:rsidRPr="00661595">
        <w:t>perational risk</w:t>
      </w:r>
      <w:r w:rsidR="00C44C83" w:rsidRPr="00661595">
        <w:t>;</w:t>
      </w:r>
    </w:p>
    <w:p w:rsidR="002648B0" w:rsidRPr="00661595" w:rsidRDefault="00C44C83" w:rsidP="00487A02">
      <w:pPr>
        <w:pStyle w:val="InstructionsText2"/>
        <w:numPr>
          <w:ilvl w:val="0"/>
          <w:numId w:val="0"/>
        </w:numPr>
        <w:ind w:left="1353" w:hanging="360"/>
      </w:pPr>
      <w:r w:rsidRPr="00661595">
        <w:t>(f) general governments exposures</w:t>
      </w:r>
    </w:p>
    <w:p w:rsidR="002648B0" w:rsidRPr="00661595" w:rsidRDefault="00D11E4C" w:rsidP="00487A02">
      <w:pPr>
        <w:pStyle w:val="InstructionsText2"/>
        <w:numPr>
          <w:ilvl w:val="0"/>
          <w:numId w:val="0"/>
        </w:numPr>
        <w:ind w:left="1353" w:hanging="360"/>
      </w:pPr>
      <w:fldSimple w:instr=" seq paragraphs ">
        <w:r w:rsidR="00771068">
          <w:rPr>
            <w:noProof/>
          </w:rPr>
          <w:t>2</w:t>
        </w:r>
      </w:fldSimple>
      <w:r w:rsidR="00125707" w:rsidRPr="00661595">
        <w:t>.</w:t>
      </w:r>
      <w:r w:rsidR="00125707" w:rsidRPr="00661595">
        <w:tab/>
      </w:r>
      <w:r w:rsidR="002648B0" w:rsidRPr="00661595">
        <w:t>For each template legal references are provided. Further detailed information regarding more general aspects of the reporting of each block of templates, instructions concerning specific positions as well as validation rules are included in</w:t>
      </w:r>
      <w:r w:rsidR="00C71B86" w:rsidRPr="00661595">
        <w:t xml:space="preserve"> this part of th</w:t>
      </w:r>
      <w:r w:rsidR="0059138D" w:rsidRPr="00661595">
        <w:t>is</w:t>
      </w:r>
      <w:r w:rsidR="000C6938" w:rsidRPr="00661595">
        <w:t xml:space="preserve"> </w:t>
      </w:r>
      <w:r w:rsidR="006B2333" w:rsidRPr="00661595">
        <w:t xml:space="preserve">Implementing </w:t>
      </w:r>
      <w:r w:rsidR="0059138D" w:rsidRPr="00661595">
        <w:t>Regulation</w:t>
      </w:r>
      <w:r w:rsidR="00C71B86" w:rsidRPr="00661595">
        <w:t>.</w:t>
      </w:r>
    </w:p>
    <w:p w:rsidR="005643EA" w:rsidRPr="00661595" w:rsidRDefault="00D11E4C" w:rsidP="00487A02">
      <w:pPr>
        <w:pStyle w:val="InstructionsText2"/>
        <w:numPr>
          <w:ilvl w:val="0"/>
          <w:numId w:val="0"/>
        </w:numPr>
        <w:ind w:left="1353" w:hanging="360"/>
      </w:pPr>
      <w:fldSimple w:instr=" seq paragraphs ">
        <w:r w:rsidR="00771068">
          <w:rPr>
            <w:noProof/>
          </w:rPr>
          <w:t>3</w:t>
        </w:r>
      </w:fldSimple>
      <w:r w:rsidR="00125707" w:rsidRPr="00661595">
        <w:t>.</w:t>
      </w:r>
      <w:r w:rsidR="00125707" w:rsidRPr="00661595">
        <w:tab/>
      </w:r>
      <w:r w:rsidR="002648B0" w:rsidRPr="00661595">
        <w:t xml:space="preserve">Institutions </w:t>
      </w:r>
      <w:r w:rsidR="00C7103D" w:rsidRPr="00661595">
        <w:t xml:space="preserve">shall </w:t>
      </w:r>
      <w:r w:rsidR="002648B0" w:rsidRPr="00661595">
        <w:t>report only those templates that are relevant depending on the approach used for determining own funds requirements.</w:t>
      </w:r>
    </w:p>
    <w:p w:rsidR="002648B0" w:rsidRPr="00661595" w:rsidRDefault="00125707" w:rsidP="0023700C">
      <w:pPr>
        <w:pStyle w:val="Instructionsberschrift2"/>
        <w:numPr>
          <w:ilvl w:val="0"/>
          <w:numId w:val="0"/>
        </w:numPr>
        <w:ind w:left="357" w:hanging="357"/>
        <w:rPr>
          <w:rFonts w:ascii="Times New Roman" w:hAnsi="Times New Roman" w:cs="Times New Roman"/>
          <w:sz w:val="24"/>
          <w:u w:val="none"/>
          <w:lang w:val="en-GB"/>
        </w:rPr>
      </w:pPr>
      <w:bookmarkStart w:id="14" w:name="_Toc360188320"/>
      <w:bookmarkStart w:id="15" w:name="_Toc473560868"/>
      <w:bookmarkStart w:id="16" w:name="_Toc57831507"/>
      <w:r w:rsidRPr="00661595">
        <w:rPr>
          <w:rFonts w:ascii="Times New Roman" w:hAnsi="Times New Roman" w:cs="Times New Roman"/>
          <w:sz w:val="24"/>
          <w:u w:val="none"/>
          <w:lang w:val="en-GB"/>
        </w:rPr>
        <w:t>1.2.</w:t>
      </w:r>
      <w:r w:rsidRPr="00661595">
        <w:rPr>
          <w:rFonts w:ascii="Times New Roman" w:hAnsi="Times New Roman" w:cs="Times New Roman"/>
          <w:sz w:val="24"/>
          <w:u w:val="none"/>
          <w:lang w:val="en-GB"/>
        </w:rPr>
        <w:tab/>
      </w:r>
      <w:r w:rsidR="002648B0" w:rsidRPr="00661595">
        <w:rPr>
          <w:rFonts w:ascii="Times New Roman" w:hAnsi="Times New Roman" w:cs="Times New Roman"/>
          <w:sz w:val="24"/>
          <w:u w:val="none"/>
          <w:lang w:val="en-GB"/>
        </w:rPr>
        <w:t>Numbering convention</w:t>
      </w:r>
      <w:bookmarkEnd w:id="14"/>
      <w:bookmarkEnd w:id="15"/>
      <w:bookmarkEnd w:id="16"/>
    </w:p>
    <w:p w:rsidR="002648B0" w:rsidRPr="00661595" w:rsidRDefault="00D11E4C" w:rsidP="00487A02">
      <w:pPr>
        <w:pStyle w:val="InstructionsText2"/>
        <w:numPr>
          <w:ilvl w:val="0"/>
          <w:numId w:val="0"/>
        </w:numPr>
        <w:ind w:left="1353" w:hanging="360"/>
      </w:pPr>
      <w:fldSimple w:instr=" seq paragraphs ">
        <w:r w:rsidR="00771068">
          <w:rPr>
            <w:noProof/>
          </w:rPr>
          <w:t>4</w:t>
        </w:r>
      </w:fldSimple>
      <w:r w:rsidR="00125707" w:rsidRPr="00661595">
        <w:t>.</w:t>
      </w:r>
      <w:r w:rsidR="00125707" w:rsidRPr="00661595">
        <w:tab/>
      </w:r>
      <w:r w:rsidR="002648B0" w:rsidRPr="00661595">
        <w:t>The document follow</w:t>
      </w:r>
      <w:r w:rsidR="00C93697" w:rsidRPr="00661595">
        <w:t>s</w:t>
      </w:r>
      <w:r w:rsidR="002648B0" w:rsidRPr="00661595">
        <w:t xml:space="preserve"> the labelling convention set in </w:t>
      </w:r>
      <w:r w:rsidR="00C7103D" w:rsidRPr="00661595">
        <w:t>points 5 to 8</w:t>
      </w:r>
      <w:r w:rsidR="002648B0" w:rsidRPr="00661595">
        <w:t>, when referring to the columns, rows and cells of the templates. Th</w:t>
      </w:r>
      <w:r w:rsidR="00C7103D" w:rsidRPr="00661595">
        <w:t>o</w:t>
      </w:r>
      <w:r w:rsidR="002648B0" w:rsidRPr="00661595">
        <w:t>se numerical codes are extensively used in the validation rules.</w:t>
      </w:r>
    </w:p>
    <w:p w:rsidR="005643EA" w:rsidRPr="00661595" w:rsidRDefault="00D11E4C" w:rsidP="00487A02">
      <w:pPr>
        <w:pStyle w:val="InstructionsText2"/>
        <w:numPr>
          <w:ilvl w:val="0"/>
          <w:numId w:val="0"/>
        </w:numPr>
        <w:ind w:left="1353" w:hanging="360"/>
      </w:pPr>
      <w:fldSimple w:instr=" seq paragraphs ">
        <w:r w:rsidR="00771068">
          <w:rPr>
            <w:noProof/>
          </w:rPr>
          <w:t>5</w:t>
        </w:r>
      </w:fldSimple>
      <w:r w:rsidR="00125707" w:rsidRPr="00661595">
        <w:t>.</w:t>
      </w:r>
      <w:r w:rsidR="00125707" w:rsidRPr="00661595">
        <w:tab/>
      </w:r>
      <w:r w:rsidR="002648B0" w:rsidRPr="00661595">
        <w:t>The following general notation is followed in the instructions: {Template;</w:t>
      </w:r>
      <w:r w:rsidR="00133396" w:rsidRPr="00661595">
        <w:t xml:space="preserve"> </w:t>
      </w:r>
      <w:r w:rsidR="002648B0" w:rsidRPr="00661595">
        <w:t>Row;</w:t>
      </w:r>
      <w:r w:rsidR="00133396" w:rsidRPr="00661595">
        <w:t xml:space="preserve"> </w:t>
      </w:r>
      <w:r w:rsidR="002648B0" w:rsidRPr="00661595">
        <w:t>Column}.</w:t>
      </w:r>
    </w:p>
    <w:p w:rsidR="002648B0" w:rsidRPr="00661595" w:rsidRDefault="00D11E4C" w:rsidP="00487A02">
      <w:pPr>
        <w:pStyle w:val="InstructionsText2"/>
        <w:numPr>
          <w:ilvl w:val="0"/>
          <w:numId w:val="0"/>
        </w:numPr>
        <w:ind w:left="1353" w:hanging="360"/>
      </w:pPr>
      <w:fldSimple w:instr=" seq paragraphs ">
        <w:r w:rsidR="00771068">
          <w:rPr>
            <w:noProof/>
          </w:rPr>
          <w:t>6</w:t>
        </w:r>
      </w:fldSimple>
      <w:r w:rsidR="00125707" w:rsidRPr="00661595">
        <w:t>.</w:t>
      </w:r>
      <w:r w:rsidR="00125707" w:rsidRPr="00661595">
        <w:tab/>
      </w:r>
      <w:r w:rsidR="002648B0" w:rsidRPr="00661595">
        <w:t xml:space="preserve">In the case of validations inside a template, in which only data points of that template </w:t>
      </w:r>
      <w:r w:rsidR="00C7103D" w:rsidRPr="00661595">
        <w:t xml:space="preserve">are </w:t>
      </w:r>
      <w:r w:rsidR="002648B0" w:rsidRPr="00661595">
        <w:t xml:space="preserve">used, notations </w:t>
      </w:r>
      <w:r w:rsidR="00C93697" w:rsidRPr="00661595">
        <w:t>do</w:t>
      </w:r>
      <w:r w:rsidR="002648B0" w:rsidRPr="00661595">
        <w:t xml:space="preserve"> not refer to a template: {Row;</w:t>
      </w:r>
      <w:r w:rsidR="002C66A4" w:rsidRPr="00661595">
        <w:t xml:space="preserve"> </w:t>
      </w:r>
      <w:r w:rsidR="002648B0" w:rsidRPr="00661595">
        <w:t>Column}.</w:t>
      </w:r>
    </w:p>
    <w:p w:rsidR="005643EA" w:rsidRPr="00661595" w:rsidRDefault="00D11E4C" w:rsidP="00487A02">
      <w:pPr>
        <w:pStyle w:val="InstructionsText2"/>
        <w:numPr>
          <w:ilvl w:val="0"/>
          <w:numId w:val="0"/>
        </w:numPr>
        <w:ind w:left="1353" w:hanging="360"/>
      </w:pPr>
      <w:fldSimple w:instr=" seq paragraphs ">
        <w:r w:rsidR="00771068">
          <w:rPr>
            <w:noProof/>
          </w:rPr>
          <w:t>7</w:t>
        </w:r>
      </w:fldSimple>
      <w:r w:rsidR="00125707" w:rsidRPr="00661595">
        <w:t>.</w:t>
      </w:r>
      <w:r w:rsidR="00125707" w:rsidRPr="00661595">
        <w:tab/>
      </w:r>
      <w:r w:rsidR="002648B0" w:rsidRPr="00661595">
        <w:t xml:space="preserve">In the case of templates with only one column, only rows </w:t>
      </w:r>
      <w:r w:rsidR="00C93697" w:rsidRPr="00661595">
        <w:t>are</w:t>
      </w:r>
      <w:r w:rsidR="002648B0" w:rsidRPr="00661595">
        <w:t xml:space="preserve"> referred to. {Template;</w:t>
      </w:r>
      <w:r w:rsidR="002C66A4" w:rsidRPr="00661595">
        <w:t xml:space="preserve"> </w:t>
      </w:r>
      <w:r w:rsidR="002648B0" w:rsidRPr="00661595">
        <w:t>Row}</w:t>
      </w:r>
    </w:p>
    <w:p w:rsidR="002648B0" w:rsidRPr="00661595" w:rsidRDefault="00D11E4C" w:rsidP="00487A02">
      <w:pPr>
        <w:pStyle w:val="InstructionsText2"/>
        <w:numPr>
          <w:ilvl w:val="0"/>
          <w:numId w:val="0"/>
        </w:numPr>
        <w:ind w:left="1353" w:hanging="360"/>
      </w:pPr>
      <w:fldSimple w:instr=" seq paragraphs ">
        <w:r w:rsidR="00771068">
          <w:rPr>
            <w:noProof/>
          </w:rPr>
          <w:t>8</w:t>
        </w:r>
      </w:fldSimple>
      <w:r w:rsidR="00125707" w:rsidRPr="00661595">
        <w:t>.</w:t>
      </w:r>
      <w:r w:rsidR="00125707" w:rsidRPr="00661595">
        <w:tab/>
      </w:r>
      <w:r w:rsidR="002648B0" w:rsidRPr="00661595">
        <w:t xml:space="preserve">An asterisk sign </w:t>
      </w:r>
      <w:r w:rsidR="00C93697" w:rsidRPr="00661595">
        <w:t>is</w:t>
      </w:r>
      <w:r w:rsidR="002648B0" w:rsidRPr="00661595">
        <w:t xml:space="preserve"> used to express that the validation is done for the rows or columns specified before.</w:t>
      </w:r>
    </w:p>
    <w:p w:rsidR="002648B0" w:rsidRPr="00661595" w:rsidRDefault="00125707" w:rsidP="0023700C">
      <w:pPr>
        <w:pStyle w:val="Instructionsberschrift2"/>
        <w:numPr>
          <w:ilvl w:val="0"/>
          <w:numId w:val="0"/>
        </w:numPr>
        <w:ind w:left="357" w:hanging="357"/>
        <w:rPr>
          <w:rFonts w:ascii="Times New Roman" w:hAnsi="Times New Roman" w:cs="Times New Roman"/>
          <w:sz w:val="24"/>
          <w:u w:val="none"/>
          <w:lang w:val="en-GB"/>
        </w:rPr>
      </w:pPr>
      <w:bookmarkStart w:id="17" w:name="_Toc360188321"/>
      <w:bookmarkStart w:id="18" w:name="_Toc473560869"/>
      <w:bookmarkStart w:id="19" w:name="_Toc57831508"/>
      <w:r w:rsidRPr="00661595">
        <w:rPr>
          <w:rFonts w:ascii="Times New Roman" w:hAnsi="Times New Roman" w:cs="Times New Roman"/>
          <w:sz w:val="24"/>
          <w:u w:val="none"/>
          <w:lang w:val="en-GB"/>
        </w:rPr>
        <w:t>1.3.</w:t>
      </w:r>
      <w:r w:rsidRPr="00661595">
        <w:rPr>
          <w:rFonts w:ascii="Times New Roman" w:hAnsi="Times New Roman" w:cs="Times New Roman"/>
          <w:sz w:val="24"/>
          <w:u w:val="none"/>
          <w:lang w:val="en-GB"/>
        </w:rPr>
        <w:tab/>
      </w:r>
      <w:r w:rsidR="002648B0" w:rsidRPr="00661595">
        <w:rPr>
          <w:rFonts w:ascii="Times New Roman" w:hAnsi="Times New Roman" w:cs="Times New Roman"/>
          <w:sz w:val="24"/>
          <w:u w:val="none"/>
          <w:lang w:val="en-GB"/>
        </w:rPr>
        <w:t>Sign convention</w:t>
      </w:r>
      <w:bookmarkEnd w:id="12"/>
      <w:bookmarkEnd w:id="13"/>
      <w:bookmarkEnd w:id="17"/>
      <w:bookmarkEnd w:id="18"/>
      <w:bookmarkEnd w:id="19"/>
    </w:p>
    <w:p w:rsidR="002648B0" w:rsidRPr="00661595" w:rsidRDefault="00D11E4C" w:rsidP="00487A02">
      <w:pPr>
        <w:pStyle w:val="InstructionsText2"/>
        <w:numPr>
          <w:ilvl w:val="0"/>
          <w:numId w:val="0"/>
        </w:numPr>
        <w:ind w:left="1353" w:hanging="360"/>
      </w:pPr>
      <w:fldSimple w:instr=" seq paragraphs ">
        <w:r w:rsidR="00771068">
          <w:rPr>
            <w:noProof/>
          </w:rPr>
          <w:t>9</w:t>
        </w:r>
      </w:fldSimple>
      <w:r w:rsidR="00125707" w:rsidRPr="00661595">
        <w:t>.</w:t>
      </w:r>
      <w:r w:rsidR="00125707" w:rsidRPr="00661595">
        <w:tab/>
      </w:r>
      <w:r w:rsidR="002648B0" w:rsidRPr="00661595">
        <w:t xml:space="preserve">Any amount that increases the own funds or the capital requirements </w:t>
      </w:r>
      <w:r w:rsidR="00C93697" w:rsidRPr="00661595">
        <w:t>shall</w:t>
      </w:r>
      <w:r w:rsidR="002648B0" w:rsidRPr="00661595">
        <w:t xml:space="preserve"> be reported as a positive figure. On the contrary, any amount that reduces the total own funds or the capital requirements </w:t>
      </w:r>
      <w:r w:rsidR="00C93697" w:rsidRPr="00661595">
        <w:t>shall</w:t>
      </w:r>
      <w:r w:rsidR="002648B0" w:rsidRPr="00661595">
        <w:t xml:space="preserve"> be reported as a negative figure. Where there is a negative sign (-) preceding the label of an </w:t>
      </w:r>
      <w:r w:rsidR="0002267E" w:rsidRPr="00661595">
        <w:t>item,</w:t>
      </w:r>
      <w:r w:rsidR="002648B0" w:rsidRPr="00661595">
        <w:t xml:space="preserve"> no positive figure is expected to be reported for that item.</w:t>
      </w:r>
    </w:p>
    <w:p w:rsidR="00304CA5" w:rsidRPr="00661595" w:rsidRDefault="00304CA5" w:rsidP="00304CA5">
      <w:pPr>
        <w:pStyle w:val="Instructionsberschrift2"/>
        <w:numPr>
          <w:ilvl w:val="0"/>
          <w:numId w:val="0"/>
        </w:numPr>
        <w:ind w:left="357" w:hanging="357"/>
        <w:rPr>
          <w:rFonts w:ascii="Times New Roman" w:hAnsi="Times New Roman" w:cs="Times New Roman"/>
          <w:sz w:val="24"/>
          <w:u w:val="none"/>
          <w:lang w:val="en-GB"/>
        </w:rPr>
      </w:pPr>
      <w:bookmarkStart w:id="20" w:name="_Toc57831509"/>
      <w:r w:rsidRPr="00661595">
        <w:rPr>
          <w:rFonts w:ascii="Times New Roman" w:hAnsi="Times New Roman" w:cs="Times New Roman"/>
          <w:sz w:val="24"/>
          <w:u w:val="none"/>
          <w:lang w:val="en-GB"/>
        </w:rPr>
        <w:t>1.4.</w:t>
      </w:r>
      <w:r w:rsidRPr="00661595">
        <w:rPr>
          <w:rFonts w:ascii="Times New Roman" w:hAnsi="Times New Roman" w:cs="Times New Roman"/>
          <w:sz w:val="24"/>
          <w:u w:val="none"/>
          <w:lang w:val="en-GB"/>
        </w:rPr>
        <w:tab/>
      </w:r>
      <w:r w:rsidR="001F2830" w:rsidRPr="00661595">
        <w:rPr>
          <w:rFonts w:ascii="Times New Roman" w:hAnsi="Times New Roman" w:cs="Times New Roman"/>
          <w:sz w:val="24"/>
          <w:u w:val="none"/>
          <w:lang w:val="en-GB"/>
        </w:rPr>
        <w:t>Abbreviations</w:t>
      </w:r>
      <w:bookmarkEnd w:id="20"/>
    </w:p>
    <w:p w:rsidR="00304CA5" w:rsidRPr="00661595" w:rsidRDefault="00D11E4C" w:rsidP="00487A02">
      <w:pPr>
        <w:pStyle w:val="InstructionsText2"/>
        <w:numPr>
          <w:ilvl w:val="0"/>
          <w:numId w:val="0"/>
        </w:numPr>
        <w:ind w:left="1353" w:hanging="360"/>
      </w:pPr>
      <w:fldSimple w:instr=" seq paragraphs ">
        <w:r w:rsidR="00771068">
          <w:rPr>
            <w:noProof/>
          </w:rPr>
          <w:t>10</w:t>
        </w:r>
      </w:fldSimple>
      <w:r w:rsidR="00304CA5" w:rsidRPr="00661595">
        <w:t xml:space="preserve">. For the purposes of this Annex, Regulation (EU) No 575/2013 </w:t>
      </w:r>
      <w:r w:rsidR="00C7103D" w:rsidRPr="00661595">
        <w:t>of the European Parliament and of the Council</w:t>
      </w:r>
      <w:r w:rsidR="00C7103D" w:rsidRPr="00661595">
        <w:rPr>
          <w:vertAlign w:val="superscript"/>
        </w:rPr>
        <w:footnoteReference w:id="2"/>
      </w:r>
      <w:r w:rsidR="00C7103D" w:rsidRPr="00661595">
        <w:t xml:space="preserve"> </w:t>
      </w:r>
      <w:r w:rsidR="00304CA5" w:rsidRPr="00661595">
        <w:t xml:space="preserve">is referred to as ‘CRR’, Directive 2013/36/EU of the European Parliament and </w:t>
      </w:r>
      <w:r w:rsidR="00672D2A" w:rsidRPr="00661595">
        <w:t xml:space="preserve">of </w:t>
      </w:r>
      <w:r w:rsidR="00304CA5" w:rsidRPr="00661595">
        <w:t>the Council</w:t>
      </w:r>
      <w:r w:rsidR="00C7103D" w:rsidRPr="00661595">
        <w:rPr>
          <w:vertAlign w:val="superscript"/>
        </w:rPr>
        <w:footnoteReference w:id="3"/>
      </w:r>
      <w:r w:rsidR="00304CA5" w:rsidRPr="00661595">
        <w:t xml:space="preserve"> is referred to as ‘CRD’</w:t>
      </w:r>
      <w:r w:rsidR="002F78EA" w:rsidRPr="00661595">
        <w:t>, Directive 2013/34/EU of the European Parliament and of the Council</w:t>
      </w:r>
      <w:r w:rsidR="002F78EA" w:rsidRPr="00661595">
        <w:rPr>
          <w:vertAlign w:val="superscript"/>
        </w:rPr>
        <w:footnoteReference w:id="4"/>
      </w:r>
      <w:r w:rsidR="002F78EA" w:rsidRPr="00661595">
        <w:t xml:space="preserve"> is referred to as ‘AD’</w:t>
      </w:r>
      <w:r w:rsidR="00535792" w:rsidRPr="00661595">
        <w:t>,</w:t>
      </w:r>
      <w:r w:rsidR="002F78EA" w:rsidRPr="00661595">
        <w:t xml:space="preserve"> Council Directive 86/635/E</w:t>
      </w:r>
      <w:r w:rsidR="00F811C6" w:rsidRPr="00661595">
        <w:t>E</w:t>
      </w:r>
      <w:r w:rsidR="002F78EA" w:rsidRPr="00661595">
        <w:t>C</w:t>
      </w:r>
      <w:r w:rsidR="002F78EA" w:rsidRPr="00661595">
        <w:rPr>
          <w:vertAlign w:val="superscript"/>
        </w:rPr>
        <w:footnoteReference w:id="5"/>
      </w:r>
      <w:r w:rsidR="002F78EA" w:rsidRPr="00661595">
        <w:t xml:space="preserve"> is referred to as ‘BAD’</w:t>
      </w:r>
      <w:r w:rsidR="00535792" w:rsidRPr="00661595">
        <w:t xml:space="preserve"> and Directive 2014/59/EU of the European Parliament and of the Council</w:t>
      </w:r>
      <w:r w:rsidR="00535792" w:rsidRPr="00661595">
        <w:rPr>
          <w:vertAlign w:val="superscript"/>
        </w:rPr>
        <w:footnoteReference w:id="6"/>
      </w:r>
      <w:r w:rsidR="00535792" w:rsidRPr="00661595">
        <w:t xml:space="preserve"> is reffered to as ‘BRRD’</w:t>
      </w:r>
      <w:r w:rsidR="00304CA5" w:rsidRPr="00661595">
        <w:t>.</w:t>
      </w:r>
    </w:p>
    <w:p w:rsidR="00304CA5" w:rsidRPr="00661595" w:rsidRDefault="00304CA5" w:rsidP="00487A02">
      <w:pPr>
        <w:pStyle w:val="InstructionsText2"/>
        <w:numPr>
          <w:ilvl w:val="0"/>
          <w:numId w:val="0"/>
        </w:numPr>
        <w:ind w:left="1353" w:hanging="360"/>
      </w:pPr>
    </w:p>
    <w:p w:rsidR="002648B0" w:rsidRPr="00661595" w:rsidRDefault="002648B0" w:rsidP="00487A02">
      <w:pPr>
        <w:pStyle w:val="InstructionsText2"/>
        <w:sectPr w:rsidR="002648B0" w:rsidRPr="00661595" w:rsidSect="00A801A9">
          <w:endnotePr>
            <w:numFmt w:val="decimal"/>
          </w:endnotePr>
          <w:pgSz w:w="11906" w:h="16838"/>
          <w:pgMar w:top="1417" w:right="1417" w:bottom="1134" w:left="1417" w:header="708" w:footer="708" w:gutter="0"/>
          <w:cols w:space="708"/>
          <w:rtlGutter/>
          <w:docGrid w:linePitch="360"/>
        </w:sectPr>
      </w:pPr>
      <w:bookmarkStart w:id="21" w:name="_Toc264033192"/>
      <w:bookmarkEnd w:id="21"/>
    </w:p>
    <w:p w:rsidR="002648B0" w:rsidRPr="00661595" w:rsidRDefault="002648B0" w:rsidP="00005FFC">
      <w:pPr>
        <w:rPr>
          <w:rFonts w:ascii="Times New Roman" w:hAnsi="Times New Roman"/>
          <w:sz w:val="24"/>
        </w:rPr>
      </w:pPr>
    </w:p>
    <w:p w:rsidR="002648B0" w:rsidRPr="00661595" w:rsidRDefault="002648B0" w:rsidP="00D64B66">
      <w:pPr>
        <w:pStyle w:val="Heading2"/>
        <w:rPr>
          <w:rFonts w:ascii="Times New Roman" w:hAnsi="Times New Roman"/>
          <w:lang w:val="en-GB"/>
        </w:rPr>
      </w:pPr>
      <w:bookmarkStart w:id="22" w:name="_Toc360188322"/>
      <w:bookmarkStart w:id="23" w:name="_Toc473560870"/>
      <w:bookmarkStart w:id="24" w:name="_Toc57831510"/>
      <w:r w:rsidRPr="00661595">
        <w:rPr>
          <w:rFonts w:ascii="Times New Roman" w:hAnsi="Times New Roman"/>
          <w:lang w:val="en-GB"/>
        </w:rPr>
        <w:t>PART II: TEMPLATE RELATED INSTRUCTIONS</w:t>
      </w:r>
      <w:bookmarkEnd w:id="22"/>
      <w:bookmarkEnd w:id="23"/>
      <w:bookmarkEnd w:id="24"/>
    </w:p>
    <w:p w:rsidR="002648B0" w:rsidRPr="00661595" w:rsidRDefault="00125707" w:rsidP="0023700C">
      <w:pPr>
        <w:pStyle w:val="Instructionsberschrift2"/>
        <w:numPr>
          <w:ilvl w:val="0"/>
          <w:numId w:val="0"/>
        </w:numPr>
        <w:ind w:left="357" w:hanging="357"/>
        <w:rPr>
          <w:rFonts w:ascii="Times New Roman" w:hAnsi="Times New Roman" w:cs="Times New Roman"/>
          <w:sz w:val="24"/>
          <w:u w:val="none"/>
          <w:lang w:val="en-GB"/>
        </w:rPr>
      </w:pPr>
      <w:bookmarkStart w:id="25" w:name="_Toc360188323"/>
      <w:bookmarkStart w:id="26" w:name="_Toc473560871"/>
      <w:bookmarkStart w:id="27" w:name="_Toc57831511"/>
      <w:r w:rsidRPr="00661595">
        <w:rPr>
          <w:rFonts w:ascii="Times New Roman" w:hAnsi="Times New Roman" w:cs="Times New Roman"/>
          <w:sz w:val="24"/>
          <w:u w:val="none"/>
          <w:lang w:val="en-GB"/>
        </w:rPr>
        <w:t>1.</w:t>
      </w:r>
      <w:r w:rsidRPr="00661595">
        <w:rPr>
          <w:rFonts w:ascii="Times New Roman" w:hAnsi="Times New Roman" w:cs="Times New Roman"/>
          <w:sz w:val="24"/>
          <w:u w:val="none"/>
          <w:lang w:val="en-GB"/>
        </w:rPr>
        <w:tab/>
      </w:r>
      <w:r w:rsidR="000433C4" w:rsidRPr="00661595">
        <w:rPr>
          <w:rFonts w:ascii="Times New Roman" w:hAnsi="Times New Roman" w:cs="Times New Roman"/>
          <w:sz w:val="24"/>
          <w:u w:val="none"/>
          <w:lang w:val="en-GB"/>
        </w:rPr>
        <w:t xml:space="preserve">Capital Adequacy </w:t>
      </w:r>
      <w:r w:rsidR="002648B0" w:rsidRPr="00661595">
        <w:rPr>
          <w:rFonts w:ascii="Times New Roman" w:hAnsi="Times New Roman" w:cs="Times New Roman"/>
          <w:sz w:val="24"/>
          <w:u w:val="none"/>
          <w:lang w:val="en-GB"/>
        </w:rPr>
        <w:t>Overview</w:t>
      </w:r>
      <w:bookmarkEnd w:id="25"/>
      <w:r w:rsidR="007711E7" w:rsidRPr="00661595">
        <w:rPr>
          <w:rFonts w:ascii="Times New Roman" w:hAnsi="Times New Roman" w:cs="Times New Roman"/>
          <w:sz w:val="24"/>
          <w:u w:val="none"/>
          <w:lang w:val="en-GB"/>
        </w:rPr>
        <w:t xml:space="preserve"> (</w:t>
      </w:r>
      <w:r w:rsidR="00C7103D" w:rsidRPr="00661595">
        <w:rPr>
          <w:rFonts w:ascii="Times New Roman" w:hAnsi="Times New Roman" w:cs="Times New Roman"/>
          <w:sz w:val="24"/>
          <w:u w:val="none"/>
          <w:lang w:val="en-GB"/>
        </w:rPr>
        <w:t>‘</w:t>
      </w:r>
      <w:r w:rsidR="007711E7" w:rsidRPr="00661595">
        <w:rPr>
          <w:rFonts w:ascii="Times New Roman" w:hAnsi="Times New Roman" w:cs="Times New Roman"/>
          <w:sz w:val="24"/>
          <w:u w:val="none"/>
          <w:lang w:val="en-GB"/>
        </w:rPr>
        <w:t>CA</w:t>
      </w:r>
      <w:r w:rsidR="00C7103D" w:rsidRPr="00661595">
        <w:rPr>
          <w:rFonts w:ascii="Times New Roman" w:hAnsi="Times New Roman" w:cs="Times New Roman"/>
          <w:sz w:val="24"/>
          <w:u w:val="none"/>
          <w:lang w:val="en-GB"/>
        </w:rPr>
        <w:t>’</w:t>
      </w:r>
      <w:r w:rsidR="007711E7" w:rsidRPr="00661595">
        <w:rPr>
          <w:rFonts w:ascii="Times New Roman" w:hAnsi="Times New Roman" w:cs="Times New Roman"/>
          <w:sz w:val="24"/>
          <w:u w:val="none"/>
          <w:lang w:val="en-GB"/>
        </w:rPr>
        <w:t>)</w:t>
      </w:r>
      <w:bookmarkEnd w:id="26"/>
      <w:bookmarkEnd w:id="27"/>
    </w:p>
    <w:p w:rsidR="002648B0" w:rsidRPr="00661595" w:rsidRDefault="00125707" w:rsidP="0023700C">
      <w:pPr>
        <w:pStyle w:val="Instructionsberschrift2"/>
        <w:numPr>
          <w:ilvl w:val="0"/>
          <w:numId w:val="0"/>
        </w:numPr>
        <w:ind w:left="357" w:hanging="357"/>
        <w:rPr>
          <w:rFonts w:ascii="Times New Roman" w:hAnsi="Times New Roman" w:cs="Times New Roman"/>
          <w:sz w:val="24"/>
          <w:u w:val="none"/>
          <w:lang w:val="en-GB"/>
        </w:rPr>
      </w:pPr>
      <w:bookmarkStart w:id="28" w:name="_Toc308175819"/>
      <w:bookmarkStart w:id="29" w:name="_Toc360188324"/>
      <w:bookmarkStart w:id="30" w:name="_Toc473560872"/>
      <w:bookmarkStart w:id="31" w:name="_Toc57831512"/>
      <w:r w:rsidRPr="00661595">
        <w:rPr>
          <w:rFonts w:ascii="Times New Roman" w:hAnsi="Times New Roman" w:cs="Times New Roman"/>
          <w:sz w:val="24"/>
          <w:u w:val="none"/>
          <w:lang w:val="en-GB"/>
        </w:rPr>
        <w:t>1.1.</w:t>
      </w:r>
      <w:r w:rsidRPr="00661595">
        <w:rPr>
          <w:rFonts w:ascii="Times New Roman" w:hAnsi="Times New Roman" w:cs="Times New Roman"/>
          <w:sz w:val="24"/>
          <w:u w:val="none"/>
          <w:lang w:val="en-GB"/>
        </w:rPr>
        <w:tab/>
      </w:r>
      <w:r w:rsidR="002648B0" w:rsidRPr="00661595">
        <w:rPr>
          <w:rFonts w:ascii="Times New Roman" w:hAnsi="Times New Roman" w:cs="Times New Roman"/>
          <w:sz w:val="24"/>
          <w:u w:val="none"/>
          <w:lang w:val="en-GB"/>
        </w:rPr>
        <w:t>General remarks</w:t>
      </w:r>
      <w:bookmarkEnd w:id="28"/>
      <w:bookmarkEnd w:id="29"/>
      <w:bookmarkEnd w:id="30"/>
      <w:bookmarkEnd w:id="31"/>
    </w:p>
    <w:p w:rsidR="002648B0" w:rsidRPr="00661595" w:rsidRDefault="00D11E4C" w:rsidP="00487A02">
      <w:pPr>
        <w:pStyle w:val="InstructionsText2"/>
        <w:numPr>
          <w:ilvl w:val="0"/>
          <w:numId w:val="0"/>
        </w:numPr>
        <w:ind w:left="1353" w:hanging="360"/>
      </w:pPr>
      <w:fldSimple w:instr=" seq paragraphs ">
        <w:r w:rsidR="00771068">
          <w:rPr>
            <w:noProof/>
          </w:rPr>
          <w:t>11</w:t>
        </w:r>
      </w:fldSimple>
      <w:r w:rsidR="00125707" w:rsidRPr="00661595">
        <w:t>.</w:t>
      </w:r>
      <w:r w:rsidR="00125707" w:rsidRPr="00661595">
        <w:tab/>
      </w:r>
      <w:r w:rsidR="001C36B0" w:rsidRPr="00661595">
        <w:t xml:space="preserve">The </w:t>
      </w:r>
      <w:r w:rsidR="00070E18" w:rsidRPr="00661595">
        <w:t>CA templates</w:t>
      </w:r>
      <w:r w:rsidR="002648B0" w:rsidRPr="00661595">
        <w:t xml:space="preserve"> contain information about Pillar 1 numerators (own funds, Tier 1, Common Equity Tier 1), denominator (own funds requirement</w:t>
      </w:r>
      <w:r w:rsidR="00480A69" w:rsidRPr="00661595">
        <w:t xml:space="preserve">s), and </w:t>
      </w:r>
      <w:r w:rsidR="002C66A4" w:rsidRPr="00661595">
        <w:t xml:space="preserve">the application of CRR and CRD </w:t>
      </w:r>
      <w:r w:rsidR="00480A69" w:rsidRPr="00661595">
        <w:t>transitional provisions and is structure</w:t>
      </w:r>
      <w:r w:rsidR="00C7103D" w:rsidRPr="00661595">
        <w:t>d</w:t>
      </w:r>
      <w:r w:rsidR="00480A69" w:rsidRPr="00661595">
        <w:t xml:space="preserve"> in five</w:t>
      </w:r>
      <w:r w:rsidR="002648B0" w:rsidRPr="00661595">
        <w:t xml:space="preserve"> templates: </w:t>
      </w:r>
    </w:p>
    <w:p w:rsidR="005643EA" w:rsidRPr="00661595" w:rsidRDefault="00125707" w:rsidP="00487A02">
      <w:pPr>
        <w:pStyle w:val="InstructionsText2"/>
        <w:numPr>
          <w:ilvl w:val="0"/>
          <w:numId w:val="0"/>
        </w:numPr>
        <w:ind w:left="1353" w:hanging="360"/>
      </w:pPr>
      <w:r w:rsidRPr="00661595">
        <w:t>(a)</w:t>
      </w:r>
      <w:r w:rsidRPr="00661595">
        <w:tab/>
      </w:r>
      <w:r w:rsidR="001C36B0" w:rsidRPr="00661595">
        <w:t xml:space="preserve">Template </w:t>
      </w:r>
      <w:r w:rsidR="002648B0" w:rsidRPr="00661595">
        <w:t xml:space="preserve">CA1 contains the amount of own funds of the institutions, disaggregated in the items needed to get to that amount. The amount of own funds obtained includes the aggregate effect of </w:t>
      </w:r>
      <w:r w:rsidR="002C66A4" w:rsidRPr="00661595">
        <w:t xml:space="preserve">the application of CRR and CRD </w:t>
      </w:r>
      <w:r w:rsidR="002648B0" w:rsidRPr="00661595">
        <w:t>transitional provisions per type of capital</w:t>
      </w:r>
      <w:r w:rsidR="00C7103D" w:rsidRPr="00661595">
        <w:t>;</w:t>
      </w:r>
    </w:p>
    <w:p w:rsidR="005643EA" w:rsidRPr="00661595" w:rsidRDefault="00125707" w:rsidP="00487A02">
      <w:pPr>
        <w:pStyle w:val="InstructionsText2"/>
        <w:numPr>
          <w:ilvl w:val="0"/>
          <w:numId w:val="0"/>
        </w:numPr>
        <w:ind w:left="1353" w:hanging="360"/>
      </w:pPr>
      <w:r w:rsidRPr="00661595">
        <w:t>(b)</w:t>
      </w:r>
      <w:r w:rsidRPr="00661595">
        <w:tab/>
      </w:r>
      <w:r w:rsidR="001C36B0" w:rsidRPr="00661595">
        <w:t xml:space="preserve">Template </w:t>
      </w:r>
      <w:r w:rsidR="002648B0" w:rsidRPr="00661595">
        <w:t>CA2</w:t>
      </w:r>
      <w:r w:rsidR="00480A69" w:rsidRPr="00661595">
        <w:t xml:space="preserve"> </w:t>
      </w:r>
      <w:r w:rsidR="002648B0" w:rsidRPr="00661595">
        <w:t>summari</w:t>
      </w:r>
      <w:r w:rsidR="00C7103D" w:rsidRPr="00661595">
        <w:t>s</w:t>
      </w:r>
      <w:r w:rsidR="002648B0" w:rsidRPr="00661595">
        <w:t>es the total risk exposures amounts as defined in Article</w:t>
      </w:r>
      <w:r w:rsidR="002C66A4" w:rsidRPr="00661595">
        <w:t> </w:t>
      </w:r>
      <w:r w:rsidR="003A497B" w:rsidRPr="00661595">
        <w:t>92</w:t>
      </w:r>
      <w:r w:rsidR="002648B0" w:rsidRPr="00661595">
        <w:t xml:space="preserve">(3) </w:t>
      </w:r>
      <w:r w:rsidR="00C7103D" w:rsidRPr="00661595">
        <w:t>CRR;</w:t>
      </w:r>
    </w:p>
    <w:p w:rsidR="005643EA" w:rsidRPr="00661595" w:rsidRDefault="00125707" w:rsidP="00487A02">
      <w:pPr>
        <w:pStyle w:val="InstructionsText2"/>
        <w:numPr>
          <w:ilvl w:val="0"/>
          <w:numId w:val="0"/>
        </w:numPr>
        <w:ind w:left="1353" w:hanging="360"/>
      </w:pPr>
      <w:r w:rsidRPr="00661595">
        <w:t>(c)</w:t>
      </w:r>
      <w:r w:rsidRPr="00661595">
        <w:tab/>
      </w:r>
      <w:r w:rsidR="001C36B0" w:rsidRPr="00661595">
        <w:t xml:space="preserve">Template </w:t>
      </w:r>
      <w:r w:rsidR="002648B0" w:rsidRPr="00661595">
        <w:t>CA3 contains the ratios for which CRR state</w:t>
      </w:r>
      <w:r w:rsidR="00C7103D" w:rsidRPr="00661595">
        <w:t>s</w:t>
      </w:r>
      <w:r w:rsidR="002648B0" w:rsidRPr="00661595">
        <w:t xml:space="preserve"> a minimum level,</w:t>
      </w:r>
      <w:r w:rsidR="001C36B0" w:rsidRPr="00661595">
        <w:t xml:space="preserve"> Pillar 2 ratios</w:t>
      </w:r>
      <w:r w:rsidR="002648B0" w:rsidRPr="00661595">
        <w:t xml:space="preserve"> and some other related data</w:t>
      </w:r>
      <w:r w:rsidR="00C7103D" w:rsidRPr="00661595">
        <w:t>;</w:t>
      </w:r>
    </w:p>
    <w:p w:rsidR="005643EA" w:rsidRPr="00661595" w:rsidRDefault="00125707" w:rsidP="00487A02">
      <w:pPr>
        <w:pStyle w:val="InstructionsText2"/>
        <w:numPr>
          <w:ilvl w:val="0"/>
          <w:numId w:val="0"/>
        </w:numPr>
        <w:ind w:left="1353" w:hanging="360"/>
      </w:pPr>
      <w:r w:rsidRPr="00661595">
        <w:t>(d)</w:t>
      </w:r>
      <w:r w:rsidRPr="00661595">
        <w:tab/>
      </w:r>
      <w:r w:rsidR="001C36B0" w:rsidRPr="00661595">
        <w:t xml:space="preserve">Template </w:t>
      </w:r>
      <w:r w:rsidR="002648B0" w:rsidRPr="00661595">
        <w:t>CA4 contains memorandums items needed</w:t>
      </w:r>
      <w:r w:rsidR="000C6938" w:rsidRPr="00661595">
        <w:t>, among others,</w:t>
      </w:r>
      <w:r w:rsidR="002648B0" w:rsidRPr="00661595">
        <w:t xml:space="preserve"> for calculating items in CA1 as well as information with regard to CRD capital buffers</w:t>
      </w:r>
      <w:r w:rsidR="00C7103D" w:rsidRPr="00661595">
        <w:t>;</w:t>
      </w:r>
      <w:r w:rsidR="002648B0" w:rsidRPr="00661595">
        <w:t xml:space="preserve"> </w:t>
      </w:r>
    </w:p>
    <w:p w:rsidR="005643EA" w:rsidRPr="00661595" w:rsidRDefault="00125707" w:rsidP="00487A02">
      <w:pPr>
        <w:pStyle w:val="InstructionsText2"/>
        <w:numPr>
          <w:ilvl w:val="0"/>
          <w:numId w:val="0"/>
        </w:numPr>
        <w:ind w:left="1353" w:hanging="360"/>
      </w:pPr>
      <w:r w:rsidRPr="00661595">
        <w:t>(e)</w:t>
      </w:r>
      <w:r w:rsidRPr="00661595">
        <w:tab/>
      </w:r>
      <w:r w:rsidR="001C36B0" w:rsidRPr="00661595">
        <w:t xml:space="preserve">Template </w:t>
      </w:r>
      <w:r w:rsidR="002648B0" w:rsidRPr="00661595">
        <w:t xml:space="preserve">CA5 contains the data needed for calculating the effect </w:t>
      </w:r>
      <w:r w:rsidR="002C66A4" w:rsidRPr="00661595">
        <w:t xml:space="preserve">of the application of </w:t>
      </w:r>
      <w:r w:rsidR="00C7103D" w:rsidRPr="00661595">
        <w:t xml:space="preserve">CRR </w:t>
      </w:r>
      <w:r w:rsidR="002648B0" w:rsidRPr="00661595">
        <w:t xml:space="preserve">transitional provisions in own funds. CA5 will </w:t>
      </w:r>
      <w:r w:rsidR="00912DF5" w:rsidRPr="00661595">
        <w:t>cease</w:t>
      </w:r>
      <w:r w:rsidR="002648B0" w:rsidRPr="00661595">
        <w:t xml:space="preserve"> to exist once </w:t>
      </w:r>
      <w:r w:rsidR="00C7103D" w:rsidRPr="00661595">
        <w:t xml:space="preserve">those </w:t>
      </w:r>
      <w:r w:rsidR="002648B0" w:rsidRPr="00661595">
        <w:t>transitional provisions expire.</w:t>
      </w:r>
    </w:p>
    <w:p w:rsidR="00783881" w:rsidRPr="00661595" w:rsidRDefault="00D11E4C" w:rsidP="00487A02">
      <w:pPr>
        <w:pStyle w:val="InstructionsText2"/>
        <w:numPr>
          <w:ilvl w:val="0"/>
          <w:numId w:val="0"/>
        </w:numPr>
        <w:ind w:left="1353" w:hanging="360"/>
      </w:pPr>
      <w:fldSimple w:instr=" seq paragraphs ">
        <w:r w:rsidR="00771068">
          <w:rPr>
            <w:noProof/>
          </w:rPr>
          <w:t>12</w:t>
        </w:r>
      </w:fldSimple>
      <w:r w:rsidR="00125707" w:rsidRPr="00661595">
        <w:t>.</w:t>
      </w:r>
      <w:r w:rsidR="00125707" w:rsidRPr="00661595">
        <w:tab/>
      </w:r>
      <w:r w:rsidR="002648B0" w:rsidRPr="00661595">
        <w:t>The template</w:t>
      </w:r>
      <w:r w:rsidR="00480A69" w:rsidRPr="00661595">
        <w:t>s</w:t>
      </w:r>
      <w:r w:rsidR="002648B0" w:rsidRPr="00661595">
        <w:t xml:space="preserve"> </w:t>
      </w:r>
      <w:r w:rsidR="002A7C84" w:rsidRPr="00661595">
        <w:t>shall</w:t>
      </w:r>
      <w:r w:rsidR="002648B0" w:rsidRPr="00661595">
        <w:t xml:space="preserve"> </w:t>
      </w:r>
      <w:r w:rsidR="00C7103D" w:rsidRPr="00661595">
        <w:t>be used by</w:t>
      </w:r>
      <w:r w:rsidR="002648B0" w:rsidRPr="00661595">
        <w:t xml:space="preserve"> all reporting entities, irrespective of the accounting standards followed, although some items in the numerator are specific for entities applying IAS/IFRS-type valuation rules. Generally, the information in the denominator is linked to the final results reported in the correspondent templates for the calculation of the total risk exposure amount.</w:t>
      </w:r>
    </w:p>
    <w:p w:rsidR="005643EA" w:rsidRPr="00661595" w:rsidRDefault="00D11E4C" w:rsidP="00487A02">
      <w:pPr>
        <w:pStyle w:val="InstructionsText2"/>
        <w:numPr>
          <w:ilvl w:val="0"/>
          <w:numId w:val="0"/>
        </w:numPr>
        <w:ind w:left="1353" w:hanging="360"/>
      </w:pPr>
      <w:fldSimple w:instr=" seq paragraphs ">
        <w:r w:rsidR="00771068">
          <w:rPr>
            <w:noProof/>
          </w:rPr>
          <w:t>13</w:t>
        </w:r>
      </w:fldSimple>
      <w:r w:rsidR="00125707" w:rsidRPr="00661595">
        <w:t>.</w:t>
      </w:r>
      <w:r w:rsidR="00125707" w:rsidRPr="00661595">
        <w:tab/>
      </w:r>
      <w:r w:rsidR="002648B0" w:rsidRPr="00661595">
        <w:t xml:space="preserve">The total own funds </w:t>
      </w:r>
      <w:r w:rsidR="00480A69" w:rsidRPr="00661595">
        <w:t>consist of</w:t>
      </w:r>
      <w:r w:rsidR="002648B0" w:rsidRPr="00661595">
        <w:t xml:space="preserve"> different types of capital:</w:t>
      </w:r>
      <w:r w:rsidR="002A7C84" w:rsidRPr="00661595">
        <w:t xml:space="preserve"> </w:t>
      </w:r>
      <w:r w:rsidR="002648B0" w:rsidRPr="00661595">
        <w:t>Tier 1 capital (T1), which is the sum of</w:t>
      </w:r>
      <w:r w:rsidR="00552A83" w:rsidRPr="00661595">
        <w:t xml:space="preserve"> </w:t>
      </w:r>
      <w:r w:rsidR="002648B0" w:rsidRPr="00661595">
        <w:t>Common Equity Tier 1 capital (CET1)</w:t>
      </w:r>
      <w:r w:rsidR="000C6938" w:rsidRPr="00661595">
        <w:t xml:space="preserve"> and </w:t>
      </w:r>
      <w:r w:rsidR="002648B0" w:rsidRPr="00661595">
        <w:t>Additional Tier 1 capital (AT1) as well as</w:t>
      </w:r>
      <w:r w:rsidR="00552A83" w:rsidRPr="00661595">
        <w:t xml:space="preserve"> </w:t>
      </w:r>
      <w:r w:rsidR="002648B0" w:rsidRPr="00661595">
        <w:t>Tier 2 capital (T2)</w:t>
      </w:r>
      <w:r w:rsidR="00552A83" w:rsidRPr="00661595">
        <w:t>.</w:t>
      </w:r>
      <w:r w:rsidR="002648B0" w:rsidRPr="00661595">
        <w:t xml:space="preserve"> </w:t>
      </w:r>
    </w:p>
    <w:p w:rsidR="00783881" w:rsidRPr="00661595" w:rsidRDefault="00D11E4C" w:rsidP="00487A02">
      <w:pPr>
        <w:pStyle w:val="InstructionsText2"/>
        <w:numPr>
          <w:ilvl w:val="0"/>
          <w:numId w:val="0"/>
        </w:numPr>
        <w:ind w:left="1353" w:hanging="360"/>
      </w:pPr>
      <w:fldSimple w:instr=" seq paragraphs ">
        <w:r w:rsidR="00771068">
          <w:rPr>
            <w:noProof/>
          </w:rPr>
          <w:t>14</w:t>
        </w:r>
      </w:fldSimple>
      <w:r w:rsidR="00125707" w:rsidRPr="00661595">
        <w:t>.</w:t>
      </w:r>
      <w:r w:rsidR="00125707" w:rsidRPr="00661595">
        <w:tab/>
      </w:r>
      <w:r w:rsidR="00C7103D" w:rsidRPr="00661595">
        <w:t xml:space="preserve">The </w:t>
      </w:r>
      <w:r w:rsidR="002C66A4" w:rsidRPr="00661595">
        <w:t xml:space="preserve">application of CRR and CRD </w:t>
      </w:r>
      <w:r w:rsidR="00C7103D" w:rsidRPr="00661595">
        <w:t>t</w:t>
      </w:r>
      <w:r w:rsidR="002648B0" w:rsidRPr="00661595">
        <w:t xml:space="preserve">ransitional provisions </w:t>
      </w:r>
      <w:r w:rsidR="000C6938" w:rsidRPr="00661595">
        <w:t xml:space="preserve">is </w:t>
      </w:r>
      <w:r w:rsidR="00DE4001" w:rsidRPr="00661595">
        <w:t xml:space="preserve">treated as follows </w:t>
      </w:r>
      <w:r w:rsidR="002648B0" w:rsidRPr="00661595">
        <w:t>in CA template</w:t>
      </w:r>
      <w:r w:rsidR="00DE4001" w:rsidRPr="00661595">
        <w:t>s</w:t>
      </w:r>
      <w:r w:rsidR="002648B0" w:rsidRPr="00661595">
        <w:t>:</w:t>
      </w:r>
    </w:p>
    <w:p w:rsidR="00783881" w:rsidRPr="00661595" w:rsidRDefault="00125707" w:rsidP="00487A02">
      <w:pPr>
        <w:pStyle w:val="InstructionsText2"/>
        <w:numPr>
          <w:ilvl w:val="0"/>
          <w:numId w:val="0"/>
        </w:numPr>
        <w:ind w:left="1353" w:hanging="360"/>
      </w:pPr>
      <w:r w:rsidRPr="00661595">
        <w:t>(a)</w:t>
      </w:r>
      <w:r w:rsidRPr="00661595">
        <w:tab/>
      </w:r>
      <w:r w:rsidR="002648B0" w:rsidRPr="00661595">
        <w:t>The items in CA1 are generally gross of transitional adjustments. Th</w:t>
      </w:r>
      <w:r w:rsidR="00C7103D" w:rsidRPr="00661595">
        <w:t>at</w:t>
      </w:r>
      <w:r w:rsidR="002648B0" w:rsidRPr="00661595">
        <w:t xml:space="preserve"> means that figures in CA1 items are calculated </w:t>
      </w:r>
      <w:r w:rsidR="00C7103D" w:rsidRPr="00661595">
        <w:t>in accordance with</w:t>
      </w:r>
      <w:r w:rsidR="002648B0" w:rsidRPr="00661595">
        <w:t xml:space="preserve"> the final provisions (i.e. as if there were no transitional provisions), with the exception of items summarizing the effect of th</w:t>
      </w:r>
      <w:r w:rsidR="002C66A4" w:rsidRPr="00661595">
        <w:t xml:space="preserve">ose </w:t>
      </w:r>
      <w:r w:rsidR="002648B0" w:rsidRPr="00661595">
        <w:t>transitional provisions. For each type of capital (i.e. CET1; AT1 and T2)</w:t>
      </w:r>
      <w:r w:rsidR="002C66A4" w:rsidRPr="00661595">
        <w:t>,</w:t>
      </w:r>
      <w:r w:rsidR="002648B0" w:rsidRPr="00661595">
        <w:t xml:space="preserve"> there are three different items in which all the adjustments due to </w:t>
      </w:r>
      <w:r w:rsidR="002C66A4" w:rsidRPr="00661595">
        <w:t xml:space="preserve">those </w:t>
      </w:r>
      <w:r w:rsidR="002648B0" w:rsidRPr="00661595">
        <w:t>transitional provisions are included</w:t>
      </w:r>
      <w:r w:rsidR="000433C4" w:rsidRPr="00661595">
        <w:t>.</w:t>
      </w:r>
    </w:p>
    <w:p w:rsidR="00113EA5" w:rsidRPr="00661595" w:rsidRDefault="00125707" w:rsidP="00487A02">
      <w:pPr>
        <w:pStyle w:val="InstructionsText2"/>
        <w:numPr>
          <w:ilvl w:val="0"/>
          <w:numId w:val="0"/>
        </w:numPr>
        <w:ind w:left="1353" w:hanging="360"/>
      </w:pPr>
      <w:r w:rsidRPr="00661595">
        <w:t>(b)</w:t>
      </w:r>
      <w:r w:rsidRPr="00661595">
        <w:tab/>
      </w:r>
      <w:r w:rsidR="00113EA5" w:rsidRPr="00661595">
        <w:t xml:space="preserve">Transitional provisions may also affect the AT1 and the T2 shortfall (i.e. AT1 or T2 the excess of deduction, regulated in </w:t>
      </w:r>
      <w:r w:rsidR="00C7103D" w:rsidRPr="00661595">
        <w:t xml:space="preserve">point (j) of </w:t>
      </w:r>
      <w:r w:rsidR="00EB1DBE" w:rsidRPr="00661595">
        <w:t>A</w:t>
      </w:r>
      <w:r w:rsidR="00113EA5" w:rsidRPr="00661595">
        <w:t xml:space="preserve">rticle 36(1) and </w:t>
      </w:r>
      <w:r w:rsidR="00C7103D" w:rsidRPr="00661595">
        <w:t xml:space="preserve">point (e) of Article </w:t>
      </w:r>
      <w:r w:rsidR="00113EA5" w:rsidRPr="00661595">
        <w:t>5</w:t>
      </w:r>
      <w:r w:rsidR="003A4C8B" w:rsidRPr="00661595">
        <w:t>6</w:t>
      </w:r>
      <w:r w:rsidR="00113EA5" w:rsidRPr="00661595">
        <w:t xml:space="preserve"> </w:t>
      </w:r>
      <w:r w:rsidR="00C7103D" w:rsidRPr="00661595">
        <w:t>CRR</w:t>
      </w:r>
      <w:r w:rsidR="00113EA5" w:rsidRPr="00661595">
        <w:t xml:space="preserve"> respectively), and thus the items containing th</w:t>
      </w:r>
      <w:r w:rsidR="00C7103D" w:rsidRPr="00661595">
        <w:t>o</w:t>
      </w:r>
      <w:r w:rsidR="00113EA5" w:rsidRPr="00661595">
        <w:t xml:space="preserve">se shortfalls may indirectly reflect the effect of </w:t>
      </w:r>
      <w:r w:rsidR="002C66A4" w:rsidRPr="00661595">
        <w:t xml:space="preserve">those </w:t>
      </w:r>
      <w:r w:rsidR="00113EA5" w:rsidRPr="00661595">
        <w:t>transitional provisions.</w:t>
      </w:r>
    </w:p>
    <w:p w:rsidR="005643EA" w:rsidRPr="00661595" w:rsidRDefault="00125707" w:rsidP="00487A02">
      <w:pPr>
        <w:pStyle w:val="InstructionsText2"/>
        <w:numPr>
          <w:ilvl w:val="0"/>
          <w:numId w:val="0"/>
        </w:numPr>
        <w:ind w:left="1353" w:hanging="360"/>
      </w:pPr>
      <w:r w:rsidRPr="00661595">
        <w:t>(c)</w:t>
      </w:r>
      <w:r w:rsidRPr="00661595">
        <w:tab/>
      </w:r>
      <w:r w:rsidR="00113EA5" w:rsidRPr="00661595">
        <w:t xml:space="preserve">Template </w:t>
      </w:r>
      <w:r w:rsidR="002648B0" w:rsidRPr="00661595">
        <w:t>CA5 is exclusively used for reporting the</w:t>
      </w:r>
      <w:r w:rsidR="002C66A4" w:rsidRPr="00661595">
        <w:t xml:space="preserve"> effect due to the application of the CRR </w:t>
      </w:r>
      <w:r w:rsidR="002648B0" w:rsidRPr="00661595">
        <w:t xml:space="preserve">transitional provisions. </w:t>
      </w:r>
    </w:p>
    <w:p w:rsidR="00783881" w:rsidRPr="00661595" w:rsidRDefault="00D11E4C" w:rsidP="00487A02">
      <w:pPr>
        <w:pStyle w:val="InstructionsText2"/>
        <w:numPr>
          <w:ilvl w:val="0"/>
          <w:numId w:val="0"/>
        </w:numPr>
        <w:ind w:left="1353" w:hanging="360"/>
      </w:pPr>
      <w:fldSimple w:instr=" seq paragraphs ">
        <w:r w:rsidR="00771068">
          <w:rPr>
            <w:noProof/>
          </w:rPr>
          <w:t>15</w:t>
        </w:r>
      </w:fldSimple>
      <w:r w:rsidR="00125707" w:rsidRPr="00661595">
        <w:t>.</w:t>
      </w:r>
      <w:r w:rsidR="00125707" w:rsidRPr="00661595">
        <w:tab/>
      </w:r>
      <w:r w:rsidR="00014DC3" w:rsidRPr="00661595">
        <w:t>The treatment of Pillar II requirements can be different within the U</w:t>
      </w:r>
      <w:r w:rsidR="00EB1DBE" w:rsidRPr="00661595">
        <w:t>nion</w:t>
      </w:r>
      <w:r w:rsidR="00014DC3" w:rsidRPr="00661595">
        <w:t xml:space="preserve"> (Article</w:t>
      </w:r>
      <w:r w:rsidR="002C66A4" w:rsidRPr="00661595">
        <w:t> </w:t>
      </w:r>
      <w:r w:rsidR="003A497B" w:rsidRPr="00661595">
        <w:t>104</w:t>
      </w:r>
      <w:r w:rsidR="006A6049" w:rsidRPr="00661595">
        <w:t>a</w:t>
      </w:r>
      <w:r w:rsidR="00014DC3" w:rsidRPr="00661595">
        <w:t>(</w:t>
      </w:r>
      <w:r w:rsidR="006A6049" w:rsidRPr="00661595">
        <w:t>1</w:t>
      </w:r>
      <w:r w:rsidR="00014DC3" w:rsidRPr="00661595">
        <w:t>) CRD has to be transposed into national regulation). Only the impact of Pillar II requirements on the solvency ratio or the target ratio shall be included in the solvency reporting</w:t>
      </w:r>
      <w:r w:rsidR="00854E5A" w:rsidRPr="00661595">
        <w:t xml:space="preserve"> </w:t>
      </w:r>
      <w:r w:rsidR="002C66A4" w:rsidRPr="00661595">
        <w:t>required under</w:t>
      </w:r>
      <w:r w:rsidR="00110F40" w:rsidRPr="00661595">
        <w:t xml:space="preserve"> </w:t>
      </w:r>
      <w:r w:rsidR="00C7103D" w:rsidRPr="00661595">
        <w:t>CRR</w:t>
      </w:r>
      <w:r w:rsidR="00014DC3" w:rsidRPr="00661595">
        <w:t xml:space="preserve">. </w:t>
      </w:r>
    </w:p>
    <w:p w:rsidR="005643EA" w:rsidRPr="00661595" w:rsidRDefault="00125707" w:rsidP="00487A02">
      <w:pPr>
        <w:pStyle w:val="InstructionsText2"/>
        <w:numPr>
          <w:ilvl w:val="0"/>
          <w:numId w:val="0"/>
        </w:numPr>
        <w:ind w:left="1353" w:hanging="360"/>
      </w:pPr>
      <w:r w:rsidRPr="00661595">
        <w:t>a)</w:t>
      </w:r>
      <w:r w:rsidRPr="00661595">
        <w:tab/>
      </w:r>
      <w:r w:rsidR="00854E5A" w:rsidRPr="00661595">
        <w:t>The template</w:t>
      </w:r>
      <w:r w:rsidR="00552A83" w:rsidRPr="00661595">
        <w:t>s</w:t>
      </w:r>
      <w:r w:rsidR="00854E5A" w:rsidRPr="00661595">
        <w:t xml:space="preserve"> </w:t>
      </w:r>
      <w:r w:rsidR="00014DC3" w:rsidRPr="00661595">
        <w:t xml:space="preserve">CA1, CA2 or CA5 only </w:t>
      </w:r>
      <w:r w:rsidR="00AF3C10" w:rsidRPr="00661595">
        <w:t>contain</w:t>
      </w:r>
      <w:r w:rsidR="00014DC3" w:rsidRPr="00661595">
        <w:t xml:space="preserve"> data</w:t>
      </w:r>
      <w:r w:rsidR="00AF3C10" w:rsidRPr="00661595">
        <w:t xml:space="preserve"> on Pillar </w:t>
      </w:r>
      <w:r w:rsidR="00A53C11" w:rsidRPr="00661595">
        <w:t>I issues</w:t>
      </w:r>
      <w:r w:rsidR="00014DC3" w:rsidRPr="00661595">
        <w:t>.</w:t>
      </w:r>
    </w:p>
    <w:p w:rsidR="005643EA" w:rsidRPr="00661595" w:rsidRDefault="00125707" w:rsidP="00487A02">
      <w:pPr>
        <w:pStyle w:val="InstructionsText2"/>
        <w:numPr>
          <w:ilvl w:val="0"/>
          <w:numId w:val="0"/>
        </w:numPr>
        <w:ind w:left="1353" w:hanging="360"/>
      </w:pPr>
      <w:r w:rsidRPr="00661595">
        <w:t>b)</w:t>
      </w:r>
      <w:r w:rsidRPr="00661595">
        <w:tab/>
      </w:r>
      <w:r w:rsidR="00113EA5" w:rsidRPr="00661595">
        <w:t>The template CA3 contains t</w:t>
      </w:r>
      <w:r w:rsidR="00014DC3" w:rsidRPr="00661595">
        <w:t xml:space="preserve">he impact of additional Pillar II-requirements on the solvency ratio </w:t>
      </w:r>
      <w:r w:rsidR="00854E5A" w:rsidRPr="00661595">
        <w:t xml:space="preserve">on an aggregated basis. </w:t>
      </w:r>
      <w:r w:rsidR="006A6049" w:rsidRPr="00661595">
        <w:t>It mainly</w:t>
      </w:r>
      <w:r w:rsidR="00014DC3" w:rsidRPr="00661595">
        <w:t xml:space="preserve"> </w:t>
      </w:r>
      <w:r w:rsidR="00113EA5" w:rsidRPr="00661595">
        <w:t>focuses</w:t>
      </w:r>
      <w:r w:rsidR="00014DC3" w:rsidRPr="00661595">
        <w:t xml:space="preserve"> on the </w:t>
      </w:r>
      <w:r w:rsidR="006A6049" w:rsidRPr="00661595">
        <w:t xml:space="preserve">target </w:t>
      </w:r>
      <w:r w:rsidR="00014DC3" w:rsidRPr="00661595">
        <w:t>ratio</w:t>
      </w:r>
      <w:r w:rsidR="006A6049" w:rsidRPr="00661595">
        <w:t>s themselves</w:t>
      </w:r>
      <w:r w:rsidR="00014DC3" w:rsidRPr="00661595">
        <w:t xml:space="preserve">. </w:t>
      </w:r>
      <w:r w:rsidR="006A6049" w:rsidRPr="00661595">
        <w:t>There is no</w:t>
      </w:r>
      <w:r w:rsidR="00014DC3" w:rsidRPr="00661595">
        <w:t xml:space="preserve"> further link to the templates CA1, CA2 or CA5.</w:t>
      </w:r>
    </w:p>
    <w:p w:rsidR="005643EA" w:rsidRPr="00661595" w:rsidRDefault="00125707" w:rsidP="00487A02">
      <w:pPr>
        <w:pStyle w:val="InstructionsText2"/>
        <w:numPr>
          <w:ilvl w:val="0"/>
          <w:numId w:val="0"/>
        </w:numPr>
        <w:ind w:left="1353" w:hanging="360"/>
      </w:pPr>
      <w:r w:rsidRPr="00661595">
        <w:t>c)</w:t>
      </w:r>
      <w:r w:rsidRPr="00661595">
        <w:tab/>
      </w:r>
      <w:r w:rsidR="00113EA5" w:rsidRPr="00661595">
        <w:t xml:space="preserve">The </w:t>
      </w:r>
      <w:r w:rsidR="00854E5A" w:rsidRPr="00661595">
        <w:t>template</w:t>
      </w:r>
      <w:r w:rsidR="00113EA5" w:rsidRPr="00661595">
        <w:t xml:space="preserve"> CA4 contains one cell regarding additional own funds requirements relating to Pillar II. Th</w:t>
      </w:r>
      <w:r w:rsidR="002C66A4" w:rsidRPr="00661595">
        <w:t>at</w:t>
      </w:r>
      <w:r w:rsidR="00113EA5" w:rsidRPr="00661595">
        <w:t xml:space="preserve"> cell has no link via validation rules to the capital ratios of the CA3 </w:t>
      </w:r>
      <w:r w:rsidR="00480A69" w:rsidRPr="00661595">
        <w:t>template</w:t>
      </w:r>
      <w:r w:rsidR="00113EA5" w:rsidRPr="00661595">
        <w:t xml:space="preserve"> and reflects Article 104</w:t>
      </w:r>
      <w:r w:rsidR="006A6049" w:rsidRPr="00661595">
        <w:t>a</w:t>
      </w:r>
      <w:r w:rsidR="00113EA5" w:rsidRPr="00661595">
        <w:t>(</w:t>
      </w:r>
      <w:r w:rsidR="006A6049" w:rsidRPr="00661595">
        <w:t>1</w:t>
      </w:r>
      <w:r w:rsidR="00113EA5" w:rsidRPr="00661595">
        <w:t>) CRD which explicitly mentions additional own funds requirements as one possibility for Pillar II decisions.</w:t>
      </w:r>
    </w:p>
    <w:p w:rsidR="002648B0"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32" w:name="_Toc473560873"/>
      <w:bookmarkStart w:id="33" w:name="_Toc57831513"/>
      <w:bookmarkStart w:id="34" w:name="_Toc308175820"/>
      <w:bookmarkStart w:id="35" w:name="_Toc360188325"/>
      <w:r w:rsidRPr="00661595">
        <w:rPr>
          <w:rFonts w:ascii="Times New Roman" w:hAnsi="Times New Roman" w:cs="Times New Roman"/>
          <w:sz w:val="24"/>
          <w:u w:val="none"/>
          <w:lang w:val="en-GB"/>
        </w:rPr>
        <w:t>1.2.</w:t>
      </w:r>
      <w:r w:rsidRPr="00661595">
        <w:rPr>
          <w:rFonts w:ascii="Times New Roman" w:hAnsi="Times New Roman" w:cs="Times New Roman"/>
          <w:sz w:val="24"/>
          <w:u w:val="none"/>
          <w:lang w:val="en-GB"/>
        </w:rPr>
        <w:tab/>
      </w:r>
      <w:r w:rsidR="00513822" w:rsidRPr="00661595">
        <w:rPr>
          <w:rFonts w:ascii="Times New Roman" w:hAnsi="Times New Roman" w:cs="Times New Roman"/>
          <w:sz w:val="24"/>
          <w:lang w:val="en-GB"/>
        </w:rPr>
        <w:t>C 01.00 - OWN FUNDS (CA1)</w:t>
      </w:r>
      <w:bookmarkEnd w:id="32"/>
      <w:bookmarkEnd w:id="33"/>
      <w:r w:rsidR="002648B0" w:rsidRPr="00661595">
        <w:rPr>
          <w:rFonts w:ascii="Times New Roman" w:hAnsi="Times New Roman" w:cs="Times New Roman"/>
          <w:sz w:val="24"/>
          <w:lang w:val="en-GB"/>
        </w:rPr>
        <w:t xml:space="preserve"> </w:t>
      </w:r>
      <w:bookmarkEnd w:id="34"/>
      <w:bookmarkEnd w:id="35"/>
    </w:p>
    <w:p w:rsidR="002648B0"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36" w:name="_Toc308175821"/>
      <w:bookmarkStart w:id="37" w:name="_Toc310414968"/>
      <w:bookmarkStart w:id="38" w:name="_Toc360188326"/>
      <w:bookmarkStart w:id="39" w:name="_Toc473560874"/>
      <w:bookmarkStart w:id="40" w:name="_Toc57831514"/>
      <w:r w:rsidRPr="00661595">
        <w:rPr>
          <w:rFonts w:ascii="Times New Roman" w:hAnsi="Times New Roman" w:cs="Times New Roman"/>
          <w:sz w:val="24"/>
          <w:u w:val="none"/>
          <w:lang w:val="en-GB"/>
        </w:rPr>
        <w:t>1.2.1.</w:t>
      </w:r>
      <w:r w:rsidRPr="00661595">
        <w:rPr>
          <w:rFonts w:ascii="Times New Roman" w:hAnsi="Times New Roman" w:cs="Times New Roman"/>
          <w:sz w:val="24"/>
          <w:u w:val="none"/>
          <w:lang w:val="en-GB"/>
        </w:rPr>
        <w:tab/>
      </w:r>
      <w:r w:rsidR="002648B0" w:rsidRPr="00661595">
        <w:rPr>
          <w:rFonts w:ascii="Times New Roman" w:hAnsi="Times New Roman" w:cs="Times New Roman"/>
          <w:sz w:val="24"/>
          <w:lang w:val="en-GB"/>
        </w:rPr>
        <w:t xml:space="preserve">Instructions concerning specific </w:t>
      </w:r>
      <w:bookmarkEnd w:id="36"/>
      <w:bookmarkEnd w:id="37"/>
      <w:r w:rsidR="002B5403" w:rsidRPr="00661595">
        <w:rPr>
          <w:rFonts w:ascii="Times New Roman" w:hAnsi="Times New Roman" w:cs="Times New Roman"/>
          <w:sz w:val="24"/>
          <w:lang w:val="en-GB"/>
        </w:rPr>
        <w:t>positions</w:t>
      </w:r>
      <w:bookmarkEnd w:id="38"/>
      <w:bookmarkEnd w:id="39"/>
      <w:bookmarkEnd w:id="40"/>
    </w:p>
    <w:p w:rsidR="002648B0" w:rsidRPr="00661595" w:rsidRDefault="002648B0" w:rsidP="00487A02">
      <w:pPr>
        <w:pStyle w:val="InstructionsText"/>
      </w:pPr>
    </w:p>
    <w:tbl>
      <w:tblPr>
        <w:tblW w:w="8749" w:type="dxa"/>
        <w:tblInd w:w="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29"/>
        <w:gridCol w:w="7620"/>
      </w:tblGrid>
      <w:tr w:rsidR="002648B0" w:rsidRPr="00661595" w:rsidTr="00D731E3">
        <w:tc>
          <w:tcPr>
            <w:tcW w:w="1129" w:type="dxa"/>
            <w:shd w:val="clear" w:color="auto" w:fill="D9D9D9"/>
          </w:tcPr>
          <w:p w:rsidR="005643EA" w:rsidRPr="00661595" w:rsidRDefault="002648B0" w:rsidP="00487A02">
            <w:pPr>
              <w:pStyle w:val="InstructionsText"/>
              <w:rPr>
                <w:rStyle w:val="InstructionsTabelleText"/>
                <w:rFonts w:ascii="Times New Roman" w:hAnsi="Times New Roman"/>
                <w:bCs/>
                <w:sz w:val="24"/>
                <w:lang w:eastAsia="en-US"/>
              </w:rPr>
            </w:pPr>
            <w:r w:rsidRPr="00661595">
              <w:rPr>
                <w:rStyle w:val="InstructionsTabelleText"/>
                <w:rFonts w:ascii="Times New Roman" w:hAnsi="Times New Roman"/>
                <w:sz w:val="24"/>
              </w:rPr>
              <w:t>Row</w:t>
            </w:r>
          </w:p>
        </w:tc>
        <w:tc>
          <w:tcPr>
            <w:tcW w:w="7620" w:type="dxa"/>
            <w:shd w:val="clear" w:color="auto" w:fill="D9D9D9"/>
          </w:tcPr>
          <w:p w:rsidR="005643EA" w:rsidRPr="00661595" w:rsidRDefault="002648B0" w:rsidP="00487A02">
            <w:pPr>
              <w:pStyle w:val="InstructionsText"/>
              <w:rPr>
                <w:rStyle w:val="InstructionsTabelleText"/>
                <w:rFonts w:ascii="Times New Roman" w:hAnsi="Times New Roman"/>
                <w:bCs/>
                <w:sz w:val="24"/>
                <w:lang w:eastAsia="en-US"/>
              </w:rPr>
            </w:pPr>
            <w:r w:rsidRPr="00661595">
              <w:rPr>
                <w:rStyle w:val="InstructionsTabelleText"/>
                <w:rFonts w:ascii="Times New Roman" w:hAnsi="Times New Roman"/>
                <w:sz w:val="24"/>
              </w:rPr>
              <w:t>Legal references and instructions</w:t>
            </w:r>
          </w:p>
        </w:tc>
      </w:tr>
      <w:tr w:rsidR="002648B0" w:rsidRPr="00661595" w:rsidTr="00D731E3">
        <w:tc>
          <w:tcPr>
            <w:tcW w:w="1129" w:type="dxa"/>
          </w:tcPr>
          <w:p w:rsidR="002648B0" w:rsidRPr="00661595" w:rsidRDefault="00A53185"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648B0" w:rsidRPr="00661595">
              <w:rPr>
                <w:rStyle w:val="FormatvorlageInstructionsTabelleText"/>
                <w:rFonts w:ascii="Times New Roman" w:hAnsi="Times New Roman"/>
                <w:sz w:val="24"/>
              </w:rPr>
              <w:t>010</w:t>
            </w:r>
          </w:p>
        </w:tc>
        <w:tc>
          <w:tcPr>
            <w:tcW w:w="7620" w:type="dxa"/>
          </w:tcPr>
          <w:p w:rsidR="00D7242F" w:rsidRPr="00661595" w:rsidRDefault="00C66473"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w:t>
            </w:r>
            <w:r w:rsidRPr="00661595">
              <w:rPr>
                <w:rStyle w:val="InstructionsTabelleberschrift"/>
                <w:rFonts w:ascii="Times New Roman" w:hAnsi="Times New Roman"/>
                <w:sz w:val="24"/>
              </w:rPr>
              <w:tab/>
            </w:r>
            <w:r w:rsidR="002648B0" w:rsidRPr="00661595">
              <w:rPr>
                <w:rStyle w:val="InstructionsTabelleberschrift"/>
                <w:rFonts w:ascii="Times New Roman" w:hAnsi="Times New Roman"/>
                <w:sz w:val="24"/>
              </w:rPr>
              <w:t>Own funds</w:t>
            </w:r>
          </w:p>
          <w:p w:rsidR="005643EA" w:rsidRPr="00661595" w:rsidRDefault="00FF2818"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Point (118) of </w:t>
            </w:r>
            <w:r w:rsidR="002648B0" w:rsidRPr="00661595">
              <w:rPr>
                <w:rStyle w:val="FormatvorlageInstructionsTabelleText"/>
                <w:rFonts w:ascii="Times New Roman" w:hAnsi="Times New Roman"/>
                <w:sz w:val="24"/>
              </w:rPr>
              <w:t>Article</w:t>
            </w:r>
            <w:r w:rsidR="00730040" w:rsidRPr="00661595">
              <w:rPr>
                <w:rStyle w:val="FormatvorlageInstructionsTabelleText"/>
                <w:rFonts w:ascii="Times New Roman" w:hAnsi="Times New Roman"/>
                <w:sz w:val="24"/>
              </w:rPr>
              <w:t xml:space="preserve"> </w:t>
            </w:r>
            <w:r w:rsidR="005643EA" w:rsidRPr="00661595">
              <w:rPr>
                <w:rStyle w:val="FormatvorlageInstructionsTabelleText"/>
                <w:rFonts w:ascii="Times New Roman" w:hAnsi="Times New Roman"/>
                <w:sz w:val="24"/>
              </w:rPr>
              <w:t>4</w:t>
            </w:r>
            <w:r w:rsidR="00873BC6" w:rsidRPr="00661595">
              <w:rPr>
                <w:rStyle w:val="FormatvorlageInstructionsTabelleText"/>
                <w:rFonts w:ascii="Times New Roman" w:hAnsi="Times New Roman"/>
                <w:sz w:val="24"/>
              </w:rPr>
              <w:t>(1)</w:t>
            </w:r>
            <w:r w:rsidR="002648B0" w:rsidRPr="00661595">
              <w:rPr>
                <w:rStyle w:val="FormatvorlageInstructionsTabelleText"/>
                <w:rFonts w:ascii="Times New Roman" w:hAnsi="Times New Roman"/>
                <w:sz w:val="24"/>
              </w:rPr>
              <w:t xml:space="preserve"> and </w:t>
            </w:r>
            <w:r w:rsidR="00C7103D" w:rsidRPr="00661595">
              <w:rPr>
                <w:rStyle w:val="FormatvorlageInstructionsTabelleText"/>
                <w:rFonts w:ascii="Times New Roman" w:hAnsi="Times New Roman"/>
                <w:sz w:val="24"/>
              </w:rPr>
              <w:t xml:space="preserve">Article </w:t>
            </w:r>
            <w:r w:rsidR="005643EA" w:rsidRPr="00661595">
              <w:rPr>
                <w:rStyle w:val="FormatvorlageInstructionsTabelleText"/>
                <w:rFonts w:ascii="Times New Roman" w:hAnsi="Times New Roman"/>
                <w:sz w:val="24"/>
              </w:rPr>
              <w:t xml:space="preserve">72 </w:t>
            </w:r>
            <w:r w:rsidR="00C7103D" w:rsidRPr="00661595">
              <w:rPr>
                <w:rStyle w:val="FormatvorlageInstructionsTabelleText"/>
                <w:rFonts w:ascii="Times New Roman" w:hAnsi="Times New Roman"/>
                <w:sz w:val="24"/>
              </w:rPr>
              <w:t>CRR</w:t>
            </w:r>
          </w:p>
          <w:p w:rsidR="005643EA" w:rsidRPr="00661595" w:rsidRDefault="002648B0" w:rsidP="00487A02">
            <w:pPr>
              <w:pStyle w:val="InstructionsText"/>
              <w:rPr>
                <w:rStyle w:val="InstructionsTabelleberschrift"/>
                <w:rFonts w:ascii="Times New Roman" w:hAnsi="Times New Roman"/>
                <w:sz w:val="24"/>
              </w:rPr>
            </w:pPr>
            <w:r w:rsidRPr="00661595">
              <w:rPr>
                <w:rStyle w:val="FormatvorlageInstructionsTabelleText"/>
                <w:rFonts w:ascii="Times New Roman" w:hAnsi="Times New Roman"/>
                <w:sz w:val="24"/>
              </w:rPr>
              <w:t>The own funds of an institution shall consist of the sum of its Tier 1 capital and Tier 2 capital</w:t>
            </w:r>
            <w:r w:rsidR="00797C89" w:rsidRPr="00661595">
              <w:rPr>
                <w:rStyle w:val="FormatvorlageInstructionsTabelleText"/>
                <w:rFonts w:ascii="Times New Roman" w:hAnsi="Times New Roman"/>
                <w:sz w:val="24"/>
              </w:rPr>
              <w:t>.</w:t>
            </w:r>
          </w:p>
        </w:tc>
      </w:tr>
      <w:tr w:rsidR="00666996" w:rsidRPr="00661595" w:rsidTr="00D731E3">
        <w:tc>
          <w:tcPr>
            <w:tcW w:w="1129" w:type="dxa"/>
          </w:tcPr>
          <w:p w:rsidR="00666996" w:rsidRPr="00661595" w:rsidRDefault="00A53185"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666996" w:rsidRPr="00661595">
              <w:rPr>
                <w:rStyle w:val="FormatvorlageInstructionsTabelleText"/>
                <w:rFonts w:ascii="Times New Roman" w:hAnsi="Times New Roman"/>
                <w:sz w:val="24"/>
              </w:rPr>
              <w:t>015</w:t>
            </w:r>
          </w:p>
        </w:tc>
        <w:tc>
          <w:tcPr>
            <w:tcW w:w="7620" w:type="dxa"/>
          </w:tcPr>
          <w:p w:rsidR="005643EA" w:rsidRPr="00661595" w:rsidRDefault="00666996"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ab/>
            </w:r>
            <w:r w:rsidRPr="00661595">
              <w:rPr>
                <w:rStyle w:val="InstructionsTabelleberschrift"/>
                <w:rFonts w:ascii="Times New Roman" w:hAnsi="Times New Roman"/>
                <w:sz w:val="24"/>
              </w:rPr>
              <w:t>Tier 1 capital</w:t>
            </w:r>
          </w:p>
          <w:p w:rsidR="005643EA" w:rsidRPr="00661595" w:rsidRDefault="0066699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Article </w:t>
            </w:r>
            <w:r w:rsidR="005643EA" w:rsidRPr="00661595">
              <w:rPr>
                <w:rStyle w:val="FormatvorlageInstructionsTabelleText"/>
                <w:rFonts w:ascii="Times New Roman" w:hAnsi="Times New Roman"/>
                <w:sz w:val="24"/>
              </w:rPr>
              <w:t>25</w:t>
            </w:r>
            <w:r w:rsidRPr="00661595">
              <w:rPr>
                <w:rStyle w:val="FormatvorlageInstructionsTabelleText"/>
                <w:rFonts w:ascii="Times New Roman" w:hAnsi="Times New Roman"/>
                <w:sz w:val="24"/>
              </w:rPr>
              <w:t xml:space="preserve"> </w:t>
            </w:r>
            <w:r w:rsidR="00C7103D" w:rsidRPr="00661595">
              <w:rPr>
                <w:rStyle w:val="FormatvorlageInstructionsTabelleText"/>
                <w:rFonts w:ascii="Times New Roman" w:hAnsi="Times New Roman"/>
                <w:sz w:val="24"/>
              </w:rPr>
              <w:t>CRR</w:t>
            </w:r>
          </w:p>
          <w:p w:rsidR="005643EA" w:rsidRPr="00661595" w:rsidRDefault="00666996" w:rsidP="00487A02">
            <w:pPr>
              <w:pStyle w:val="InstructionsText"/>
              <w:rPr>
                <w:rStyle w:val="InstructionsTabelleberschrift"/>
                <w:rFonts w:ascii="Times New Roman" w:hAnsi="Times New Roman"/>
                <w:sz w:val="24"/>
              </w:rPr>
            </w:pPr>
            <w:r w:rsidRPr="00661595">
              <w:rPr>
                <w:rStyle w:val="FormatvorlageInstructionsTabelleText"/>
                <w:rFonts w:ascii="Times New Roman" w:hAnsi="Times New Roman"/>
                <w:sz w:val="24"/>
              </w:rPr>
              <w:t xml:space="preserve">The Tier 1 capital is the sum of Common Equity Tier 1 Capital and Additional Tier 1 capital </w:t>
            </w:r>
          </w:p>
        </w:tc>
      </w:tr>
      <w:tr w:rsidR="002648B0" w:rsidRPr="00661595" w:rsidTr="00D731E3">
        <w:tc>
          <w:tcPr>
            <w:tcW w:w="1129" w:type="dxa"/>
          </w:tcPr>
          <w:p w:rsidR="002648B0" w:rsidRPr="00661595" w:rsidRDefault="00A53185"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648B0" w:rsidRPr="00661595">
              <w:rPr>
                <w:rStyle w:val="FormatvorlageInstructionsTabelleText"/>
                <w:rFonts w:ascii="Times New Roman" w:hAnsi="Times New Roman"/>
                <w:sz w:val="24"/>
              </w:rPr>
              <w:t>020</w:t>
            </w:r>
          </w:p>
        </w:tc>
        <w:tc>
          <w:tcPr>
            <w:tcW w:w="7620" w:type="dxa"/>
          </w:tcPr>
          <w:p w:rsidR="005643EA" w:rsidRPr="00661595" w:rsidRDefault="00666996"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.1.1</w:t>
            </w:r>
            <w:r w:rsidR="000D194E" w:rsidRPr="00661595">
              <w:rPr>
                <w:rStyle w:val="InstructionsTabelleberschrift"/>
                <w:rFonts w:ascii="Times New Roman" w:hAnsi="Times New Roman"/>
                <w:sz w:val="24"/>
              </w:rPr>
              <w:tab/>
            </w:r>
            <w:r w:rsidR="002648B0" w:rsidRPr="00661595">
              <w:rPr>
                <w:rStyle w:val="InstructionsTabelleberschrift"/>
                <w:rFonts w:ascii="Times New Roman" w:hAnsi="Times New Roman"/>
                <w:sz w:val="24"/>
              </w:rPr>
              <w:t>Common Equity Tier 1 capital</w:t>
            </w:r>
          </w:p>
          <w:p w:rsidR="005643EA" w:rsidRPr="00661595" w:rsidRDefault="002648B0"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Article </w:t>
            </w:r>
            <w:r w:rsidR="00407110" w:rsidRPr="00661595">
              <w:rPr>
                <w:rStyle w:val="FormatvorlageInstructionsTabelleText"/>
                <w:rFonts w:ascii="Times New Roman" w:hAnsi="Times New Roman"/>
                <w:sz w:val="24"/>
              </w:rPr>
              <w:t xml:space="preserve">50 </w:t>
            </w:r>
            <w:r w:rsidR="00C7103D" w:rsidRPr="00661595">
              <w:rPr>
                <w:rStyle w:val="FormatvorlageInstructionsTabelleText"/>
                <w:rFonts w:ascii="Times New Roman" w:hAnsi="Times New Roman"/>
                <w:sz w:val="24"/>
              </w:rPr>
              <w:t>CRR</w:t>
            </w:r>
          </w:p>
        </w:tc>
      </w:tr>
      <w:tr w:rsidR="002648B0" w:rsidRPr="00661595" w:rsidTr="00D731E3">
        <w:tc>
          <w:tcPr>
            <w:tcW w:w="1129" w:type="dxa"/>
          </w:tcPr>
          <w:p w:rsidR="002648B0" w:rsidRPr="00661595" w:rsidRDefault="00A53185"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648B0" w:rsidRPr="00661595">
              <w:rPr>
                <w:rStyle w:val="FormatvorlageInstructionsTabelleText"/>
                <w:rFonts w:ascii="Times New Roman" w:hAnsi="Times New Roman"/>
                <w:sz w:val="24"/>
              </w:rPr>
              <w:t>030</w:t>
            </w:r>
          </w:p>
        </w:tc>
        <w:tc>
          <w:tcPr>
            <w:tcW w:w="7620" w:type="dxa"/>
          </w:tcPr>
          <w:p w:rsidR="005643EA" w:rsidRPr="00661595" w:rsidRDefault="000120EB" w:rsidP="00487A02">
            <w:pPr>
              <w:pStyle w:val="InstructionsText"/>
              <w:rPr>
                <w:rStyle w:val="InstructionsTabelleberschrift"/>
                <w:rFonts w:ascii="Times New Roman" w:hAnsi="Times New Roman"/>
                <w:sz w:val="24"/>
                <w:lang w:val="fr-BE"/>
              </w:rPr>
            </w:pPr>
            <w:r w:rsidRPr="00661595">
              <w:rPr>
                <w:rStyle w:val="InstructionsTabelleberschrift"/>
                <w:rFonts w:ascii="Times New Roman" w:hAnsi="Times New Roman"/>
                <w:sz w:val="24"/>
                <w:lang w:val="fr-BE"/>
              </w:rPr>
              <w:t>1</w:t>
            </w:r>
            <w:r w:rsidR="000D194E" w:rsidRPr="00661595">
              <w:rPr>
                <w:rStyle w:val="InstructionsTabelleberschrift"/>
                <w:rFonts w:ascii="Times New Roman" w:hAnsi="Times New Roman"/>
                <w:sz w:val="24"/>
                <w:lang w:val="fr-BE"/>
              </w:rPr>
              <w:t>.1.1.1</w:t>
            </w:r>
            <w:r w:rsidR="000D194E" w:rsidRPr="00661595">
              <w:rPr>
                <w:rStyle w:val="InstructionsTabelleberschrift"/>
                <w:rFonts w:ascii="Times New Roman" w:hAnsi="Times New Roman"/>
                <w:sz w:val="24"/>
                <w:lang w:val="fr-BE"/>
              </w:rPr>
              <w:tab/>
            </w:r>
            <w:r w:rsidRPr="00661595">
              <w:rPr>
                <w:rStyle w:val="InstructionsTabelleberschrift"/>
                <w:rFonts w:ascii="Times New Roman" w:hAnsi="Times New Roman"/>
                <w:sz w:val="24"/>
                <w:lang w:val="fr-BE"/>
              </w:rPr>
              <w:t>Capital instruments eligible as CET1 capital</w:t>
            </w:r>
          </w:p>
          <w:p w:rsidR="005643EA" w:rsidRPr="00661595" w:rsidRDefault="00C7103D"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Points (a) and (b) of </w:t>
            </w:r>
            <w:r w:rsidR="002648B0" w:rsidRPr="00661595">
              <w:rPr>
                <w:rStyle w:val="FormatvorlageInstructionsTabelleText"/>
                <w:rFonts w:ascii="Times New Roman" w:hAnsi="Times New Roman"/>
                <w:sz w:val="24"/>
              </w:rPr>
              <w:t xml:space="preserve">Articles </w:t>
            </w:r>
            <w:r w:rsidR="00407110" w:rsidRPr="00661595">
              <w:rPr>
                <w:rStyle w:val="FormatvorlageInstructionsTabelleText"/>
                <w:rFonts w:ascii="Times New Roman" w:hAnsi="Times New Roman"/>
                <w:sz w:val="24"/>
              </w:rPr>
              <w:t>26</w:t>
            </w:r>
            <w:r w:rsidR="002648B0" w:rsidRPr="00661595">
              <w:rPr>
                <w:rStyle w:val="FormatvorlageInstructionsTabelleText"/>
                <w:rFonts w:ascii="Times New Roman" w:hAnsi="Times New Roman"/>
                <w:sz w:val="24"/>
              </w:rPr>
              <w:t xml:space="preserve">(1), </w:t>
            </w:r>
            <w:r w:rsidRPr="00661595">
              <w:rPr>
                <w:rStyle w:val="FormatvorlageInstructionsTabelleText"/>
                <w:rFonts w:ascii="Times New Roman" w:hAnsi="Times New Roman"/>
                <w:sz w:val="24"/>
              </w:rPr>
              <w:t xml:space="preserve">Articles </w:t>
            </w:r>
            <w:r w:rsidR="00407110" w:rsidRPr="00661595">
              <w:rPr>
                <w:rStyle w:val="FormatvorlageInstructionsTabelleText"/>
                <w:rFonts w:ascii="Times New Roman" w:hAnsi="Times New Roman"/>
                <w:sz w:val="24"/>
              </w:rPr>
              <w:t xml:space="preserve">27 </w:t>
            </w:r>
            <w:r w:rsidR="002648B0" w:rsidRPr="00661595">
              <w:rPr>
                <w:rStyle w:val="FormatvorlageInstructionsTabelleText"/>
                <w:rFonts w:ascii="Times New Roman" w:hAnsi="Times New Roman"/>
                <w:sz w:val="24"/>
              </w:rPr>
              <w:t xml:space="preserve">to </w:t>
            </w:r>
            <w:r w:rsidR="000C7632" w:rsidRPr="00661595">
              <w:rPr>
                <w:rStyle w:val="FormatvorlageInstructionsTabelleText"/>
                <w:rFonts w:ascii="Times New Roman" w:hAnsi="Times New Roman"/>
                <w:sz w:val="24"/>
              </w:rPr>
              <w:t>30</w:t>
            </w:r>
            <w:r w:rsidR="002648B0" w:rsidRPr="00661595">
              <w:rPr>
                <w:rStyle w:val="FormatvorlageInstructionsTabelleText"/>
                <w:rFonts w:ascii="Times New Roman" w:hAnsi="Times New Roman"/>
                <w:sz w:val="24"/>
              </w:rPr>
              <w:t xml:space="preserve">, </w:t>
            </w:r>
            <w:r w:rsidRPr="00661595">
              <w:rPr>
                <w:rStyle w:val="FormatvorlageInstructionsTabelleText"/>
                <w:rFonts w:ascii="Times New Roman" w:hAnsi="Times New Roman"/>
                <w:sz w:val="24"/>
              </w:rPr>
              <w:t xml:space="preserve">point (f) of Article </w:t>
            </w:r>
            <w:r w:rsidR="00407110" w:rsidRPr="00661595">
              <w:rPr>
                <w:rStyle w:val="FormatvorlageInstructionsTabelleText"/>
                <w:rFonts w:ascii="Times New Roman" w:hAnsi="Times New Roman"/>
                <w:sz w:val="24"/>
              </w:rPr>
              <w:t>36</w:t>
            </w:r>
            <w:r w:rsidR="002648B0" w:rsidRPr="00661595">
              <w:rPr>
                <w:rStyle w:val="FormatvorlageInstructionsTabelleText"/>
                <w:rFonts w:ascii="Times New Roman" w:hAnsi="Times New Roman"/>
                <w:sz w:val="24"/>
              </w:rPr>
              <w:t xml:space="preserve">(1) and </w:t>
            </w:r>
            <w:r w:rsidR="002C66A4" w:rsidRPr="00661595">
              <w:rPr>
                <w:rStyle w:val="FormatvorlageInstructionsTabelleText"/>
                <w:rFonts w:ascii="Times New Roman" w:hAnsi="Times New Roman"/>
                <w:sz w:val="24"/>
              </w:rPr>
              <w:t>Article </w:t>
            </w:r>
            <w:r w:rsidR="003A4C8B" w:rsidRPr="00661595">
              <w:rPr>
                <w:rStyle w:val="FormatvorlageInstructionsTabelleText"/>
                <w:rFonts w:ascii="Times New Roman" w:hAnsi="Times New Roman"/>
                <w:sz w:val="24"/>
              </w:rPr>
              <w:t xml:space="preserve">42 </w:t>
            </w:r>
            <w:r w:rsidRPr="00661595">
              <w:rPr>
                <w:rStyle w:val="FormatvorlageInstructionsTabelleText"/>
                <w:rFonts w:ascii="Times New Roman" w:hAnsi="Times New Roman"/>
                <w:sz w:val="24"/>
              </w:rPr>
              <w:t>CRR</w:t>
            </w:r>
          </w:p>
        </w:tc>
      </w:tr>
      <w:tr w:rsidR="002648B0" w:rsidRPr="00661595" w:rsidTr="00D731E3">
        <w:tc>
          <w:tcPr>
            <w:tcW w:w="1129" w:type="dxa"/>
          </w:tcPr>
          <w:p w:rsidR="002648B0" w:rsidRPr="00661595" w:rsidRDefault="00A53185"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648B0" w:rsidRPr="00661595">
              <w:rPr>
                <w:rStyle w:val="FormatvorlageInstructionsTabelleText"/>
                <w:rFonts w:ascii="Times New Roman" w:hAnsi="Times New Roman"/>
                <w:sz w:val="24"/>
              </w:rPr>
              <w:t>040</w:t>
            </w:r>
          </w:p>
        </w:tc>
        <w:tc>
          <w:tcPr>
            <w:tcW w:w="7620" w:type="dxa"/>
          </w:tcPr>
          <w:p w:rsidR="005643EA" w:rsidRPr="00661595" w:rsidRDefault="00666996"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.1.1.1.1</w:t>
            </w:r>
            <w:r w:rsidR="000D194E" w:rsidRPr="00661595">
              <w:rPr>
                <w:rStyle w:val="InstructionsTabelleberschrift"/>
                <w:rFonts w:ascii="Times New Roman" w:hAnsi="Times New Roman"/>
                <w:sz w:val="24"/>
              </w:rPr>
              <w:tab/>
            </w:r>
            <w:r w:rsidR="006A6049" w:rsidRPr="00661595">
              <w:rPr>
                <w:rStyle w:val="InstructionsTabelleberschrift"/>
                <w:rFonts w:ascii="Times New Roman" w:hAnsi="Times New Roman"/>
                <w:sz w:val="24"/>
              </w:rPr>
              <w:t xml:space="preserve">Fully paid </w:t>
            </w:r>
            <w:r w:rsidR="002648B0" w:rsidRPr="00661595">
              <w:rPr>
                <w:rStyle w:val="InstructionsTabelleberschrift"/>
                <w:rFonts w:ascii="Times New Roman" w:hAnsi="Times New Roman"/>
                <w:sz w:val="24"/>
              </w:rPr>
              <w:t>up capital instruments</w:t>
            </w:r>
          </w:p>
          <w:p w:rsidR="005643EA" w:rsidRPr="00661595" w:rsidRDefault="00C7103D"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Point (a) of </w:t>
            </w:r>
            <w:r w:rsidR="002648B0" w:rsidRPr="00661595">
              <w:rPr>
                <w:rStyle w:val="FormatvorlageInstructionsTabelleText"/>
                <w:rFonts w:ascii="Times New Roman" w:hAnsi="Times New Roman"/>
                <w:sz w:val="24"/>
              </w:rPr>
              <w:t xml:space="preserve">Article </w:t>
            </w:r>
            <w:r w:rsidR="00407110" w:rsidRPr="00661595">
              <w:rPr>
                <w:rStyle w:val="FormatvorlageInstructionsTabelleText"/>
                <w:rFonts w:ascii="Times New Roman" w:hAnsi="Times New Roman"/>
                <w:sz w:val="24"/>
              </w:rPr>
              <w:t>26</w:t>
            </w:r>
            <w:r w:rsidR="002648B0" w:rsidRPr="00661595">
              <w:rPr>
                <w:rStyle w:val="FormatvorlageInstructionsTabelleText"/>
                <w:rFonts w:ascii="Times New Roman" w:hAnsi="Times New Roman"/>
                <w:sz w:val="24"/>
              </w:rPr>
              <w:t xml:space="preserve">(1) and </w:t>
            </w:r>
            <w:r w:rsidRPr="00661595">
              <w:rPr>
                <w:rStyle w:val="FormatvorlageInstructionsTabelleText"/>
                <w:rFonts w:ascii="Times New Roman" w:hAnsi="Times New Roman"/>
                <w:sz w:val="24"/>
              </w:rPr>
              <w:t xml:space="preserve">Articles </w:t>
            </w:r>
            <w:r w:rsidR="00407110" w:rsidRPr="00661595">
              <w:rPr>
                <w:rStyle w:val="FormatvorlageInstructionsTabelleText"/>
                <w:rFonts w:ascii="Times New Roman" w:hAnsi="Times New Roman"/>
                <w:sz w:val="24"/>
              </w:rPr>
              <w:t xml:space="preserve">27 </w:t>
            </w:r>
            <w:r w:rsidR="002648B0" w:rsidRPr="00661595">
              <w:rPr>
                <w:rStyle w:val="FormatvorlageInstructionsTabelleText"/>
                <w:rFonts w:ascii="Times New Roman" w:hAnsi="Times New Roman"/>
                <w:sz w:val="24"/>
              </w:rPr>
              <w:t xml:space="preserve">to </w:t>
            </w:r>
            <w:r w:rsidR="003A4C8B" w:rsidRPr="00661595">
              <w:rPr>
                <w:rStyle w:val="FormatvorlageInstructionsTabelleText"/>
                <w:rFonts w:ascii="Times New Roman" w:hAnsi="Times New Roman"/>
                <w:sz w:val="24"/>
              </w:rPr>
              <w:t>3</w:t>
            </w:r>
            <w:r w:rsidR="00543DBD" w:rsidRPr="00661595">
              <w:rPr>
                <w:rStyle w:val="FormatvorlageInstructionsTabelleText"/>
                <w:rFonts w:ascii="Times New Roman" w:hAnsi="Times New Roman"/>
                <w:sz w:val="24"/>
              </w:rPr>
              <w:t>1</w:t>
            </w:r>
            <w:r w:rsidR="00407110" w:rsidRPr="00661595">
              <w:rPr>
                <w:rStyle w:val="FormatvorlageInstructionsTabelleText"/>
                <w:rFonts w:ascii="Times New Roman" w:hAnsi="Times New Roman"/>
                <w:sz w:val="24"/>
              </w:rPr>
              <w:t xml:space="preserve"> </w:t>
            </w:r>
            <w:r w:rsidRPr="00661595">
              <w:rPr>
                <w:rStyle w:val="FormatvorlageInstructionsTabelleText"/>
                <w:rFonts w:ascii="Times New Roman" w:hAnsi="Times New Roman"/>
                <w:sz w:val="24"/>
              </w:rPr>
              <w:t>CRR</w:t>
            </w:r>
          </w:p>
          <w:p w:rsidR="00FE3BD8" w:rsidRPr="00661595" w:rsidRDefault="00543DBD"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C</w:t>
            </w:r>
            <w:r w:rsidR="002648B0" w:rsidRPr="00661595">
              <w:rPr>
                <w:rStyle w:val="FormatvorlageInstructionsTabelleText"/>
                <w:rFonts w:ascii="Times New Roman" w:hAnsi="Times New Roman"/>
                <w:sz w:val="24"/>
              </w:rPr>
              <w:t xml:space="preserve">apital instruments of mutual, cooperative societies or similar institutions (Articles </w:t>
            </w:r>
            <w:r w:rsidR="003A497B" w:rsidRPr="00661595">
              <w:rPr>
                <w:rStyle w:val="FormatvorlageInstructionsTabelleText"/>
                <w:rFonts w:ascii="Times New Roman" w:hAnsi="Times New Roman"/>
                <w:sz w:val="24"/>
              </w:rPr>
              <w:t xml:space="preserve">27 </w:t>
            </w:r>
            <w:r w:rsidR="002648B0" w:rsidRPr="00661595">
              <w:rPr>
                <w:rStyle w:val="FormatvorlageInstructionsTabelleText"/>
                <w:rFonts w:ascii="Times New Roman" w:hAnsi="Times New Roman"/>
                <w:sz w:val="24"/>
              </w:rPr>
              <w:t>and 2</w:t>
            </w:r>
            <w:r w:rsidR="003A497B" w:rsidRPr="00661595">
              <w:rPr>
                <w:rStyle w:val="FormatvorlageInstructionsTabelleText"/>
                <w:rFonts w:ascii="Times New Roman" w:hAnsi="Times New Roman"/>
                <w:sz w:val="24"/>
              </w:rPr>
              <w:t>9</w:t>
            </w:r>
            <w:r w:rsidR="002648B0" w:rsidRPr="00661595">
              <w:rPr>
                <w:rStyle w:val="FormatvorlageInstructionsTabelleText"/>
                <w:rFonts w:ascii="Times New Roman" w:hAnsi="Times New Roman"/>
                <w:sz w:val="24"/>
              </w:rPr>
              <w:t xml:space="preserve"> </w:t>
            </w:r>
            <w:r w:rsidR="00C7103D" w:rsidRPr="00661595">
              <w:rPr>
                <w:rStyle w:val="FormatvorlageInstructionsTabelleText"/>
                <w:rFonts w:ascii="Times New Roman" w:hAnsi="Times New Roman"/>
                <w:sz w:val="24"/>
              </w:rPr>
              <w:t>CRR</w:t>
            </w:r>
            <w:r w:rsidR="002648B0" w:rsidRPr="00661595">
              <w:rPr>
                <w:rStyle w:val="FormatvorlageInstructionsTabelleText"/>
                <w:rFonts w:ascii="Times New Roman" w:hAnsi="Times New Roman"/>
                <w:sz w:val="24"/>
              </w:rPr>
              <w:t>)</w:t>
            </w:r>
            <w:r w:rsidRPr="00661595">
              <w:rPr>
                <w:rStyle w:val="FormatvorlageInstructionsTabelleText"/>
                <w:rFonts w:ascii="Times New Roman" w:hAnsi="Times New Roman"/>
                <w:sz w:val="24"/>
              </w:rPr>
              <w:t xml:space="preserve"> shall be included</w:t>
            </w:r>
            <w:r w:rsidR="002648B0" w:rsidRPr="00661595">
              <w:rPr>
                <w:rStyle w:val="FormatvorlageInstructionsTabelleText"/>
                <w:rFonts w:ascii="Times New Roman" w:hAnsi="Times New Roman"/>
                <w:sz w:val="24"/>
              </w:rPr>
              <w:t>.</w:t>
            </w:r>
          </w:p>
          <w:p w:rsidR="00FE3BD8" w:rsidRPr="00661595" w:rsidRDefault="002648B0"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The share premium related to the instruments</w:t>
            </w:r>
            <w:r w:rsidR="00543DBD" w:rsidRPr="00661595">
              <w:rPr>
                <w:rStyle w:val="FormatvorlageInstructionsTabelleText"/>
                <w:rFonts w:ascii="Times New Roman" w:hAnsi="Times New Roman"/>
                <w:sz w:val="24"/>
              </w:rPr>
              <w:t xml:space="preserve"> shall not be included.</w:t>
            </w:r>
          </w:p>
          <w:p w:rsidR="005643EA" w:rsidRPr="00661595" w:rsidRDefault="00543DBD"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Capital instruments subscribed by public authorities in emergency situations shall be included if all conditions of Article 31 CRR are fulfilled.</w:t>
            </w:r>
          </w:p>
        </w:tc>
      </w:tr>
      <w:tr w:rsidR="00216D67" w:rsidRPr="00661595" w:rsidTr="00D731E3">
        <w:tc>
          <w:tcPr>
            <w:tcW w:w="1129" w:type="dxa"/>
          </w:tcPr>
          <w:p w:rsidR="00216D67" w:rsidRPr="00661595" w:rsidRDefault="00A53185"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16D67" w:rsidRPr="00661595">
              <w:rPr>
                <w:rStyle w:val="FormatvorlageInstructionsTabelleText"/>
                <w:rFonts w:ascii="Times New Roman" w:hAnsi="Times New Roman"/>
                <w:sz w:val="24"/>
              </w:rPr>
              <w:t>045</w:t>
            </w:r>
          </w:p>
        </w:tc>
        <w:tc>
          <w:tcPr>
            <w:tcW w:w="7620" w:type="dxa"/>
          </w:tcPr>
          <w:p w:rsidR="00216D67" w:rsidRPr="00661595" w:rsidRDefault="00DD2C1E"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.1.1.1.1*</w:t>
            </w:r>
            <w:r w:rsidR="000D194E" w:rsidRPr="00661595">
              <w:rPr>
                <w:rStyle w:val="InstructionsTabelleberschrift"/>
                <w:rFonts w:ascii="Times New Roman" w:hAnsi="Times New Roman"/>
                <w:sz w:val="24"/>
              </w:rPr>
              <w:tab/>
            </w:r>
            <w:r w:rsidR="00216D67" w:rsidRPr="00661595">
              <w:rPr>
                <w:rStyle w:val="InstructionsTabelleberschrift"/>
                <w:rFonts w:ascii="Times New Roman" w:hAnsi="Times New Roman"/>
                <w:sz w:val="24"/>
              </w:rPr>
              <w:t>Of which: Capital instruments subscribed by public authorities in emergency situations</w:t>
            </w:r>
          </w:p>
          <w:p w:rsidR="00216D67" w:rsidRPr="00661595" w:rsidRDefault="00216D67" w:rsidP="00487A02">
            <w:pPr>
              <w:pStyle w:val="InstructionsText"/>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 xml:space="preserve">Article 31 </w:t>
            </w:r>
            <w:r w:rsidR="00C7103D" w:rsidRPr="00661595">
              <w:rPr>
                <w:rStyle w:val="InstructionsTabelleberschrift"/>
                <w:rFonts w:ascii="Times New Roman" w:hAnsi="Times New Roman"/>
                <w:b w:val="0"/>
                <w:sz w:val="24"/>
                <w:u w:val="none"/>
              </w:rPr>
              <w:t>CRR</w:t>
            </w:r>
          </w:p>
          <w:p w:rsidR="00216D67" w:rsidRPr="00661595" w:rsidRDefault="00216D67"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b w:val="0"/>
                <w:sz w:val="24"/>
                <w:u w:val="none"/>
              </w:rPr>
              <w:t>Capital instruments subscribed by public authorities in emergency situations shall be included in CET1 capital if all conditions of Article 31 CRR are fulfilled.</w:t>
            </w:r>
          </w:p>
        </w:tc>
      </w:tr>
      <w:tr w:rsidR="002648B0" w:rsidRPr="00661595" w:rsidTr="00D731E3">
        <w:tc>
          <w:tcPr>
            <w:tcW w:w="1129" w:type="dxa"/>
          </w:tcPr>
          <w:p w:rsidR="002648B0" w:rsidRPr="00661595" w:rsidRDefault="00A53185"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648B0" w:rsidRPr="00661595">
              <w:rPr>
                <w:rStyle w:val="FormatvorlageInstructionsTabelleText"/>
                <w:rFonts w:ascii="Times New Roman" w:hAnsi="Times New Roman"/>
                <w:sz w:val="24"/>
              </w:rPr>
              <w:t>050</w:t>
            </w:r>
          </w:p>
        </w:tc>
        <w:tc>
          <w:tcPr>
            <w:tcW w:w="7620" w:type="dxa"/>
          </w:tcPr>
          <w:p w:rsidR="005643EA" w:rsidRPr="00661595" w:rsidRDefault="00666996"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.1.1.1.2*</w:t>
            </w:r>
            <w:r w:rsidR="000D194E" w:rsidRPr="00661595">
              <w:rPr>
                <w:rStyle w:val="InstructionsTabelleberschrift"/>
                <w:rFonts w:ascii="Times New Roman" w:hAnsi="Times New Roman"/>
                <w:sz w:val="24"/>
              </w:rPr>
              <w:tab/>
            </w:r>
            <w:r w:rsidR="002648B0" w:rsidRPr="00661595">
              <w:rPr>
                <w:rStyle w:val="InstructionsTabelleberschrift"/>
                <w:rFonts w:ascii="Times New Roman" w:hAnsi="Times New Roman"/>
                <w:sz w:val="24"/>
              </w:rPr>
              <w:t>Memorandum item: Capital instruments not eligible</w:t>
            </w:r>
          </w:p>
          <w:p w:rsidR="005643EA" w:rsidRPr="00661595" w:rsidRDefault="00C7103D"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Points (b), (l) and (m) of </w:t>
            </w:r>
            <w:r w:rsidR="002648B0" w:rsidRPr="00661595">
              <w:rPr>
                <w:rStyle w:val="FormatvorlageInstructionsTabelleText"/>
                <w:rFonts w:ascii="Times New Roman" w:hAnsi="Times New Roman"/>
                <w:sz w:val="24"/>
              </w:rPr>
              <w:t xml:space="preserve">Article </w:t>
            </w:r>
            <w:r w:rsidR="003A497B" w:rsidRPr="00661595">
              <w:rPr>
                <w:rStyle w:val="FormatvorlageInstructionsTabelleText"/>
                <w:rFonts w:ascii="Times New Roman" w:hAnsi="Times New Roman"/>
                <w:sz w:val="24"/>
              </w:rPr>
              <w:t>28</w:t>
            </w:r>
            <w:r w:rsidR="002648B0" w:rsidRPr="00661595">
              <w:rPr>
                <w:rStyle w:val="FormatvorlageInstructionsTabelleText"/>
                <w:rFonts w:ascii="Times New Roman" w:hAnsi="Times New Roman"/>
                <w:sz w:val="24"/>
              </w:rPr>
              <w:t xml:space="preserve">(1) </w:t>
            </w:r>
            <w:r w:rsidRPr="00661595">
              <w:rPr>
                <w:rStyle w:val="FormatvorlageInstructionsTabelleText"/>
                <w:rFonts w:ascii="Times New Roman" w:hAnsi="Times New Roman"/>
                <w:sz w:val="24"/>
              </w:rPr>
              <w:t>CRR</w:t>
            </w:r>
          </w:p>
          <w:p w:rsidR="005643EA" w:rsidRPr="00661595" w:rsidRDefault="002648B0"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Conditions in those points reflect different situations of the capital which are reversible, and thus the amount reported here can be eligible in subsequent periods.</w:t>
            </w:r>
          </w:p>
          <w:p w:rsidR="005643EA" w:rsidRPr="00661595" w:rsidRDefault="002648B0"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The amount to be reported shall not include the share premium related to the instruments</w:t>
            </w:r>
          </w:p>
        </w:tc>
      </w:tr>
      <w:tr w:rsidR="002648B0" w:rsidRPr="00661595" w:rsidTr="00D731E3">
        <w:tc>
          <w:tcPr>
            <w:tcW w:w="1129" w:type="dxa"/>
          </w:tcPr>
          <w:p w:rsidR="002648B0" w:rsidRPr="00661595" w:rsidRDefault="00A53185"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648B0" w:rsidRPr="00661595">
              <w:rPr>
                <w:rStyle w:val="FormatvorlageInstructionsTabelleText"/>
                <w:rFonts w:ascii="Times New Roman" w:hAnsi="Times New Roman"/>
                <w:sz w:val="24"/>
              </w:rPr>
              <w:t>060</w:t>
            </w:r>
          </w:p>
        </w:tc>
        <w:tc>
          <w:tcPr>
            <w:tcW w:w="7620" w:type="dxa"/>
          </w:tcPr>
          <w:p w:rsidR="005643EA" w:rsidRPr="00661595" w:rsidRDefault="00666996"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.1.1.1.3</w:t>
            </w:r>
            <w:r w:rsidR="000D194E" w:rsidRPr="00661595">
              <w:rPr>
                <w:rStyle w:val="InstructionsTabelleberschrift"/>
                <w:rFonts w:ascii="Times New Roman" w:hAnsi="Times New Roman"/>
                <w:sz w:val="24"/>
              </w:rPr>
              <w:tab/>
            </w:r>
            <w:r w:rsidR="002648B0" w:rsidRPr="00661595">
              <w:rPr>
                <w:rStyle w:val="InstructionsTabelleberschrift"/>
                <w:rFonts w:ascii="Times New Roman" w:hAnsi="Times New Roman"/>
                <w:sz w:val="24"/>
              </w:rPr>
              <w:t>Share premium</w:t>
            </w:r>
          </w:p>
          <w:p w:rsidR="005643EA" w:rsidRPr="00661595" w:rsidRDefault="00FF2818"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Point (124) of </w:t>
            </w:r>
            <w:r w:rsidR="002648B0" w:rsidRPr="00661595">
              <w:rPr>
                <w:rStyle w:val="FormatvorlageInstructionsTabelleText"/>
                <w:rFonts w:ascii="Times New Roman" w:hAnsi="Times New Roman"/>
                <w:sz w:val="24"/>
              </w:rPr>
              <w:t>Article</w:t>
            </w:r>
            <w:r w:rsidR="00730040" w:rsidRPr="00661595">
              <w:rPr>
                <w:rStyle w:val="FormatvorlageInstructionsTabelleText"/>
                <w:rFonts w:ascii="Times New Roman" w:hAnsi="Times New Roman"/>
                <w:sz w:val="24"/>
              </w:rPr>
              <w:t xml:space="preserve"> </w:t>
            </w:r>
            <w:r w:rsidR="005643EA" w:rsidRPr="00661595">
              <w:rPr>
                <w:rStyle w:val="FormatvorlageInstructionsTabelleText"/>
                <w:rFonts w:ascii="Times New Roman" w:hAnsi="Times New Roman"/>
                <w:sz w:val="24"/>
              </w:rPr>
              <w:t>4</w:t>
            </w:r>
            <w:r w:rsidR="00873BC6" w:rsidRPr="00661595">
              <w:rPr>
                <w:rStyle w:val="FormatvorlageInstructionsTabelleText"/>
                <w:rFonts w:ascii="Times New Roman" w:hAnsi="Times New Roman"/>
                <w:sz w:val="24"/>
              </w:rPr>
              <w:t>(1)</w:t>
            </w:r>
            <w:r w:rsidR="002648B0" w:rsidRPr="00661595">
              <w:rPr>
                <w:rStyle w:val="FormatvorlageInstructionsTabelleText"/>
                <w:rFonts w:ascii="Times New Roman" w:hAnsi="Times New Roman"/>
                <w:sz w:val="24"/>
              </w:rPr>
              <w:t>,</w:t>
            </w:r>
            <w:r w:rsidR="00730040" w:rsidRPr="00661595">
              <w:rPr>
                <w:rStyle w:val="FormatvorlageInstructionsTabelleText"/>
                <w:rFonts w:ascii="Times New Roman" w:hAnsi="Times New Roman"/>
                <w:sz w:val="24"/>
              </w:rPr>
              <w:t xml:space="preserve"> </w:t>
            </w:r>
            <w:r w:rsidR="00C7103D" w:rsidRPr="00661595">
              <w:rPr>
                <w:rStyle w:val="FormatvorlageInstructionsTabelleText"/>
                <w:rFonts w:ascii="Times New Roman" w:hAnsi="Times New Roman"/>
                <w:sz w:val="24"/>
              </w:rPr>
              <w:t xml:space="preserve">point (b) of Article </w:t>
            </w:r>
            <w:r w:rsidR="00407110" w:rsidRPr="00661595">
              <w:rPr>
                <w:rStyle w:val="FormatvorlageInstructionsTabelleText"/>
                <w:rFonts w:ascii="Times New Roman" w:hAnsi="Times New Roman"/>
                <w:sz w:val="24"/>
              </w:rPr>
              <w:t>26</w:t>
            </w:r>
            <w:r w:rsidR="002648B0" w:rsidRPr="00661595">
              <w:rPr>
                <w:rStyle w:val="FormatvorlageInstructionsTabelleText"/>
                <w:rFonts w:ascii="Times New Roman" w:hAnsi="Times New Roman"/>
                <w:sz w:val="24"/>
              </w:rPr>
              <w:t xml:space="preserve">(1) </w:t>
            </w:r>
            <w:r w:rsidR="00C7103D" w:rsidRPr="00661595">
              <w:rPr>
                <w:rStyle w:val="FormatvorlageInstructionsTabelleText"/>
                <w:rFonts w:ascii="Times New Roman" w:hAnsi="Times New Roman"/>
                <w:sz w:val="24"/>
              </w:rPr>
              <w:t>CRR</w:t>
            </w:r>
          </w:p>
          <w:p w:rsidR="005643EA" w:rsidRPr="00661595" w:rsidRDefault="002648B0"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Share premium has the same meaning as under the applicable accounting standard. </w:t>
            </w:r>
          </w:p>
          <w:p w:rsidR="005643EA" w:rsidRPr="00661595" w:rsidRDefault="002648B0"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The amount to be reported in this item shall be the part related to the "</w:t>
            </w:r>
            <w:r w:rsidR="006A6049" w:rsidRPr="00661595">
              <w:rPr>
                <w:rStyle w:val="FormatvorlageInstructionsTabelleText"/>
                <w:rFonts w:ascii="Times New Roman" w:hAnsi="Times New Roman"/>
                <w:sz w:val="24"/>
              </w:rPr>
              <w:t xml:space="preserve">Fully paid </w:t>
            </w:r>
            <w:r w:rsidRPr="00661595">
              <w:rPr>
                <w:rStyle w:val="FormatvorlageInstructionsTabelleText"/>
                <w:rFonts w:ascii="Times New Roman" w:hAnsi="Times New Roman"/>
                <w:sz w:val="24"/>
              </w:rPr>
              <w:t>up capital instruments"</w:t>
            </w:r>
            <w:r w:rsidR="008F5BFE" w:rsidRPr="00661595">
              <w:rPr>
                <w:rStyle w:val="FormatvorlageInstructionsTabelleText"/>
                <w:rFonts w:ascii="Times New Roman" w:hAnsi="Times New Roman"/>
                <w:sz w:val="24"/>
              </w:rPr>
              <w:t>.</w:t>
            </w:r>
            <w:r w:rsidRPr="00661595">
              <w:rPr>
                <w:rStyle w:val="FormatvorlageInstructionsTabelleText"/>
                <w:rFonts w:ascii="Times New Roman" w:hAnsi="Times New Roman"/>
                <w:sz w:val="24"/>
              </w:rPr>
              <w:t xml:space="preserve"> </w:t>
            </w:r>
          </w:p>
        </w:tc>
      </w:tr>
      <w:tr w:rsidR="002648B0" w:rsidRPr="00661595" w:rsidTr="00D731E3">
        <w:tc>
          <w:tcPr>
            <w:tcW w:w="1129" w:type="dxa"/>
          </w:tcPr>
          <w:p w:rsidR="002648B0" w:rsidRPr="00661595" w:rsidRDefault="00A53185"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648B0" w:rsidRPr="00661595">
              <w:rPr>
                <w:rStyle w:val="FormatvorlageInstructionsTabelleText"/>
                <w:rFonts w:ascii="Times New Roman" w:hAnsi="Times New Roman"/>
                <w:sz w:val="24"/>
              </w:rPr>
              <w:t>070</w:t>
            </w:r>
          </w:p>
        </w:tc>
        <w:tc>
          <w:tcPr>
            <w:tcW w:w="7620" w:type="dxa"/>
          </w:tcPr>
          <w:p w:rsidR="005643EA" w:rsidRPr="00661595" w:rsidRDefault="00666996"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.1.1.1.4</w:t>
            </w:r>
            <w:r w:rsidR="000D194E" w:rsidRPr="00661595">
              <w:rPr>
                <w:rStyle w:val="InstructionsTabelleberschrift"/>
                <w:rFonts w:ascii="Times New Roman" w:hAnsi="Times New Roman"/>
                <w:sz w:val="24"/>
              </w:rPr>
              <w:tab/>
            </w:r>
            <w:r w:rsidR="002648B0" w:rsidRPr="00661595">
              <w:rPr>
                <w:rStyle w:val="InstructionsTabelleberschrift"/>
                <w:rFonts w:ascii="Times New Roman" w:hAnsi="Times New Roman"/>
                <w:sz w:val="24"/>
              </w:rPr>
              <w:t>(-) Own CET1 instruments</w:t>
            </w:r>
          </w:p>
          <w:p w:rsidR="005643EA" w:rsidRPr="00661595" w:rsidRDefault="00C7103D"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Point (f) of </w:t>
            </w:r>
            <w:r w:rsidR="002648B0" w:rsidRPr="00661595">
              <w:rPr>
                <w:rStyle w:val="FormatvorlageInstructionsTabelleText"/>
                <w:rFonts w:ascii="Times New Roman" w:hAnsi="Times New Roman"/>
                <w:sz w:val="24"/>
              </w:rPr>
              <w:t>Article</w:t>
            </w:r>
            <w:r w:rsidR="00730040" w:rsidRPr="00661595">
              <w:rPr>
                <w:rStyle w:val="FormatvorlageInstructionsTabelleText"/>
                <w:rFonts w:ascii="Times New Roman" w:hAnsi="Times New Roman"/>
                <w:sz w:val="24"/>
              </w:rPr>
              <w:t xml:space="preserve"> </w:t>
            </w:r>
            <w:r w:rsidR="00407110" w:rsidRPr="00661595">
              <w:rPr>
                <w:rStyle w:val="FormatvorlageInstructionsTabelleText"/>
                <w:rFonts w:ascii="Times New Roman" w:hAnsi="Times New Roman"/>
                <w:sz w:val="24"/>
              </w:rPr>
              <w:t>36(</w:t>
            </w:r>
            <w:r w:rsidR="002648B0" w:rsidRPr="00661595">
              <w:rPr>
                <w:rStyle w:val="FormatvorlageInstructionsTabelleText"/>
                <w:rFonts w:ascii="Times New Roman" w:hAnsi="Times New Roman"/>
                <w:sz w:val="24"/>
              </w:rPr>
              <w:t xml:space="preserve">1) and </w:t>
            </w:r>
            <w:r w:rsidRPr="00661595">
              <w:rPr>
                <w:rStyle w:val="FormatvorlageInstructionsTabelleText"/>
                <w:rFonts w:ascii="Times New Roman" w:hAnsi="Times New Roman"/>
                <w:sz w:val="24"/>
              </w:rPr>
              <w:t xml:space="preserve">Article </w:t>
            </w:r>
            <w:r w:rsidR="00407110" w:rsidRPr="00661595">
              <w:rPr>
                <w:rStyle w:val="FormatvorlageInstructionsTabelleText"/>
                <w:rFonts w:ascii="Times New Roman" w:hAnsi="Times New Roman"/>
                <w:sz w:val="24"/>
              </w:rPr>
              <w:t xml:space="preserve">42 </w:t>
            </w:r>
            <w:r w:rsidRPr="00661595">
              <w:rPr>
                <w:rStyle w:val="FormatvorlageInstructionsTabelleText"/>
                <w:rFonts w:ascii="Times New Roman" w:hAnsi="Times New Roman"/>
                <w:sz w:val="24"/>
              </w:rPr>
              <w:t>CRR</w:t>
            </w:r>
          </w:p>
          <w:p w:rsidR="005643EA" w:rsidRPr="00661595" w:rsidRDefault="002648B0"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Own CET1 held by the reporting institution or group at the reporting date. Subject to exceptions in Article </w:t>
            </w:r>
            <w:r w:rsidR="00407110" w:rsidRPr="00661595">
              <w:rPr>
                <w:rStyle w:val="FormatvorlageInstructionsTabelleText"/>
                <w:rFonts w:ascii="Times New Roman" w:hAnsi="Times New Roman"/>
                <w:sz w:val="24"/>
              </w:rPr>
              <w:t xml:space="preserve">42 </w:t>
            </w:r>
            <w:r w:rsidR="00C7103D" w:rsidRPr="00661595">
              <w:rPr>
                <w:rStyle w:val="FormatvorlageInstructionsTabelleText"/>
                <w:rFonts w:ascii="Times New Roman" w:hAnsi="Times New Roman"/>
                <w:sz w:val="24"/>
              </w:rPr>
              <w:t>CRR</w:t>
            </w:r>
            <w:r w:rsidRPr="00661595">
              <w:rPr>
                <w:rStyle w:val="FormatvorlageInstructionsTabelleText"/>
                <w:rFonts w:ascii="Times New Roman" w:hAnsi="Times New Roman"/>
                <w:sz w:val="24"/>
              </w:rPr>
              <w:t>.</w:t>
            </w:r>
          </w:p>
          <w:p w:rsidR="005643EA" w:rsidRPr="00661595" w:rsidRDefault="002648B0"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Holdings on shares included as "Capital instruments not eligible" shall not be reported in this row.</w:t>
            </w:r>
          </w:p>
          <w:p w:rsidR="005643EA" w:rsidRPr="00661595" w:rsidRDefault="002648B0"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The amount to be reported shall include the share premium related to the own shares.</w:t>
            </w:r>
          </w:p>
          <w:p w:rsidR="005643EA" w:rsidRPr="00661595" w:rsidRDefault="002648B0"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Items </w:t>
            </w:r>
            <w:r w:rsidR="008D274F" w:rsidRPr="00661595">
              <w:rPr>
                <w:rStyle w:val="FormatvorlageInstructionsTabelleText"/>
                <w:rFonts w:ascii="Times New Roman" w:hAnsi="Times New Roman"/>
                <w:sz w:val="24"/>
              </w:rPr>
              <w:t>1.</w:t>
            </w:r>
            <w:r w:rsidRPr="00661595">
              <w:rPr>
                <w:rStyle w:val="FormatvorlageInstructionsTabelleText"/>
                <w:rFonts w:ascii="Times New Roman" w:hAnsi="Times New Roman"/>
                <w:sz w:val="24"/>
              </w:rPr>
              <w:t xml:space="preserve">1.1.1.4 to </w:t>
            </w:r>
            <w:r w:rsidR="008D274F" w:rsidRPr="00661595">
              <w:rPr>
                <w:rStyle w:val="FormatvorlageInstructionsTabelleText"/>
                <w:rFonts w:ascii="Times New Roman" w:hAnsi="Times New Roman"/>
                <w:sz w:val="24"/>
              </w:rPr>
              <w:t>1.</w:t>
            </w:r>
            <w:r w:rsidRPr="00661595">
              <w:rPr>
                <w:rStyle w:val="FormatvorlageInstructionsTabelleText"/>
                <w:rFonts w:ascii="Times New Roman" w:hAnsi="Times New Roman"/>
                <w:sz w:val="24"/>
              </w:rPr>
              <w:t xml:space="preserve">1.1.1.4.3 do not include actual or contingent obligations to purchase own CET1 instruments. Actual or contingent obligations to purchase own CET1 instruments are reported separately in item </w:t>
            </w:r>
            <w:r w:rsidR="008D274F" w:rsidRPr="00661595">
              <w:rPr>
                <w:rStyle w:val="FormatvorlageInstructionsTabelleText"/>
                <w:rFonts w:ascii="Times New Roman" w:hAnsi="Times New Roman"/>
                <w:sz w:val="24"/>
              </w:rPr>
              <w:t>1.</w:t>
            </w:r>
            <w:r w:rsidRPr="00661595">
              <w:rPr>
                <w:rStyle w:val="FormatvorlageInstructionsTabelleText"/>
                <w:rFonts w:ascii="Times New Roman" w:hAnsi="Times New Roman"/>
                <w:sz w:val="24"/>
              </w:rPr>
              <w:t>1.1.1.5.</w:t>
            </w:r>
          </w:p>
        </w:tc>
      </w:tr>
      <w:tr w:rsidR="002648B0" w:rsidRPr="00661595" w:rsidTr="00D731E3">
        <w:tc>
          <w:tcPr>
            <w:tcW w:w="1129" w:type="dxa"/>
          </w:tcPr>
          <w:p w:rsidR="002648B0" w:rsidRPr="00661595" w:rsidRDefault="00252454"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648B0" w:rsidRPr="00661595">
              <w:rPr>
                <w:rStyle w:val="FormatvorlageInstructionsTabelleText"/>
                <w:rFonts w:ascii="Times New Roman" w:hAnsi="Times New Roman"/>
                <w:sz w:val="24"/>
              </w:rPr>
              <w:t>080</w:t>
            </w:r>
          </w:p>
        </w:tc>
        <w:tc>
          <w:tcPr>
            <w:tcW w:w="7620" w:type="dxa"/>
          </w:tcPr>
          <w:p w:rsidR="005643EA" w:rsidRPr="00661595" w:rsidRDefault="00666996"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.1.1.1.4.1</w:t>
            </w:r>
            <w:r w:rsidR="000D194E" w:rsidRPr="00661595">
              <w:rPr>
                <w:rStyle w:val="InstructionsTabelleberschrift"/>
                <w:rFonts w:ascii="Times New Roman" w:hAnsi="Times New Roman"/>
                <w:sz w:val="24"/>
              </w:rPr>
              <w:tab/>
            </w:r>
            <w:r w:rsidR="002648B0" w:rsidRPr="00661595">
              <w:rPr>
                <w:rStyle w:val="InstructionsTabelleberschrift"/>
                <w:rFonts w:ascii="Times New Roman" w:hAnsi="Times New Roman"/>
                <w:sz w:val="24"/>
              </w:rPr>
              <w:t>(-) Direct holdings of CET1 instruments</w:t>
            </w:r>
          </w:p>
          <w:p w:rsidR="005643EA" w:rsidRPr="00661595" w:rsidRDefault="00C7103D"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Point (f) of </w:t>
            </w:r>
            <w:r w:rsidR="002648B0" w:rsidRPr="00661595">
              <w:rPr>
                <w:rStyle w:val="FormatvorlageInstructionsTabelleText"/>
                <w:rFonts w:ascii="Times New Roman" w:hAnsi="Times New Roman"/>
                <w:sz w:val="24"/>
              </w:rPr>
              <w:t xml:space="preserve">Article </w:t>
            </w:r>
            <w:r w:rsidR="00407110" w:rsidRPr="00661595">
              <w:rPr>
                <w:rStyle w:val="FormatvorlageInstructionsTabelleText"/>
                <w:rFonts w:ascii="Times New Roman" w:hAnsi="Times New Roman"/>
                <w:sz w:val="24"/>
              </w:rPr>
              <w:t>36(</w:t>
            </w:r>
            <w:r w:rsidR="002648B0" w:rsidRPr="00661595">
              <w:rPr>
                <w:rStyle w:val="FormatvorlageInstructionsTabelleText"/>
                <w:rFonts w:ascii="Times New Roman" w:hAnsi="Times New Roman"/>
                <w:sz w:val="24"/>
              </w:rPr>
              <w:t xml:space="preserve">1) and </w:t>
            </w:r>
            <w:r w:rsidRPr="00661595">
              <w:rPr>
                <w:rStyle w:val="FormatvorlageInstructionsTabelleText"/>
                <w:rFonts w:ascii="Times New Roman" w:hAnsi="Times New Roman"/>
                <w:sz w:val="24"/>
              </w:rPr>
              <w:t xml:space="preserve">Article </w:t>
            </w:r>
            <w:r w:rsidR="003A4C8B" w:rsidRPr="00661595">
              <w:rPr>
                <w:rStyle w:val="FormatvorlageInstructionsTabelleText"/>
                <w:rFonts w:ascii="Times New Roman" w:hAnsi="Times New Roman"/>
                <w:sz w:val="24"/>
              </w:rPr>
              <w:t>42</w:t>
            </w:r>
            <w:r w:rsidR="002648B0" w:rsidRPr="00661595">
              <w:rPr>
                <w:rStyle w:val="FormatvorlageInstructionsTabelleText"/>
                <w:rFonts w:ascii="Times New Roman" w:hAnsi="Times New Roman"/>
                <w:sz w:val="24"/>
              </w:rPr>
              <w:t xml:space="preserve"> </w:t>
            </w:r>
            <w:r w:rsidRPr="00661595">
              <w:rPr>
                <w:rStyle w:val="FormatvorlageInstructionsTabelleText"/>
                <w:rFonts w:ascii="Times New Roman" w:hAnsi="Times New Roman"/>
                <w:sz w:val="24"/>
              </w:rPr>
              <w:t>CRR</w:t>
            </w:r>
          </w:p>
          <w:p w:rsidR="005643EA" w:rsidRPr="00661595" w:rsidRDefault="002648B0"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Common Equity Tier 1 instruments included in item 1.1.1.1 held by institutions of the consolidated group. </w:t>
            </w:r>
          </w:p>
          <w:p w:rsidR="005643EA" w:rsidRPr="00661595" w:rsidRDefault="002648B0"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The amount to be reported shall include holdings in the trading book calculated on the basis of the net long position, as stated in </w:t>
            </w:r>
            <w:r w:rsidR="00C7103D" w:rsidRPr="00661595">
              <w:rPr>
                <w:rStyle w:val="FormatvorlageInstructionsTabelleText"/>
                <w:rFonts w:ascii="Times New Roman" w:hAnsi="Times New Roman"/>
                <w:sz w:val="24"/>
              </w:rPr>
              <w:t xml:space="preserve">point (a) of </w:t>
            </w:r>
            <w:r w:rsidRPr="00661595">
              <w:rPr>
                <w:rStyle w:val="FormatvorlageInstructionsTabelleText"/>
                <w:rFonts w:ascii="Times New Roman" w:hAnsi="Times New Roman"/>
                <w:sz w:val="24"/>
              </w:rPr>
              <w:t xml:space="preserve">Article </w:t>
            </w:r>
            <w:r w:rsidR="008D274F" w:rsidRPr="00661595">
              <w:rPr>
                <w:rStyle w:val="FormatvorlageInstructionsTabelleText"/>
                <w:rFonts w:ascii="Times New Roman" w:hAnsi="Times New Roman"/>
                <w:sz w:val="24"/>
              </w:rPr>
              <w:t xml:space="preserve">42 </w:t>
            </w:r>
            <w:r w:rsidR="00C7103D" w:rsidRPr="00661595">
              <w:rPr>
                <w:rStyle w:val="FormatvorlageInstructionsTabelleText"/>
                <w:rFonts w:ascii="Times New Roman" w:hAnsi="Times New Roman"/>
                <w:sz w:val="24"/>
              </w:rPr>
              <w:t>CRR</w:t>
            </w:r>
            <w:r w:rsidRPr="00661595">
              <w:rPr>
                <w:rStyle w:val="FormatvorlageInstructionsTabelleText"/>
                <w:rFonts w:ascii="Times New Roman" w:hAnsi="Times New Roman"/>
                <w:sz w:val="24"/>
              </w:rPr>
              <w:t>.</w:t>
            </w:r>
          </w:p>
        </w:tc>
      </w:tr>
      <w:tr w:rsidR="002648B0" w:rsidRPr="00661595" w:rsidTr="00D731E3">
        <w:tc>
          <w:tcPr>
            <w:tcW w:w="1129" w:type="dxa"/>
          </w:tcPr>
          <w:p w:rsidR="002648B0" w:rsidRPr="00661595" w:rsidRDefault="00252454"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648B0" w:rsidRPr="00661595">
              <w:rPr>
                <w:rStyle w:val="FormatvorlageInstructionsTabelleText"/>
                <w:rFonts w:ascii="Times New Roman" w:hAnsi="Times New Roman"/>
                <w:sz w:val="24"/>
              </w:rPr>
              <w:t>090</w:t>
            </w:r>
          </w:p>
        </w:tc>
        <w:tc>
          <w:tcPr>
            <w:tcW w:w="7620" w:type="dxa"/>
          </w:tcPr>
          <w:p w:rsidR="005643EA" w:rsidRPr="00661595" w:rsidRDefault="00666996"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.1.1.1.4.2</w:t>
            </w:r>
            <w:r w:rsidR="000D194E" w:rsidRPr="00661595">
              <w:rPr>
                <w:rStyle w:val="InstructionsTabelleberschrift"/>
                <w:rFonts w:ascii="Times New Roman" w:hAnsi="Times New Roman"/>
                <w:sz w:val="24"/>
              </w:rPr>
              <w:tab/>
            </w:r>
            <w:r w:rsidR="002648B0" w:rsidRPr="00661595">
              <w:rPr>
                <w:rStyle w:val="InstructionsTabelleberschrift"/>
                <w:rFonts w:ascii="Times New Roman" w:hAnsi="Times New Roman"/>
                <w:sz w:val="24"/>
              </w:rPr>
              <w:t>(-) Indirect holdings of CET1 instruments</w:t>
            </w:r>
          </w:p>
          <w:p w:rsidR="005643EA" w:rsidRPr="00661595" w:rsidRDefault="00FF2818"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Point (114) of </w:t>
            </w:r>
            <w:r w:rsidR="00805255" w:rsidRPr="00661595">
              <w:rPr>
                <w:rStyle w:val="FormatvorlageInstructionsTabelleText"/>
                <w:rFonts w:ascii="Times New Roman" w:hAnsi="Times New Roman"/>
                <w:sz w:val="24"/>
              </w:rPr>
              <w:t>Article 4(1)</w:t>
            </w:r>
            <w:r w:rsidR="002648B0" w:rsidRPr="00661595">
              <w:rPr>
                <w:rStyle w:val="FormatvorlageInstructionsTabelleText"/>
                <w:rFonts w:ascii="Times New Roman" w:hAnsi="Times New Roman"/>
                <w:sz w:val="24"/>
              </w:rPr>
              <w:t xml:space="preserve">, </w:t>
            </w:r>
            <w:r w:rsidR="00C7103D" w:rsidRPr="00661595">
              <w:rPr>
                <w:rStyle w:val="FormatvorlageInstructionsTabelleText"/>
                <w:rFonts w:ascii="Times New Roman" w:hAnsi="Times New Roman"/>
                <w:sz w:val="24"/>
              </w:rPr>
              <w:t xml:space="preserve">point (f) of Article </w:t>
            </w:r>
            <w:r w:rsidR="00407110" w:rsidRPr="00661595">
              <w:rPr>
                <w:rStyle w:val="FormatvorlageInstructionsTabelleText"/>
                <w:rFonts w:ascii="Times New Roman" w:hAnsi="Times New Roman"/>
                <w:sz w:val="24"/>
              </w:rPr>
              <w:t>36(</w:t>
            </w:r>
            <w:r w:rsidR="002648B0" w:rsidRPr="00661595">
              <w:rPr>
                <w:rStyle w:val="FormatvorlageInstructionsTabelleText"/>
                <w:rFonts w:ascii="Times New Roman" w:hAnsi="Times New Roman"/>
                <w:sz w:val="24"/>
              </w:rPr>
              <w:t xml:space="preserve">1) and </w:t>
            </w:r>
            <w:r w:rsidR="00C7103D" w:rsidRPr="00661595">
              <w:rPr>
                <w:rStyle w:val="FormatvorlageInstructionsTabelleText"/>
                <w:rFonts w:ascii="Times New Roman" w:hAnsi="Times New Roman"/>
                <w:sz w:val="24"/>
              </w:rPr>
              <w:t xml:space="preserve">Article </w:t>
            </w:r>
            <w:r w:rsidR="008D274F" w:rsidRPr="00661595">
              <w:rPr>
                <w:rStyle w:val="FormatvorlageInstructionsTabelleText"/>
                <w:rFonts w:ascii="Times New Roman" w:hAnsi="Times New Roman"/>
                <w:sz w:val="24"/>
              </w:rPr>
              <w:t xml:space="preserve">42 </w:t>
            </w:r>
            <w:r w:rsidR="00C7103D" w:rsidRPr="00661595">
              <w:rPr>
                <w:rStyle w:val="FormatvorlageInstructionsTabelleText"/>
                <w:rFonts w:ascii="Times New Roman" w:hAnsi="Times New Roman"/>
                <w:sz w:val="24"/>
              </w:rPr>
              <w:t>CRR</w:t>
            </w:r>
          </w:p>
        </w:tc>
      </w:tr>
      <w:tr w:rsidR="002648B0" w:rsidRPr="00661595" w:rsidTr="00D731E3">
        <w:tc>
          <w:tcPr>
            <w:tcW w:w="1129" w:type="dxa"/>
          </w:tcPr>
          <w:p w:rsidR="005643EA" w:rsidRPr="00661595" w:rsidRDefault="00252454"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648B0" w:rsidRPr="00661595">
              <w:rPr>
                <w:rStyle w:val="FormatvorlageInstructionsTabelleText"/>
                <w:rFonts w:ascii="Times New Roman" w:hAnsi="Times New Roman"/>
                <w:sz w:val="24"/>
              </w:rPr>
              <w:t>091</w:t>
            </w:r>
          </w:p>
        </w:tc>
        <w:tc>
          <w:tcPr>
            <w:tcW w:w="7620" w:type="dxa"/>
          </w:tcPr>
          <w:p w:rsidR="005643EA" w:rsidRPr="00661595" w:rsidRDefault="00666996"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.1.1.1.4.3</w:t>
            </w:r>
            <w:r w:rsidR="000D194E" w:rsidRPr="00661595">
              <w:rPr>
                <w:rStyle w:val="InstructionsTabelleberschrift"/>
                <w:rFonts w:ascii="Times New Roman" w:hAnsi="Times New Roman"/>
                <w:sz w:val="24"/>
              </w:rPr>
              <w:tab/>
            </w:r>
            <w:r w:rsidR="002648B0" w:rsidRPr="00661595">
              <w:rPr>
                <w:rStyle w:val="InstructionsTabelleberschrift"/>
                <w:rFonts w:ascii="Times New Roman" w:hAnsi="Times New Roman"/>
                <w:sz w:val="24"/>
              </w:rPr>
              <w:t>(-) Synthetic holdings of CET1 instruments</w:t>
            </w:r>
          </w:p>
          <w:p w:rsidR="005643EA" w:rsidRPr="00661595" w:rsidRDefault="00FF2818" w:rsidP="00487A02">
            <w:pPr>
              <w:pStyle w:val="InstructionsText"/>
              <w:rPr>
                <w:rStyle w:val="InstructionsTabelleberschrift"/>
                <w:rFonts w:ascii="Times New Roman" w:hAnsi="Times New Roman"/>
                <w:b w:val="0"/>
                <w:sz w:val="24"/>
                <w:u w:val="none"/>
              </w:rPr>
            </w:pPr>
            <w:r w:rsidRPr="00661595">
              <w:rPr>
                <w:rStyle w:val="FormatvorlageInstructionsTabelleText"/>
                <w:rFonts w:ascii="Times New Roman" w:hAnsi="Times New Roman"/>
                <w:sz w:val="24"/>
              </w:rPr>
              <w:t xml:space="preserve">Point (126) of </w:t>
            </w:r>
            <w:r w:rsidR="00805255" w:rsidRPr="00661595">
              <w:rPr>
                <w:rStyle w:val="FormatvorlageInstructionsTabelleText"/>
                <w:rFonts w:ascii="Times New Roman" w:hAnsi="Times New Roman"/>
                <w:sz w:val="24"/>
              </w:rPr>
              <w:t>Article 4(1)</w:t>
            </w:r>
            <w:r w:rsidR="002648B0" w:rsidRPr="00661595">
              <w:rPr>
                <w:rStyle w:val="FormatvorlageInstructionsTabelleText"/>
                <w:rFonts w:ascii="Times New Roman" w:hAnsi="Times New Roman"/>
                <w:sz w:val="24"/>
              </w:rPr>
              <w:t>,</w:t>
            </w:r>
            <w:r w:rsidR="00730040" w:rsidRPr="00661595">
              <w:rPr>
                <w:rStyle w:val="FormatvorlageInstructionsTabelleText"/>
                <w:rFonts w:ascii="Times New Roman" w:hAnsi="Times New Roman"/>
                <w:sz w:val="24"/>
              </w:rPr>
              <w:t xml:space="preserve"> </w:t>
            </w:r>
            <w:r w:rsidR="00C7103D" w:rsidRPr="00661595">
              <w:rPr>
                <w:rStyle w:val="FormatvorlageInstructionsTabelleText"/>
                <w:rFonts w:ascii="Times New Roman" w:hAnsi="Times New Roman"/>
                <w:sz w:val="24"/>
              </w:rPr>
              <w:t xml:space="preserve">point (f) of Article </w:t>
            </w:r>
            <w:r w:rsidR="00407110" w:rsidRPr="00661595">
              <w:rPr>
                <w:rStyle w:val="FormatvorlageInstructionsTabelleText"/>
                <w:rFonts w:ascii="Times New Roman" w:hAnsi="Times New Roman"/>
                <w:sz w:val="24"/>
              </w:rPr>
              <w:t>36(</w:t>
            </w:r>
            <w:r w:rsidR="002648B0" w:rsidRPr="00661595">
              <w:rPr>
                <w:rStyle w:val="FormatvorlageInstructionsTabelleText"/>
                <w:rFonts w:ascii="Times New Roman" w:hAnsi="Times New Roman"/>
                <w:sz w:val="24"/>
              </w:rPr>
              <w:t xml:space="preserve">1) and </w:t>
            </w:r>
            <w:r w:rsidR="00C7103D" w:rsidRPr="00661595">
              <w:rPr>
                <w:rStyle w:val="FormatvorlageInstructionsTabelleText"/>
                <w:rFonts w:ascii="Times New Roman" w:hAnsi="Times New Roman"/>
                <w:sz w:val="24"/>
              </w:rPr>
              <w:t xml:space="preserve">Article </w:t>
            </w:r>
            <w:r w:rsidR="008D274F" w:rsidRPr="00661595">
              <w:rPr>
                <w:rStyle w:val="FormatvorlageInstructionsTabelleText"/>
                <w:rFonts w:ascii="Times New Roman" w:hAnsi="Times New Roman"/>
                <w:sz w:val="24"/>
              </w:rPr>
              <w:t xml:space="preserve">42 </w:t>
            </w:r>
            <w:r w:rsidR="00C7103D" w:rsidRPr="00661595">
              <w:rPr>
                <w:rStyle w:val="FormatvorlageInstructionsTabelleText"/>
                <w:rFonts w:ascii="Times New Roman" w:hAnsi="Times New Roman"/>
                <w:sz w:val="24"/>
              </w:rPr>
              <w:t>CRR</w:t>
            </w:r>
          </w:p>
        </w:tc>
      </w:tr>
      <w:tr w:rsidR="002648B0" w:rsidRPr="00661595" w:rsidTr="00D731E3">
        <w:tc>
          <w:tcPr>
            <w:tcW w:w="1129" w:type="dxa"/>
          </w:tcPr>
          <w:p w:rsidR="002648B0" w:rsidRPr="00661595" w:rsidRDefault="00252454"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648B0" w:rsidRPr="00661595">
              <w:rPr>
                <w:rStyle w:val="FormatvorlageInstructionsTabelleText"/>
                <w:rFonts w:ascii="Times New Roman" w:hAnsi="Times New Roman"/>
                <w:sz w:val="24"/>
              </w:rPr>
              <w:t>092</w:t>
            </w:r>
          </w:p>
        </w:tc>
        <w:tc>
          <w:tcPr>
            <w:tcW w:w="7620" w:type="dxa"/>
          </w:tcPr>
          <w:p w:rsidR="005643EA" w:rsidRPr="00661595" w:rsidRDefault="00666996"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.1.1.1.5</w:t>
            </w:r>
            <w:r w:rsidR="000D194E" w:rsidRPr="00661595">
              <w:rPr>
                <w:rStyle w:val="InstructionsTabelleberschrift"/>
                <w:rFonts w:ascii="Times New Roman" w:hAnsi="Times New Roman"/>
                <w:sz w:val="24"/>
              </w:rPr>
              <w:tab/>
            </w:r>
            <w:r w:rsidR="002648B0" w:rsidRPr="00661595">
              <w:rPr>
                <w:rStyle w:val="InstructionsTabelleberschrift"/>
                <w:rFonts w:ascii="Times New Roman" w:hAnsi="Times New Roman"/>
                <w:sz w:val="24"/>
              </w:rPr>
              <w:t>(-) Actual or contingent obligations to purchase own CET1 instruments</w:t>
            </w:r>
          </w:p>
          <w:p w:rsidR="005643EA" w:rsidRPr="00661595" w:rsidRDefault="00C7103D"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Point (f) of </w:t>
            </w:r>
            <w:r w:rsidR="002648B0" w:rsidRPr="00661595">
              <w:rPr>
                <w:rStyle w:val="FormatvorlageInstructionsTabelleText"/>
                <w:rFonts w:ascii="Times New Roman" w:hAnsi="Times New Roman"/>
                <w:sz w:val="24"/>
              </w:rPr>
              <w:t>Article</w:t>
            </w:r>
            <w:r w:rsidR="008D274F" w:rsidRPr="00661595" w:rsidDel="00407110">
              <w:rPr>
                <w:rStyle w:val="FormatvorlageInstructionsTabelleText"/>
                <w:rFonts w:ascii="Times New Roman" w:hAnsi="Times New Roman"/>
                <w:sz w:val="24"/>
              </w:rPr>
              <w:t xml:space="preserve"> </w:t>
            </w:r>
            <w:r w:rsidR="00407110" w:rsidRPr="00661595">
              <w:rPr>
                <w:rStyle w:val="FormatvorlageInstructionsTabelleText"/>
                <w:rFonts w:ascii="Times New Roman" w:hAnsi="Times New Roman"/>
                <w:sz w:val="24"/>
              </w:rPr>
              <w:t>36(</w:t>
            </w:r>
            <w:r w:rsidR="002648B0" w:rsidRPr="00661595">
              <w:rPr>
                <w:rStyle w:val="FormatvorlageInstructionsTabelleText"/>
                <w:rFonts w:ascii="Times New Roman" w:hAnsi="Times New Roman"/>
                <w:sz w:val="24"/>
              </w:rPr>
              <w:t xml:space="preserve">1) and </w:t>
            </w:r>
            <w:r w:rsidRPr="00661595">
              <w:rPr>
                <w:rStyle w:val="FormatvorlageInstructionsTabelleText"/>
                <w:rFonts w:ascii="Times New Roman" w:hAnsi="Times New Roman"/>
                <w:sz w:val="24"/>
              </w:rPr>
              <w:t xml:space="preserve">Article </w:t>
            </w:r>
            <w:r w:rsidR="008D274F" w:rsidRPr="00661595">
              <w:rPr>
                <w:rStyle w:val="FormatvorlageInstructionsTabelleText"/>
                <w:rFonts w:ascii="Times New Roman" w:hAnsi="Times New Roman"/>
                <w:sz w:val="24"/>
              </w:rPr>
              <w:t xml:space="preserve">42 </w:t>
            </w:r>
            <w:r w:rsidRPr="00661595">
              <w:rPr>
                <w:rStyle w:val="FormatvorlageInstructionsTabelleText"/>
                <w:rFonts w:ascii="Times New Roman" w:hAnsi="Times New Roman"/>
                <w:sz w:val="24"/>
              </w:rPr>
              <w:t>CRR</w:t>
            </w:r>
          </w:p>
          <w:p w:rsidR="005643EA" w:rsidRPr="00661595" w:rsidRDefault="002648B0" w:rsidP="00487A02">
            <w:pPr>
              <w:pStyle w:val="InstructionsText"/>
              <w:rPr>
                <w:rStyle w:val="InstructionsTabelleberschrift"/>
                <w:rFonts w:ascii="Times New Roman" w:hAnsi="Times New Roman"/>
                <w:b w:val="0"/>
                <w:bCs w:val="0"/>
                <w:sz w:val="24"/>
                <w:u w:val="none"/>
              </w:rPr>
            </w:pPr>
            <w:r w:rsidRPr="00661595">
              <w:rPr>
                <w:rStyle w:val="InstructionsTabelleberschrift"/>
                <w:rFonts w:ascii="Times New Roman" w:hAnsi="Times New Roman"/>
                <w:b w:val="0"/>
                <w:sz w:val="24"/>
                <w:u w:val="none"/>
              </w:rPr>
              <w:t xml:space="preserve">According to </w:t>
            </w:r>
            <w:r w:rsidR="00C7103D" w:rsidRPr="00661595">
              <w:rPr>
                <w:rStyle w:val="InstructionsTabelleberschrift"/>
                <w:rFonts w:ascii="Times New Roman" w:hAnsi="Times New Roman"/>
                <w:b w:val="0"/>
                <w:sz w:val="24"/>
                <w:u w:val="none"/>
              </w:rPr>
              <w:t>p</w:t>
            </w:r>
            <w:r w:rsidR="00C7103D" w:rsidRPr="00661595">
              <w:rPr>
                <w:rStyle w:val="FormatvorlageInstructionsTabelleText"/>
                <w:rFonts w:ascii="Times New Roman" w:hAnsi="Times New Roman"/>
                <w:sz w:val="24"/>
              </w:rPr>
              <w:t xml:space="preserve">oint (f) of </w:t>
            </w:r>
            <w:r w:rsidRPr="00661595">
              <w:rPr>
                <w:rStyle w:val="InstructionsTabelleberschrift"/>
                <w:rFonts w:ascii="Times New Roman" w:hAnsi="Times New Roman"/>
                <w:b w:val="0"/>
                <w:sz w:val="24"/>
                <w:u w:val="none"/>
              </w:rPr>
              <w:t xml:space="preserve">Article </w:t>
            </w:r>
            <w:r w:rsidR="00407110" w:rsidRPr="00661595">
              <w:rPr>
                <w:rStyle w:val="InstructionsTabelleberschrift"/>
                <w:rFonts w:ascii="Times New Roman" w:hAnsi="Times New Roman"/>
                <w:b w:val="0"/>
                <w:sz w:val="24"/>
                <w:u w:val="none"/>
              </w:rPr>
              <w:t>36(</w:t>
            </w:r>
            <w:r w:rsidRPr="00661595">
              <w:rPr>
                <w:rStyle w:val="InstructionsTabelleberschrift"/>
                <w:rFonts w:ascii="Times New Roman" w:hAnsi="Times New Roman"/>
                <w:b w:val="0"/>
                <w:sz w:val="24"/>
                <w:u w:val="none"/>
              </w:rPr>
              <w:t xml:space="preserve">1) </w:t>
            </w:r>
            <w:r w:rsidR="00C7103D" w:rsidRPr="00661595">
              <w:rPr>
                <w:rStyle w:val="InstructionsTabelleberschrift"/>
                <w:rFonts w:ascii="Times New Roman" w:hAnsi="Times New Roman"/>
                <w:b w:val="0"/>
                <w:sz w:val="24"/>
                <w:u w:val="none"/>
              </w:rPr>
              <w:t>CRR</w:t>
            </w:r>
            <w:r w:rsidRPr="00661595">
              <w:rPr>
                <w:rStyle w:val="InstructionsTabelleberschrift"/>
                <w:rFonts w:ascii="Times New Roman" w:hAnsi="Times New Roman"/>
                <w:b w:val="0"/>
                <w:sz w:val="24"/>
                <w:u w:val="none"/>
              </w:rPr>
              <w:t>, “</w:t>
            </w:r>
            <w:r w:rsidRPr="00661595">
              <w:t>own Common Equity Tier 1 instruments that an institution is under an actual or contingent obligation to purchase by virtue of an existing contractual obligation” shall be deducted.</w:t>
            </w:r>
          </w:p>
        </w:tc>
      </w:tr>
      <w:tr w:rsidR="002648B0" w:rsidRPr="00661595" w:rsidTr="00D731E3">
        <w:tc>
          <w:tcPr>
            <w:tcW w:w="1129" w:type="dxa"/>
          </w:tcPr>
          <w:p w:rsidR="002648B0" w:rsidRPr="00661595" w:rsidRDefault="00252454"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648B0" w:rsidRPr="00661595">
              <w:rPr>
                <w:rStyle w:val="FormatvorlageInstructionsTabelleText"/>
                <w:rFonts w:ascii="Times New Roman" w:hAnsi="Times New Roman"/>
                <w:sz w:val="24"/>
              </w:rPr>
              <w:t>130</w:t>
            </w:r>
          </w:p>
        </w:tc>
        <w:tc>
          <w:tcPr>
            <w:tcW w:w="7620" w:type="dxa"/>
          </w:tcPr>
          <w:p w:rsidR="005643EA" w:rsidRPr="00661595" w:rsidRDefault="00666996"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.1.1.2</w:t>
            </w:r>
            <w:r w:rsidR="000D194E" w:rsidRPr="00661595">
              <w:rPr>
                <w:rStyle w:val="InstructionsTabelleberschrift"/>
                <w:rFonts w:ascii="Times New Roman" w:hAnsi="Times New Roman"/>
                <w:sz w:val="24"/>
              </w:rPr>
              <w:tab/>
            </w:r>
            <w:r w:rsidR="002648B0" w:rsidRPr="00661595">
              <w:rPr>
                <w:rStyle w:val="InstructionsTabelleberschrift"/>
                <w:rFonts w:ascii="Times New Roman" w:hAnsi="Times New Roman"/>
                <w:sz w:val="24"/>
              </w:rPr>
              <w:t>Retained earnings</w:t>
            </w:r>
          </w:p>
          <w:p w:rsidR="005643EA" w:rsidRPr="00661595" w:rsidRDefault="00C7103D"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Point (c) of </w:t>
            </w:r>
            <w:r w:rsidR="002648B0" w:rsidRPr="00661595">
              <w:rPr>
                <w:rStyle w:val="FormatvorlageInstructionsTabelleText"/>
                <w:rFonts w:ascii="Times New Roman" w:hAnsi="Times New Roman"/>
                <w:sz w:val="24"/>
              </w:rPr>
              <w:t xml:space="preserve">Article </w:t>
            </w:r>
            <w:r w:rsidR="008D274F" w:rsidRPr="00661595">
              <w:rPr>
                <w:rStyle w:val="FormatvorlageInstructionsTabelleText"/>
                <w:rFonts w:ascii="Times New Roman" w:hAnsi="Times New Roman"/>
                <w:sz w:val="24"/>
              </w:rPr>
              <w:t>26</w:t>
            </w:r>
            <w:r w:rsidR="002648B0" w:rsidRPr="00661595">
              <w:rPr>
                <w:rStyle w:val="FormatvorlageInstructionsTabelleText"/>
                <w:rFonts w:ascii="Times New Roman" w:hAnsi="Times New Roman"/>
                <w:sz w:val="24"/>
              </w:rPr>
              <w:t xml:space="preserve">(1) and </w:t>
            </w:r>
            <w:r w:rsidRPr="00661595">
              <w:rPr>
                <w:rStyle w:val="FormatvorlageInstructionsTabelleText"/>
                <w:rFonts w:ascii="Times New Roman" w:hAnsi="Times New Roman"/>
                <w:sz w:val="24"/>
              </w:rPr>
              <w:t xml:space="preserve">Article </w:t>
            </w:r>
            <w:r w:rsidR="008D274F" w:rsidRPr="00661595">
              <w:rPr>
                <w:rStyle w:val="FormatvorlageInstructionsTabelleText"/>
                <w:rFonts w:ascii="Times New Roman" w:hAnsi="Times New Roman"/>
                <w:sz w:val="24"/>
              </w:rPr>
              <w:t>26</w:t>
            </w:r>
            <w:r w:rsidR="002648B0" w:rsidRPr="00661595">
              <w:rPr>
                <w:rStyle w:val="FormatvorlageInstructionsTabelleText"/>
                <w:rFonts w:ascii="Times New Roman" w:hAnsi="Times New Roman"/>
                <w:sz w:val="24"/>
              </w:rPr>
              <w:t xml:space="preserve">(2) </w:t>
            </w:r>
            <w:r w:rsidRPr="00661595">
              <w:rPr>
                <w:rStyle w:val="FormatvorlageInstructionsTabelleText"/>
                <w:rFonts w:ascii="Times New Roman" w:hAnsi="Times New Roman"/>
                <w:sz w:val="24"/>
              </w:rPr>
              <w:t>CRR</w:t>
            </w:r>
          </w:p>
          <w:p w:rsidR="005643EA" w:rsidRPr="00661595" w:rsidRDefault="002648B0"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Retained earnings includes the previous year retained earnings plus the eligible interim or year-end profits</w:t>
            </w:r>
          </w:p>
        </w:tc>
      </w:tr>
      <w:tr w:rsidR="002648B0" w:rsidRPr="00661595" w:rsidTr="00D731E3">
        <w:tc>
          <w:tcPr>
            <w:tcW w:w="1129" w:type="dxa"/>
          </w:tcPr>
          <w:p w:rsidR="002648B0" w:rsidRPr="00661595" w:rsidRDefault="00252454"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648B0" w:rsidRPr="00661595">
              <w:rPr>
                <w:rStyle w:val="FormatvorlageInstructionsTabelleText"/>
                <w:rFonts w:ascii="Times New Roman" w:hAnsi="Times New Roman"/>
                <w:sz w:val="24"/>
              </w:rPr>
              <w:t>140</w:t>
            </w:r>
          </w:p>
        </w:tc>
        <w:tc>
          <w:tcPr>
            <w:tcW w:w="7620" w:type="dxa"/>
          </w:tcPr>
          <w:p w:rsidR="005643EA" w:rsidRPr="00661595" w:rsidRDefault="00666996"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.1.1.2.1</w:t>
            </w:r>
            <w:r w:rsidR="000D194E" w:rsidRPr="00661595">
              <w:rPr>
                <w:rStyle w:val="InstructionsTabelleberschrift"/>
                <w:rFonts w:ascii="Times New Roman" w:hAnsi="Times New Roman"/>
                <w:sz w:val="24"/>
              </w:rPr>
              <w:tab/>
            </w:r>
            <w:r w:rsidR="002648B0" w:rsidRPr="00661595">
              <w:rPr>
                <w:rStyle w:val="InstructionsTabelleberschrift"/>
                <w:rFonts w:ascii="Times New Roman" w:hAnsi="Times New Roman"/>
                <w:sz w:val="24"/>
              </w:rPr>
              <w:t>Previous years retained earnings</w:t>
            </w:r>
          </w:p>
          <w:p w:rsidR="005643EA" w:rsidRPr="00661595" w:rsidRDefault="00FF2818"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Point (123) of </w:t>
            </w:r>
            <w:r w:rsidR="002648B0" w:rsidRPr="00661595">
              <w:rPr>
                <w:rStyle w:val="FormatvorlageInstructionsTabelleText"/>
                <w:rFonts w:ascii="Times New Roman" w:hAnsi="Times New Roman"/>
                <w:sz w:val="24"/>
              </w:rPr>
              <w:t>Article</w:t>
            </w:r>
            <w:r w:rsidR="00730040" w:rsidRPr="00661595">
              <w:rPr>
                <w:rStyle w:val="FormatvorlageInstructionsTabelleText"/>
                <w:rFonts w:ascii="Times New Roman" w:hAnsi="Times New Roman"/>
                <w:sz w:val="24"/>
              </w:rPr>
              <w:t xml:space="preserve"> </w:t>
            </w:r>
            <w:r w:rsidR="003A4C8B" w:rsidRPr="00661595">
              <w:rPr>
                <w:rStyle w:val="FormatvorlageInstructionsTabelleText"/>
                <w:rFonts w:ascii="Times New Roman" w:hAnsi="Times New Roman"/>
                <w:sz w:val="24"/>
              </w:rPr>
              <w:t>4</w:t>
            </w:r>
            <w:r w:rsidR="007C099C" w:rsidRPr="00661595">
              <w:rPr>
                <w:rStyle w:val="FormatvorlageInstructionsTabelleText"/>
                <w:rFonts w:ascii="Times New Roman" w:hAnsi="Times New Roman"/>
                <w:sz w:val="24"/>
              </w:rPr>
              <w:t>(1)</w:t>
            </w:r>
            <w:r w:rsidR="002648B0" w:rsidRPr="00661595">
              <w:rPr>
                <w:rStyle w:val="FormatvorlageInstructionsTabelleText"/>
                <w:rFonts w:ascii="Times New Roman" w:hAnsi="Times New Roman"/>
                <w:sz w:val="24"/>
              </w:rPr>
              <w:t xml:space="preserve"> and </w:t>
            </w:r>
            <w:r w:rsidR="00C7103D" w:rsidRPr="00661595">
              <w:rPr>
                <w:rStyle w:val="FormatvorlageInstructionsTabelleText"/>
                <w:rFonts w:ascii="Times New Roman" w:hAnsi="Times New Roman"/>
                <w:sz w:val="24"/>
              </w:rPr>
              <w:t xml:space="preserve">point (c) of Article </w:t>
            </w:r>
            <w:r w:rsidR="008D274F" w:rsidRPr="00661595">
              <w:rPr>
                <w:rStyle w:val="FormatvorlageInstructionsTabelleText"/>
                <w:rFonts w:ascii="Times New Roman" w:hAnsi="Times New Roman"/>
                <w:sz w:val="24"/>
              </w:rPr>
              <w:t>26</w:t>
            </w:r>
            <w:r w:rsidR="002648B0" w:rsidRPr="00661595">
              <w:rPr>
                <w:rStyle w:val="FormatvorlageInstructionsTabelleText"/>
                <w:rFonts w:ascii="Times New Roman" w:hAnsi="Times New Roman"/>
                <w:sz w:val="24"/>
              </w:rPr>
              <w:t xml:space="preserve">(1) </w:t>
            </w:r>
            <w:r w:rsidR="00C7103D" w:rsidRPr="00661595">
              <w:rPr>
                <w:rStyle w:val="FormatvorlageInstructionsTabelleText"/>
                <w:rFonts w:ascii="Times New Roman" w:hAnsi="Times New Roman"/>
                <w:sz w:val="24"/>
              </w:rPr>
              <w:t>CRR</w:t>
            </w:r>
          </w:p>
          <w:p w:rsidR="005643EA" w:rsidRPr="00661595" w:rsidRDefault="00FF2818"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Point (123) of </w:t>
            </w:r>
            <w:r w:rsidR="002648B0" w:rsidRPr="00661595">
              <w:rPr>
                <w:rStyle w:val="FormatvorlageInstructionsTabelleText"/>
                <w:rFonts w:ascii="Times New Roman" w:hAnsi="Times New Roman"/>
                <w:sz w:val="24"/>
              </w:rPr>
              <w:t xml:space="preserve">Article </w:t>
            </w:r>
            <w:r w:rsidR="005643EA" w:rsidRPr="00661595">
              <w:rPr>
                <w:rStyle w:val="FormatvorlageInstructionsTabelleText"/>
                <w:rFonts w:ascii="Times New Roman" w:hAnsi="Times New Roman"/>
                <w:sz w:val="24"/>
              </w:rPr>
              <w:t>4</w:t>
            </w:r>
            <w:r w:rsidR="007C099C" w:rsidRPr="00661595">
              <w:rPr>
                <w:rStyle w:val="FormatvorlageInstructionsTabelleText"/>
                <w:rFonts w:ascii="Times New Roman" w:hAnsi="Times New Roman"/>
                <w:sz w:val="24"/>
              </w:rPr>
              <w:t>(1)</w:t>
            </w:r>
            <w:r w:rsidR="002648B0" w:rsidRPr="00661595">
              <w:rPr>
                <w:rStyle w:val="FormatvorlageInstructionsTabelleText"/>
                <w:rFonts w:ascii="Times New Roman" w:hAnsi="Times New Roman"/>
                <w:sz w:val="24"/>
              </w:rPr>
              <w:t xml:space="preserve"> </w:t>
            </w:r>
            <w:r w:rsidR="00C7103D" w:rsidRPr="00661595">
              <w:rPr>
                <w:rStyle w:val="FormatvorlageInstructionsTabelleText"/>
                <w:rFonts w:ascii="Times New Roman" w:hAnsi="Times New Roman"/>
                <w:sz w:val="24"/>
              </w:rPr>
              <w:t>CRR</w:t>
            </w:r>
            <w:r w:rsidR="002648B0" w:rsidRPr="00661595">
              <w:rPr>
                <w:rStyle w:val="FormatvorlageInstructionsTabelleText"/>
                <w:rFonts w:ascii="Times New Roman" w:hAnsi="Times New Roman"/>
                <w:sz w:val="24"/>
              </w:rPr>
              <w:t xml:space="preserve"> defines retained earnings as "Profit and losses brought forward as a result of the final application of profit or loss under the applicable accounting </w:t>
            </w:r>
            <w:r w:rsidR="009F2B54" w:rsidRPr="00661595">
              <w:rPr>
                <w:rStyle w:val="FormatvorlageInstructionsTabelleText"/>
                <w:rFonts w:ascii="Times New Roman" w:hAnsi="Times New Roman"/>
                <w:sz w:val="24"/>
              </w:rPr>
              <w:t>framework</w:t>
            </w:r>
            <w:r w:rsidR="002648B0" w:rsidRPr="00661595">
              <w:rPr>
                <w:rStyle w:val="FormatvorlageInstructionsTabelleText"/>
                <w:rFonts w:ascii="Times New Roman" w:hAnsi="Times New Roman"/>
                <w:sz w:val="24"/>
              </w:rPr>
              <w:t>"</w:t>
            </w:r>
            <w:r w:rsidR="003A4C8B" w:rsidRPr="00661595">
              <w:rPr>
                <w:rStyle w:val="FormatvorlageInstructionsTabelleText"/>
                <w:rFonts w:ascii="Times New Roman" w:hAnsi="Times New Roman"/>
                <w:sz w:val="24"/>
              </w:rPr>
              <w:t>.</w:t>
            </w:r>
          </w:p>
        </w:tc>
      </w:tr>
      <w:tr w:rsidR="002648B0" w:rsidRPr="00661595" w:rsidTr="00D731E3">
        <w:tc>
          <w:tcPr>
            <w:tcW w:w="1129" w:type="dxa"/>
          </w:tcPr>
          <w:p w:rsidR="002648B0" w:rsidRPr="00661595" w:rsidRDefault="00252454"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648B0" w:rsidRPr="00661595">
              <w:rPr>
                <w:rStyle w:val="FormatvorlageInstructionsTabelleText"/>
                <w:rFonts w:ascii="Times New Roman" w:hAnsi="Times New Roman"/>
                <w:sz w:val="24"/>
              </w:rPr>
              <w:t>150</w:t>
            </w:r>
          </w:p>
        </w:tc>
        <w:tc>
          <w:tcPr>
            <w:tcW w:w="7620" w:type="dxa"/>
          </w:tcPr>
          <w:p w:rsidR="005643EA" w:rsidRPr="00661595" w:rsidRDefault="00666996"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.1.1.2.2</w:t>
            </w:r>
            <w:r w:rsidR="000D194E" w:rsidRPr="00661595">
              <w:rPr>
                <w:rStyle w:val="InstructionsTabelleberschrift"/>
                <w:rFonts w:ascii="Times New Roman" w:hAnsi="Times New Roman"/>
                <w:sz w:val="24"/>
              </w:rPr>
              <w:tab/>
            </w:r>
            <w:r w:rsidR="002648B0" w:rsidRPr="00661595">
              <w:rPr>
                <w:rStyle w:val="InstructionsTabelleberschrift"/>
                <w:rFonts w:ascii="Times New Roman" w:hAnsi="Times New Roman"/>
                <w:sz w:val="24"/>
              </w:rPr>
              <w:t>Profit or loss eligible</w:t>
            </w:r>
          </w:p>
          <w:p w:rsidR="005643EA" w:rsidRPr="00661595" w:rsidRDefault="00FF2818"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Point (121) of </w:t>
            </w:r>
            <w:r w:rsidR="002648B0" w:rsidRPr="00661595">
              <w:rPr>
                <w:rStyle w:val="FormatvorlageInstructionsTabelleText"/>
                <w:rFonts w:ascii="Times New Roman" w:hAnsi="Times New Roman"/>
                <w:sz w:val="24"/>
              </w:rPr>
              <w:t xml:space="preserve">Article </w:t>
            </w:r>
            <w:r w:rsidR="003A4C8B" w:rsidRPr="00661595">
              <w:rPr>
                <w:rStyle w:val="FormatvorlageInstructionsTabelleText"/>
                <w:rFonts w:ascii="Times New Roman" w:hAnsi="Times New Roman"/>
                <w:sz w:val="24"/>
              </w:rPr>
              <w:t>4</w:t>
            </w:r>
            <w:r w:rsidR="007C099C" w:rsidRPr="00661595">
              <w:rPr>
                <w:rStyle w:val="FormatvorlageInstructionsTabelleText"/>
                <w:rFonts w:ascii="Times New Roman" w:hAnsi="Times New Roman"/>
                <w:sz w:val="24"/>
              </w:rPr>
              <w:t>(1)</w:t>
            </w:r>
            <w:r w:rsidR="002648B0" w:rsidRPr="00661595">
              <w:rPr>
                <w:rStyle w:val="FormatvorlageInstructionsTabelleText"/>
                <w:rFonts w:ascii="Times New Roman" w:hAnsi="Times New Roman"/>
                <w:sz w:val="24"/>
              </w:rPr>
              <w:t xml:space="preserve">, </w:t>
            </w:r>
            <w:r w:rsidRPr="00661595">
              <w:rPr>
                <w:rStyle w:val="FormatvorlageInstructionsTabelleText"/>
                <w:rFonts w:ascii="Times New Roman" w:hAnsi="Times New Roman"/>
                <w:sz w:val="24"/>
              </w:rPr>
              <w:t>Article </w:t>
            </w:r>
            <w:r w:rsidR="003A4C8B" w:rsidRPr="00661595">
              <w:rPr>
                <w:rStyle w:val="FormatvorlageInstructionsTabelleText"/>
                <w:rFonts w:ascii="Times New Roman" w:hAnsi="Times New Roman"/>
                <w:sz w:val="24"/>
              </w:rPr>
              <w:t>26</w:t>
            </w:r>
            <w:r w:rsidR="002648B0" w:rsidRPr="00661595">
              <w:rPr>
                <w:rStyle w:val="FormatvorlageInstructionsTabelleText"/>
                <w:rFonts w:ascii="Times New Roman" w:hAnsi="Times New Roman"/>
                <w:sz w:val="24"/>
              </w:rPr>
              <w:t xml:space="preserve">(2) and </w:t>
            </w:r>
            <w:r w:rsidR="00C7103D" w:rsidRPr="00661595">
              <w:rPr>
                <w:rStyle w:val="FormatvorlageInstructionsTabelleText"/>
                <w:rFonts w:ascii="Times New Roman" w:hAnsi="Times New Roman"/>
                <w:sz w:val="24"/>
              </w:rPr>
              <w:t xml:space="preserve">point (a) of Article </w:t>
            </w:r>
            <w:r w:rsidR="00407110" w:rsidRPr="00661595">
              <w:rPr>
                <w:rStyle w:val="FormatvorlageInstructionsTabelleText"/>
                <w:rFonts w:ascii="Times New Roman" w:hAnsi="Times New Roman"/>
                <w:sz w:val="24"/>
              </w:rPr>
              <w:t>36(</w:t>
            </w:r>
            <w:r w:rsidR="002648B0" w:rsidRPr="00661595">
              <w:rPr>
                <w:rStyle w:val="FormatvorlageInstructionsTabelleText"/>
                <w:rFonts w:ascii="Times New Roman" w:hAnsi="Times New Roman"/>
                <w:sz w:val="24"/>
              </w:rPr>
              <w:t xml:space="preserve">1) </w:t>
            </w:r>
            <w:r w:rsidR="00C7103D" w:rsidRPr="00661595">
              <w:rPr>
                <w:rStyle w:val="FormatvorlageInstructionsTabelleText"/>
                <w:rFonts w:ascii="Times New Roman" w:hAnsi="Times New Roman"/>
                <w:sz w:val="24"/>
              </w:rPr>
              <w:t>CRR</w:t>
            </w:r>
          </w:p>
          <w:p w:rsidR="005643EA" w:rsidRPr="00661595" w:rsidRDefault="002648B0"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Article </w:t>
            </w:r>
            <w:r w:rsidR="008D274F" w:rsidRPr="00661595">
              <w:rPr>
                <w:rStyle w:val="FormatvorlageInstructionsTabelleText"/>
                <w:rFonts w:ascii="Times New Roman" w:hAnsi="Times New Roman"/>
                <w:sz w:val="24"/>
              </w:rPr>
              <w:t>26</w:t>
            </w:r>
            <w:r w:rsidRPr="00661595">
              <w:rPr>
                <w:rStyle w:val="FormatvorlageInstructionsTabelleText"/>
                <w:rFonts w:ascii="Times New Roman" w:hAnsi="Times New Roman"/>
                <w:sz w:val="24"/>
              </w:rPr>
              <w:t xml:space="preserve">(2) </w:t>
            </w:r>
            <w:r w:rsidR="00C7103D" w:rsidRPr="00661595">
              <w:rPr>
                <w:rStyle w:val="FormatvorlageInstructionsTabelleText"/>
                <w:rFonts w:ascii="Times New Roman" w:hAnsi="Times New Roman"/>
                <w:sz w:val="24"/>
              </w:rPr>
              <w:t>CRR</w:t>
            </w:r>
            <w:r w:rsidRPr="00661595">
              <w:rPr>
                <w:rStyle w:val="FormatvorlageInstructionsTabelleText"/>
                <w:rFonts w:ascii="Times New Roman" w:hAnsi="Times New Roman"/>
                <w:sz w:val="24"/>
              </w:rPr>
              <w:t xml:space="preserve"> allows including as retained earnings interim or year-end profits, with the prior consent of the competent authorities, if some conditions are met. </w:t>
            </w:r>
          </w:p>
          <w:p w:rsidR="005643EA" w:rsidRPr="00661595" w:rsidRDefault="002648B0"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On the other hand, losses shall be deducted from CET1, as stated in </w:t>
            </w:r>
            <w:r w:rsidR="00C7103D" w:rsidRPr="00661595">
              <w:rPr>
                <w:rStyle w:val="FormatvorlageInstructionsTabelleText"/>
                <w:rFonts w:ascii="Times New Roman" w:hAnsi="Times New Roman"/>
                <w:sz w:val="24"/>
              </w:rPr>
              <w:t>point (a) of A</w:t>
            </w:r>
            <w:r w:rsidRPr="00661595">
              <w:rPr>
                <w:rStyle w:val="FormatvorlageInstructionsTabelleText"/>
                <w:rFonts w:ascii="Times New Roman" w:hAnsi="Times New Roman"/>
                <w:sz w:val="24"/>
              </w:rPr>
              <w:t xml:space="preserve">rticle </w:t>
            </w:r>
            <w:r w:rsidR="00407110" w:rsidRPr="00661595">
              <w:rPr>
                <w:rStyle w:val="FormatvorlageInstructionsTabelleText"/>
                <w:rFonts w:ascii="Times New Roman" w:hAnsi="Times New Roman"/>
                <w:sz w:val="24"/>
              </w:rPr>
              <w:t>36(</w:t>
            </w:r>
            <w:r w:rsidRPr="00661595">
              <w:rPr>
                <w:rStyle w:val="FormatvorlageInstructionsTabelleText"/>
                <w:rFonts w:ascii="Times New Roman" w:hAnsi="Times New Roman"/>
                <w:sz w:val="24"/>
              </w:rPr>
              <w:t xml:space="preserve">1) </w:t>
            </w:r>
            <w:r w:rsidR="00C7103D" w:rsidRPr="00661595">
              <w:rPr>
                <w:rStyle w:val="FormatvorlageInstructionsTabelleText"/>
                <w:rFonts w:ascii="Times New Roman" w:hAnsi="Times New Roman"/>
                <w:sz w:val="24"/>
              </w:rPr>
              <w:t>CRR</w:t>
            </w:r>
            <w:r w:rsidR="003A4C8B" w:rsidRPr="00661595">
              <w:rPr>
                <w:rStyle w:val="FormatvorlageInstructionsTabelleText"/>
                <w:rFonts w:ascii="Times New Roman" w:hAnsi="Times New Roman"/>
                <w:sz w:val="24"/>
              </w:rPr>
              <w:t>.</w:t>
            </w:r>
          </w:p>
        </w:tc>
      </w:tr>
      <w:tr w:rsidR="002648B0" w:rsidRPr="00661595" w:rsidTr="00D731E3">
        <w:tc>
          <w:tcPr>
            <w:tcW w:w="1129" w:type="dxa"/>
          </w:tcPr>
          <w:p w:rsidR="002648B0" w:rsidRPr="00661595" w:rsidRDefault="00252454"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648B0" w:rsidRPr="00661595">
              <w:rPr>
                <w:rStyle w:val="FormatvorlageInstructionsTabelleText"/>
                <w:rFonts w:ascii="Times New Roman" w:hAnsi="Times New Roman"/>
                <w:sz w:val="24"/>
              </w:rPr>
              <w:t>160</w:t>
            </w:r>
          </w:p>
        </w:tc>
        <w:tc>
          <w:tcPr>
            <w:tcW w:w="7620" w:type="dxa"/>
          </w:tcPr>
          <w:p w:rsidR="005643EA" w:rsidRPr="00661595" w:rsidRDefault="00666996"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.1.1.2.2.1</w:t>
            </w:r>
            <w:r w:rsidR="000D194E" w:rsidRPr="00661595">
              <w:rPr>
                <w:rStyle w:val="InstructionsTabelleberschrift"/>
                <w:rFonts w:ascii="Times New Roman" w:hAnsi="Times New Roman"/>
                <w:sz w:val="24"/>
              </w:rPr>
              <w:tab/>
            </w:r>
            <w:r w:rsidR="002648B0" w:rsidRPr="00661595">
              <w:rPr>
                <w:rStyle w:val="InstructionsTabelleberschrift"/>
                <w:rFonts w:ascii="Times New Roman" w:hAnsi="Times New Roman"/>
                <w:sz w:val="24"/>
              </w:rPr>
              <w:t>Profit or loss attributable to owners of the parent</w:t>
            </w:r>
          </w:p>
          <w:p w:rsidR="005643EA" w:rsidRPr="00661595" w:rsidRDefault="002648B0"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Article </w:t>
            </w:r>
            <w:r w:rsidR="008D274F" w:rsidRPr="00661595">
              <w:rPr>
                <w:rStyle w:val="FormatvorlageInstructionsTabelleText"/>
                <w:rFonts w:ascii="Times New Roman" w:hAnsi="Times New Roman"/>
                <w:sz w:val="24"/>
              </w:rPr>
              <w:t>26</w:t>
            </w:r>
            <w:r w:rsidRPr="00661595">
              <w:rPr>
                <w:rStyle w:val="FormatvorlageInstructionsTabelleText"/>
                <w:rFonts w:ascii="Times New Roman" w:hAnsi="Times New Roman"/>
                <w:sz w:val="24"/>
              </w:rPr>
              <w:t>(2) and</w:t>
            </w:r>
            <w:r w:rsidR="00730040" w:rsidRPr="00661595">
              <w:rPr>
                <w:rStyle w:val="FormatvorlageInstructionsTabelleText"/>
                <w:rFonts w:ascii="Times New Roman" w:hAnsi="Times New Roman"/>
                <w:sz w:val="24"/>
              </w:rPr>
              <w:t xml:space="preserve"> </w:t>
            </w:r>
            <w:r w:rsidR="00C7103D" w:rsidRPr="00661595">
              <w:rPr>
                <w:rStyle w:val="FormatvorlageInstructionsTabelleText"/>
                <w:rFonts w:ascii="Times New Roman" w:hAnsi="Times New Roman"/>
                <w:sz w:val="24"/>
              </w:rPr>
              <w:t xml:space="preserve">point (a) of Article </w:t>
            </w:r>
            <w:r w:rsidR="00407110" w:rsidRPr="00661595">
              <w:rPr>
                <w:rStyle w:val="FormatvorlageInstructionsTabelleText"/>
                <w:rFonts w:ascii="Times New Roman" w:hAnsi="Times New Roman"/>
                <w:sz w:val="24"/>
              </w:rPr>
              <w:t>36(</w:t>
            </w:r>
            <w:r w:rsidRPr="00661595">
              <w:rPr>
                <w:rStyle w:val="FormatvorlageInstructionsTabelleText"/>
                <w:rFonts w:ascii="Times New Roman" w:hAnsi="Times New Roman"/>
                <w:sz w:val="24"/>
              </w:rPr>
              <w:t xml:space="preserve">1) </w:t>
            </w:r>
            <w:r w:rsidR="00C7103D" w:rsidRPr="00661595">
              <w:rPr>
                <w:rStyle w:val="FormatvorlageInstructionsTabelleText"/>
                <w:rFonts w:ascii="Times New Roman" w:hAnsi="Times New Roman"/>
                <w:sz w:val="24"/>
              </w:rPr>
              <w:t>CRR</w:t>
            </w:r>
          </w:p>
          <w:p w:rsidR="005643EA" w:rsidRPr="00661595" w:rsidRDefault="002648B0"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The amount to be reported shall be the profit or loss reported in the accounting income statement</w:t>
            </w:r>
            <w:r w:rsidR="003A4C8B" w:rsidRPr="00661595">
              <w:rPr>
                <w:rStyle w:val="FormatvorlageInstructionsTabelleText"/>
                <w:rFonts w:ascii="Times New Roman" w:hAnsi="Times New Roman"/>
                <w:sz w:val="24"/>
              </w:rPr>
              <w:t>.</w:t>
            </w:r>
          </w:p>
        </w:tc>
      </w:tr>
      <w:tr w:rsidR="002648B0" w:rsidRPr="00661595" w:rsidTr="00D731E3">
        <w:tc>
          <w:tcPr>
            <w:tcW w:w="1129" w:type="dxa"/>
          </w:tcPr>
          <w:p w:rsidR="002648B0" w:rsidRPr="00661595" w:rsidRDefault="00A20B7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648B0" w:rsidRPr="00661595">
              <w:rPr>
                <w:rStyle w:val="FormatvorlageInstructionsTabelleText"/>
                <w:rFonts w:ascii="Times New Roman" w:hAnsi="Times New Roman"/>
                <w:sz w:val="24"/>
              </w:rPr>
              <w:t>170</w:t>
            </w:r>
          </w:p>
        </w:tc>
        <w:tc>
          <w:tcPr>
            <w:tcW w:w="7620" w:type="dxa"/>
          </w:tcPr>
          <w:p w:rsidR="005643EA" w:rsidRPr="00661595" w:rsidRDefault="00666996"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.1.1.2.2.2</w:t>
            </w:r>
            <w:r w:rsidR="000D194E" w:rsidRPr="00661595">
              <w:rPr>
                <w:rStyle w:val="InstructionsTabelleberschrift"/>
                <w:rFonts w:ascii="Times New Roman" w:hAnsi="Times New Roman"/>
                <w:sz w:val="24"/>
              </w:rPr>
              <w:tab/>
            </w:r>
            <w:r w:rsidR="002648B0" w:rsidRPr="00661595">
              <w:rPr>
                <w:rStyle w:val="InstructionsTabelleberschrift"/>
                <w:rFonts w:ascii="Times New Roman" w:hAnsi="Times New Roman"/>
                <w:sz w:val="24"/>
              </w:rPr>
              <w:t>(-) Part of interim or year-end profit not eligible</w:t>
            </w:r>
          </w:p>
          <w:p w:rsidR="005643EA" w:rsidRPr="00661595" w:rsidRDefault="002648B0"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Article </w:t>
            </w:r>
            <w:r w:rsidR="008D274F" w:rsidRPr="00661595">
              <w:rPr>
                <w:rStyle w:val="FormatvorlageInstructionsTabelleText"/>
                <w:rFonts w:ascii="Times New Roman" w:hAnsi="Times New Roman"/>
                <w:sz w:val="24"/>
              </w:rPr>
              <w:t>26</w:t>
            </w:r>
            <w:r w:rsidRPr="00661595">
              <w:rPr>
                <w:rStyle w:val="FormatvorlageInstructionsTabelleText"/>
                <w:rFonts w:ascii="Times New Roman" w:hAnsi="Times New Roman"/>
                <w:sz w:val="24"/>
              </w:rPr>
              <w:t xml:space="preserve">(2) </w:t>
            </w:r>
            <w:r w:rsidR="00C7103D" w:rsidRPr="00661595">
              <w:rPr>
                <w:rStyle w:val="FormatvorlageInstructionsTabelleText"/>
                <w:rFonts w:ascii="Times New Roman" w:hAnsi="Times New Roman"/>
                <w:sz w:val="24"/>
              </w:rPr>
              <w:t>CRR</w:t>
            </w:r>
          </w:p>
          <w:p w:rsidR="005643EA" w:rsidRPr="00661595" w:rsidRDefault="002648B0"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This row shall not present any figure if, for the reference period, the institution has reported losses</w:t>
            </w:r>
            <w:r w:rsidR="00C7103D" w:rsidRPr="00661595">
              <w:rPr>
                <w:rStyle w:val="FormatvorlageInstructionsTabelleText"/>
                <w:rFonts w:ascii="Times New Roman" w:hAnsi="Times New Roman"/>
                <w:sz w:val="24"/>
              </w:rPr>
              <w:t>,</w:t>
            </w:r>
            <w:r w:rsidRPr="00661595">
              <w:rPr>
                <w:rStyle w:val="FormatvorlageInstructionsTabelleText"/>
                <w:rFonts w:ascii="Times New Roman" w:hAnsi="Times New Roman"/>
                <w:sz w:val="24"/>
              </w:rPr>
              <w:t xml:space="preserve"> because the losses </w:t>
            </w:r>
            <w:r w:rsidR="00C93697" w:rsidRPr="00661595">
              <w:rPr>
                <w:rStyle w:val="FormatvorlageInstructionsTabelleText"/>
                <w:rFonts w:ascii="Times New Roman" w:hAnsi="Times New Roman"/>
                <w:sz w:val="24"/>
              </w:rPr>
              <w:t>shall</w:t>
            </w:r>
            <w:r w:rsidRPr="00661595">
              <w:rPr>
                <w:rStyle w:val="FormatvorlageInstructionsTabelleText"/>
                <w:rFonts w:ascii="Times New Roman" w:hAnsi="Times New Roman"/>
                <w:sz w:val="24"/>
              </w:rPr>
              <w:t xml:space="preserve"> be completely deducted from CET1</w:t>
            </w:r>
            <w:r w:rsidR="00BA1C6C" w:rsidRPr="00661595">
              <w:rPr>
                <w:rStyle w:val="FormatvorlageInstructionsTabelleText"/>
                <w:rFonts w:ascii="Times New Roman" w:hAnsi="Times New Roman"/>
                <w:sz w:val="24"/>
              </w:rPr>
              <w:t>.</w:t>
            </w:r>
          </w:p>
          <w:p w:rsidR="005643EA" w:rsidRPr="00661595" w:rsidRDefault="002648B0"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If the institution reports profits, the </w:t>
            </w:r>
            <w:r w:rsidR="0002267E" w:rsidRPr="00661595">
              <w:rPr>
                <w:rStyle w:val="FormatvorlageInstructionsTabelleText"/>
                <w:rFonts w:ascii="Times New Roman" w:hAnsi="Times New Roman"/>
                <w:sz w:val="24"/>
              </w:rPr>
              <w:t>part, which is not eligible according to Article 26(2) CRR (i.e. profits not audited and foreseeable charges or dividends),</w:t>
            </w:r>
            <w:r w:rsidR="00C7103D" w:rsidRPr="00661595">
              <w:rPr>
                <w:rStyle w:val="FormatvorlageInstructionsTabelleText"/>
                <w:rFonts w:ascii="Times New Roman" w:hAnsi="Times New Roman"/>
                <w:sz w:val="24"/>
              </w:rPr>
              <w:t xml:space="preserve"> shall be reported.</w:t>
            </w:r>
          </w:p>
          <w:p w:rsidR="005643EA" w:rsidRPr="00661595" w:rsidRDefault="002648B0"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Note that, in case of profits, the amount to be deduced </w:t>
            </w:r>
            <w:r w:rsidR="00C93697" w:rsidRPr="00661595">
              <w:rPr>
                <w:rStyle w:val="FormatvorlageInstructionsTabelleText"/>
                <w:rFonts w:ascii="Times New Roman" w:hAnsi="Times New Roman"/>
                <w:sz w:val="24"/>
              </w:rPr>
              <w:t>shall</w:t>
            </w:r>
            <w:r w:rsidRPr="00661595">
              <w:rPr>
                <w:rStyle w:val="FormatvorlageInstructionsTabelleText"/>
                <w:rFonts w:ascii="Times New Roman" w:hAnsi="Times New Roman"/>
                <w:sz w:val="24"/>
              </w:rPr>
              <w:t xml:space="preserve"> be, at least, the interim dividends</w:t>
            </w:r>
            <w:r w:rsidR="00BA1C6C" w:rsidRPr="00661595">
              <w:rPr>
                <w:rStyle w:val="FormatvorlageInstructionsTabelleText"/>
                <w:rFonts w:ascii="Times New Roman" w:hAnsi="Times New Roman"/>
                <w:sz w:val="24"/>
              </w:rPr>
              <w:t>.</w:t>
            </w:r>
          </w:p>
        </w:tc>
      </w:tr>
      <w:tr w:rsidR="002648B0" w:rsidRPr="00661595" w:rsidTr="00D731E3">
        <w:tc>
          <w:tcPr>
            <w:tcW w:w="1129" w:type="dxa"/>
          </w:tcPr>
          <w:p w:rsidR="002648B0" w:rsidRPr="00661595" w:rsidRDefault="00A20B7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648B0" w:rsidRPr="00661595">
              <w:rPr>
                <w:rStyle w:val="FormatvorlageInstructionsTabelleText"/>
                <w:rFonts w:ascii="Times New Roman" w:hAnsi="Times New Roman"/>
                <w:sz w:val="24"/>
              </w:rPr>
              <w:t>180</w:t>
            </w:r>
          </w:p>
        </w:tc>
        <w:tc>
          <w:tcPr>
            <w:tcW w:w="7620" w:type="dxa"/>
          </w:tcPr>
          <w:p w:rsidR="005643EA" w:rsidRPr="00661595" w:rsidRDefault="00666996"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.1.1.3</w:t>
            </w:r>
            <w:r w:rsidR="000D194E" w:rsidRPr="00661595">
              <w:rPr>
                <w:rStyle w:val="InstructionsTabelleberschrift"/>
                <w:rFonts w:ascii="Times New Roman" w:hAnsi="Times New Roman"/>
                <w:sz w:val="24"/>
              </w:rPr>
              <w:tab/>
            </w:r>
            <w:r w:rsidR="002648B0" w:rsidRPr="00661595">
              <w:rPr>
                <w:rStyle w:val="InstructionsTabelleberschrift"/>
                <w:rFonts w:ascii="Times New Roman" w:hAnsi="Times New Roman"/>
                <w:sz w:val="24"/>
              </w:rPr>
              <w:t>Accumulated other comprehensive income</w:t>
            </w:r>
          </w:p>
          <w:p w:rsidR="005643EA" w:rsidRPr="00661595" w:rsidRDefault="00FF2818"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Point (100) of </w:t>
            </w:r>
            <w:r w:rsidR="002648B0" w:rsidRPr="00661595">
              <w:rPr>
                <w:rStyle w:val="FormatvorlageInstructionsTabelleText"/>
                <w:rFonts w:ascii="Times New Roman" w:hAnsi="Times New Roman"/>
                <w:sz w:val="24"/>
              </w:rPr>
              <w:t xml:space="preserve">Article </w:t>
            </w:r>
            <w:r w:rsidR="005643EA" w:rsidRPr="00661595">
              <w:rPr>
                <w:rStyle w:val="FormatvorlageInstructionsTabelleText"/>
                <w:rFonts w:ascii="Times New Roman" w:hAnsi="Times New Roman"/>
                <w:sz w:val="24"/>
              </w:rPr>
              <w:t>4</w:t>
            </w:r>
            <w:r w:rsidR="00805255" w:rsidRPr="00661595">
              <w:rPr>
                <w:rStyle w:val="FormatvorlageInstructionsTabelleText"/>
                <w:rFonts w:ascii="Times New Roman" w:hAnsi="Times New Roman"/>
                <w:sz w:val="24"/>
              </w:rPr>
              <w:t>(1)</w:t>
            </w:r>
            <w:r w:rsidR="002648B0" w:rsidRPr="00661595">
              <w:rPr>
                <w:rStyle w:val="FormatvorlageInstructionsTabelleText"/>
                <w:rFonts w:ascii="Times New Roman" w:hAnsi="Times New Roman"/>
                <w:sz w:val="24"/>
              </w:rPr>
              <w:t xml:space="preserve"> and </w:t>
            </w:r>
            <w:r w:rsidR="00C7103D" w:rsidRPr="00661595">
              <w:rPr>
                <w:rStyle w:val="FormatvorlageInstructionsTabelleText"/>
                <w:rFonts w:ascii="Times New Roman" w:hAnsi="Times New Roman"/>
                <w:sz w:val="24"/>
              </w:rPr>
              <w:t xml:space="preserve">point (d) of Article </w:t>
            </w:r>
            <w:r w:rsidR="008D274F" w:rsidRPr="00661595">
              <w:rPr>
                <w:rStyle w:val="FormatvorlageInstructionsTabelleText"/>
                <w:rFonts w:ascii="Times New Roman" w:hAnsi="Times New Roman"/>
                <w:sz w:val="24"/>
              </w:rPr>
              <w:t>26</w:t>
            </w:r>
            <w:r w:rsidR="002648B0" w:rsidRPr="00661595">
              <w:rPr>
                <w:rStyle w:val="FormatvorlageInstructionsTabelleText"/>
                <w:rFonts w:ascii="Times New Roman" w:hAnsi="Times New Roman"/>
                <w:sz w:val="24"/>
              </w:rPr>
              <w:t xml:space="preserve">(1) </w:t>
            </w:r>
            <w:r w:rsidR="00C7103D" w:rsidRPr="00661595">
              <w:rPr>
                <w:rStyle w:val="FormatvorlageInstructionsTabelleText"/>
                <w:rFonts w:ascii="Times New Roman" w:hAnsi="Times New Roman"/>
                <w:sz w:val="24"/>
              </w:rPr>
              <w:t>CRR</w:t>
            </w:r>
          </w:p>
          <w:p w:rsidR="005643EA" w:rsidRPr="00661595" w:rsidRDefault="002648B0"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The amount to be reported shall be net of any tax charge foreseeable at the moment of the calculation, and prior to the application of prudential filters</w:t>
            </w:r>
            <w:r w:rsidR="00967FAE" w:rsidRPr="00661595">
              <w:rPr>
                <w:rStyle w:val="FormatvorlageInstructionsTabelleText"/>
                <w:rFonts w:ascii="Times New Roman" w:hAnsi="Times New Roman"/>
                <w:sz w:val="24"/>
              </w:rPr>
              <w:t xml:space="preserve">. The amount to be reported shall </w:t>
            </w:r>
            <w:r w:rsidR="0034786E" w:rsidRPr="00661595">
              <w:rPr>
                <w:rStyle w:val="FormatvorlageInstructionsTabelleText"/>
                <w:rFonts w:ascii="Times New Roman" w:hAnsi="Times New Roman"/>
                <w:iCs/>
                <w:sz w:val="24"/>
              </w:rPr>
              <w:t>be determined in accordance with</w:t>
            </w:r>
            <w:r w:rsidR="00967FAE" w:rsidRPr="00661595">
              <w:rPr>
                <w:rStyle w:val="FormatvorlageInstructionsTabelleText"/>
                <w:rFonts w:ascii="Times New Roman" w:hAnsi="Times New Roman"/>
                <w:iCs/>
                <w:sz w:val="24"/>
              </w:rPr>
              <w:t xml:space="preserve"> </w:t>
            </w:r>
            <w:r w:rsidR="00967FAE" w:rsidRPr="00661595">
              <w:rPr>
                <w:rStyle w:val="FormatvorlageInstructionsTabelleText"/>
                <w:rFonts w:ascii="Times New Roman" w:hAnsi="Times New Roman"/>
                <w:sz w:val="24"/>
              </w:rPr>
              <w:t>Article 1</w:t>
            </w:r>
            <w:r w:rsidR="0034786E" w:rsidRPr="00661595">
              <w:rPr>
                <w:rStyle w:val="FormatvorlageInstructionsTabelleText"/>
                <w:rFonts w:ascii="Times New Roman" w:hAnsi="Times New Roman"/>
                <w:sz w:val="24"/>
              </w:rPr>
              <w:t>3</w:t>
            </w:r>
            <w:r w:rsidR="00967FAE" w:rsidRPr="00661595">
              <w:rPr>
                <w:rStyle w:val="FormatvorlageInstructionsTabelleText"/>
                <w:rFonts w:ascii="Times New Roman" w:hAnsi="Times New Roman"/>
                <w:sz w:val="24"/>
              </w:rPr>
              <w:t>(4) of</w:t>
            </w:r>
            <w:r w:rsidR="00FE3BD8" w:rsidRPr="00661595">
              <w:rPr>
                <w:rStyle w:val="FormatvorlageInstructionsTabelleText"/>
                <w:rFonts w:ascii="Times New Roman" w:hAnsi="Times New Roman"/>
                <w:sz w:val="24"/>
              </w:rPr>
              <w:t xml:space="preserve"> </w:t>
            </w:r>
            <w:r w:rsidR="00E871FE" w:rsidRPr="00661595">
              <w:rPr>
                <w:rStyle w:val="FormatvorlageInstructionsTabelleText"/>
                <w:rFonts w:ascii="Times New Roman" w:hAnsi="Times New Roman"/>
                <w:sz w:val="24"/>
              </w:rPr>
              <w:t>Commission Delegated Regu</w:t>
            </w:r>
            <w:r w:rsidR="0034786E" w:rsidRPr="00661595">
              <w:rPr>
                <w:rStyle w:val="FormatvorlageInstructionsTabelleText"/>
                <w:rFonts w:ascii="Times New Roman" w:hAnsi="Times New Roman"/>
                <w:sz w:val="24"/>
              </w:rPr>
              <w:t>lation (EU) No 241/2014</w:t>
            </w:r>
            <w:r w:rsidR="00C7103D" w:rsidRPr="00661595">
              <w:rPr>
                <w:rStyle w:val="FootnoteReference"/>
                <w:rFonts w:ascii="Times New Roman" w:hAnsi="Times New Roman"/>
                <w:bCs/>
                <w:sz w:val="24"/>
                <w:szCs w:val="24"/>
                <w:vertAlign w:val="superscript"/>
              </w:rPr>
              <w:footnoteReference w:id="7"/>
            </w:r>
            <w:r w:rsidR="00E871FE" w:rsidRPr="00661595">
              <w:rPr>
                <w:rStyle w:val="FormatvorlageInstructionsTabelleText"/>
                <w:rFonts w:ascii="Times New Roman" w:hAnsi="Times New Roman"/>
                <w:sz w:val="24"/>
              </w:rPr>
              <w:t xml:space="preserve">. </w:t>
            </w:r>
          </w:p>
        </w:tc>
      </w:tr>
      <w:tr w:rsidR="002648B0" w:rsidRPr="00661595" w:rsidTr="00D731E3">
        <w:tc>
          <w:tcPr>
            <w:tcW w:w="1129" w:type="dxa"/>
          </w:tcPr>
          <w:p w:rsidR="002648B0" w:rsidRPr="00661595" w:rsidRDefault="00A20B7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648B0" w:rsidRPr="00661595">
              <w:rPr>
                <w:rStyle w:val="FormatvorlageInstructionsTabelleText"/>
                <w:rFonts w:ascii="Times New Roman" w:hAnsi="Times New Roman"/>
                <w:sz w:val="24"/>
              </w:rPr>
              <w:t>200</w:t>
            </w:r>
          </w:p>
        </w:tc>
        <w:tc>
          <w:tcPr>
            <w:tcW w:w="7620" w:type="dxa"/>
          </w:tcPr>
          <w:p w:rsidR="005643EA" w:rsidRPr="00661595" w:rsidRDefault="00666996"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.1.1.4</w:t>
            </w:r>
            <w:r w:rsidR="000D194E" w:rsidRPr="00661595">
              <w:rPr>
                <w:rStyle w:val="InstructionsTabelleberschrift"/>
                <w:rFonts w:ascii="Times New Roman" w:hAnsi="Times New Roman"/>
                <w:sz w:val="24"/>
              </w:rPr>
              <w:tab/>
            </w:r>
            <w:r w:rsidR="002648B0" w:rsidRPr="00661595">
              <w:rPr>
                <w:rStyle w:val="InstructionsTabelleberschrift"/>
                <w:rFonts w:ascii="Times New Roman" w:hAnsi="Times New Roman"/>
                <w:sz w:val="24"/>
              </w:rPr>
              <w:t>Other reserves</w:t>
            </w:r>
          </w:p>
          <w:p w:rsidR="005643EA" w:rsidRPr="00661595" w:rsidRDefault="00FF2818"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Point (117) of </w:t>
            </w:r>
            <w:r w:rsidR="002648B0" w:rsidRPr="00661595">
              <w:rPr>
                <w:rStyle w:val="FormatvorlageInstructionsTabelleText"/>
                <w:rFonts w:ascii="Times New Roman" w:hAnsi="Times New Roman"/>
                <w:sz w:val="24"/>
              </w:rPr>
              <w:t xml:space="preserve">Article </w:t>
            </w:r>
            <w:r w:rsidR="005643EA" w:rsidRPr="00661595">
              <w:rPr>
                <w:rStyle w:val="FormatvorlageInstructionsTabelleText"/>
                <w:rFonts w:ascii="Times New Roman" w:hAnsi="Times New Roman"/>
                <w:sz w:val="24"/>
              </w:rPr>
              <w:t>4</w:t>
            </w:r>
            <w:r w:rsidR="00805255" w:rsidRPr="00661595">
              <w:rPr>
                <w:rStyle w:val="FormatvorlageInstructionsTabelleText"/>
                <w:rFonts w:ascii="Times New Roman" w:hAnsi="Times New Roman"/>
                <w:sz w:val="24"/>
              </w:rPr>
              <w:t>(1)</w:t>
            </w:r>
            <w:r w:rsidR="002648B0" w:rsidRPr="00661595">
              <w:rPr>
                <w:rStyle w:val="FormatvorlageInstructionsTabelleText"/>
                <w:rFonts w:ascii="Times New Roman" w:hAnsi="Times New Roman"/>
                <w:sz w:val="24"/>
              </w:rPr>
              <w:t xml:space="preserve"> and </w:t>
            </w:r>
            <w:r w:rsidR="00C7103D" w:rsidRPr="00661595">
              <w:rPr>
                <w:rStyle w:val="FormatvorlageInstructionsTabelleText"/>
                <w:rFonts w:ascii="Times New Roman" w:hAnsi="Times New Roman"/>
                <w:sz w:val="24"/>
              </w:rPr>
              <w:t xml:space="preserve">point (e) of Article </w:t>
            </w:r>
            <w:r w:rsidR="008D274F" w:rsidRPr="00661595">
              <w:rPr>
                <w:rStyle w:val="FormatvorlageInstructionsTabelleText"/>
                <w:rFonts w:ascii="Times New Roman" w:hAnsi="Times New Roman"/>
                <w:sz w:val="24"/>
              </w:rPr>
              <w:t>26</w:t>
            </w:r>
            <w:r w:rsidR="002648B0" w:rsidRPr="00661595">
              <w:rPr>
                <w:rStyle w:val="FormatvorlageInstructionsTabelleText"/>
                <w:rFonts w:ascii="Times New Roman" w:hAnsi="Times New Roman"/>
                <w:sz w:val="24"/>
              </w:rPr>
              <w:t xml:space="preserve">(1) </w:t>
            </w:r>
            <w:r w:rsidR="00C7103D" w:rsidRPr="00661595">
              <w:rPr>
                <w:rStyle w:val="FormatvorlageInstructionsTabelleText"/>
                <w:rFonts w:ascii="Times New Roman" w:hAnsi="Times New Roman"/>
                <w:sz w:val="24"/>
              </w:rPr>
              <w:t>CRR</w:t>
            </w:r>
          </w:p>
          <w:p w:rsidR="005643EA" w:rsidRPr="00661595" w:rsidRDefault="002648B0"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Other reserves are defined in CRR as "Reserves within the meaning of the applicable accounting </w:t>
            </w:r>
            <w:r w:rsidR="0009761E" w:rsidRPr="00661595">
              <w:rPr>
                <w:rStyle w:val="FormatvorlageInstructionsTabelleText"/>
                <w:rFonts w:ascii="Times New Roman" w:hAnsi="Times New Roman"/>
                <w:sz w:val="24"/>
              </w:rPr>
              <w:t>framework</w:t>
            </w:r>
            <w:r w:rsidRPr="00661595">
              <w:rPr>
                <w:rStyle w:val="FormatvorlageInstructionsTabelleText"/>
                <w:rFonts w:ascii="Times New Roman" w:hAnsi="Times New Roman"/>
                <w:sz w:val="24"/>
              </w:rPr>
              <w:t xml:space="preserve"> that are required to be disclosed under that applicable accounting standard, excluding any amounts already included in accumulated other comprehensive income or retained earnings".</w:t>
            </w:r>
          </w:p>
          <w:p w:rsidR="005643EA" w:rsidRPr="00661595" w:rsidRDefault="002648B0"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The amount to be reported shall be net of any tax charge foreseeable at the moment of the calculation.</w:t>
            </w:r>
          </w:p>
        </w:tc>
      </w:tr>
      <w:tr w:rsidR="002648B0" w:rsidRPr="00661595" w:rsidTr="00D731E3">
        <w:tc>
          <w:tcPr>
            <w:tcW w:w="1129" w:type="dxa"/>
          </w:tcPr>
          <w:p w:rsidR="002648B0" w:rsidRPr="00661595" w:rsidRDefault="00A20B7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648B0" w:rsidRPr="00661595">
              <w:rPr>
                <w:rStyle w:val="FormatvorlageInstructionsTabelleText"/>
                <w:rFonts w:ascii="Times New Roman" w:hAnsi="Times New Roman"/>
                <w:sz w:val="24"/>
              </w:rPr>
              <w:t>210</w:t>
            </w:r>
          </w:p>
        </w:tc>
        <w:tc>
          <w:tcPr>
            <w:tcW w:w="7620" w:type="dxa"/>
          </w:tcPr>
          <w:p w:rsidR="005643EA" w:rsidRPr="00661595" w:rsidRDefault="00666996"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.1.1.5</w:t>
            </w:r>
            <w:r w:rsidR="000D194E" w:rsidRPr="00661595">
              <w:rPr>
                <w:rStyle w:val="InstructionsTabelleberschrift"/>
                <w:rFonts w:ascii="Times New Roman" w:hAnsi="Times New Roman"/>
                <w:sz w:val="24"/>
              </w:rPr>
              <w:tab/>
            </w:r>
            <w:r w:rsidR="002648B0" w:rsidRPr="00661595">
              <w:rPr>
                <w:rStyle w:val="InstructionsTabelleberschrift"/>
                <w:rFonts w:ascii="Times New Roman" w:hAnsi="Times New Roman"/>
                <w:sz w:val="24"/>
              </w:rPr>
              <w:t>Funds for general banking risk</w:t>
            </w:r>
          </w:p>
          <w:p w:rsidR="005643EA" w:rsidRPr="00661595" w:rsidRDefault="00FF2818"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Point (112) of </w:t>
            </w:r>
            <w:r w:rsidR="002648B0" w:rsidRPr="00661595">
              <w:rPr>
                <w:rStyle w:val="FormatvorlageInstructionsTabelleText"/>
                <w:rFonts w:ascii="Times New Roman" w:hAnsi="Times New Roman"/>
                <w:sz w:val="24"/>
              </w:rPr>
              <w:t xml:space="preserve">Article </w:t>
            </w:r>
            <w:r w:rsidR="005643EA" w:rsidRPr="00661595">
              <w:rPr>
                <w:rStyle w:val="FormatvorlageInstructionsTabelleText"/>
                <w:rFonts w:ascii="Times New Roman" w:hAnsi="Times New Roman"/>
                <w:sz w:val="24"/>
              </w:rPr>
              <w:t>4</w:t>
            </w:r>
            <w:r w:rsidR="00805255" w:rsidRPr="00661595">
              <w:rPr>
                <w:rStyle w:val="FormatvorlageInstructionsTabelleText"/>
                <w:rFonts w:ascii="Times New Roman" w:hAnsi="Times New Roman"/>
                <w:sz w:val="24"/>
              </w:rPr>
              <w:t>(1)</w:t>
            </w:r>
            <w:r w:rsidR="002648B0" w:rsidRPr="00661595">
              <w:rPr>
                <w:rStyle w:val="FormatvorlageInstructionsTabelleText"/>
                <w:rFonts w:ascii="Times New Roman" w:hAnsi="Times New Roman"/>
                <w:sz w:val="24"/>
              </w:rPr>
              <w:t xml:space="preserve"> and </w:t>
            </w:r>
            <w:r w:rsidR="00C7103D" w:rsidRPr="00661595">
              <w:rPr>
                <w:rStyle w:val="FormatvorlageInstructionsTabelleText"/>
                <w:rFonts w:ascii="Times New Roman" w:hAnsi="Times New Roman"/>
                <w:sz w:val="24"/>
              </w:rPr>
              <w:t xml:space="preserve">point (f) of Article </w:t>
            </w:r>
            <w:r w:rsidR="008D274F" w:rsidRPr="00661595">
              <w:rPr>
                <w:rStyle w:val="FormatvorlageInstructionsTabelleText"/>
                <w:rFonts w:ascii="Times New Roman" w:hAnsi="Times New Roman"/>
                <w:sz w:val="24"/>
              </w:rPr>
              <w:t>26</w:t>
            </w:r>
            <w:r w:rsidR="002648B0" w:rsidRPr="00661595">
              <w:rPr>
                <w:rStyle w:val="FormatvorlageInstructionsTabelleText"/>
                <w:rFonts w:ascii="Times New Roman" w:hAnsi="Times New Roman"/>
                <w:sz w:val="24"/>
              </w:rPr>
              <w:t xml:space="preserve">(1) </w:t>
            </w:r>
            <w:r w:rsidR="00C7103D" w:rsidRPr="00661595">
              <w:rPr>
                <w:rStyle w:val="FormatvorlageInstructionsTabelleText"/>
                <w:rFonts w:ascii="Times New Roman" w:hAnsi="Times New Roman"/>
                <w:sz w:val="24"/>
              </w:rPr>
              <w:t>CRR</w:t>
            </w:r>
          </w:p>
          <w:p w:rsidR="005643EA" w:rsidRPr="00661595" w:rsidRDefault="002648B0"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Funds for general banking risk are defined in </w:t>
            </w:r>
            <w:r w:rsidR="00C7103D" w:rsidRPr="00661595">
              <w:rPr>
                <w:rStyle w:val="FormatvorlageInstructionsTabelleText"/>
                <w:rFonts w:ascii="Times New Roman" w:hAnsi="Times New Roman"/>
                <w:sz w:val="24"/>
              </w:rPr>
              <w:t>A</w:t>
            </w:r>
            <w:r w:rsidRPr="00661595">
              <w:rPr>
                <w:rStyle w:val="FormatvorlageInstructionsTabelleText"/>
                <w:rFonts w:ascii="Times New Roman" w:hAnsi="Times New Roman"/>
                <w:sz w:val="24"/>
              </w:rPr>
              <w:t xml:space="preserve">rticle 38 </w:t>
            </w:r>
            <w:r w:rsidR="000C6938" w:rsidRPr="00661595">
              <w:rPr>
                <w:rStyle w:val="FormatvorlageInstructionsTabelleText"/>
                <w:rFonts w:ascii="Times New Roman" w:hAnsi="Times New Roman"/>
                <w:sz w:val="24"/>
              </w:rPr>
              <w:t>BAD</w:t>
            </w:r>
            <w:r w:rsidRPr="00661595">
              <w:rPr>
                <w:rStyle w:val="FormatvorlageInstructionsTabelleText"/>
                <w:rFonts w:ascii="Times New Roman" w:hAnsi="Times New Roman"/>
                <w:sz w:val="24"/>
              </w:rPr>
              <w:t xml:space="preserve"> as "Amounts which a credit institution decides to put aside to cover such risks where that is required by the particular risks associated with banking"</w:t>
            </w:r>
            <w:r w:rsidR="002C66A4" w:rsidRPr="00661595">
              <w:rPr>
                <w:rStyle w:val="FormatvorlageInstructionsTabelleText"/>
                <w:rFonts w:ascii="Times New Roman" w:hAnsi="Times New Roman"/>
                <w:sz w:val="24"/>
              </w:rPr>
              <w:t>.</w:t>
            </w:r>
          </w:p>
          <w:p w:rsidR="005643EA" w:rsidRPr="00661595" w:rsidRDefault="002648B0"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The amount to be reported shall be net of any tax charge foreseeable at the moment of the calculation.</w:t>
            </w:r>
          </w:p>
        </w:tc>
      </w:tr>
      <w:tr w:rsidR="002648B0" w:rsidRPr="00661595" w:rsidTr="00D731E3">
        <w:tc>
          <w:tcPr>
            <w:tcW w:w="1129" w:type="dxa"/>
          </w:tcPr>
          <w:p w:rsidR="002648B0" w:rsidRPr="00661595" w:rsidRDefault="00A20B7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648B0" w:rsidRPr="00661595">
              <w:rPr>
                <w:rStyle w:val="FormatvorlageInstructionsTabelleText"/>
                <w:rFonts w:ascii="Times New Roman" w:hAnsi="Times New Roman"/>
                <w:sz w:val="24"/>
              </w:rPr>
              <w:t>220</w:t>
            </w:r>
          </w:p>
        </w:tc>
        <w:tc>
          <w:tcPr>
            <w:tcW w:w="7620" w:type="dxa"/>
          </w:tcPr>
          <w:p w:rsidR="005643EA" w:rsidRPr="00661595" w:rsidRDefault="00666996"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.1.1.6</w:t>
            </w:r>
            <w:r w:rsidR="000D194E" w:rsidRPr="00661595">
              <w:rPr>
                <w:rStyle w:val="InstructionsTabelleberschrift"/>
                <w:rFonts w:ascii="Times New Roman" w:hAnsi="Times New Roman"/>
                <w:sz w:val="24"/>
              </w:rPr>
              <w:tab/>
            </w:r>
            <w:r w:rsidR="002648B0" w:rsidRPr="00661595">
              <w:rPr>
                <w:rStyle w:val="InstructionsTabelleberschrift"/>
                <w:rFonts w:ascii="Times New Roman" w:hAnsi="Times New Roman"/>
                <w:sz w:val="24"/>
              </w:rPr>
              <w:t xml:space="preserve">Transitional adjustments due to grandfathered CET1 </w:t>
            </w:r>
            <w:r w:rsidR="00CD7D5B" w:rsidRPr="00661595">
              <w:rPr>
                <w:rStyle w:val="InstructionsTabelleberschrift"/>
                <w:rFonts w:ascii="Times New Roman" w:hAnsi="Times New Roman"/>
                <w:sz w:val="24"/>
              </w:rPr>
              <w:t>C</w:t>
            </w:r>
            <w:r w:rsidR="00BA1C6C" w:rsidRPr="00661595">
              <w:rPr>
                <w:rStyle w:val="InstructionsTabelleberschrift"/>
                <w:rFonts w:ascii="Times New Roman" w:hAnsi="Times New Roman"/>
                <w:sz w:val="24"/>
              </w:rPr>
              <w:t xml:space="preserve">apital </w:t>
            </w:r>
            <w:r w:rsidR="002648B0" w:rsidRPr="00661595">
              <w:rPr>
                <w:rStyle w:val="InstructionsTabelleberschrift"/>
                <w:rFonts w:ascii="Times New Roman" w:hAnsi="Times New Roman"/>
                <w:sz w:val="24"/>
              </w:rPr>
              <w:t>instruments</w:t>
            </w:r>
          </w:p>
          <w:p w:rsidR="005643EA" w:rsidRPr="00661595" w:rsidRDefault="002C66A4"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Paragraphs 1, 2 and 3 of </w:t>
            </w:r>
            <w:r w:rsidR="002648B0" w:rsidRPr="00661595">
              <w:rPr>
                <w:rStyle w:val="FormatvorlageInstructionsTabelleText"/>
                <w:rFonts w:ascii="Times New Roman" w:hAnsi="Times New Roman"/>
                <w:sz w:val="24"/>
              </w:rPr>
              <w:t xml:space="preserve">Article </w:t>
            </w:r>
            <w:r w:rsidR="00B542AB" w:rsidRPr="00661595">
              <w:rPr>
                <w:rStyle w:val="FormatvorlageInstructionsTabelleText"/>
                <w:rFonts w:ascii="Times New Roman" w:hAnsi="Times New Roman"/>
                <w:sz w:val="24"/>
              </w:rPr>
              <w:t>483</w:t>
            </w:r>
            <w:r w:rsidR="002648B0" w:rsidRPr="00661595">
              <w:rPr>
                <w:rStyle w:val="FormatvorlageInstructionsTabelleText"/>
                <w:rFonts w:ascii="Times New Roman" w:hAnsi="Times New Roman"/>
                <w:sz w:val="24"/>
              </w:rPr>
              <w:t xml:space="preserve"> and </w:t>
            </w:r>
            <w:r w:rsidRPr="00661595">
              <w:rPr>
                <w:rStyle w:val="FormatvorlageInstructionsTabelleText"/>
                <w:rFonts w:ascii="Times New Roman" w:hAnsi="Times New Roman"/>
                <w:sz w:val="24"/>
              </w:rPr>
              <w:t xml:space="preserve">Articles </w:t>
            </w:r>
            <w:r w:rsidR="00B542AB" w:rsidRPr="00661595">
              <w:rPr>
                <w:rStyle w:val="FormatvorlageInstructionsTabelleText"/>
                <w:rFonts w:ascii="Times New Roman" w:hAnsi="Times New Roman"/>
                <w:sz w:val="24"/>
              </w:rPr>
              <w:t>484</w:t>
            </w:r>
            <w:r w:rsidR="002648B0" w:rsidRPr="00661595">
              <w:rPr>
                <w:rStyle w:val="FormatvorlageInstructionsTabelleText"/>
                <w:rFonts w:ascii="Times New Roman" w:hAnsi="Times New Roman"/>
                <w:sz w:val="24"/>
              </w:rPr>
              <w:t xml:space="preserve"> to </w:t>
            </w:r>
            <w:r w:rsidR="00B542AB" w:rsidRPr="00661595">
              <w:rPr>
                <w:rStyle w:val="FormatvorlageInstructionsTabelleText"/>
                <w:rFonts w:ascii="Times New Roman" w:hAnsi="Times New Roman"/>
                <w:sz w:val="24"/>
              </w:rPr>
              <w:t>487</w:t>
            </w:r>
            <w:r w:rsidR="002648B0" w:rsidRPr="00661595">
              <w:rPr>
                <w:rStyle w:val="FormatvorlageInstructionsTabelleText"/>
                <w:rFonts w:ascii="Times New Roman" w:hAnsi="Times New Roman"/>
                <w:sz w:val="24"/>
              </w:rPr>
              <w:t xml:space="preserve"> </w:t>
            </w:r>
            <w:r w:rsidR="00C7103D" w:rsidRPr="00661595">
              <w:rPr>
                <w:rStyle w:val="FormatvorlageInstructionsTabelleText"/>
                <w:rFonts w:ascii="Times New Roman" w:hAnsi="Times New Roman"/>
                <w:sz w:val="24"/>
              </w:rPr>
              <w:t>CRR</w:t>
            </w:r>
          </w:p>
          <w:p w:rsidR="005643EA" w:rsidRPr="00661595" w:rsidRDefault="002648B0"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Amount of capital instruments transitionally grandfathered as CET1. The amount to be reported is directly obtained from CA5.</w:t>
            </w:r>
          </w:p>
        </w:tc>
      </w:tr>
      <w:tr w:rsidR="002648B0" w:rsidRPr="00661595" w:rsidTr="00D731E3">
        <w:tc>
          <w:tcPr>
            <w:tcW w:w="1129" w:type="dxa"/>
          </w:tcPr>
          <w:p w:rsidR="002648B0" w:rsidRPr="00661595" w:rsidRDefault="00A20B7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648B0" w:rsidRPr="00661595">
              <w:rPr>
                <w:rStyle w:val="FormatvorlageInstructionsTabelleText"/>
                <w:rFonts w:ascii="Times New Roman" w:hAnsi="Times New Roman"/>
                <w:sz w:val="24"/>
              </w:rPr>
              <w:t>230</w:t>
            </w:r>
          </w:p>
        </w:tc>
        <w:tc>
          <w:tcPr>
            <w:tcW w:w="7620" w:type="dxa"/>
          </w:tcPr>
          <w:p w:rsidR="005643EA" w:rsidRPr="00661595" w:rsidRDefault="00666996"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.1.1.7</w:t>
            </w:r>
            <w:r w:rsidR="000D194E" w:rsidRPr="00661595">
              <w:rPr>
                <w:rStyle w:val="InstructionsTabelleberschrift"/>
                <w:rFonts w:ascii="Times New Roman" w:hAnsi="Times New Roman"/>
                <w:sz w:val="24"/>
              </w:rPr>
              <w:tab/>
            </w:r>
            <w:r w:rsidR="002648B0" w:rsidRPr="00661595">
              <w:rPr>
                <w:rStyle w:val="InstructionsTabelleberschrift"/>
                <w:rFonts w:ascii="Times New Roman" w:hAnsi="Times New Roman"/>
                <w:sz w:val="24"/>
              </w:rPr>
              <w:t>Minority interest given recognition in CET1 capital</w:t>
            </w:r>
          </w:p>
          <w:p w:rsidR="005643EA" w:rsidRPr="00661595" w:rsidRDefault="00FF2818"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Point (120) of </w:t>
            </w:r>
            <w:r w:rsidR="002648B0" w:rsidRPr="00661595">
              <w:rPr>
                <w:rStyle w:val="FormatvorlageInstructionsTabelleText"/>
                <w:rFonts w:ascii="Times New Roman" w:hAnsi="Times New Roman"/>
                <w:sz w:val="24"/>
              </w:rPr>
              <w:t xml:space="preserve">Article </w:t>
            </w:r>
            <w:r w:rsidR="00C53B22" w:rsidRPr="00661595">
              <w:rPr>
                <w:rStyle w:val="FormatvorlageInstructionsTabelleText"/>
                <w:rFonts w:ascii="Times New Roman" w:hAnsi="Times New Roman"/>
                <w:sz w:val="24"/>
              </w:rPr>
              <w:t xml:space="preserve">4(1) and </w:t>
            </w:r>
            <w:r w:rsidR="008241B9" w:rsidRPr="00661595">
              <w:rPr>
                <w:rStyle w:val="FormatvorlageInstructionsTabelleText"/>
                <w:rFonts w:ascii="Times New Roman" w:hAnsi="Times New Roman"/>
                <w:sz w:val="24"/>
              </w:rPr>
              <w:t xml:space="preserve">Article </w:t>
            </w:r>
            <w:r w:rsidR="008D274F" w:rsidRPr="00661595">
              <w:rPr>
                <w:rStyle w:val="FormatvorlageInstructionsTabelleText"/>
                <w:rFonts w:ascii="Times New Roman" w:hAnsi="Times New Roman"/>
                <w:sz w:val="24"/>
              </w:rPr>
              <w:t xml:space="preserve">84 </w:t>
            </w:r>
            <w:r w:rsidR="00C7103D" w:rsidRPr="00661595">
              <w:rPr>
                <w:rStyle w:val="FormatvorlageInstructionsTabelleText"/>
                <w:rFonts w:ascii="Times New Roman" w:hAnsi="Times New Roman"/>
                <w:sz w:val="24"/>
              </w:rPr>
              <w:t>CRR</w:t>
            </w:r>
          </w:p>
          <w:p w:rsidR="005643EA" w:rsidRPr="00661595" w:rsidRDefault="002648B0"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Sum of all the amounts of minority interests of subsidiaries that is included in consolidated CET1.</w:t>
            </w:r>
          </w:p>
        </w:tc>
      </w:tr>
      <w:tr w:rsidR="002648B0" w:rsidRPr="00661595" w:rsidTr="00D731E3">
        <w:tc>
          <w:tcPr>
            <w:tcW w:w="1129" w:type="dxa"/>
          </w:tcPr>
          <w:p w:rsidR="002648B0" w:rsidRPr="00661595" w:rsidRDefault="00A20B7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648B0" w:rsidRPr="00661595">
              <w:rPr>
                <w:rStyle w:val="FormatvorlageInstructionsTabelleText"/>
                <w:rFonts w:ascii="Times New Roman" w:hAnsi="Times New Roman"/>
                <w:sz w:val="24"/>
              </w:rPr>
              <w:t>240</w:t>
            </w:r>
          </w:p>
        </w:tc>
        <w:tc>
          <w:tcPr>
            <w:tcW w:w="7620" w:type="dxa"/>
          </w:tcPr>
          <w:p w:rsidR="005643EA" w:rsidRPr="00661595" w:rsidRDefault="002648B0"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.1.1.8</w:t>
            </w:r>
            <w:r w:rsidR="000D194E" w:rsidRPr="00661595">
              <w:rPr>
                <w:rStyle w:val="InstructionsTabelleberschrift"/>
                <w:rFonts w:ascii="Times New Roman" w:hAnsi="Times New Roman"/>
                <w:sz w:val="24"/>
              </w:rPr>
              <w:tab/>
            </w:r>
            <w:r w:rsidRPr="00661595">
              <w:rPr>
                <w:rStyle w:val="InstructionsTabelleberschrift"/>
                <w:rFonts w:ascii="Times New Roman" w:hAnsi="Times New Roman"/>
                <w:sz w:val="24"/>
              </w:rPr>
              <w:t>Transitional adjustments due to additional minority interests</w:t>
            </w:r>
          </w:p>
          <w:p w:rsidR="005643EA" w:rsidRPr="00661595" w:rsidRDefault="002648B0"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Articles </w:t>
            </w:r>
            <w:r w:rsidR="00B542AB" w:rsidRPr="00661595">
              <w:rPr>
                <w:rStyle w:val="FormatvorlageInstructionsTabelleText"/>
                <w:rFonts w:ascii="Times New Roman" w:hAnsi="Times New Roman"/>
                <w:sz w:val="24"/>
              </w:rPr>
              <w:t>479</w:t>
            </w:r>
            <w:r w:rsidRPr="00661595">
              <w:rPr>
                <w:rStyle w:val="FormatvorlageInstructionsTabelleText"/>
                <w:rFonts w:ascii="Times New Roman" w:hAnsi="Times New Roman"/>
                <w:sz w:val="24"/>
              </w:rPr>
              <w:t xml:space="preserve"> and </w:t>
            </w:r>
            <w:r w:rsidR="00B542AB" w:rsidRPr="00661595">
              <w:rPr>
                <w:rStyle w:val="FormatvorlageInstructionsTabelleText"/>
                <w:rFonts w:ascii="Times New Roman" w:hAnsi="Times New Roman"/>
                <w:sz w:val="24"/>
              </w:rPr>
              <w:t>480</w:t>
            </w:r>
            <w:r w:rsidRPr="00661595">
              <w:rPr>
                <w:rStyle w:val="FormatvorlageInstructionsTabelleText"/>
                <w:rFonts w:ascii="Times New Roman" w:hAnsi="Times New Roman"/>
                <w:sz w:val="24"/>
              </w:rPr>
              <w:t xml:space="preserve"> </w:t>
            </w:r>
            <w:r w:rsidR="00C7103D" w:rsidRPr="00661595">
              <w:rPr>
                <w:rStyle w:val="FormatvorlageInstructionsTabelleText"/>
                <w:rFonts w:ascii="Times New Roman" w:hAnsi="Times New Roman"/>
                <w:sz w:val="24"/>
              </w:rPr>
              <w:t>CRR</w:t>
            </w:r>
          </w:p>
          <w:p w:rsidR="005643EA" w:rsidRPr="00661595" w:rsidRDefault="002648B0"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Adjustments to the minority interests due to transitional provisions. This item is obtained directly from CA5.</w:t>
            </w:r>
          </w:p>
        </w:tc>
      </w:tr>
      <w:tr w:rsidR="002648B0" w:rsidRPr="00661595" w:rsidTr="00D731E3">
        <w:tc>
          <w:tcPr>
            <w:tcW w:w="1129" w:type="dxa"/>
          </w:tcPr>
          <w:p w:rsidR="002648B0" w:rsidRPr="00661595" w:rsidRDefault="00A20B7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648B0" w:rsidRPr="00661595">
              <w:rPr>
                <w:rStyle w:val="FormatvorlageInstructionsTabelleText"/>
                <w:rFonts w:ascii="Times New Roman" w:hAnsi="Times New Roman"/>
                <w:sz w:val="24"/>
              </w:rPr>
              <w:t>250</w:t>
            </w:r>
          </w:p>
        </w:tc>
        <w:tc>
          <w:tcPr>
            <w:tcW w:w="7620" w:type="dxa"/>
          </w:tcPr>
          <w:p w:rsidR="005643EA" w:rsidRPr="00661595" w:rsidRDefault="002648B0"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.1.1.9</w:t>
            </w:r>
            <w:r w:rsidR="000D194E" w:rsidRPr="00661595">
              <w:rPr>
                <w:rStyle w:val="InstructionsTabelleberschrift"/>
                <w:rFonts w:ascii="Times New Roman" w:hAnsi="Times New Roman"/>
                <w:sz w:val="24"/>
              </w:rPr>
              <w:tab/>
            </w:r>
            <w:r w:rsidRPr="00661595">
              <w:rPr>
                <w:rStyle w:val="InstructionsTabelleberschrift"/>
                <w:rFonts w:ascii="Times New Roman" w:hAnsi="Times New Roman"/>
                <w:sz w:val="24"/>
              </w:rPr>
              <w:t>Adjustments to CET1 due to prudential filters</w:t>
            </w:r>
          </w:p>
          <w:p w:rsidR="005643EA" w:rsidRPr="00661595" w:rsidRDefault="002648B0"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Articles </w:t>
            </w:r>
            <w:r w:rsidR="008D274F" w:rsidRPr="00661595">
              <w:rPr>
                <w:rStyle w:val="FormatvorlageInstructionsTabelleText"/>
                <w:rFonts w:ascii="Times New Roman" w:hAnsi="Times New Roman"/>
                <w:sz w:val="24"/>
              </w:rPr>
              <w:t xml:space="preserve">32 </w:t>
            </w:r>
            <w:r w:rsidRPr="00661595">
              <w:rPr>
                <w:rStyle w:val="FormatvorlageInstructionsTabelleText"/>
                <w:rFonts w:ascii="Times New Roman" w:hAnsi="Times New Roman"/>
                <w:sz w:val="24"/>
              </w:rPr>
              <w:t xml:space="preserve">to </w:t>
            </w:r>
            <w:r w:rsidR="008D274F" w:rsidRPr="00661595">
              <w:rPr>
                <w:rStyle w:val="FormatvorlageInstructionsTabelleText"/>
                <w:rFonts w:ascii="Times New Roman" w:hAnsi="Times New Roman"/>
                <w:sz w:val="24"/>
              </w:rPr>
              <w:t xml:space="preserve">35 </w:t>
            </w:r>
            <w:r w:rsidR="00C7103D" w:rsidRPr="00661595">
              <w:rPr>
                <w:rStyle w:val="FormatvorlageInstructionsTabelleText"/>
                <w:rFonts w:ascii="Times New Roman" w:hAnsi="Times New Roman"/>
                <w:sz w:val="24"/>
              </w:rPr>
              <w:t>CRR</w:t>
            </w:r>
            <w:r w:rsidRPr="00661595">
              <w:rPr>
                <w:rStyle w:val="FormatvorlageInstructionsTabelleText"/>
                <w:rFonts w:ascii="Times New Roman" w:hAnsi="Times New Roman"/>
                <w:sz w:val="24"/>
              </w:rPr>
              <w:t xml:space="preserve"> </w:t>
            </w:r>
          </w:p>
        </w:tc>
      </w:tr>
      <w:tr w:rsidR="002648B0" w:rsidRPr="00661595" w:rsidTr="00D731E3">
        <w:tc>
          <w:tcPr>
            <w:tcW w:w="1129" w:type="dxa"/>
          </w:tcPr>
          <w:p w:rsidR="002648B0" w:rsidRPr="00661595" w:rsidRDefault="00A20B7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648B0" w:rsidRPr="00661595">
              <w:rPr>
                <w:rStyle w:val="FormatvorlageInstructionsTabelleText"/>
                <w:rFonts w:ascii="Times New Roman" w:hAnsi="Times New Roman"/>
                <w:sz w:val="24"/>
              </w:rPr>
              <w:t>260</w:t>
            </w:r>
          </w:p>
        </w:tc>
        <w:tc>
          <w:tcPr>
            <w:tcW w:w="7620" w:type="dxa"/>
          </w:tcPr>
          <w:p w:rsidR="005643EA" w:rsidRPr="00661595" w:rsidRDefault="002648B0"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.1.1.9.1</w:t>
            </w:r>
            <w:r w:rsidR="000D194E" w:rsidRPr="00661595">
              <w:rPr>
                <w:rStyle w:val="InstructionsTabelleberschrift"/>
                <w:rFonts w:ascii="Times New Roman" w:hAnsi="Times New Roman"/>
                <w:sz w:val="24"/>
              </w:rPr>
              <w:tab/>
            </w:r>
            <w:r w:rsidRPr="00661595">
              <w:rPr>
                <w:rStyle w:val="InstructionsTabelleberschrift"/>
                <w:rFonts w:ascii="Times New Roman" w:hAnsi="Times New Roman"/>
                <w:sz w:val="24"/>
              </w:rPr>
              <w:t>(-) Increases in equity resulting from securitised assets</w:t>
            </w:r>
          </w:p>
          <w:p w:rsidR="005643EA" w:rsidRPr="00661595" w:rsidRDefault="002648B0"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Article </w:t>
            </w:r>
            <w:r w:rsidR="008D274F" w:rsidRPr="00661595">
              <w:rPr>
                <w:rStyle w:val="FormatvorlageInstructionsTabelleText"/>
                <w:rFonts w:ascii="Times New Roman" w:hAnsi="Times New Roman"/>
                <w:sz w:val="24"/>
              </w:rPr>
              <w:t>32</w:t>
            </w:r>
            <w:r w:rsidRPr="00661595">
              <w:rPr>
                <w:rStyle w:val="FormatvorlageInstructionsTabelleText"/>
                <w:rFonts w:ascii="Times New Roman" w:hAnsi="Times New Roman"/>
                <w:sz w:val="24"/>
              </w:rPr>
              <w:t xml:space="preserve">(1) </w:t>
            </w:r>
            <w:r w:rsidR="00C7103D" w:rsidRPr="00661595">
              <w:rPr>
                <w:rStyle w:val="FormatvorlageInstructionsTabelleText"/>
                <w:rFonts w:ascii="Times New Roman" w:hAnsi="Times New Roman"/>
                <w:sz w:val="24"/>
              </w:rPr>
              <w:t>CRR</w:t>
            </w:r>
          </w:p>
          <w:p w:rsidR="005643EA" w:rsidRPr="00661595" w:rsidRDefault="002648B0"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The amount to be reported is the increase in the equity of the institution resulting from securitised assets, </w:t>
            </w:r>
            <w:r w:rsidR="00C7103D" w:rsidRPr="00661595">
              <w:rPr>
                <w:rStyle w:val="FormatvorlageInstructionsTabelleText"/>
                <w:rFonts w:ascii="Times New Roman" w:hAnsi="Times New Roman"/>
                <w:sz w:val="24"/>
              </w:rPr>
              <w:t xml:space="preserve">in </w:t>
            </w:r>
            <w:r w:rsidRPr="00661595">
              <w:rPr>
                <w:rStyle w:val="FormatvorlageInstructionsTabelleText"/>
                <w:rFonts w:ascii="Times New Roman" w:hAnsi="Times New Roman"/>
                <w:sz w:val="24"/>
              </w:rPr>
              <w:t>accor</w:t>
            </w:r>
            <w:r w:rsidR="00C7103D" w:rsidRPr="00661595">
              <w:rPr>
                <w:rStyle w:val="FormatvorlageInstructionsTabelleText"/>
                <w:rFonts w:ascii="Times New Roman" w:hAnsi="Times New Roman"/>
                <w:sz w:val="24"/>
              </w:rPr>
              <w:t>dance</w:t>
            </w:r>
            <w:r w:rsidRPr="00661595">
              <w:rPr>
                <w:rStyle w:val="FormatvorlageInstructionsTabelleText"/>
                <w:rFonts w:ascii="Times New Roman" w:hAnsi="Times New Roman"/>
                <w:sz w:val="24"/>
              </w:rPr>
              <w:t xml:space="preserve"> </w:t>
            </w:r>
            <w:r w:rsidR="00C7103D" w:rsidRPr="00661595">
              <w:rPr>
                <w:rStyle w:val="FormatvorlageInstructionsTabelleText"/>
                <w:rFonts w:ascii="Times New Roman" w:hAnsi="Times New Roman"/>
                <w:sz w:val="24"/>
              </w:rPr>
              <w:t xml:space="preserve">with </w:t>
            </w:r>
            <w:r w:rsidRPr="00661595">
              <w:rPr>
                <w:rStyle w:val="FormatvorlageInstructionsTabelleText"/>
                <w:rFonts w:ascii="Times New Roman" w:hAnsi="Times New Roman"/>
                <w:sz w:val="24"/>
              </w:rPr>
              <w:t>the applicable accounting standard.</w:t>
            </w:r>
          </w:p>
          <w:p w:rsidR="005643EA" w:rsidRPr="00661595" w:rsidRDefault="002648B0"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For example, this item includes the future margin income that results in a gain on sale for the institution, or, for originators, the net gains that arise from the capitalisation of future income from the securitised assets that provide credit enhancement to positions in the securitisation.</w:t>
            </w:r>
          </w:p>
        </w:tc>
      </w:tr>
      <w:tr w:rsidR="002648B0" w:rsidRPr="00661595" w:rsidTr="00D731E3">
        <w:tc>
          <w:tcPr>
            <w:tcW w:w="1129" w:type="dxa"/>
          </w:tcPr>
          <w:p w:rsidR="002648B0" w:rsidRPr="00661595" w:rsidRDefault="00A20B7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648B0" w:rsidRPr="00661595">
              <w:rPr>
                <w:rStyle w:val="FormatvorlageInstructionsTabelleText"/>
                <w:rFonts w:ascii="Times New Roman" w:hAnsi="Times New Roman"/>
                <w:sz w:val="24"/>
              </w:rPr>
              <w:t>270</w:t>
            </w:r>
          </w:p>
        </w:tc>
        <w:tc>
          <w:tcPr>
            <w:tcW w:w="7620" w:type="dxa"/>
          </w:tcPr>
          <w:p w:rsidR="005643EA" w:rsidRPr="00661595" w:rsidRDefault="002648B0"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.1.1.9.2</w:t>
            </w:r>
            <w:r w:rsidR="000D194E" w:rsidRPr="00661595">
              <w:rPr>
                <w:rStyle w:val="InstructionsTabelleberschrift"/>
                <w:rFonts w:ascii="Times New Roman" w:hAnsi="Times New Roman"/>
                <w:sz w:val="24"/>
              </w:rPr>
              <w:tab/>
            </w:r>
            <w:r w:rsidRPr="00661595">
              <w:rPr>
                <w:rStyle w:val="InstructionsTabelleberschrift"/>
                <w:rFonts w:ascii="Times New Roman" w:hAnsi="Times New Roman"/>
                <w:sz w:val="24"/>
              </w:rPr>
              <w:t>Cash flow hedge reserve</w:t>
            </w:r>
          </w:p>
          <w:p w:rsidR="005643EA" w:rsidRPr="00661595" w:rsidRDefault="00C7103D"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Point (a) of </w:t>
            </w:r>
            <w:r w:rsidR="002648B0" w:rsidRPr="00661595">
              <w:rPr>
                <w:rStyle w:val="FormatvorlageInstructionsTabelleText"/>
                <w:rFonts w:ascii="Times New Roman" w:hAnsi="Times New Roman"/>
                <w:sz w:val="24"/>
              </w:rPr>
              <w:t xml:space="preserve">Article </w:t>
            </w:r>
            <w:r w:rsidR="008D274F" w:rsidRPr="00661595">
              <w:rPr>
                <w:rStyle w:val="FormatvorlageInstructionsTabelleText"/>
                <w:rFonts w:ascii="Times New Roman" w:hAnsi="Times New Roman"/>
                <w:sz w:val="24"/>
              </w:rPr>
              <w:t>33</w:t>
            </w:r>
            <w:r w:rsidR="00855D5F" w:rsidRPr="00661595">
              <w:rPr>
                <w:rStyle w:val="FormatvorlageInstructionsTabelleText"/>
                <w:rFonts w:ascii="Times New Roman" w:hAnsi="Times New Roman"/>
                <w:sz w:val="24"/>
              </w:rPr>
              <w:t>(1)</w:t>
            </w:r>
            <w:r w:rsidR="002648B0" w:rsidRPr="00661595">
              <w:rPr>
                <w:rStyle w:val="FormatvorlageInstructionsTabelleText"/>
                <w:rFonts w:ascii="Times New Roman" w:hAnsi="Times New Roman"/>
                <w:sz w:val="24"/>
              </w:rPr>
              <w:t xml:space="preserve"> </w:t>
            </w:r>
            <w:r w:rsidRPr="00661595">
              <w:rPr>
                <w:rStyle w:val="FormatvorlageInstructionsTabelleText"/>
                <w:rFonts w:ascii="Times New Roman" w:hAnsi="Times New Roman"/>
                <w:sz w:val="24"/>
              </w:rPr>
              <w:t>CRR</w:t>
            </w:r>
          </w:p>
          <w:p w:rsidR="005643EA" w:rsidRPr="00661595" w:rsidRDefault="002648B0"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The amount to be reported c</w:t>
            </w:r>
            <w:r w:rsidR="00C7103D" w:rsidRPr="00661595">
              <w:rPr>
                <w:rStyle w:val="FormatvorlageInstructionsTabelleText"/>
                <w:rFonts w:ascii="Times New Roman" w:hAnsi="Times New Roman"/>
                <w:sz w:val="24"/>
              </w:rPr>
              <w:t xml:space="preserve">an </w:t>
            </w:r>
            <w:r w:rsidRPr="00661595">
              <w:rPr>
                <w:rStyle w:val="FormatvorlageInstructionsTabelleText"/>
                <w:rFonts w:ascii="Times New Roman" w:hAnsi="Times New Roman"/>
                <w:sz w:val="24"/>
              </w:rPr>
              <w:t xml:space="preserve">be positive or negative. It </w:t>
            </w:r>
            <w:r w:rsidR="00C93697" w:rsidRPr="00661595">
              <w:rPr>
                <w:rStyle w:val="FormatvorlageInstructionsTabelleText"/>
                <w:rFonts w:ascii="Times New Roman" w:hAnsi="Times New Roman"/>
                <w:sz w:val="24"/>
              </w:rPr>
              <w:t>shall</w:t>
            </w:r>
            <w:r w:rsidRPr="00661595">
              <w:rPr>
                <w:rStyle w:val="FormatvorlageInstructionsTabelleText"/>
                <w:rFonts w:ascii="Times New Roman" w:hAnsi="Times New Roman"/>
                <w:sz w:val="24"/>
              </w:rPr>
              <w:t xml:space="preserve"> be positive if cash flow hedges result in a loss (i.e. if it reduces accounting equity) and vice versa. Thus, the sign </w:t>
            </w:r>
            <w:r w:rsidR="00C93697" w:rsidRPr="00661595">
              <w:rPr>
                <w:rStyle w:val="FormatvorlageInstructionsTabelleText"/>
                <w:rFonts w:ascii="Times New Roman" w:hAnsi="Times New Roman"/>
                <w:sz w:val="24"/>
              </w:rPr>
              <w:t>shall</w:t>
            </w:r>
            <w:r w:rsidRPr="00661595">
              <w:rPr>
                <w:rStyle w:val="FormatvorlageInstructionsTabelleText"/>
                <w:rFonts w:ascii="Times New Roman" w:hAnsi="Times New Roman"/>
                <w:sz w:val="24"/>
              </w:rPr>
              <w:t xml:space="preserve"> be contrary to the one used in accounting statements.</w:t>
            </w:r>
          </w:p>
          <w:p w:rsidR="005643EA" w:rsidRPr="00661595" w:rsidRDefault="002648B0"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The amount shall be net of any tax charge </w:t>
            </w:r>
            <w:r w:rsidR="00C7103D" w:rsidRPr="00661595">
              <w:rPr>
                <w:rStyle w:val="FormatvorlageInstructionsTabelleText"/>
                <w:rFonts w:ascii="Times New Roman" w:hAnsi="Times New Roman"/>
                <w:sz w:val="24"/>
              </w:rPr>
              <w:t>to be expected</w:t>
            </w:r>
            <w:r w:rsidRPr="00661595">
              <w:rPr>
                <w:rStyle w:val="FormatvorlageInstructionsTabelleText"/>
                <w:rFonts w:ascii="Times New Roman" w:hAnsi="Times New Roman"/>
                <w:sz w:val="24"/>
              </w:rPr>
              <w:t xml:space="preserve"> at the moment of the calculation.</w:t>
            </w:r>
          </w:p>
        </w:tc>
      </w:tr>
      <w:tr w:rsidR="002648B0" w:rsidRPr="00661595" w:rsidTr="00D731E3">
        <w:tc>
          <w:tcPr>
            <w:tcW w:w="1129" w:type="dxa"/>
          </w:tcPr>
          <w:p w:rsidR="002648B0" w:rsidRPr="00661595" w:rsidRDefault="00A20B7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648B0" w:rsidRPr="00661595">
              <w:rPr>
                <w:rStyle w:val="FormatvorlageInstructionsTabelleText"/>
                <w:rFonts w:ascii="Times New Roman" w:hAnsi="Times New Roman"/>
                <w:sz w:val="24"/>
              </w:rPr>
              <w:t>280</w:t>
            </w:r>
          </w:p>
        </w:tc>
        <w:tc>
          <w:tcPr>
            <w:tcW w:w="7620" w:type="dxa"/>
          </w:tcPr>
          <w:p w:rsidR="005643EA" w:rsidRPr="00661595" w:rsidRDefault="002648B0"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.1.1.9.3</w:t>
            </w:r>
            <w:r w:rsidR="000D194E" w:rsidRPr="00661595">
              <w:rPr>
                <w:rStyle w:val="InstructionsTabelleberschrift"/>
                <w:rFonts w:ascii="Times New Roman" w:hAnsi="Times New Roman"/>
                <w:sz w:val="24"/>
              </w:rPr>
              <w:tab/>
            </w:r>
            <w:r w:rsidRPr="00661595">
              <w:rPr>
                <w:rStyle w:val="InstructionsTabelleberschrift"/>
                <w:rFonts w:ascii="Times New Roman" w:hAnsi="Times New Roman"/>
                <w:sz w:val="24"/>
              </w:rPr>
              <w:t>Cumulative gains and losses due to changes in own credit risk on fair valued liabilities</w:t>
            </w:r>
          </w:p>
          <w:p w:rsidR="005643EA" w:rsidRPr="00661595" w:rsidRDefault="00C7103D"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Point (b) of </w:t>
            </w:r>
            <w:r w:rsidR="002648B0" w:rsidRPr="00661595">
              <w:rPr>
                <w:rStyle w:val="FormatvorlageInstructionsTabelleText"/>
                <w:rFonts w:ascii="Times New Roman" w:hAnsi="Times New Roman"/>
                <w:sz w:val="24"/>
              </w:rPr>
              <w:t>Article 3</w:t>
            </w:r>
            <w:r w:rsidR="008D274F" w:rsidRPr="00661595">
              <w:rPr>
                <w:rStyle w:val="FormatvorlageInstructionsTabelleText"/>
                <w:rFonts w:ascii="Times New Roman" w:hAnsi="Times New Roman"/>
                <w:sz w:val="24"/>
              </w:rPr>
              <w:t>3</w:t>
            </w:r>
            <w:r w:rsidR="00855D5F" w:rsidRPr="00661595">
              <w:rPr>
                <w:rStyle w:val="FormatvorlageInstructionsTabelleText"/>
                <w:rFonts w:ascii="Times New Roman" w:hAnsi="Times New Roman"/>
                <w:sz w:val="24"/>
              </w:rPr>
              <w:t xml:space="preserve">(1) </w:t>
            </w:r>
            <w:r w:rsidRPr="00661595">
              <w:rPr>
                <w:rStyle w:val="FormatvorlageInstructionsTabelleText"/>
                <w:rFonts w:ascii="Times New Roman" w:hAnsi="Times New Roman"/>
                <w:sz w:val="24"/>
              </w:rPr>
              <w:t>CRR</w:t>
            </w:r>
          </w:p>
          <w:p w:rsidR="005643EA" w:rsidRPr="00661595" w:rsidRDefault="002648B0"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The amount to be reported c</w:t>
            </w:r>
            <w:r w:rsidR="00C7103D" w:rsidRPr="00661595">
              <w:rPr>
                <w:rStyle w:val="FormatvorlageInstructionsTabelleText"/>
                <w:rFonts w:ascii="Times New Roman" w:hAnsi="Times New Roman"/>
                <w:sz w:val="24"/>
              </w:rPr>
              <w:t xml:space="preserve">an </w:t>
            </w:r>
            <w:r w:rsidRPr="00661595">
              <w:rPr>
                <w:rStyle w:val="FormatvorlageInstructionsTabelleText"/>
                <w:rFonts w:ascii="Times New Roman" w:hAnsi="Times New Roman"/>
                <w:sz w:val="24"/>
              </w:rPr>
              <w:t xml:space="preserve">be positive or negative. It </w:t>
            </w:r>
            <w:r w:rsidR="00C93697" w:rsidRPr="00661595">
              <w:rPr>
                <w:rStyle w:val="FormatvorlageInstructionsTabelleText"/>
                <w:rFonts w:ascii="Times New Roman" w:hAnsi="Times New Roman"/>
                <w:sz w:val="24"/>
              </w:rPr>
              <w:t>shall</w:t>
            </w:r>
            <w:r w:rsidRPr="00661595">
              <w:rPr>
                <w:rStyle w:val="FormatvorlageInstructionsTabelleText"/>
                <w:rFonts w:ascii="Times New Roman" w:hAnsi="Times New Roman"/>
                <w:sz w:val="24"/>
              </w:rPr>
              <w:t xml:space="preserve"> be positive if there is a loss due to changes in own credit risk (i.e. if it reduces accounting equity) and vice versa. Thus, the sign </w:t>
            </w:r>
            <w:r w:rsidR="00C93697" w:rsidRPr="00661595">
              <w:rPr>
                <w:rStyle w:val="FormatvorlageInstructionsTabelleText"/>
                <w:rFonts w:ascii="Times New Roman" w:hAnsi="Times New Roman"/>
                <w:sz w:val="24"/>
              </w:rPr>
              <w:t>shall</w:t>
            </w:r>
            <w:r w:rsidRPr="00661595">
              <w:rPr>
                <w:rStyle w:val="FormatvorlageInstructionsTabelleText"/>
                <w:rFonts w:ascii="Times New Roman" w:hAnsi="Times New Roman"/>
                <w:sz w:val="24"/>
              </w:rPr>
              <w:t xml:space="preserve"> be contrary to the one used in accounting statements.</w:t>
            </w:r>
          </w:p>
          <w:p w:rsidR="005643EA" w:rsidRPr="00661595" w:rsidRDefault="002648B0"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Unaudited profit shall not be included in this item.</w:t>
            </w:r>
          </w:p>
        </w:tc>
      </w:tr>
      <w:tr w:rsidR="00666996" w:rsidRPr="00661595" w:rsidTr="00D731E3">
        <w:tc>
          <w:tcPr>
            <w:tcW w:w="1129" w:type="dxa"/>
          </w:tcPr>
          <w:p w:rsidR="00666996" w:rsidRPr="00661595" w:rsidRDefault="007C2334"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666996" w:rsidRPr="00661595">
              <w:rPr>
                <w:rStyle w:val="FormatvorlageInstructionsTabelleText"/>
                <w:rFonts w:ascii="Times New Roman" w:hAnsi="Times New Roman"/>
                <w:sz w:val="24"/>
              </w:rPr>
              <w:t>28</w:t>
            </w:r>
            <w:r w:rsidR="00855D5F" w:rsidRPr="00661595">
              <w:rPr>
                <w:rStyle w:val="FormatvorlageInstructionsTabelleText"/>
                <w:rFonts w:ascii="Times New Roman" w:hAnsi="Times New Roman"/>
                <w:sz w:val="24"/>
              </w:rPr>
              <w:t>5</w:t>
            </w:r>
          </w:p>
        </w:tc>
        <w:tc>
          <w:tcPr>
            <w:tcW w:w="7620" w:type="dxa"/>
          </w:tcPr>
          <w:p w:rsidR="005643EA" w:rsidRPr="00661595" w:rsidRDefault="00855D5F"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.1.1.9.4</w:t>
            </w:r>
            <w:r w:rsidR="000D194E" w:rsidRPr="00661595">
              <w:rPr>
                <w:rStyle w:val="InstructionsTabelleberschrift"/>
                <w:rFonts w:ascii="Times New Roman" w:hAnsi="Times New Roman"/>
                <w:sz w:val="24"/>
              </w:rPr>
              <w:tab/>
            </w:r>
            <w:r w:rsidR="00666996" w:rsidRPr="00661595">
              <w:rPr>
                <w:rStyle w:val="InstructionsTabelleberschrift"/>
                <w:rFonts w:ascii="Times New Roman" w:hAnsi="Times New Roman"/>
                <w:sz w:val="24"/>
              </w:rPr>
              <w:t xml:space="preserve">Fair value gains and losses </w:t>
            </w:r>
            <w:r w:rsidRPr="00661595">
              <w:rPr>
                <w:rStyle w:val="InstructionsTabelleberschrift"/>
                <w:rFonts w:ascii="Times New Roman" w:hAnsi="Times New Roman"/>
                <w:sz w:val="24"/>
              </w:rPr>
              <w:t xml:space="preserve">arising from the institution´s own </w:t>
            </w:r>
            <w:r w:rsidR="00666996" w:rsidRPr="00661595">
              <w:rPr>
                <w:rStyle w:val="InstructionsTabelleberschrift"/>
                <w:rFonts w:ascii="Times New Roman" w:hAnsi="Times New Roman"/>
                <w:sz w:val="24"/>
              </w:rPr>
              <w:t xml:space="preserve">credit risk </w:t>
            </w:r>
            <w:r w:rsidRPr="00661595">
              <w:rPr>
                <w:rStyle w:val="InstructionsTabelleberschrift"/>
                <w:rFonts w:ascii="Times New Roman" w:hAnsi="Times New Roman"/>
                <w:sz w:val="24"/>
              </w:rPr>
              <w:t>related t</w:t>
            </w:r>
            <w:r w:rsidR="00666996" w:rsidRPr="00661595">
              <w:rPr>
                <w:rStyle w:val="InstructionsTabelleberschrift"/>
                <w:rFonts w:ascii="Times New Roman" w:hAnsi="Times New Roman"/>
                <w:sz w:val="24"/>
              </w:rPr>
              <w:t>o</w:t>
            </w:r>
            <w:r w:rsidRPr="00661595">
              <w:rPr>
                <w:rStyle w:val="InstructionsTabelleberschrift"/>
                <w:rFonts w:ascii="Times New Roman" w:hAnsi="Times New Roman"/>
                <w:sz w:val="24"/>
              </w:rPr>
              <w:t xml:space="preserve"> derivative liabilities</w:t>
            </w:r>
          </w:p>
          <w:p w:rsidR="005643EA" w:rsidRPr="00661595" w:rsidRDefault="00C7103D"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Point (c) of </w:t>
            </w:r>
            <w:r w:rsidR="00855D5F" w:rsidRPr="00661595">
              <w:rPr>
                <w:rStyle w:val="FormatvorlageInstructionsTabelleText"/>
                <w:rFonts w:ascii="Times New Roman" w:hAnsi="Times New Roman"/>
                <w:sz w:val="24"/>
              </w:rPr>
              <w:t>Article 3</w:t>
            </w:r>
            <w:r w:rsidR="008D274F" w:rsidRPr="00661595">
              <w:rPr>
                <w:rStyle w:val="FormatvorlageInstructionsTabelleText"/>
                <w:rFonts w:ascii="Times New Roman" w:hAnsi="Times New Roman"/>
                <w:sz w:val="24"/>
              </w:rPr>
              <w:t>3</w:t>
            </w:r>
            <w:r w:rsidR="00855D5F" w:rsidRPr="00661595">
              <w:rPr>
                <w:rStyle w:val="FormatvorlageInstructionsTabelleText"/>
                <w:rFonts w:ascii="Times New Roman" w:hAnsi="Times New Roman"/>
                <w:sz w:val="24"/>
              </w:rPr>
              <w:t xml:space="preserve">(1) and </w:t>
            </w:r>
            <w:r w:rsidR="002C66A4" w:rsidRPr="00661595">
              <w:rPr>
                <w:rStyle w:val="FormatvorlageInstructionsTabelleText"/>
                <w:rFonts w:ascii="Times New Roman" w:hAnsi="Times New Roman"/>
                <w:sz w:val="24"/>
              </w:rPr>
              <w:t xml:space="preserve">Article </w:t>
            </w:r>
            <w:r w:rsidR="00855D5F" w:rsidRPr="00661595">
              <w:rPr>
                <w:rStyle w:val="FormatvorlageInstructionsTabelleText"/>
                <w:rFonts w:ascii="Times New Roman" w:hAnsi="Times New Roman"/>
                <w:sz w:val="24"/>
              </w:rPr>
              <w:t>3</w:t>
            </w:r>
            <w:r w:rsidR="008D274F" w:rsidRPr="00661595">
              <w:rPr>
                <w:rStyle w:val="FormatvorlageInstructionsTabelleText"/>
                <w:rFonts w:ascii="Times New Roman" w:hAnsi="Times New Roman"/>
                <w:sz w:val="24"/>
              </w:rPr>
              <w:t>3(</w:t>
            </w:r>
            <w:r w:rsidR="00855D5F" w:rsidRPr="00661595">
              <w:rPr>
                <w:rStyle w:val="FormatvorlageInstructionsTabelleText"/>
                <w:rFonts w:ascii="Times New Roman" w:hAnsi="Times New Roman"/>
                <w:sz w:val="24"/>
              </w:rPr>
              <w:t xml:space="preserve">2) </w:t>
            </w:r>
            <w:r w:rsidRPr="00661595">
              <w:rPr>
                <w:rStyle w:val="FormatvorlageInstructionsTabelleText"/>
                <w:rFonts w:ascii="Times New Roman" w:hAnsi="Times New Roman"/>
                <w:sz w:val="24"/>
              </w:rPr>
              <w:t>CRR</w:t>
            </w:r>
          </w:p>
          <w:p w:rsidR="005643EA" w:rsidRPr="00661595" w:rsidRDefault="0066699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The amount to be reported c</w:t>
            </w:r>
            <w:r w:rsidR="00C7103D" w:rsidRPr="00661595">
              <w:rPr>
                <w:rStyle w:val="FormatvorlageInstructionsTabelleText"/>
                <w:rFonts w:ascii="Times New Roman" w:hAnsi="Times New Roman"/>
                <w:sz w:val="24"/>
              </w:rPr>
              <w:t xml:space="preserve">an </w:t>
            </w:r>
            <w:r w:rsidRPr="00661595">
              <w:rPr>
                <w:rStyle w:val="FormatvorlageInstructionsTabelleText"/>
                <w:rFonts w:ascii="Times New Roman" w:hAnsi="Times New Roman"/>
                <w:sz w:val="24"/>
              </w:rPr>
              <w:t xml:space="preserve">be positive or negative. It </w:t>
            </w:r>
            <w:r w:rsidR="00C93697" w:rsidRPr="00661595">
              <w:rPr>
                <w:rStyle w:val="FormatvorlageInstructionsTabelleText"/>
                <w:rFonts w:ascii="Times New Roman" w:hAnsi="Times New Roman"/>
                <w:sz w:val="24"/>
              </w:rPr>
              <w:t>shall</w:t>
            </w:r>
            <w:r w:rsidRPr="00661595">
              <w:rPr>
                <w:rStyle w:val="FormatvorlageInstructionsTabelleText"/>
                <w:rFonts w:ascii="Times New Roman" w:hAnsi="Times New Roman"/>
                <w:sz w:val="24"/>
              </w:rPr>
              <w:t xml:space="preserve"> be positive if there is a loss due to changes in own credit risk and vice versa. Thus, the sign </w:t>
            </w:r>
            <w:r w:rsidR="00C93697" w:rsidRPr="00661595">
              <w:rPr>
                <w:rStyle w:val="FormatvorlageInstructionsTabelleText"/>
                <w:rFonts w:ascii="Times New Roman" w:hAnsi="Times New Roman"/>
                <w:sz w:val="24"/>
              </w:rPr>
              <w:t>shall</w:t>
            </w:r>
            <w:r w:rsidRPr="00661595">
              <w:rPr>
                <w:rStyle w:val="FormatvorlageInstructionsTabelleText"/>
                <w:rFonts w:ascii="Times New Roman" w:hAnsi="Times New Roman"/>
                <w:sz w:val="24"/>
              </w:rPr>
              <w:t xml:space="preserve"> be contrary to the one used in accounting statements.</w:t>
            </w:r>
          </w:p>
          <w:p w:rsidR="005643EA" w:rsidRPr="00661595" w:rsidRDefault="00666996" w:rsidP="00487A02">
            <w:pPr>
              <w:pStyle w:val="InstructionsText"/>
              <w:rPr>
                <w:rStyle w:val="InstructionsTabelleberschrift"/>
                <w:rFonts w:ascii="Times New Roman" w:hAnsi="Times New Roman"/>
                <w:b w:val="0"/>
                <w:sz w:val="24"/>
                <w:u w:val="none"/>
              </w:rPr>
            </w:pPr>
            <w:r w:rsidRPr="00661595">
              <w:rPr>
                <w:rStyle w:val="FormatvorlageInstructionsTabelleText"/>
                <w:rFonts w:ascii="Times New Roman" w:hAnsi="Times New Roman"/>
                <w:sz w:val="24"/>
              </w:rPr>
              <w:t>Unaudited profit shall not be included in this item.</w:t>
            </w:r>
          </w:p>
        </w:tc>
      </w:tr>
      <w:tr w:rsidR="00666996" w:rsidRPr="00661595" w:rsidTr="00D731E3">
        <w:tc>
          <w:tcPr>
            <w:tcW w:w="1129" w:type="dxa"/>
          </w:tcPr>
          <w:p w:rsidR="00666996" w:rsidRPr="00661595" w:rsidRDefault="007C2334"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666996" w:rsidRPr="00661595">
              <w:rPr>
                <w:rStyle w:val="FormatvorlageInstructionsTabelleText"/>
                <w:rFonts w:ascii="Times New Roman" w:hAnsi="Times New Roman"/>
                <w:sz w:val="24"/>
              </w:rPr>
              <w:t>290</w:t>
            </w:r>
          </w:p>
        </w:tc>
        <w:tc>
          <w:tcPr>
            <w:tcW w:w="7620" w:type="dxa"/>
          </w:tcPr>
          <w:p w:rsidR="005643EA" w:rsidRPr="00661595" w:rsidRDefault="00855D5F"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.1.1.9.5</w:t>
            </w:r>
            <w:r w:rsidR="000D194E" w:rsidRPr="00661595">
              <w:rPr>
                <w:rStyle w:val="InstructionsTabelleberschrift"/>
                <w:rFonts w:ascii="Times New Roman" w:hAnsi="Times New Roman"/>
                <w:sz w:val="24"/>
              </w:rPr>
              <w:tab/>
            </w:r>
            <w:r w:rsidR="00666996" w:rsidRPr="00661595">
              <w:rPr>
                <w:rStyle w:val="InstructionsTabelleberschrift"/>
                <w:rFonts w:ascii="Times New Roman" w:hAnsi="Times New Roman"/>
                <w:sz w:val="24"/>
              </w:rPr>
              <w:t>(-) Value adjustments due to the requirements for prudent valuation</w:t>
            </w:r>
          </w:p>
          <w:p w:rsidR="005643EA" w:rsidRPr="00661595" w:rsidRDefault="0066699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Articles </w:t>
            </w:r>
            <w:r w:rsidR="00BF540A" w:rsidRPr="00661595">
              <w:rPr>
                <w:rStyle w:val="FormatvorlageInstructionsTabelleText"/>
                <w:rFonts w:ascii="Times New Roman" w:hAnsi="Times New Roman"/>
                <w:sz w:val="24"/>
              </w:rPr>
              <w:t xml:space="preserve">34 </w:t>
            </w:r>
            <w:r w:rsidRPr="00661595">
              <w:rPr>
                <w:rStyle w:val="FormatvorlageInstructionsTabelleText"/>
                <w:rFonts w:ascii="Times New Roman" w:hAnsi="Times New Roman"/>
                <w:sz w:val="24"/>
              </w:rPr>
              <w:t xml:space="preserve">and </w:t>
            </w:r>
            <w:r w:rsidR="00BF540A" w:rsidRPr="00661595">
              <w:rPr>
                <w:rStyle w:val="FormatvorlageInstructionsTabelleText"/>
                <w:rFonts w:ascii="Times New Roman" w:hAnsi="Times New Roman"/>
                <w:sz w:val="24"/>
              </w:rPr>
              <w:t xml:space="preserve">105 </w:t>
            </w:r>
            <w:r w:rsidR="00C7103D" w:rsidRPr="00661595">
              <w:rPr>
                <w:rStyle w:val="FormatvorlageInstructionsTabelleText"/>
                <w:rFonts w:ascii="Times New Roman" w:hAnsi="Times New Roman"/>
                <w:sz w:val="24"/>
              </w:rPr>
              <w:t>CRR</w:t>
            </w:r>
          </w:p>
          <w:p w:rsidR="005643EA" w:rsidRPr="00661595" w:rsidRDefault="0066699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Adjustments to the fair value of </w:t>
            </w:r>
            <w:r w:rsidR="002423CA" w:rsidRPr="00661595">
              <w:rPr>
                <w:rStyle w:val="FormatvorlageInstructionsTabelleText"/>
                <w:rFonts w:ascii="Times New Roman" w:hAnsi="Times New Roman"/>
                <w:sz w:val="24"/>
              </w:rPr>
              <w:t xml:space="preserve">exposures included in </w:t>
            </w:r>
            <w:r w:rsidRPr="00661595">
              <w:rPr>
                <w:rStyle w:val="FormatvorlageInstructionsTabelleText"/>
                <w:rFonts w:ascii="Times New Roman" w:hAnsi="Times New Roman"/>
                <w:sz w:val="24"/>
              </w:rPr>
              <w:t xml:space="preserve">the trading book </w:t>
            </w:r>
            <w:r w:rsidR="002423CA" w:rsidRPr="00661595">
              <w:rPr>
                <w:rStyle w:val="FormatvorlageInstructionsTabelleText"/>
                <w:rFonts w:ascii="Times New Roman" w:hAnsi="Times New Roman"/>
                <w:sz w:val="24"/>
              </w:rPr>
              <w:t>or non-trading book due to</w:t>
            </w:r>
            <w:r w:rsidRPr="00661595">
              <w:rPr>
                <w:rStyle w:val="FormatvorlageInstructionsTabelleText"/>
                <w:rFonts w:ascii="Times New Roman" w:hAnsi="Times New Roman"/>
                <w:sz w:val="24"/>
              </w:rPr>
              <w:t xml:space="preserve"> stricter standards for prudent valuation set in Article</w:t>
            </w:r>
            <w:r w:rsidR="002C66A4" w:rsidRPr="00661595">
              <w:rPr>
                <w:rStyle w:val="FormatvorlageInstructionsTabelleText"/>
                <w:rFonts w:ascii="Times New Roman" w:hAnsi="Times New Roman"/>
                <w:sz w:val="24"/>
              </w:rPr>
              <w:t> </w:t>
            </w:r>
            <w:r w:rsidR="00BF540A" w:rsidRPr="00661595">
              <w:rPr>
                <w:rStyle w:val="FormatvorlageInstructionsTabelleText"/>
                <w:rFonts w:ascii="Times New Roman" w:hAnsi="Times New Roman"/>
                <w:sz w:val="24"/>
              </w:rPr>
              <w:t xml:space="preserve">105 </w:t>
            </w:r>
            <w:r w:rsidR="00C7103D" w:rsidRPr="00661595">
              <w:rPr>
                <w:rStyle w:val="FormatvorlageInstructionsTabelleText"/>
                <w:rFonts w:ascii="Times New Roman" w:hAnsi="Times New Roman"/>
                <w:sz w:val="24"/>
              </w:rPr>
              <w:t>CRR</w:t>
            </w:r>
          </w:p>
        </w:tc>
      </w:tr>
      <w:tr w:rsidR="00666996" w:rsidRPr="00661595" w:rsidTr="00D731E3">
        <w:tc>
          <w:tcPr>
            <w:tcW w:w="1129" w:type="dxa"/>
          </w:tcPr>
          <w:p w:rsidR="00666996" w:rsidRPr="00661595" w:rsidRDefault="007C2334"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666996" w:rsidRPr="00661595">
              <w:rPr>
                <w:rStyle w:val="FormatvorlageInstructionsTabelleText"/>
                <w:rFonts w:ascii="Times New Roman" w:hAnsi="Times New Roman"/>
                <w:sz w:val="24"/>
              </w:rPr>
              <w:t>300</w:t>
            </w:r>
          </w:p>
        </w:tc>
        <w:tc>
          <w:tcPr>
            <w:tcW w:w="7620" w:type="dxa"/>
          </w:tcPr>
          <w:p w:rsidR="005643EA" w:rsidRPr="00661595" w:rsidRDefault="00855D5F"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.1.1.10</w:t>
            </w:r>
            <w:r w:rsidR="000D194E" w:rsidRPr="00661595">
              <w:rPr>
                <w:rStyle w:val="InstructionsTabelleberschrift"/>
                <w:rFonts w:ascii="Times New Roman" w:hAnsi="Times New Roman"/>
                <w:sz w:val="24"/>
              </w:rPr>
              <w:tab/>
            </w:r>
            <w:r w:rsidR="00666996" w:rsidRPr="00661595">
              <w:rPr>
                <w:rStyle w:val="InstructionsTabelleberschrift"/>
                <w:rFonts w:ascii="Times New Roman" w:hAnsi="Times New Roman"/>
                <w:sz w:val="24"/>
              </w:rPr>
              <w:t>(-) Goodwill</w:t>
            </w:r>
          </w:p>
          <w:p w:rsidR="005643EA" w:rsidRPr="00661595" w:rsidRDefault="00FF2818"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Point (113) of </w:t>
            </w:r>
            <w:r w:rsidR="00666996" w:rsidRPr="00661595">
              <w:rPr>
                <w:rStyle w:val="FormatvorlageInstructionsTabelleText"/>
                <w:rFonts w:ascii="Times New Roman" w:hAnsi="Times New Roman"/>
                <w:sz w:val="24"/>
              </w:rPr>
              <w:t xml:space="preserve">Article </w:t>
            </w:r>
            <w:r w:rsidR="005643EA" w:rsidRPr="00661595">
              <w:rPr>
                <w:rStyle w:val="FormatvorlageInstructionsTabelleText"/>
                <w:rFonts w:ascii="Times New Roman" w:hAnsi="Times New Roman"/>
                <w:sz w:val="24"/>
              </w:rPr>
              <w:t>4</w:t>
            </w:r>
            <w:r w:rsidR="00B7350E" w:rsidRPr="00661595">
              <w:rPr>
                <w:rStyle w:val="FormatvorlageInstructionsTabelleText"/>
                <w:rFonts w:ascii="Times New Roman" w:hAnsi="Times New Roman"/>
                <w:sz w:val="24"/>
              </w:rPr>
              <w:t>(1)</w:t>
            </w:r>
            <w:r w:rsidR="00666996" w:rsidRPr="00661595">
              <w:rPr>
                <w:rStyle w:val="FormatvorlageInstructionsTabelleText"/>
                <w:rFonts w:ascii="Times New Roman" w:hAnsi="Times New Roman"/>
                <w:sz w:val="24"/>
              </w:rPr>
              <w:t>,</w:t>
            </w:r>
            <w:r w:rsidR="00730040" w:rsidRPr="00661595">
              <w:rPr>
                <w:rStyle w:val="FormatvorlageInstructionsTabelleText"/>
                <w:rFonts w:ascii="Times New Roman" w:hAnsi="Times New Roman"/>
                <w:sz w:val="24"/>
              </w:rPr>
              <w:t xml:space="preserve"> </w:t>
            </w:r>
            <w:r w:rsidR="00C7103D" w:rsidRPr="00661595">
              <w:rPr>
                <w:rStyle w:val="FormatvorlageInstructionsTabelleText"/>
                <w:rFonts w:ascii="Times New Roman" w:hAnsi="Times New Roman"/>
                <w:sz w:val="24"/>
              </w:rPr>
              <w:t xml:space="preserve">point (b) of Article </w:t>
            </w:r>
            <w:r w:rsidR="00407110" w:rsidRPr="00661595">
              <w:rPr>
                <w:rStyle w:val="FormatvorlageInstructionsTabelleText"/>
                <w:rFonts w:ascii="Times New Roman" w:hAnsi="Times New Roman"/>
                <w:sz w:val="24"/>
              </w:rPr>
              <w:t>36(</w:t>
            </w:r>
            <w:r w:rsidR="00666996" w:rsidRPr="00661595">
              <w:rPr>
                <w:rStyle w:val="FormatvorlageInstructionsTabelleText"/>
                <w:rFonts w:ascii="Times New Roman" w:hAnsi="Times New Roman"/>
                <w:sz w:val="24"/>
              </w:rPr>
              <w:t xml:space="preserve">1) and </w:t>
            </w:r>
            <w:r w:rsidR="00C7103D" w:rsidRPr="00661595">
              <w:rPr>
                <w:rStyle w:val="FormatvorlageInstructionsTabelleText"/>
                <w:rFonts w:ascii="Times New Roman" w:hAnsi="Times New Roman"/>
                <w:sz w:val="24"/>
              </w:rPr>
              <w:t xml:space="preserve">Article </w:t>
            </w:r>
            <w:r w:rsidR="00BF540A" w:rsidRPr="00661595">
              <w:rPr>
                <w:rStyle w:val="FormatvorlageInstructionsTabelleText"/>
                <w:rFonts w:ascii="Times New Roman" w:hAnsi="Times New Roman"/>
                <w:sz w:val="24"/>
              </w:rPr>
              <w:t xml:space="preserve">37 </w:t>
            </w:r>
            <w:r w:rsidR="00C7103D" w:rsidRPr="00661595">
              <w:rPr>
                <w:rStyle w:val="FormatvorlageInstructionsTabelleText"/>
                <w:rFonts w:ascii="Times New Roman" w:hAnsi="Times New Roman"/>
                <w:sz w:val="24"/>
              </w:rPr>
              <w:t>CRR</w:t>
            </w:r>
          </w:p>
        </w:tc>
      </w:tr>
      <w:tr w:rsidR="00666996" w:rsidRPr="00661595" w:rsidTr="00D731E3">
        <w:tc>
          <w:tcPr>
            <w:tcW w:w="1129" w:type="dxa"/>
          </w:tcPr>
          <w:p w:rsidR="00666996" w:rsidRPr="00661595" w:rsidRDefault="007C2334"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666996" w:rsidRPr="00661595">
              <w:rPr>
                <w:rStyle w:val="FormatvorlageInstructionsTabelleText"/>
                <w:rFonts w:ascii="Times New Roman" w:hAnsi="Times New Roman"/>
                <w:sz w:val="24"/>
              </w:rPr>
              <w:t>310</w:t>
            </w:r>
          </w:p>
        </w:tc>
        <w:tc>
          <w:tcPr>
            <w:tcW w:w="7620" w:type="dxa"/>
          </w:tcPr>
          <w:p w:rsidR="005643EA" w:rsidRPr="00661595" w:rsidRDefault="00855D5F"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.1.1.10.1</w:t>
            </w:r>
            <w:r w:rsidR="000D194E" w:rsidRPr="00661595">
              <w:rPr>
                <w:rStyle w:val="InstructionsTabelleberschrift"/>
                <w:rFonts w:ascii="Times New Roman" w:hAnsi="Times New Roman"/>
                <w:sz w:val="24"/>
              </w:rPr>
              <w:tab/>
            </w:r>
            <w:r w:rsidR="00666996" w:rsidRPr="00661595">
              <w:rPr>
                <w:rStyle w:val="InstructionsTabelleberschrift"/>
                <w:rFonts w:ascii="Times New Roman" w:hAnsi="Times New Roman"/>
                <w:sz w:val="24"/>
              </w:rPr>
              <w:t>(-) Goodwill accounted for as intangible asset</w:t>
            </w:r>
          </w:p>
          <w:p w:rsidR="005643EA" w:rsidRPr="00661595" w:rsidRDefault="00FF2818"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Point (113) of </w:t>
            </w:r>
            <w:r w:rsidR="00666996" w:rsidRPr="00661595">
              <w:rPr>
                <w:rStyle w:val="FormatvorlageInstructionsTabelleText"/>
                <w:rFonts w:ascii="Times New Roman" w:hAnsi="Times New Roman"/>
                <w:sz w:val="24"/>
              </w:rPr>
              <w:t xml:space="preserve">Article </w:t>
            </w:r>
            <w:r w:rsidR="005643EA" w:rsidRPr="00661595">
              <w:rPr>
                <w:rStyle w:val="FormatvorlageInstructionsTabelleText"/>
                <w:rFonts w:ascii="Times New Roman" w:hAnsi="Times New Roman"/>
                <w:sz w:val="24"/>
              </w:rPr>
              <w:t>4</w:t>
            </w:r>
            <w:r w:rsidR="00B7350E" w:rsidRPr="00661595">
              <w:rPr>
                <w:rStyle w:val="FormatvorlageInstructionsTabelleText"/>
                <w:rFonts w:ascii="Times New Roman" w:hAnsi="Times New Roman"/>
                <w:sz w:val="24"/>
              </w:rPr>
              <w:t>(1)</w:t>
            </w:r>
            <w:r w:rsidR="00666996" w:rsidRPr="00661595">
              <w:rPr>
                <w:rStyle w:val="FormatvorlageInstructionsTabelleText"/>
                <w:rFonts w:ascii="Times New Roman" w:hAnsi="Times New Roman"/>
                <w:sz w:val="24"/>
              </w:rPr>
              <w:t xml:space="preserve"> and </w:t>
            </w:r>
            <w:r w:rsidR="00C7103D" w:rsidRPr="00661595">
              <w:rPr>
                <w:rStyle w:val="FormatvorlageInstructionsTabelleText"/>
                <w:rFonts w:ascii="Times New Roman" w:hAnsi="Times New Roman"/>
                <w:sz w:val="24"/>
              </w:rPr>
              <w:t xml:space="preserve">point (b) of Article </w:t>
            </w:r>
            <w:r w:rsidR="00407110" w:rsidRPr="00661595">
              <w:rPr>
                <w:rStyle w:val="FormatvorlageInstructionsTabelleText"/>
                <w:rFonts w:ascii="Times New Roman" w:hAnsi="Times New Roman"/>
                <w:sz w:val="24"/>
              </w:rPr>
              <w:t>36(</w:t>
            </w:r>
            <w:r w:rsidR="00666996" w:rsidRPr="00661595">
              <w:rPr>
                <w:rStyle w:val="FormatvorlageInstructionsTabelleText"/>
                <w:rFonts w:ascii="Times New Roman" w:hAnsi="Times New Roman"/>
                <w:sz w:val="24"/>
              </w:rPr>
              <w:t xml:space="preserve">1) </w:t>
            </w:r>
            <w:r w:rsidR="00C7103D" w:rsidRPr="00661595">
              <w:rPr>
                <w:rStyle w:val="FormatvorlageInstructionsTabelleText"/>
                <w:rFonts w:ascii="Times New Roman" w:hAnsi="Times New Roman"/>
                <w:sz w:val="24"/>
              </w:rPr>
              <w:t>CRR</w:t>
            </w:r>
          </w:p>
          <w:p w:rsidR="005643EA" w:rsidRPr="00661595" w:rsidRDefault="0066699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Goodwill has the same meaning as under the applicable accounting standard.</w:t>
            </w:r>
          </w:p>
          <w:p w:rsidR="005643EA" w:rsidRPr="00661595" w:rsidRDefault="0066699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The amount to be reported here shall be the same </w:t>
            </w:r>
            <w:r w:rsidR="00852CAD" w:rsidRPr="00661595">
              <w:rPr>
                <w:rStyle w:val="FormatvorlageInstructionsTabelleText"/>
                <w:rFonts w:ascii="Times New Roman" w:hAnsi="Times New Roman"/>
                <w:sz w:val="24"/>
              </w:rPr>
              <w:t xml:space="preserve">as the amount </w:t>
            </w:r>
            <w:r w:rsidRPr="00661595">
              <w:rPr>
                <w:rStyle w:val="FormatvorlageInstructionsTabelleText"/>
                <w:rFonts w:ascii="Times New Roman" w:hAnsi="Times New Roman"/>
                <w:sz w:val="24"/>
              </w:rPr>
              <w:t>that is reported in the balance sheet.</w:t>
            </w:r>
          </w:p>
        </w:tc>
      </w:tr>
      <w:tr w:rsidR="00666996" w:rsidRPr="00661595" w:rsidTr="00D731E3">
        <w:tc>
          <w:tcPr>
            <w:tcW w:w="1129" w:type="dxa"/>
          </w:tcPr>
          <w:p w:rsidR="00666996" w:rsidRPr="00661595" w:rsidRDefault="007C2334"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666996" w:rsidRPr="00661595">
              <w:rPr>
                <w:rStyle w:val="FormatvorlageInstructionsTabelleText"/>
                <w:rFonts w:ascii="Times New Roman" w:hAnsi="Times New Roman"/>
                <w:sz w:val="24"/>
              </w:rPr>
              <w:t>320</w:t>
            </w:r>
          </w:p>
        </w:tc>
        <w:tc>
          <w:tcPr>
            <w:tcW w:w="7620" w:type="dxa"/>
          </w:tcPr>
          <w:p w:rsidR="005643EA" w:rsidRPr="00661595" w:rsidRDefault="00855D5F"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.1.1.10.2</w:t>
            </w:r>
            <w:r w:rsidR="000D194E" w:rsidRPr="00661595">
              <w:rPr>
                <w:rStyle w:val="InstructionsTabelleberschrift"/>
                <w:rFonts w:ascii="Times New Roman" w:hAnsi="Times New Roman"/>
                <w:sz w:val="24"/>
              </w:rPr>
              <w:tab/>
            </w:r>
            <w:r w:rsidR="00666996" w:rsidRPr="00661595">
              <w:rPr>
                <w:rStyle w:val="InstructionsTabelleberschrift"/>
                <w:rFonts w:ascii="Times New Roman" w:hAnsi="Times New Roman"/>
                <w:sz w:val="24"/>
              </w:rPr>
              <w:t>(-) Goodwill included in the valuation of significant investments</w:t>
            </w:r>
          </w:p>
          <w:p w:rsidR="005643EA" w:rsidRPr="00661595" w:rsidRDefault="00C7103D"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Point (b) of </w:t>
            </w:r>
            <w:r w:rsidR="00666996" w:rsidRPr="00661595">
              <w:rPr>
                <w:rStyle w:val="FormatvorlageInstructionsTabelleText"/>
                <w:rFonts w:ascii="Times New Roman" w:hAnsi="Times New Roman"/>
                <w:sz w:val="24"/>
              </w:rPr>
              <w:t xml:space="preserve">Article </w:t>
            </w:r>
            <w:r w:rsidR="009C3D16" w:rsidRPr="00661595">
              <w:rPr>
                <w:rStyle w:val="FormatvorlageInstructionsTabelleText"/>
                <w:rFonts w:ascii="Times New Roman" w:hAnsi="Times New Roman"/>
                <w:sz w:val="24"/>
              </w:rPr>
              <w:t xml:space="preserve">37 </w:t>
            </w:r>
            <w:r w:rsidR="00855D5F" w:rsidRPr="00661595">
              <w:rPr>
                <w:rStyle w:val="FormatvorlageInstructionsTabelleText"/>
                <w:rFonts w:ascii="Times New Roman" w:hAnsi="Times New Roman"/>
                <w:sz w:val="24"/>
              </w:rPr>
              <w:t xml:space="preserve">and </w:t>
            </w:r>
            <w:r w:rsidRPr="00661595">
              <w:rPr>
                <w:rStyle w:val="FormatvorlageInstructionsTabelleText"/>
                <w:rFonts w:ascii="Times New Roman" w:hAnsi="Times New Roman"/>
                <w:sz w:val="24"/>
              </w:rPr>
              <w:t xml:space="preserve">Article </w:t>
            </w:r>
            <w:r w:rsidR="00855D5F" w:rsidRPr="00661595">
              <w:rPr>
                <w:rStyle w:val="FormatvorlageInstructionsTabelleText"/>
                <w:rFonts w:ascii="Times New Roman" w:hAnsi="Times New Roman"/>
                <w:sz w:val="24"/>
              </w:rPr>
              <w:t>4</w:t>
            </w:r>
            <w:r w:rsidR="009C3D16" w:rsidRPr="00661595">
              <w:rPr>
                <w:rStyle w:val="FormatvorlageInstructionsTabelleText"/>
                <w:rFonts w:ascii="Times New Roman" w:hAnsi="Times New Roman"/>
                <w:sz w:val="24"/>
              </w:rPr>
              <w:t>3</w:t>
            </w:r>
            <w:r w:rsidR="00855D5F" w:rsidRPr="00661595">
              <w:rPr>
                <w:rStyle w:val="FormatvorlageInstructionsTabelleText"/>
                <w:rFonts w:ascii="Times New Roman" w:hAnsi="Times New Roman"/>
                <w:sz w:val="24"/>
              </w:rPr>
              <w:t xml:space="preserve"> </w:t>
            </w:r>
            <w:r w:rsidRPr="00661595">
              <w:rPr>
                <w:rStyle w:val="FormatvorlageInstructionsTabelleText"/>
                <w:rFonts w:ascii="Times New Roman" w:hAnsi="Times New Roman"/>
                <w:sz w:val="24"/>
              </w:rPr>
              <w:t>CRR</w:t>
            </w:r>
          </w:p>
        </w:tc>
      </w:tr>
      <w:tr w:rsidR="00666996" w:rsidRPr="00661595" w:rsidTr="00D731E3">
        <w:tc>
          <w:tcPr>
            <w:tcW w:w="1129" w:type="dxa"/>
          </w:tcPr>
          <w:p w:rsidR="00666996" w:rsidRPr="00661595" w:rsidRDefault="007C2334"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666996" w:rsidRPr="00661595">
              <w:rPr>
                <w:rStyle w:val="FormatvorlageInstructionsTabelleText"/>
                <w:rFonts w:ascii="Times New Roman" w:hAnsi="Times New Roman"/>
                <w:sz w:val="24"/>
              </w:rPr>
              <w:t>330</w:t>
            </w:r>
          </w:p>
        </w:tc>
        <w:tc>
          <w:tcPr>
            <w:tcW w:w="7620" w:type="dxa"/>
          </w:tcPr>
          <w:p w:rsidR="005643EA" w:rsidRPr="00661595" w:rsidRDefault="00AD70F1"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.1.1.10.3</w:t>
            </w:r>
            <w:r w:rsidR="000D194E" w:rsidRPr="00661595">
              <w:rPr>
                <w:rStyle w:val="InstructionsTabelleberschrift"/>
                <w:rFonts w:ascii="Times New Roman" w:hAnsi="Times New Roman"/>
                <w:sz w:val="24"/>
              </w:rPr>
              <w:tab/>
            </w:r>
            <w:r w:rsidR="00666996" w:rsidRPr="00661595">
              <w:rPr>
                <w:rStyle w:val="InstructionsTabelleberschrift"/>
                <w:rFonts w:ascii="Times New Roman" w:hAnsi="Times New Roman"/>
                <w:sz w:val="24"/>
              </w:rPr>
              <w:t>Deferred tax liabilities associated to goodwill</w:t>
            </w:r>
          </w:p>
          <w:p w:rsidR="005643EA" w:rsidRPr="00661595" w:rsidRDefault="00C7103D"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Point (a) of </w:t>
            </w:r>
            <w:r w:rsidR="00666996" w:rsidRPr="00661595">
              <w:rPr>
                <w:rStyle w:val="FormatvorlageInstructionsTabelleText"/>
                <w:rFonts w:ascii="Times New Roman" w:hAnsi="Times New Roman"/>
                <w:sz w:val="24"/>
              </w:rPr>
              <w:t xml:space="preserve">Article </w:t>
            </w:r>
            <w:r w:rsidR="009C3D16" w:rsidRPr="00661595">
              <w:rPr>
                <w:rStyle w:val="FormatvorlageInstructionsTabelleText"/>
                <w:rFonts w:ascii="Times New Roman" w:hAnsi="Times New Roman"/>
                <w:sz w:val="24"/>
              </w:rPr>
              <w:t xml:space="preserve">37 </w:t>
            </w:r>
            <w:r w:rsidRPr="00661595">
              <w:rPr>
                <w:rStyle w:val="FormatvorlageInstructionsTabelleText"/>
                <w:rFonts w:ascii="Times New Roman" w:hAnsi="Times New Roman"/>
                <w:sz w:val="24"/>
              </w:rPr>
              <w:t>CRR</w:t>
            </w:r>
          </w:p>
          <w:p w:rsidR="005643EA" w:rsidRPr="00661595" w:rsidRDefault="0066699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Amount of deferred tax liabilities that would be extinguished if the goodwill became impaired or was derecognised under the relevant accounting standard</w:t>
            </w:r>
            <w:r w:rsidR="00C7103D" w:rsidRPr="00661595">
              <w:rPr>
                <w:rStyle w:val="FormatvorlageInstructionsTabelleText"/>
                <w:rFonts w:ascii="Times New Roman" w:hAnsi="Times New Roman"/>
                <w:sz w:val="24"/>
              </w:rPr>
              <w:t>.</w:t>
            </w:r>
          </w:p>
        </w:tc>
      </w:tr>
      <w:tr w:rsidR="00D731E3" w:rsidRPr="00661595" w:rsidTr="00D731E3">
        <w:tc>
          <w:tcPr>
            <w:tcW w:w="1129" w:type="dxa"/>
          </w:tcPr>
          <w:p w:rsidR="00D731E3" w:rsidRPr="00661595" w:rsidRDefault="007C2334"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D731E3" w:rsidRPr="00661595">
              <w:rPr>
                <w:rStyle w:val="FormatvorlageInstructionsTabelleText"/>
                <w:rFonts w:ascii="Times New Roman" w:hAnsi="Times New Roman"/>
                <w:sz w:val="24"/>
              </w:rPr>
              <w:t>335</w:t>
            </w:r>
          </w:p>
        </w:tc>
        <w:tc>
          <w:tcPr>
            <w:tcW w:w="7620" w:type="dxa"/>
          </w:tcPr>
          <w:p w:rsidR="00D731E3" w:rsidRPr="00661595" w:rsidRDefault="00D731E3"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1.1.1.10.4</w:t>
            </w:r>
            <w:r w:rsidRPr="00661595">
              <w:rPr>
                <w:rStyle w:val="InstructionsTabelleberschrift"/>
                <w:rFonts w:ascii="Times New Roman" w:hAnsi="Times New Roman"/>
                <w:sz w:val="24"/>
              </w:rPr>
              <w:tab/>
              <w:t>Accounting revaluation of subsidiaries’ goodwill derived from the consolidation of subsidiaries attributable to third persons</w:t>
            </w:r>
          </w:p>
          <w:p w:rsidR="00D731E3" w:rsidRPr="00661595" w:rsidRDefault="00064158"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Point (c) of </w:t>
            </w:r>
            <w:r w:rsidR="00D731E3" w:rsidRPr="00661595">
              <w:rPr>
                <w:rStyle w:val="FormatvorlageInstructionsTabelleText"/>
                <w:rFonts w:ascii="Times New Roman" w:hAnsi="Times New Roman"/>
                <w:sz w:val="24"/>
              </w:rPr>
              <w:t>Article 37</w:t>
            </w:r>
            <w:r w:rsidR="003172C8" w:rsidRPr="00661595">
              <w:rPr>
                <w:rStyle w:val="FormatvorlageInstructionsTabelleText"/>
                <w:rFonts w:ascii="Times New Roman" w:hAnsi="Times New Roman"/>
                <w:sz w:val="24"/>
              </w:rPr>
              <w:t xml:space="preserve"> </w:t>
            </w:r>
            <w:r w:rsidR="00D731E3" w:rsidRPr="00661595">
              <w:rPr>
                <w:rStyle w:val="FormatvorlageInstructionsTabelleText"/>
                <w:rFonts w:ascii="Times New Roman" w:hAnsi="Times New Roman"/>
                <w:sz w:val="24"/>
              </w:rPr>
              <w:t>CRR</w:t>
            </w:r>
          </w:p>
          <w:p w:rsidR="00D731E3" w:rsidRPr="00661595" w:rsidRDefault="00D731E3" w:rsidP="00487A02">
            <w:pPr>
              <w:pStyle w:val="InstructionsText"/>
              <w:rPr>
                <w:rStyle w:val="InstructionsTabelleberschrift"/>
                <w:rFonts w:ascii="Times New Roman" w:hAnsi="Times New Roman"/>
                <w:sz w:val="24"/>
              </w:rPr>
            </w:pPr>
            <w:r w:rsidRPr="00661595">
              <w:rPr>
                <w:rStyle w:val="FormatvorlageInstructionsTabelleText"/>
                <w:rFonts w:ascii="Times New Roman" w:hAnsi="Times New Roman"/>
                <w:sz w:val="24"/>
              </w:rPr>
              <w:t>The amount of the accounting revaluation of the subsidiaries' goodwill derived from the consolidation of subsidiaries attributable to persons other than the undertakings included in the consolidation pursuant to Chapter 2 of Title II of Part One.</w:t>
            </w:r>
          </w:p>
        </w:tc>
      </w:tr>
      <w:tr w:rsidR="00D731E3" w:rsidRPr="00661595" w:rsidTr="00D731E3">
        <w:tc>
          <w:tcPr>
            <w:tcW w:w="1129" w:type="dxa"/>
          </w:tcPr>
          <w:p w:rsidR="00D731E3" w:rsidRPr="00661595" w:rsidRDefault="003172C8"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D731E3" w:rsidRPr="00661595">
              <w:rPr>
                <w:rStyle w:val="FormatvorlageInstructionsTabelleText"/>
                <w:rFonts w:ascii="Times New Roman" w:hAnsi="Times New Roman"/>
                <w:sz w:val="24"/>
              </w:rPr>
              <w:t>340</w:t>
            </w:r>
          </w:p>
        </w:tc>
        <w:tc>
          <w:tcPr>
            <w:tcW w:w="7620" w:type="dxa"/>
          </w:tcPr>
          <w:p w:rsidR="00D731E3" w:rsidRPr="00661595" w:rsidRDefault="00D731E3"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1.1.1.11</w:t>
            </w:r>
            <w:r w:rsidRPr="00661595">
              <w:rPr>
                <w:rStyle w:val="InstructionsTabelleberschrift"/>
                <w:rFonts w:ascii="Times New Roman" w:hAnsi="Times New Roman"/>
                <w:sz w:val="24"/>
              </w:rPr>
              <w:tab/>
              <w:t>(-) Other intangible assets</w:t>
            </w:r>
          </w:p>
          <w:p w:rsidR="00D731E3" w:rsidRPr="00661595" w:rsidRDefault="00D731E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Point (115) of Article 4(1), point (b) of Article 36(1) and point (a) </w:t>
            </w:r>
            <w:r w:rsidR="0022315F" w:rsidRPr="00661595">
              <w:rPr>
                <w:rStyle w:val="FormatvorlageInstructionsTabelleText"/>
                <w:rFonts w:ascii="Times New Roman" w:hAnsi="Times New Roman"/>
                <w:sz w:val="24"/>
              </w:rPr>
              <w:t xml:space="preserve">and (c) </w:t>
            </w:r>
            <w:r w:rsidRPr="00661595">
              <w:rPr>
                <w:rStyle w:val="FormatvorlageInstructionsTabelleText"/>
                <w:rFonts w:ascii="Times New Roman" w:hAnsi="Times New Roman"/>
                <w:sz w:val="24"/>
              </w:rPr>
              <w:t>of Article 37 CRR</w:t>
            </w:r>
          </w:p>
          <w:p w:rsidR="00D731E3" w:rsidRPr="00661595" w:rsidRDefault="00D731E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Other intangible assets are the intangibles assets under the applicable accounting standard, minus the goodwill, also according to the applicable accounting standard.</w:t>
            </w:r>
          </w:p>
        </w:tc>
      </w:tr>
      <w:tr w:rsidR="00D731E3" w:rsidRPr="00661595" w:rsidTr="00D731E3">
        <w:tc>
          <w:tcPr>
            <w:tcW w:w="1129" w:type="dxa"/>
          </w:tcPr>
          <w:p w:rsidR="00D731E3" w:rsidRPr="00661595" w:rsidRDefault="003172C8"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D731E3" w:rsidRPr="00661595">
              <w:rPr>
                <w:rStyle w:val="FormatvorlageInstructionsTabelleText"/>
                <w:rFonts w:ascii="Times New Roman" w:hAnsi="Times New Roman"/>
                <w:sz w:val="24"/>
              </w:rPr>
              <w:t>350</w:t>
            </w:r>
          </w:p>
        </w:tc>
        <w:tc>
          <w:tcPr>
            <w:tcW w:w="7620" w:type="dxa"/>
          </w:tcPr>
          <w:p w:rsidR="00D731E3" w:rsidRPr="00661595" w:rsidRDefault="00D731E3"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1.1.1.11.1</w:t>
            </w:r>
            <w:r w:rsidRPr="00661595">
              <w:rPr>
                <w:rStyle w:val="InstructionsTabelleberschrift"/>
                <w:rFonts w:ascii="Times New Roman" w:hAnsi="Times New Roman"/>
                <w:sz w:val="24"/>
              </w:rPr>
              <w:tab/>
              <w:t>(-) Other intangible assets before deduction of deferred tax liabilities</w:t>
            </w:r>
          </w:p>
          <w:p w:rsidR="00D731E3" w:rsidRPr="00661595" w:rsidRDefault="00D731E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Point (115) of Article 4(1) and point (b) of Article 36(1) CRR</w:t>
            </w:r>
          </w:p>
          <w:p w:rsidR="00D731E3" w:rsidRPr="00661595" w:rsidRDefault="00D731E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Other intangible assets are the intangibles assets under the applicable accounting standard, minus the goodwill, also according to the applicable accounting standard.</w:t>
            </w:r>
          </w:p>
          <w:p w:rsidR="00D731E3" w:rsidRPr="00661595" w:rsidRDefault="00D731E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The amount to be reported here shall correspond to the amount reported in the balance sheet of intangible assets, other than goodwill.</w:t>
            </w:r>
          </w:p>
        </w:tc>
      </w:tr>
      <w:tr w:rsidR="00D731E3" w:rsidRPr="00661595" w:rsidTr="00D731E3">
        <w:tc>
          <w:tcPr>
            <w:tcW w:w="1129" w:type="dxa"/>
          </w:tcPr>
          <w:p w:rsidR="00D731E3" w:rsidRPr="00661595" w:rsidRDefault="003172C8"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D731E3" w:rsidRPr="00661595">
              <w:rPr>
                <w:rStyle w:val="FormatvorlageInstructionsTabelleText"/>
                <w:rFonts w:ascii="Times New Roman" w:hAnsi="Times New Roman"/>
                <w:sz w:val="24"/>
              </w:rPr>
              <w:t>360</w:t>
            </w:r>
          </w:p>
        </w:tc>
        <w:tc>
          <w:tcPr>
            <w:tcW w:w="7620" w:type="dxa"/>
          </w:tcPr>
          <w:p w:rsidR="00D731E3" w:rsidRPr="00661595" w:rsidRDefault="00D731E3"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1.1.1.11.2</w:t>
            </w:r>
            <w:r w:rsidRPr="00661595">
              <w:rPr>
                <w:rStyle w:val="InstructionsTabelleberschrift"/>
                <w:rFonts w:ascii="Times New Roman" w:hAnsi="Times New Roman"/>
                <w:sz w:val="24"/>
              </w:rPr>
              <w:tab/>
              <w:t>Deferred tax liabilities associated to other intangible assets</w:t>
            </w:r>
          </w:p>
          <w:p w:rsidR="00D731E3" w:rsidRPr="00661595" w:rsidRDefault="00D731E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Point (a) of Article 37 CRR</w:t>
            </w:r>
          </w:p>
          <w:p w:rsidR="00D731E3" w:rsidRPr="00661595" w:rsidRDefault="00D731E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Amount of deferred tax liabilities that would be extinguished if the intangibles assets, other than goodwill, became impaired or was derecognised under the relevant accounting standard.</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365</w:t>
            </w:r>
          </w:p>
        </w:tc>
        <w:tc>
          <w:tcPr>
            <w:tcW w:w="7620" w:type="dxa"/>
          </w:tcPr>
          <w:p w:rsidR="0022315F" w:rsidRPr="00661595" w:rsidRDefault="0022315F"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1.1.1.11.3</w:t>
            </w:r>
            <w:r w:rsidRPr="00661595">
              <w:rPr>
                <w:rStyle w:val="InstructionsTabelleberschrift"/>
                <w:rFonts w:ascii="Times New Roman" w:hAnsi="Times New Roman"/>
                <w:sz w:val="24"/>
              </w:rPr>
              <w:tab/>
              <w:t>Accounting revaluation of subsidiaries’ other intangible assets derived from the consolidation of subsidiaries attributable to third persons</w:t>
            </w:r>
          </w:p>
          <w:p w:rsidR="0022315F" w:rsidRPr="00661595" w:rsidRDefault="00064158"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Point (c) of </w:t>
            </w:r>
            <w:r w:rsidR="0022315F" w:rsidRPr="00661595">
              <w:rPr>
                <w:rStyle w:val="FormatvorlageInstructionsTabelleText"/>
                <w:rFonts w:ascii="Times New Roman" w:hAnsi="Times New Roman"/>
                <w:sz w:val="24"/>
              </w:rPr>
              <w:t>Article 37</w:t>
            </w:r>
            <w:r w:rsidR="003172C8" w:rsidRPr="00661595">
              <w:rPr>
                <w:rStyle w:val="FormatvorlageInstructionsTabelleText"/>
                <w:rFonts w:ascii="Times New Roman" w:hAnsi="Times New Roman"/>
                <w:sz w:val="24"/>
              </w:rPr>
              <w:t xml:space="preserve"> </w:t>
            </w:r>
            <w:r w:rsidR="0022315F" w:rsidRPr="00661595">
              <w:rPr>
                <w:rStyle w:val="FormatvorlageInstructionsTabelleText"/>
                <w:rFonts w:ascii="Times New Roman" w:hAnsi="Times New Roman"/>
                <w:sz w:val="24"/>
              </w:rPr>
              <w:t>CRR</w:t>
            </w:r>
          </w:p>
          <w:p w:rsidR="0022315F" w:rsidRPr="00661595" w:rsidRDefault="0022315F" w:rsidP="00487A02">
            <w:pPr>
              <w:pStyle w:val="InstructionsText"/>
              <w:rPr>
                <w:rStyle w:val="InstructionsTabelleberschrift"/>
                <w:rFonts w:ascii="Times New Roman" w:hAnsi="Times New Roman"/>
                <w:sz w:val="24"/>
              </w:rPr>
            </w:pPr>
            <w:r w:rsidRPr="00661595">
              <w:rPr>
                <w:rStyle w:val="FormatvorlageInstructionsTabelleText"/>
                <w:rFonts w:ascii="Times New Roman" w:hAnsi="Times New Roman"/>
                <w:sz w:val="24"/>
              </w:rPr>
              <w:t>The amount of the accounting revaluation of the subsidiaries' intangibles assets other than goodwill derived from the consolidation of subsidiaries attributable to persons other than the undertakings included in the consolidation pursuant to Chapter 2 of Title II of Part One.</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370</w:t>
            </w:r>
          </w:p>
        </w:tc>
        <w:tc>
          <w:tcPr>
            <w:tcW w:w="7620" w:type="dxa"/>
          </w:tcPr>
          <w:p w:rsidR="0022315F" w:rsidRPr="00661595" w:rsidRDefault="0022315F"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1.1.1.12</w:t>
            </w:r>
            <w:r w:rsidRPr="00661595">
              <w:rPr>
                <w:rStyle w:val="InstructionsTabelleberschrift"/>
                <w:rFonts w:ascii="Times New Roman" w:hAnsi="Times New Roman"/>
                <w:sz w:val="24"/>
              </w:rPr>
              <w:tab/>
              <w:t>(-) Deferred tax assets that rely on future profitability and do not arise from temporary differences net of associated tax liabilities</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Point (c) of Article 36(1) and Article 38 CRR</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380</w:t>
            </w:r>
          </w:p>
        </w:tc>
        <w:tc>
          <w:tcPr>
            <w:tcW w:w="7620" w:type="dxa"/>
          </w:tcPr>
          <w:p w:rsidR="0022315F" w:rsidRPr="00661595" w:rsidRDefault="0022315F"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1.1.1.13</w:t>
            </w:r>
            <w:r w:rsidRPr="00661595">
              <w:rPr>
                <w:rStyle w:val="InstructionsTabelleberschrift"/>
                <w:rFonts w:ascii="Times New Roman" w:hAnsi="Times New Roman"/>
                <w:sz w:val="24"/>
              </w:rPr>
              <w:tab/>
              <w:t>(-) IRB shortfall of credit risk adjustments to expected losses</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Point (d) of Article 36(1), Articles 40, 158 and 159 CRR</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The amount to be reported shall not be reduced by a rise in the level of deferred tax assets that rely on future profitability, or other additional tax effect, that could occur if provisions were to rise to the level of expected losses" (Article 40 CRR).</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390</w:t>
            </w:r>
          </w:p>
        </w:tc>
        <w:tc>
          <w:tcPr>
            <w:tcW w:w="7620" w:type="dxa"/>
          </w:tcPr>
          <w:p w:rsidR="0022315F" w:rsidRPr="00661595" w:rsidRDefault="0022315F"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1.1.1.14</w:t>
            </w:r>
            <w:r w:rsidRPr="00661595">
              <w:rPr>
                <w:rStyle w:val="InstructionsTabelleberschrift"/>
                <w:rFonts w:ascii="Times New Roman" w:hAnsi="Times New Roman"/>
                <w:sz w:val="24"/>
              </w:rPr>
              <w:tab/>
              <w:t>(-)Defined benefit pension fund assets</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Point (109) of Article 4(1), point (e) of Article 36(1) and Article 41 CRR</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400</w:t>
            </w:r>
          </w:p>
        </w:tc>
        <w:tc>
          <w:tcPr>
            <w:tcW w:w="7620" w:type="dxa"/>
          </w:tcPr>
          <w:p w:rsidR="0022315F" w:rsidRPr="00661595" w:rsidRDefault="0022315F"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1.1.1.14.1</w:t>
            </w:r>
            <w:r w:rsidRPr="00661595">
              <w:rPr>
                <w:rStyle w:val="InstructionsTabelleberschrift"/>
                <w:rFonts w:ascii="Times New Roman" w:hAnsi="Times New Roman"/>
                <w:sz w:val="24"/>
              </w:rPr>
              <w:tab/>
              <w:t xml:space="preserve">(-)Defined benefit pension fund assets </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Point (109) of Article 4(1) and point (e) of Article 36(1) CRR</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Defined benefit pension fund assets are defined as “the assets of a defined pension fund or plan, as applicable, calculated after they have been reduced by the amount of obligations under the same fund or plan”.</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The amount to be reported here shall correspond to the amount reported in the balance sheet (if reported separately).</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410</w:t>
            </w:r>
          </w:p>
        </w:tc>
        <w:tc>
          <w:tcPr>
            <w:tcW w:w="7620" w:type="dxa"/>
          </w:tcPr>
          <w:p w:rsidR="0022315F" w:rsidRPr="00661595" w:rsidRDefault="0022315F"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1.1.1.14.2</w:t>
            </w:r>
            <w:r w:rsidRPr="00661595">
              <w:rPr>
                <w:rStyle w:val="InstructionsTabelleberschrift"/>
                <w:rFonts w:ascii="Times New Roman" w:hAnsi="Times New Roman"/>
                <w:sz w:val="24"/>
              </w:rPr>
              <w:tab/>
              <w:t>Deferred tax liabilities associated to defined benefit pension fund assets</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Points (108) and (109) of Article 4(1) and point (a) of Article 41(1) CRR</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Amount of deferred tax liabilities that would be extinguished if the defined benefit pension fund assets became impaired or were derecognised under the relevant accounting standard.</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420</w:t>
            </w:r>
          </w:p>
        </w:tc>
        <w:tc>
          <w:tcPr>
            <w:tcW w:w="7620" w:type="dxa"/>
          </w:tcPr>
          <w:p w:rsidR="0022315F" w:rsidRPr="00661595" w:rsidRDefault="0022315F"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1.1.1.14.3</w:t>
            </w:r>
            <w:r w:rsidRPr="00661595">
              <w:rPr>
                <w:rStyle w:val="InstructionsTabelleberschrift"/>
                <w:rFonts w:ascii="Times New Roman" w:hAnsi="Times New Roman"/>
                <w:sz w:val="24"/>
              </w:rPr>
              <w:tab/>
              <w:t>Defined benefit pension fund assets which the institution has an unrestricted ability to use</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Point (109) of Article 4(1) and point (b) of Article 41(1) CRR</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This item shall only present any amount if there is a prior consent of the competent authority to reduce the amount of defined benefit pension fund assets to be deducted.</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The assets included in this row shall receive a risk weight for credit risk requirements.</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430</w:t>
            </w:r>
          </w:p>
        </w:tc>
        <w:tc>
          <w:tcPr>
            <w:tcW w:w="7620" w:type="dxa"/>
          </w:tcPr>
          <w:p w:rsidR="0022315F" w:rsidRPr="00661595" w:rsidRDefault="0022315F"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1.1.1.15</w:t>
            </w:r>
            <w:r w:rsidRPr="00661595">
              <w:rPr>
                <w:rStyle w:val="InstructionsTabelleberschrift"/>
                <w:rFonts w:ascii="Times New Roman" w:hAnsi="Times New Roman"/>
                <w:sz w:val="24"/>
              </w:rPr>
              <w:tab/>
              <w:t>(-) Reciprocal cross holdings in CET1 Capital</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Point (122) of Article 4(1), point (g) of Article 36(1) and Article 44 CRR</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Holdings in CET1 instruments of financial sector entities (as defined in point (27) of Article 4(1) CRR) where there is a reciprocal cross holding that the competent authority considers to have been designed to inflate artificially the own funds of the institution.</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The amount to be reported shall be calculated on the basis of the gross long positions, and shall include Tier 1 own-fund insurance items.</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440</w:t>
            </w:r>
          </w:p>
        </w:tc>
        <w:tc>
          <w:tcPr>
            <w:tcW w:w="7620" w:type="dxa"/>
          </w:tcPr>
          <w:p w:rsidR="0022315F" w:rsidRPr="00661595" w:rsidRDefault="0022315F"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1.1.1.16</w:t>
            </w:r>
            <w:r w:rsidRPr="00661595">
              <w:rPr>
                <w:rStyle w:val="InstructionsTabelleberschrift"/>
                <w:rFonts w:ascii="Times New Roman" w:hAnsi="Times New Roman"/>
                <w:sz w:val="24"/>
              </w:rPr>
              <w:tab/>
              <w:t xml:space="preserve">(-) Excess of deduction from AT1 items over AT1 Capital </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Point (j) of Article 36(1) CRR</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The amount to be reported is directly taken from CA1 item “Excess of deduction from AT1 items over AT1 Capital”. The amount has to be deducted from CET1.</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450</w:t>
            </w:r>
          </w:p>
        </w:tc>
        <w:tc>
          <w:tcPr>
            <w:tcW w:w="7620" w:type="dxa"/>
          </w:tcPr>
          <w:p w:rsidR="0022315F" w:rsidRPr="00661595" w:rsidRDefault="0022315F"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1.1.1.17</w:t>
            </w:r>
            <w:r w:rsidRPr="00661595">
              <w:rPr>
                <w:rStyle w:val="InstructionsTabelleberschrift"/>
                <w:rFonts w:ascii="Times New Roman" w:hAnsi="Times New Roman"/>
                <w:sz w:val="24"/>
              </w:rPr>
              <w:tab/>
              <w:t>(-) Qualifying holdings outside the financial sector which can alternatively be subject to a 1 250% risk weight</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Point (36) of Article 4(1), point (k)(i) of Article 36(1) and Articles 89 to 91 CRR</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Qualifying holdings are defined as “direct or indirect holding in an undertaking which represents 10% or more of the capital or of the voting rights or which makes it possible to exercise a significant influence over the management of that undertaking”.</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According to point (k)(i) of Article 36(1) CRR qualifying holdings can, alternatively, be deducted from CET1 (using this item), or be subject to a risk weight of 1 250%.</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460</w:t>
            </w:r>
          </w:p>
        </w:tc>
        <w:tc>
          <w:tcPr>
            <w:tcW w:w="7620" w:type="dxa"/>
          </w:tcPr>
          <w:p w:rsidR="0022315F" w:rsidRPr="00661595" w:rsidRDefault="0022315F"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1.1.1.18</w:t>
            </w:r>
            <w:r w:rsidRPr="00661595">
              <w:rPr>
                <w:rStyle w:val="InstructionsTabelleberschrift"/>
                <w:rFonts w:ascii="Times New Roman" w:hAnsi="Times New Roman"/>
                <w:sz w:val="24"/>
              </w:rPr>
              <w:tab/>
              <w:t>(-) Securitisation positions which can alternatively be subject to a 1250% risk weight</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Point (b) of Articles 244(1), point (b) of Article 245(1) and Article 253(1) CRR. </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Securitisation positions, which are subject to a 1 250% risk weight, but alternatively are allowed to be deducted from CET1 (point (k)(ii) of Article 36(1) CRR), shall be reported in this item.</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470</w:t>
            </w:r>
          </w:p>
        </w:tc>
        <w:tc>
          <w:tcPr>
            <w:tcW w:w="7620" w:type="dxa"/>
          </w:tcPr>
          <w:p w:rsidR="0022315F" w:rsidRPr="00661595" w:rsidRDefault="0022315F"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1.1.1.19</w:t>
            </w:r>
            <w:r w:rsidRPr="00661595">
              <w:rPr>
                <w:rStyle w:val="InstructionsTabelleberschrift"/>
                <w:rFonts w:ascii="Times New Roman" w:hAnsi="Times New Roman"/>
                <w:sz w:val="24"/>
              </w:rPr>
              <w:tab/>
              <w:t>(-) Free deliveries which can alternatively be subject to a 1.250% risk weight</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Point (k)(iii) of Article 36(1) and Article 379(3) CRR</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Free deliveries are subject to a 1 250% risk weight after 5 days post second contractual payment or delivery leg until the extinction of the transaction, according to the own funds requirements for settlement risk. Alternatively, they are allowed to be deducted from CET1 (point (k)(iii) of Article 36(1) CRR). In the latter case, they shall be reported in this item.</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471</w:t>
            </w:r>
          </w:p>
        </w:tc>
        <w:tc>
          <w:tcPr>
            <w:tcW w:w="7620" w:type="dxa"/>
          </w:tcPr>
          <w:p w:rsidR="0022315F" w:rsidRPr="00661595" w:rsidRDefault="0022315F"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1.1.1.20</w:t>
            </w:r>
            <w:r w:rsidRPr="00661595">
              <w:rPr>
                <w:rStyle w:val="InstructionsTabelleberschrift"/>
                <w:rFonts w:ascii="Times New Roman" w:hAnsi="Times New Roman"/>
                <w:sz w:val="24"/>
              </w:rPr>
              <w:tab/>
              <w:t>(-) Positions in a basket for which an institution cannot determine the risk weight under the IRB Approach, and can alternatively be subject to a 1 250% risk weight</w:t>
            </w:r>
          </w:p>
          <w:p w:rsidR="0022315F" w:rsidRPr="00661595" w:rsidRDefault="0022315F" w:rsidP="00487A02">
            <w:pPr>
              <w:pStyle w:val="InstructionsText"/>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Point (k)(iv) of Articles 36(1) and Article 153(8) CRR</w:t>
            </w:r>
          </w:p>
          <w:p w:rsidR="0022315F" w:rsidRPr="00661595" w:rsidRDefault="0022315F" w:rsidP="00487A02">
            <w:pPr>
              <w:pStyle w:val="InstructionsText"/>
              <w:rPr>
                <w:rStyle w:val="InstructionsTabelleberschrift"/>
                <w:rFonts w:ascii="Times New Roman" w:hAnsi="Times New Roman"/>
                <w:b w:val="0"/>
                <w:sz w:val="24"/>
                <w:u w:val="none"/>
              </w:rPr>
            </w:pPr>
            <w:r w:rsidRPr="00661595">
              <w:rPr>
                <w:rStyle w:val="FormatvorlageInstructionsTabelleText"/>
                <w:rFonts w:ascii="Times New Roman" w:hAnsi="Times New Roman"/>
                <w:sz w:val="24"/>
              </w:rPr>
              <w:t xml:space="preserve">According to point (k)(iv) of Article 36(1) CRR, </w:t>
            </w:r>
            <w:r w:rsidRPr="00661595">
              <w:rPr>
                <w:rStyle w:val="InstructionsTabelleberschrift"/>
                <w:rFonts w:ascii="Times New Roman" w:hAnsi="Times New Roman"/>
                <w:b w:val="0"/>
                <w:sz w:val="24"/>
                <w:u w:val="none"/>
              </w:rPr>
              <w:t>positions in a basket for which an institution cannot determine the risk weight under the IRB Approach</w:t>
            </w:r>
            <w:r w:rsidRPr="00661595">
              <w:rPr>
                <w:rStyle w:val="FormatvorlageInstructionsTabelleText"/>
                <w:rFonts w:ascii="Times New Roman" w:hAnsi="Times New Roman"/>
                <w:sz w:val="24"/>
              </w:rPr>
              <w:t xml:space="preserve"> can, alternatively, be deducted from CET1 (using this item), or subject to a risk weight of 1 250%.</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472</w:t>
            </w:r>
          </w:p>
        </w:tc>
        <w:tc>
          <w:tcPr>
            <w:tcW w:w="7620" w:type="dxa"/>
          </w:tcPr>
          <w:p w:rsidR="0022315F" w:rsidRPr="00661595" w:rsidRDefault="0022315F"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1.1.1.21</w:t>
            </w:r>
            <w:r w:rsidRPr="00661595">
              <w:rPr>
                <w:rStyle w:val="InstructionsTabelleberschrift"/>
                <w:rFonts w:ascii="Times New Roman" w:hAnsi="Times New Roman"/>
                <w:sz w:val="24"/>
              </w:rPr>
              <w:tab/>
              <w:t>(-) Equity exposures under an internal models approach which can alternatively be subject to a 1 250% risk weight</w:t>
            </w:r>
          </w:p>
          <w:p w:rsidR="0022315F" w:rsidRPr="00661595" w:rsidRDefault="0022315F" w:rsidP="00487A02">
            <w:pPr>
              <w:pStyle w:val="InstructionsText"/>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Point (k)(v) of Article 36(1) and Article 155(4) CRR</w:t>
            </w:r>
          </w:p>
          <w:p w:rsidR="0022315F" w:rsidRPr="00661595" w:rsidRDefault="0022315F" w:rsidP="00487A02">
            <w:pPr>
              <w:pStyle w:val="InstructionsText"/>
              <w:rPr>
                <w:rStyle w:val="InstructionsTabelleberschrift"/>
                <w:rFonts w:ascii="Times New Roman" w:hAnsi="Times New Roman"/>
                <w:b w:val="0"/>
                <w:sz w:val="24"/>
                <w:u w:val="none"/>
              </w:rPr>
            </w:pPr>
            <w:r w:rsidRPr="00661595">
              <w:rPr>
                <w:rStyle w:val="FormatvorlageInstructionsTabelleText"/>
                <w:rFonts w:ascii="Times New Roman" w:hAnsi="Times New Roman"/>
                <w:sz w:val="24"/>
              </w:rPr>
              <w:t xml:space="preserve">According to point (k)(v) of Article 36(1) CRR, </w:t>
            </w:r>
            <w:r w:rsidRPr="00661595">
              <w:rPr>
                <w:rStyle w:val="InstructionsTabelleberschrift"/>
                <w:rFonts w:ascii="Times New Roman" w:hAnsi="Times New Roman"/>
                <w:b w:val="0"/>
                <w:sz w:val="24"/>
                <w:u w:val="none"/>
              </w:rPr>
              <w:t>equity exposures under an internal models approach</w:t>
            </w:r>
            <w:r w:rsidRPr="00661595">
              <w:rPr>
                <w:rStyle w:val="FormatvorlageInstructionsTabelleText"/>
                <w:rFonts w:ascii="Times New Roman" w:hAnsi="Times New Roman"/>
                <w:sz w:val="24"/>
              </w:rPr>
              <w:t xml:space="preserve"> can, alternatively, be deducted from CET1 (using this item), or be subject to a risk weight of 1 250%.</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480</w:t>
            </w:r>
          </w:p>
        </w:tc>
        <w:tc>
          <w:tcPr>
            <w:tcW w:w="7620" w:type="dxa"/>
          </w:tcPr>
          <w:p w:rsidR="0022315F" w:rsidRPr="00661595" w:rsidRDefault="0022315F"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1.1.1.22</w:t>
            </w:r>
            <w:r w:rsidRPr="00661595">
              <w:rPr>
                <w:rStyle w:val="InstructionsTabelleberschrift"/>
                <w:rFonts w:ascii="Times New Roman" w:hAnsi="Times New Roman"/>
                <w:sz w:val="24"/>
              </w:rPr>
              <w:tab/>
              <w:t>(-) CET1 instruments of financial sector entities where the institution does not have a significant investment</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Point (27) of Article 4(1), point (h) of Article 36(1), Articles 43 to 46, paragraphs 2 and 3 of Article 49 and Article 79 CRR</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Part of holdings by the institution of instruments of financial sector entities (as defined in point (27) of Article 4(1) CRR) where the institution does not have a significant investment that has to be deducted from CET1.</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See alternatives to deduction when consolidation is applied (paragraphs 2 and 3 of Article 49).</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490</w:t>
            </w:r>
          </w:p>
        </w:tc>
        <w:tc>
          <w:tcPr>
            <w:tcW w:w="7620" w:type="dxa"/>
          </w:tcPr>
          <w:p w:rsidR="0022315F" w:rsidRPr="00661595" w:rsidRDefault="0022315F"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1.1.1.23</w:t>
            </w:r>
            <w:r w:rsidRPr="00661595">
              <w:rPr>
                <w:rStyle w:val="InstructionsTabelleberschrift"/>
                <w:rFonts w:ascii="Times New Roman" w:hAnsi="Times New Roman"/>
                <w:sz w:val="24"/>
              </w:rPr>
              <w:tab/>
              <w:t>(-) Deductible deferred tax assets that rely on future profitability and arise from temporary differences</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Point (c) of Article 36(1); Article 38 and point (a) of Article 48(1) CRR</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Part of deferred tax assets that rely in future profitability and arise from temporary differences (net of the part of associated deferred tax liabilities allocated to deferred tax assets that arise from temporary differences), which according to point (b) of Article 38(5) CRR has to be deducted applying the 10% threshold referred to in point (a) of Article 48(1) CRR.</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500</w:t>
            </w:r>
          </w:p>
        </w:tc>
        <w:tc>
          <w:tcPr>
            <w:tcW w:w="7620" w:type="dxa"/>
          </w:tcPr>
          <w:p w:rsidR="0022315F" w:rsidRPr="00661595" w:rsidRDefault="0022315F"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1.1.1.24</w:t>
            </w:r>
            <w:r w:rsidRPr="00661595">
              <w:rPr>
                <w:rStyle w:val="InstructionsTabelleberschrift"/>
                <w:rFonts w:ascii="Times New Roman" w:hAnsi="Times New Roman"/>
                <w:sz w:val="24"/>
              </w:rPr>
              <w:tab/>
              <w:t>(-) CET1 instruments of financial sector entities where the institution has a significant investment</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Point (27) of Article 4(1), point (i) of Article 36(1); Articles 43, 45, 47, point (b) of Article 48(2), paragraphs 1, 2 and 3 of Article 49 and Article 79 CRR</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Part of holdings by the institution of CET1 instruments of financial sector entities (as defined in point (27) of Article 4(1) CRR) where the institution has a significant investment that has to be deducted, applying the 10% threshold referred to in point (b) of Article 48(1) CRR.</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See alternatives to deduction when consolidation is applied (paragraphs 1, 2 and 3 of Article 49 CRR).</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510</w:t>
            </w:r>
          </w:p>
        </w:tc>
        <w:tc>
          <w:tcPr>
            <w:tcW w:w="7620" w:type="dxa"/>
          </w:tcPr>
          <w:p w:rsidR="0022315F" w:rsidRPr="00661595" w:rsidRDefault="0022315F"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1.1.1.25</w:t>
            </w:r>
            <w:r w:rsidRPr="00661595">
              <w:rPr>
                <w:rStyle w:val="InstructionsTabelleberschrift"/>
                <w:rFonts w:ascii="Times New Roman" w:hAnsi="Times New Roman"/>
                <w:sz w:val="24"/>
              </w:rPr>
              <w:tab/>
              <w:t>(-) Amount exceeding the 17.65% threshold</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Article 48(2) CRR</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Part of deferred tax assets that rely in future profitability and arise from temporary differences, and direct, indirect and synthetic holdings by the institution of the CET1 instruments of financial sector entities (as defined in point (27) of Article 4(1) CRR) where the institution has a significant investment that has to be deducted, applying the 17.65% threshold in Article 48(2) CRR.</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511</w:t>
            </w:r>
          </w:p>
        </w:tc>
        <w:tc>
          <w:tcPr>
            <w:tcW w:w="7620" w:type="dxa"/>
          </w:tcPr>
          <w:p w:rsidR="0022315F" w:rsidRPr="00661595" w:rsidRDefault="0022315F"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1.1.1.25.1</w:t>
            </w:r>
            <w:r w:rsidRPr="00661595">
              <w:rPr>
                <w:rStyle w:val="InstructionsTabelleberschrift"/>
                <w:rFonts w:ascii="Times New Roman" w:hAnsi="Times New Roman"/>
                <w:sz w:val="24"/>
              </w:rPr>
              <w:tab/>
              <w:t>(-) Amount exceeding the 17.65% threshold related to CET1 instruments of financial sector entities where the institution has a significant investment</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512</w:t>
            </w:r>
          </w:p>
        </w:tc>
        <w:tc>
          <w:tcPr>
            <w:tcW w:w="7620" w:type="dxa"/>
          </w:tcPr>
          <w:p w:rsidR="0022315F" w:rsidRPr="00661595" w:rsidRDefault="0022315F"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1.1.1.25.2</w:t>
            </w:r>
            <w:r w:rsidRPr="00661595">
              <w:rPr>
                <w:rStyle w:val="InstructionsTabelleberschrift"/>
                <w:rFonts w:ascii="Times New Roman" w:hAnsi="Times New Roman"/>
                <w:sz w:val="24"/>
              </w:rPr>
              <w:tab/>
              <w:t>(-) Amount exceeding the 17.65% threshold related to deferred tax assets arising from temporary differences</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513</w:t>
            </w:r>
          </w:p>
        </w:tc>
        <w:tc>
          <w:tcPr>
            <w:tcW w:w="7620" w:type="dxa"/>
          </w:tcPr>
          <w:p w:rsidR="0022315F" w:rsidRPr="00661595" w:rsidRDefault="0022315F"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1.1.1.25A (-) Insufficient coverage for non-performing exposures</w:t>
            </w:r>
          </w:p>
          <w:p w:rsidR="0022315F" w:rsidRPr="00661595" w:rsidRDefault="0044539D" w:rsidP="00487A02">
            <w:pPr>
              <w:pStyle w:val="InstructionsText"/>
              <w:rPr>
                <w:rStyle w:val="InstructionsTabelleberschrift"/>
                <w:rFonts w:ascii="Times New Roman" w:hAnsi="Times New Roman"/>
                <w:sz w:val="24"/>
              </w:rPr>
            </w:pPr>
            <w:r w:rsidRPr="00661595">
              <w:rPr>
                <w:rStyle w:val="FormatvorlageInstructionsTabelleText"/>
                <w:rFonts w:ascii="Times New Roman" w:hAnsi="Times New Roman"/>
                <w:sz w:val="24"/>
              </w:rPr>
              <w:t xml:space="preserve">Point (m) of </w:t>
            </w:r>
            <w:r w:rsidR="0022315F" w:rsidRPr="00661595">
              <w:rPr>
                <w:rStyle w:val="FormatvorlageInstructionsTabelleText"/>
                <w:rFonts w:ascii="Times New Roman" w:hAnsi="Times New Roman"/>
                <w:sz w:val="24"/>
              </w:rPr>
              <w:t xml:space="preserve">Article </w:t>
            </w:r>
            <w:r w:rsidRPr="00661595">
              <w:rPr>
                <w:rStyle w:val="FormatvorlageInstructionsTabelleText"/>
                <w:rFonts w:ascii="Times New Roman" w:hAnsi="Times New Roman"/>
                <w:sz w:val="24"/>
              </w:rPr>
              <w:t>36</w:t>
            </w:r>
            <w:r w:rsidR="0022315F" w:rsidRPr="00661595">
              <w:rPr>
                <w:rStyle w:val="FormatvorlageInstructionsTabelleText"/>
                <w:rFonts w:ascii="Times New Roman" w:hAnsi="Times New Roman"/>
                <w:sz w:val="24"/>
              </w:rPr>
              <w:t xml:space="preserve">(1) and </w:t>
            </w:r>
            <w:r w:rsidRPr="00661595">
              <w:rPr>
                <w:rStyle w:val="FormatvorlageInstructionsTabelleText"/>
                <w:rFonts w:ascii="Times New Roman" w:hAnsi="Times New Roman"/>
                <w:sz w:val="24"/>
              </w:rPr>
              <w:t xml:space="preserve">Article </w:t>
            </w:r>
            <w:r w:rsidR="0022315F" w:rsidRPr="00661595">
              <w:rPr>
                <w:rStyle w:val="FormatvorlageInstructionsTabelleText"/>
                <w:rFonts w:ascii="Times New Roman" w:hAnsi="Times New Roman"/>
                <w:sz w:val="24"/>
              </w:rPr>
              <w:t>47c CRR</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514</w:t>
            </w:r>
          </w:p>
        </w:tc>
        <w:tc>
          <w:tcPr>
            <w:tcW w:w="7620" w:type="dxa"/>
          </w:tcPr>
          <w:p w:rsidR="0022315F" w:rsidRPr="00661595" w:rsidRDefault="0022315F"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1.1.1.25B (-) Minimum value commitment shortfalls</w:t>
            </w:r>
          </w:p>
          <w:p w:rsidR="0022315F" w:rsidRPr="00661595" w:rsidRDefault="0044539D" w:rsidP="00487A02">
            <w:pPr>
              <w:pStyle w:val="InstructionsText"/>
              <w:rPr>
                <w:rStyle w:val="InstructionsTabelleberschrift"/>
                <w:rFonts w:ascii="Times New Roman" w:hAnsi="Times New Roman"/>
                <w:sz w:val="24"/>
              </w:rPr>
            </w:pPr>
            <w:r w:rsidRPr="00661595">
              <w:rPr>
                <w:rStyle w:val="FormatvorlageInstructionsTabelleText"/>
                <w:rFonts w:ascii="Times New Roman" w:hAnsi="Times New Roman"/>
                <w:sz w:val="24"/>
              </w:rPr>
              <w:t xml:space="preserve">Point (n) of </w:t>
            </w:r>
            <w:r w:rsidR="0022315F" w:rsidRPr="00661595">
              <w:rPr>
                <w:rStyle w:val="FormatvorlageInstructionsTabelleText"/>
                <w:rFonts w:ascii="Times New Roman" w:hAnsi="Times New Roman"/>
                <w:sz w:val="24"/>
              </w:rPr>
              <w:t xml:space="preserve">Article </w:t>
            </w:r>
            <w:r w:rsidRPr="00661595">
              <w:rPr>
                <w:rStyle w:val="FormatvorlageInstructionsTabelleText"/>
                <w:rFonts w:ascii="Times New Roman" w:hAnsi="Times New Roman"/>
                <w:sz w:val="24"/>
              </w:rPr>
              <w:t>36</w:t>
            </w:r>
            <w:r w:rsidR="0022315F" w:rsidRPr="00661595">
              <w:rPr>
                <w:rStyle w:val="FormatvorlageInstructionsTabelleText"/>
                <w:rFonts w:ascii="Times New Roman" w:hAnsi="Times New Roman"/>
                <w:sz w:val="24"/>
              </w:rPr>
              <w:t xml:space="preserve">(1) </w:t>
            </w:r>
            <w:r w:rsidRPr="00661595">
              <w:rPr>
                <w:rStyle w:val="FormatvorlageInstructionsTabelleText"/>
                <w:rFonts w:ascii="Times New Roman" w:hAnsi="Times New Roman"/>
                <w:sz w:val="24"/>
              </w:rPr>
              <w:t>and Article 132c</w:t>
            </w:r>
            <w:r w:rsidR="0022315F" w:rsidRPr="00661595">
              <w:rPr>
                <w:rStyle w:val="FormatvorlageInstructionsTabelleText"/>
                <w:rFonts w:ascii="Times New Roman" w:hAnsi="Times New Roman"/>
                <w:sz w:val="24"/>
              </w:rPr>
              <w:t>(2) CRR</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515</w:t>
            </w:r>
          </w:p>
        </w:tc>
        <w:tc>
          <w:tcPr>
            <w:tcW w:w="7620" w:type="dxa"/>
          </w:tcPr>
          <w:p w:rsidR="0022315F" w:rsidRPr="00661595" w:rsidRDefault="0022315F"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1.1.1.25C (-) Other foreseeable tax charges</w:t>
            </w:r>
          </w:p>
          <w:p w:rsidR="0022315F" w:rsidRPr="00661595" w:rsidRDefault="0044539D" w:rsidP="00487A02">
            <w:pPr>
              <w:pStyle w:val="InstructionsText"/>
              <w:rPr>
                <w:rStyle w:val="FormatvorlageInstructionsTabelleText"/>
                <w:rFonts w:ascii="Times New Roman" w:hAnsi="Times New Roman"/>
                <w:b/>
                <w:sz w:val="24"/>
              </w:rPr>
            </w:pPr>
            <w:r w:rsidRPr="00661595">
              <w:rPr>
                <w:rStyle w:val="FormatvorlageInstructionsTabelleText"/>
                <w:rFonts w:ascii="Times New Roman" w:hAnsi="Times New Roman"/>
                <w:sz w:val="24"/>
              </w:rPr>
              <w:t>Point</w:t>
            </w:r>
            <w:r w:rsidRPr="00661595">
              <w:rPr>
                <w:rStyle w:val="FormatvorlageInstructionsTabelleText"/>
                <w:rFonts w:ascii="Times New Roman" w:hAnsi="Times New Roman"/>
                <w:b/>
                <w:sz w:val="24"/>
              </w:rPr>
              <w:t xml:space="preserve"> </w:t>
            </w:r>
            <w:r w:rsidRPr="00661595">
              <w:rPr>
                <w:rStyle w:val="FormatvorlageInstructionsTabelleText"/>
                <w:rFonts w:ascii="Times New Roman" w:hAnsi="Times New Roman"/>
                <w:sz w:val="24"/>
              </w:rPr>
              <w:t>(l) of</w:t>
            </w:r>
            <w:r w:rsidRPr="00661595">
              <w:rPr>
                <w:rStyle w:val="FormatvorlageInstructionsTabelleText"/>
                <w:rFonts w:ascii="Times New Roman" w:hAnsi="Times New Roman"/>
                <w:b/>
                <w:sz w:val="24"/>
              </w:rPr>
              <w:t xml:space="preserve"> </w:t>
            </w:r>
            <w:r w:rsidR="0022315F" w:rsidRPr="00661595">
              <w:rPr>
                <w:rStyle w:val="FormatvorlageInstructionsTabelleText"/>
                <w:rFonts w:ascii="Times New Roman" w:hAnsi="Times New Roman"/>
                <w:sz w:val="24"/>
              </w:rPr>
              <w:t>Article</w:t>
            </w:r>
            <w:r w:rsidR="0022315F" w:rsidRPr="00661595">
              <w:rPr>
                <w:rStyle w:val="FormatvorlageInstructionsTabelleText"/>
                <w:rFonts w:ascii="Times New Roman" w:hAnsi="Times New Roman"/>
                <w:b/>
                <w:sz w:val="24"/>
              </w:rPr>
              <w:t xml:space="preserve"> </w:t>
            </w:r>
            <w:r w:rsidR="0022315F" w:rsidRPr="00661595">
              <w:rPr>
                <w:rStyle w:val="FormatvorlageInstructionsTabelleText"/>
                <w:rFonts w:ascii="Times New Roman" w:hAnsi="Times New Roman"/>
                <w:sz w:val="24"/>
              </w:rPr>
              <w:t>36(1</w:t>
            </w:r>
            <w:r w:rsidR="0022315F" w:rsidRPr="00661595">
              <w:rPr>
                <w:rStyle w:val="FormatvorlageInstructionsTabelleText"/>
                <w:rFonts w:ascii="Times New Roman" w:hAnsi="Times New Roman"/>
                <w:b/>
                <w:sz w:val="24"/>
              </w:rPr>
              <w:t xml:space="preserve">) </w:t>
            </w:r>
            <w:r w:rsidR="0022315F" w:rsidRPr="00661595">
              <w:rPr>
                <w:rStyle w:val="FormatvorlageInstructionsTabelleText"/>
                <w:rFonts w:ascii="Times New Roman" w:hAnsi="Times New Roman"/>
                <w:sz w:val="24"/>
              </w:rPr>
              <w:t>CRR</w:t>
            </w:r>
          </w:p>
          <w:p w:rsidR="0022315F" w:rsidRPr="00661595" w:rsidRDefault="0022315F" w:rsidP="00487A02">
            <w:pPr>
              <w:pStyle w:val="InstructionsText"/>
              <w:rPr>
                <w:rStyle w:val="InstructionsTabelleberschrift"/>
                <w:rFonts w:ascii="Times New Roman" w:hAnsi="Times New Roman"/>
                <w:sz w:val="24"/>
              </w:rPr>
            </w:pPr>
            <w:r w:rsidRPr="00661595">
              <w:rPr>
                <w:rStyle w:val="FormatvorlageInstructionsTabelleText"/>
                <w:rFonts w:ascii="Times New Roman" w:hAnsi="Times New Roman"/>
                <w:sz w:val="24"/>
              </w:rPr>
              <w:t>Tax charges relating to CET1 items foreseeable at the moment of the calculation other than tax charges that have been considered already in any of the other rows reflecting CET1 items by reducing the amount of the CET1 item in question.</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520</w:t>
            </w:r>
          </w:p>
        </w:tc>
        <w:tc>
          <w:tcPr>
            <w:tcW w:w="7620" w:type="dxa"/>
          </w:tcPr>
          <w:p w:rsidR="0022315F" w:rsidRPr="00661595" w:rsidRDefault="0022315F"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1.1.1.26</w:t>
            </w:r>
            <w:r w:rsidRPr="00661595">
              <w:rPr>
                <w:rStyle w:val="InstructionsTabelleberschrift"/>
                <w:rFonts w:ascii="Times New Roman" w:hAnsi="Times New Roman"/>
                <w:sz w:val="24"/>
              </w:rPr>
              <w:tab/>
              <w:t>Other transitional adjustments to CET1 Capital</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Articles 469 to 478 and 481 CRR</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Adjustments to deductions due to transitional provisions. The amount to be reported is directly obtained from CA5.</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524</w:t>
            </w:r>
          </w:p>
        </w:tc>
        <w:tc>
          <w:tcPr>
            <w:tcW w:w="7620" w:type="dxa"/>
          </w:tcPr>
          <w:p w:rsidR="0022315F" w:rsidRPr="00661595" w:rsidRDefault="0022315F"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1.1.1.27</w:t>
            </w:r>
            <w:r w:rsidRPr="00661595">
              <w:rPr>
                <w:rStyle w:val="InstructionsTabelleberschrift"/>
                <w:rFonts w:ascii="Times New Roman" w:hAnsi="Times New Roman"/>
                <w:sz w:val="24"/>
              </w:rPr>
              <w:tab/>
              <w:t>(-) Additional deductions of CET1 Capital due to Article 3 CRR</w:t>
            </w:r>
          </w:p>
          <w:p w:rsidR="0022315F" w:rsidRPr="00661595" w:rsidRDefault="0022315F" w:rsidP="00487A02">
            <w:pPr>
              <w:pStyle w:val="InstructionsText"/>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Article 3 CRR</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529</w:t>
            </w:r>
          </w:p>
        </w:tc>
        <w:tc>
          <w:tcPr>
            <w:tcW w:w="7620" w:type="dxa"/>
          </w:tcPr>
          <w:p w:rsidR="0022315F" w:rsidRPr="00661595" w:rsidRDefault="0022315F"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1.1.1.28</w:t>
            </w:r>
            <w:r w:rsidRPr="00661595">
              <w:rPr>
                <w:rStyle w:val="InstructionsTabelleberschrift"/>
                <w:rFonts w:ascii="Times New Roman" w:hAnsi="Times New Roman"/>
                <w:sz w:val="24"/>
              </w:rPr>
              <w:tab/>
              <w:t>CET1 capital elements or deductions - other</w:t>
            </w:r>
          </w:p>
          <w:p w:rsidR="0022315F" w:rsidRPr="00661595" w:rsidRDefault="0022315F" w:rsidP="00487A02">
            <w:pPr>
              <w:pStyle w:val="InstructionsText"/>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 xml:space="preserve">This row is intended to provide flexibility solely for reporting purposes. It shall only be populated in the rare cases that there is no final decision on the reporting of specific capital items/deductions in the current CA1 template. As a consequence, this row shall only be populated if a CET1 capital element or a deduction from a CET1 element cannot be assigned to one of the rows 020 to 524. </w:t>
            </w:r>
          </w:p>
          <w:p w:rsidR="0022315F" w:rsidRPr="00661595" w:rsidRDefault="0022315F" w:rsidP="00487A02">
            <w:pPr>
              <w:pStyle w:val="InstructionsText"/>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This row shall not be used to assign capital items/deductions which are not covered by CRR into the calculation of solvency ratios (e.g. an assignment of national capital items / deductions which are outside the scope of the CRR).</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530</w:t>
            </w:r>
          </w:p>
        </w:tc>
        <w:tc>
          <w:tcPr>
            <w:tcW w:w="7620" w:type="dxa"/>
          </w:tcPr>
          <w:p w:rsidR="0022315F" w:rsidRPr="00661595" w:rsidRDefault="0022315F"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1.1.2</w:t>
            </w:r>
            <w:r w:rsidRPr="00661595">
              <w:rPr>
                <w:rStyle w:val="InstructionsTabelleberschrift"/>
                <w:rFonts w:ascii="Times New Roman" w:hAnsi="Times New Roman"/>
                <w:sz w:val="24"/>
              </w:rPr>
              <w:tab/>
              <w:t>ADDITIONAL TIER 1 CAPITAL</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Article 61 CRR</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540</w:t>
            </w:r>
          </w:p>
        </w:tc>
        <w:tc>
          <w:tcPr>
            <w:tcW w:w="7620" w:type="dxa"/>
          </w:tcPr>
          <w:p w:rsidR="0022315F" w:rsidRPr="00661595" w:rsidRDefault="0022315F"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1.1.2.1</w:t>
            </w:r>
            <w:r w:rsidRPr="00661595">
              <w:rPr>
                <w:rStyle w:val="InstructionsTabelleberschrift"/>
                <w:rFonts w:ascii="Times New Roman" w:hAnsi="Times New Roman"/>
                <w:sz w:val="24"/>
              </w:rPr>
              <w:tab/>
              <w:t>Capital instruments eligible as AT1 Capital</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Point (a) of Article 51, Articles 52, 53 and 54, point (a) of Article 56 and Article 57 CRR</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551</w:t>
            </w:r>
          </w:p>
        </w:tc>
        <w:tc>
          <w:tcPr>
            <w:tcW w:w="7620" w:type="dxa"/>
          </w:tcPr>
          <w:p w:rsidR="0022315F" w:rsidRPr="00661595" w:rsidRDefault="0022315F"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1.1.2.1.1</w:t>
            </w:r>
            <w:r w:rsidRPr="00661595">
              <w:rPr>
                <w:rStyle w:val="InstructionsTabelleberschrift"/>
                <w:rFonts w:ascii="Times New Roman" w:hAnsi="Times New Roman"/>
                <w:sz w:val="24"/>
              </w:rPr>
              <w:tab/>
              <w:t>Fully paid up, directly issued capital instruments</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Point (a) of Article 51 and Articles 52, 53 and 54 CRR</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The amount to be reported shall not include the share premium related to the instruments</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560</w:t>
            </w:r>
          </w:p>
        </w:tc>
        <w:tc>
          <w:tcPr>
            <w:tcW w:w="7620" w:type="dxa"/>
          </w:tcPr>
          <w:p w:rsidR="0022315F" w:rsidRPr="00661595" w:rsidRDefault="0022315F"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1.1.2.1.2 (*)</w:t>
            </w:r>
            <w:r w:rsidRPr="00661595">
              <w:rPr>
                <w:rStyle w:val="InstructionsTabelleberschrift"/>
                <w:rFonts w:ascii="Times New Roman" w:hAnsi="Times New Roman"/>
                <w:sz w:val="24"/>
              </w:rPr>
              <w:tab/>
              <w:t>Memorandum item: Capital instruments not eligible</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Points (c), (e) and (f) of Article 52(1) CRR</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Conditions in those points reflect different situations of the capital which are reversible, and thus the amount reported here can be eligible in subsequent periods.</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The amount to be reported shall not include the share premium related to the instruments</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571</w:t>
            </w:r>
          </w:p>
        </w:tc>
        <w:tc>
          <w:tcPr>
            <w:tcW w:w="7620" w:type="dxa"/>
          </w:tcPr>
          <w:p w:rsidR="0022315F" w:rsidRPr="00661595" w:rsidRDefault="0022315F"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1.1.2.1.3</w:t>
            </w:r>
            <w:r w:rsidRPr="00661595">
              <w:rPr>
                <w:rStyle w:val="InstructionsTabelleberschrift"/>
                <w:rFonts w:ascii="Times New Roman" w:hAnsi="Times New Roman"/>
                <w:sz w:val="24"/>
              </w:rPr>
              <w:tab/>
              <w:t>Share premium</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Point (b) of Article 51 CRR</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Share premium has the same meaning as under the applicable accounting standard.</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The amount to be reported in this item shall be the part related to the "fully paid up and directly issued capital instruments".</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580</w:t>
            </w:r>
          </w:p>
        </w:tc>
        <w:tc>
          <w:tcPr>
            <w:tcW w:w="7620" w:type="dxa"/>
          </w:tcPr>
          <w:p w:rsidR="0022315F" w:rsidRPr="00661595" w:rsidRDefault="0022315F"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1.1.2.1.4</w:t>
            </w:r>
            <w:r w:rsidRPr="00661595">
              <w:rPr>
                <w:rStyle w:val="InstructionsTabelleberschrift"/>
                <w:rFonts w:ascii="Times New Roman" w:hAnsi="Times New Roman"/>
                <w:sz w:val="24"/>
              </w:rPr>
              <w:tab/>
              <w:t>(-) Own AT1 instruments</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Point (b) of Article 52(1), point (a) of Article 56 and Article 57 CRR</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Own AT1 instruments held by the reporting institution or group at the reporting date. Subject to exceptions in Article 57 CRR.</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Holdings on shares included as "Capital instruments not eligible" shall not be reported in this row.</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The amount to be reported shall include the share premium related to the own shares.</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Items 1.1.2.1.4 to 1.1.2.1.4.3 do not include actual or contingent obligations to purchase own CET1 instruments. Actual or contingent obligations to purchase own AT1 instruments are reported separately in item 1.1.2.1.5.</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590</w:t>
            </w:r>
          </w:p>
        </w:tc>
        <w:tc>
          <w:tcPr>
            <w:tcW w:w="7620" w:type="dxa"/>
          </w:tcPr>
          <w:p w:rsidR="0022315F" w:rsidRPr="00661595" w:rsidRDefault="0022315F"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1.1.2.1.4.1</w:t>
            </w:r>
            <w:r w:rsidRPr="00661595">
              <w:rPr>
                <w:rStyle w:val="InstructionsTabelleberschrift"/>
                <w:rFonts w:ascii="Times New Roman" w:hAnsi="Times New Roman"/>
                <w:sz w:val="24"/>
              </w:rPr>
              <w:tab/>
              <w:t>(-) Direct holdings of AT1 instruments</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Point (144) of Article 4(1), point (b) of Article 52(1), point (a) of Article 56 and Article 57 CRR</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Additional Tier 1 instruments included in item 1.1.2.1.1 held by institutions of the consolidated group. </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620</w:t>
            </w:r>
          </w:p>
        </w:tc>
        <w:tc>
          <w:tcPr>
            <w:tcW w:w="7620" w:type="dxa"/>
          </w:tcPr>
          <w:p w:rsidR="0022315F" w:rsidRPr="00661595" w:rsidRDefault="0022315F"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1.1.2.1.4.2</w:t>
            </w:r>
            <w:r w:rsidRPr="00661595">
              <w:rPr>
                <w:rStyle w:val="InstructionsTabelleberschrift"/>
                <w:rFonts w:ascii="Times New Roman" w:hAnsi="Times New Roman"/>
                <w:sz w:val="24"/>
              </w:rPr>
              <w:tab/>
              <w:t>(-) Indirect holdings of AT1 instruments</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Point (b)(ii) of Article 52(1), point (a) of Article 56 and Article 57 CRR</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621</w:t>
            </w:r>
          </w:p>
        </w:tc>
        <w:tc>
          <w:tcPr>
            <w:tcW w:w="7620" w:type="dxa"/>
          </w:tcPr>
          <w:p w:rsidR="0022315F" w:rsidRPr="00661595" w:rsidRDefault="0022315F" w:rsidP="00487A02">
            <w:pPr>
              <w:pStyle w:val="InstructionsText"/>
            </w:pPr>
            <w:r w:rsidRPr="00661595">
              <w:rPr>
                <w:rStyle w:val="InstructionsTabelleberschrift"/>
                <w:rFonts w:ascii="Times New Roman" w:hAnsi="Times New Roman"/>
                <w:sz w:val="24"/>
              </w:rPr>
              <w:t>1.1.2.1.4.3</w:t>
            </w:r>
            <w:r w:rsidRPr="00661595">
              <w:rPr>
                <w:rStyle w:val="InstructionsTabelleberschrift"/>
                <w:rFonts w:ascii="Times New Roman" w:hAnsi="Times New Roman"/>
                <w:sz w:val="24"/>
              </w:rPr>
              <w:tab/>
              <w:t>(-) Synthetic holdings of AT1 instruments</w:t>
            </w:r>
          </w:p>
          <w:p w:rsidR="0022315F" w:rsidRPr="00661595" w:rsidRDefault="0022315F" w:rsidP="00487A02">
            <w:pPr>
              <w:pStyle w:val="InstructionsText"/>
              <w:rPr>
                <w:rStyle w:val="InstructionsTabelleberschrift"/>
                <w:rFonts w:ascii="Times New Roman" w:hAnsi="Times New Roman"/>
                <w:b w:val="0"/>
                <w:bCs w:val="0"/>
                <w:sz w:val="24"/>
                <w:u w:val="none"/>
              </w:rPr>
            </w:pPr>
            <w:r w:rsidRPr="00661595">
              <w:t>Point (126) of Article 4(1), point (b) of Article 52(1), point (a) of Article 56 and Article 57 CRR</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622</w:t>
            </w:r>
          </w:p>
        </w:tc>
        <w:tc>
          <w:tcPr>
            <w:tcW w:w="7620" w:type="dxa"/>
          </w:tcPr>
          <w:p w:rsidR="0022315F" w:rsidRPr="00661595" w:rsidRDefault="0022315F"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1.1.2.1.5</w:t>
            </w:r>
            <w:r w:rsidRPr="00661595">
              <w:rPr>
                <w:rStyle w:val="InstructionsTabelleberschrift"/>
                <w:rFonts w:ascii="Times New Roman" w:hAnsi="Times New Roman"/>
                <w:sz w:val="24"/>
              </w:rPr>
              <w:tab/>
              <w:t>(-) Actual or contingent obligations to purchase own AT1 instruments</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Point (a) of Article 56 and Article 57 CRR</w:t>
            </w:r>
          </w:p>
          <w:p w:rsidR="0022315F" w:rsidRPr="00661595" w:rsidRDefault="0022315F"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b w:val="0"/>
                <w:sz w:val="24"/>
                <w:u w:val="none"/>
              </w:rPr>
              <w:t>According to point (a) of Article 56 CRR, “</w:t>
            </w:r>
            <w:r w:rsidRPr="00661595">
              <w:t>own Additional Tier 1 instruments that an institution could be obliged to purchase as a result of existing contractual obligations” shall be deducted.</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660</w:t>
            </w:r>
          </w:p>
        </w:tc>
        <w:tc>
          <w:tcPr>
            <w:tcW w:w="7620" w:type="dxa"/>
          </w:tcPr>
          <w:p w:rsidR="0022315F" w:rsidRPr="00661595" w:rsidRDefault="0022315F"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1.1.2.2</w:t>
            </w:r>
            <w:r w:rsidRPr="00661595">
              <w:rPr>
                <w:rStyle w:val="InstructionsTabelleberschrift"/>
                <w:rFonts w:ascii="Times New Roman" w:hAnsi="Times New Roman"/>
                <w:sz w:val="24"/>
              </w:rPr>
              <w:tab/>
              <w:t>Transitional adjustments due to grandfathered AT1 Capital instruments</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Paragraphs 4 and 5 of Article 483, Articles 484 to 487, Articles 489 and 491 CRR</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Amount of capital instruments transitionally grandfathered as AT1. The amount to be reported is directly obtained from CA5.</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670</w:t>
            </w:r>
          </w:p>
        </w:tc>
        <w:tc>
          <w:tcPr>
            <w:tcW w:w="7620" w:type="dxa"/>
          </w:tcPr>
          <w:p w:rsidR="0022315F" w:rsidRPr="00661595" w:rsidRDefault="0022315F"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1.1.2.3</w:t>
            </w:r>
            <w:r w:rsidRPr="00661595">
              <w:rPr>
                <w:rStyle w:val="InstructionsTabelleberschrift"/>
                <w:rFonts w:ascii="Times New Roman" w:hAnsi="Times New Roman"/>
                <w:sz w:val="24"/>
              </w:rPr>
              <w:tab/>
              <w:t>Instruments issued by subsidiaries that are given recognition in AT1 Capital</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Articles 83, 85 and 86 CRR</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Sum of all the amounts of qualifying T1 capital of subsidiaries that is included in consolidated AT1.</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Qualifying AT1 capital issued by a special purpose entity (Article 83 CRR) shall be included.</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680</w:t>
            </w:r>
          </w:p>
        </w:tc>
        <w:tc>
          <w:tcPr>
            <w:tcW w:w="7620" w:type="dxa"/>
          </w:tcPr>
          <w:p w:rsidR="0022315F" w:rsidRPr="00661595" w:rsidRDefault="0022315F"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1.1.2.4</w:t>
            </w:r>
            <w:r w:rsidRPr="00661595">
              <w:rPr>
                <w:rStyle w:val="InstructionsTabelleberschrift"/>
                <w:rFonts w:ascii="Times New Roman" w:hAnsi="Times New Roman"/>
                <w:sz w:val="24"/>
              </w:rPr>
              <w:tab/>
              <w:t>Transitional adjustments due to additional recognition in AT1 Capital of instruments issued by subsidiaries</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Article 480 CRR</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Adjustments to the qualifying T1 capital included in consolidated AT1 capital due to transitional provisions. This item is obtained directly from CA5.</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690</w:t>
            </w:r>
          </w:p>
        </w:tc>
        <w:tc>
          <w:tcPr>
            <w:tcW w:w="7620" w:type="dxa"/>
          </w:tcPr>
          <w:p w:rsidR="0022315F" w:rsidRPr="00661595" w:rsidRDefault="0022315F"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1.1.2.5</w:t>
            </w:r>
            <w:r w:rsidRPr="00661595">
              <w:rPr>
                <w:rStyle w:val="InstructionsTabelleberschrift"/>
                <w:rFonts w:ascii="Times New Roman" w:hAnsi="Times New Roman"/>
                <w:sz w:val="24"/>
              </w:rPr>
              <w:tab/>
              <w:t>(-) Reciprocal cross holdings in AT1 Capital</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Point (122) of Article 4(1), point (b) of Article 56 and Article 58 CRR</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Holdings in AT1 instruments of financial sector entities (as defined in point (27) of Article 4(1) CRR) where there is a reciprocal cross holding that the competent authority considers to have been designed to inflate artificially the own funds of the institution.</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The amount to be reported shall be calculated on the basis of the gross long positions, and shall include Additional Tier 1 own-fund insurance items.</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700</w:t>
            </w:r>
          </w:p>
        </w:tc>
        <w:tc>
          <w:tcPr>
            <w:tcW w:w="7620" w:type="dxa"/>
          </w:tcPr>
          <w:p w:rsidR="0022315F" w:rsidRPr="00661595" w:rsidRDefault="0022315F"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1.1.2.6</w:t>
            </w:r>
            <w:r w:rsidRPr="00661595">
              <w:rPr>
                <w:rStyle w:val="InstructionsTabelleberschrift"/>
                <w:rFonts w:ascii="Times New Roman" w:hAnsi="Times New Roman"/>
                <w:sz w:val="24"/>
              </w:rPr>
              <w:tab/>
              <w:t>(-) AT1 instruments of financial sector entities where the institution does not have a significant investment</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Point (27) of Article 4(1), point (c) of Article 56; Articles 59, 60 and 79 CRR</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Part of holdings by the institution of instruments of financial sector entities (as defined in point (27) of Article 4(1) CRR) where the institution does not have a significant investment that has to be deducted from AT1.</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710</w:t>
            </w:r>
          </w:p>
        </w:tc>
        <w:tc>
          <w:tcPr>
            <w:tcW w:w="7620" w:type="dxa"/>
          </w:tcPr>
          <w:p w:rsidR="0022315F" w:rsidRPr="00661595" w:rsidRDefault="0022315F"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1.1.2.7</w:t>
            </w:r>
            <w:r w:rsidRPr="00661595">
              <w:rPr>
                <w:rStyle w:val="InstructionsTabelleberschrift"/>
                <w:rFonts w:ascii="Times New Roman" w:hAnsi="Times New Roman"/>
                <w:sz w:val="24"/>
              </w:rPr>
              <w:tab/>
              <w:t>(-) AT1 instruments of financial sector entities where the institution has a significant investment</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Point (27) of Article 4(1), point (d) of Article 56, Articles 59 and 79 CRR</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Holdings by the institution of AT1 instruments of financial sector entities (as defined in point (27) of Article 4(1) CRR) where the institution has a significant investment are completely deducted</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720</w:t>
            </w:r>
          </w:p>
        </w:tc>
        <w:tc>
          <w:tcPr>
            <w:tcW w:w="7620" w:type="dxa"/>
          </w:tcPr>
          <w:p w:rsidR="0022315F" w:rsidRPr="00661595" w:rsidRDefault="0022315F"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1.1.2.8</w:t>
            </w:r>
            <w:r w:rsidRPr="00661595">
              <w:rPr>
                <w:rStyle w:val="InstructionsTabelleberschrift"/>
                <w:rFonts w:ascii="Times New Roman" w:hAnsi="Times New Roman"/>
                <w:sz w:val="24"/>
              </w:rPr>
              <w:tab/>
              <w:t xml:space="preserve">(-) Excess of deduction from T2 items over T2 Capital </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Point (e) of Article 56 CRR</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The amount to be reported is directly taken from CA1 item “Excess of deduction from T2 items over T2 Capital (deducted in AT1).</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730</w:t>
            </w:r>
          </w:p>
        </w:tc>
        <w:tc>
          <w:tcPr>
            <w:tcW w:w="7620" w:type="dxa"/>
          </w:tcPr>
          <w:p w:rsidR="0022315F" w:rsidRPr="00661595" w:rsidRDefault="0022315F"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1.1.2.9</w:t>
            </w:r>
            <w:r w:rsidRPr="00661595">
              <w:rPr>
                <w:rStyle w:val="InstructionsTabelleberschrift"/>
                <w:rFonts w:ascii="Times New Roman" w:hAnsi="Times New Roman"/>
                <w:sz w:val="24"/>
              </w:rPr>
              <w:tab/>
              <w:t>Other transitional adjustments to AT1 Capital</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Articles </w:t>
            </w:r>
            <w:r w:rsidR="002E0174">
              <w:rPr>
                <w:rStyle w:val="FormatvorlageInstructionsTabelleText"/>
                <w:rFonts w:ascii="Times New Roman" w:hAnsi="Times New Roman"/>
                <w:sz w:val="24"/>
              </w:rPr>
              <w:t xml:space="preserve">472, 473a, </w:t>
            </w:r>
            <w:r w:rsidRPr="00661595">
              <w:rPr>
                <w:rStyle w:val="FormatvorlageInstructionsTabelleText"/>
                <w:rFonts w:ascii="Times New Roman" w:hAnsi="Times New Roman"/>
                <w:sz w:val="24"/>
              </w:rPr>
              <w:t>474, 475, 478 and 481 CRR</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Adjustments due to transitional provisions. The amount to be reported is directly obtained from CA5.</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740</w:t>
            </w:r>
          </w:p>
        </w:tc>
        <w:tc>
          <w:tcPr>
            <w:tcW w:w="7620" w:type="dxa"/>
          </w:tcPr>
          <w:p w:rsidR="0022315F" w:rsidRPr="00661595" w:rsidRDefault="0022315F"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1.1.2.10</w:t>
            </w:r>
            <w:r w:rsidRPr="00661595">
              <w:rPr>
                <w:rStyle w:val="InstructionsTabelleberschrift"/>
                <w:rFonts w:ascii="Times New Roman" w:hAnsi="Times New Roman"/>
                <w:sz w:val="24"/>
              </w:rPr>
              <w:tab/>
              <w:t>Excess of deduction from AT1 items over AT1 Capital (deducted in CET1)</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Point (j) of Article 36(1) CRR</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Additional Tier 1 cannot be negative, but it is possible that AT1 deductions are greater than AT1 Capital plus related share premium. When this happens, AT1 has to be equal to zero, and the excess of AT1 deductions has to be deducted from CET1.</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With this item, it is achieved that the sum of items 1.1.2.1 to 1.1.2.12 is never lower than zero. Where this item shows a positive figure, item 1.1.1.16 shall be the inverse of that figure.</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744</w:t>
            </w:r>
          </w:p>
        </w:tc>
        <w:tc>
          <w:tcPr>
            <w:tcW w:w="7620" w:type="dxa"/>
          </w:tcPr>
          <w:p w:rsidR="0022315F" w:rsidRPr="00661595" w:rsidRDefault="0022315F"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1.1.2.11</w:t>
            </w:r>
            <w:r w:rsidRPr="00661595">
              <w:rPr>
                <w:rStyle w:val="InstructionsTabelleberschrift"/>
                <w:rFonts w:ascii="Times New Roman" w:hAnsi="Times New Roman"/>
                <w:sz w:val="24"/>
              </w:rPr>
              <w:tab/>
              <w:t>(-) Additional deductions of AT1 Capital due to Article 3 CRR</w:t>
            </w:r>
          </w:p>
          <w:p w:rsidR="0022315F" w:rsidRPr="00661595" w:rsidRDefault="0022315F" w:rsidP="00487A02">
            <w:pPr>
              <w:pStyle w:val="InstructionsText"/>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Article 3 CRR</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748</w:t>
            </w:r>
          </w:p>
        </w:tc>
        <w:tc>
          <w:tcPr>
            <w:tcW w:w="7620" w:type="dxa"/>
          </w:tcPr>
          <w:p w:rsidR="0022315F" w:rsidRPr="00661595" w:rsidRDefault="0022315F" w:rsidP="00487A02">
            <w:pPr>
              <w:pStyle w:val="InstructionsText"/>
              <w:rPr>
                <w:rStyle w:val="InstructionsTabelleberschrift"/>
                <w:rFonts w:ascii="Times New Roman" w:hAnsi="Times New Roman"/>
                <w:b w:val="0"/>
                <w:sz w:val="24"/>
                <w:u w:val="none"/>
              </w:rPr>
            </w:pPr>
            <w:r w:rsidRPr="00661595">
              <w:rPr>
                <w:rStyle w:val="InstructionsTabelleberschrift"/>
                <w:rFonts w:ascii="Times New Roman" w:hAnsi="Times New Roman"/>
                <w:sz w:val="24"/>
              </w:rPr>
              <w:t>1.1.2.12</w:t>
            </w:r>
            <w:r w:rsidRPr="00661595">
              <w:rPr>
                <w:rStyle w:val="InstructionsTabelleberschrift"/>
                <w:rFonts w:ascii="Times New Roman" w:hAnsi="Times New Roman"/>
                <w:sz w:val="24"/>
              </w:rPr>
              <w:tab/>
              <w:t>AT1 capital elements or deductions - other</w:t>
            </w:r>
          </w:p>
          <w:p w:rsidR="0022315F" w:rsidRPr="00661595" w:rsidRDefault="0022315F" w:rsidP="00487A02">
            <w:pPr>
              <w:pStyle w:val="InstructionsText"/>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 xml:space="preserve">This row is intended to provide flexibility solely for reporting purposes. It shall only be populated in the rare cases that there is no final decision on the reporting of specific capital items/deductions in the current CA1 template. As a consequence, this row shall only be populated if an AT1 capital element or a deduction from an AT1 element cannot be assigned to one of the rows 530 to 744. </w:t>
            </w:r>
          </w:p>
          <w:p w:rsidR="0022315F" w:rsidRPr="00661595" w:rsidRDefault="0022315F" w:rsidP="00487A02">
            <w:pPr>
              <w:pStyle w:val="InstructionsText"/>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This row shall not be used to assign capital items/deductions which are not covered by CRR into the calculation of solvency ratios (e.g. an assignment of national capital items / deductions which are outside the scope CRR).</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750</w:t>
            </w:r>
          </w:p>
        </w:tc>
        <w:tc>
          <w:tcPr>
            <w:tcW w:w="7620" w:type="dxa"/>
          </w:tcPr>
          <w:p w:rsidR="0022315F" w:rsidRPr="00661595" w:rsidRDefault="0022315F"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1.2</w:t>
            </w:r>
            <w:r w:rsidRPr="00661595">
              <w:rPr>
                <w:rStyle w:val="InstructionsTabelleberschrift"/>
                <w:rFonts w:ascii="Times New Roman" w:hAnsi="Times New Roman"/>
                <w:sz w:val="24"/>
              </w:rPr>
              <w:tab/>
              <w:t>TIER 2 CAPITAL</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Article 71 CRR</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760</w:t>
            </w:r>
          </w:p>
        </w:tc>
        <w:tc>
          <w:tcPr>
            <w:tcW w:w="7620" w:type="dxa"/>
          </w:tcPr>
          <w:p w:rsidR="0022315F" w:rsidRPr="00661595" w:rsidRDefault="0022315F"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1.2.1</w:t>
            </w:r>
            <w:r w:rsidRPr="00661595">
              <w:rPr>
                <w:rStyle w:val="InstructionsTabelleberschrift"/>
                <w:rFonts w:ascii="Times New Roman" w:hAnsi="Times New Roman"/>
                <w:sz w:val="24"/>
              </w:rPr>
              <w:tab/>
              <w:t>Capital instruments eligible as T2 Capital</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Point (a) of Article 62, Articles 63 to 65, point (a) of Article 66 and Article 67 CRR</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771</w:t>
            </w:r>
          </w:p>
        </w:tc>
        <w:tc>
          <w:tcPr>
            <w:tcW w:w="7620" w:type="dxa"/>
          </w:tcPr>
          <w:p w:rsidR="0022315F" w:rsidRPr="00661595" w:rsidRDefault="0022315F"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1.2.1.1</w:t>
            </w:r>
            <w:r w:rsidRPr="00661595">
              <w:rPr>
                <w:rStyle w:val="InstructionsTabelleberschrift"/>
                <w:rFonts w:ascii="Times New Roman" w:hAnsi="Times New Roman"/>
                <w:sz w:val="24"/>
              </w:rPr>
              <w:tab/>
              <w:t>Fully paid up, directly issued capital instruments</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Point (a) of Article 62, Articles 63 and 65 CRR</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The amount to be reported shall not include the share premium related to the instruments. </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The capital instruments may consist of equity or liabilities, including subordinated loans that fulfil the eligibility criteria.</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780</w:t>
            </w:r>
          </w:p>
        </w:tc>
        <w:tc>
          <w:tcPr>
            <w:tcW w:w="7620" w:type="dxa"/>
          </w:tcPr>
          <w:p w:rsidR="0022315F" w:rsidRPr="00661595" w:rsidRDefault="0022315F"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1.2.1.2 (*)</w:t>
            </w:r>
            <w:r w:rsidRPr="00661595">
              <w:rPr>
                <w:rStyle w:val="InstructionsTabelleberschrift"/>
                <w:rFonts w:ascii="Times New Roman" w:hAnsi="Times New Roman"/>
                <w:sz w:val="24"/>
              </w:rPr>
              <w:tab/>
              <w:t>Memorandum item: Capital instruments</w:t>
            </w:r>
            <w:r w:rsidRPr="00661595">
              <w:t xml:space="preserve"> </w:t>
            </w:r>
            <w:r w:rsidRPr="00661595">
              <w:rPr>
                <w:rStyle w:val="InstructionsTabelleberschrift"/>
                <w:rFonts w:ascii="Times New Roman" w:hAnsi="Times New Roman"/>
                <w:sz w:val="24"/>
              </w:rPr>
              <w:t>not eligible</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Points (c), (e) and (f) of Article 63 and Article 64 CRR</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Conditions in those points reflect different situations of the capital which are reversible, and thus the amount reported here can be eligible in subsequent periods.</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The amount to be reported shall not include the share premium related to the instruments.</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The capital instruments may consist of equity or liabilities, including subordinated loans.</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791</w:t>
            </w:r>
          </w:p>
        </w:tc>
        <w:tc>
          <w:tcPr>
            <w:tcW w:w="7620" w:type="dxa"/>
          </w:tcPr>
          <w:p w:rsidR="0022315F" w:rsidRPr="00661595" w:rsidRDefault="0022315F"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1.2.1.3</w:t>
            </w:r>
            <w:r w:rsidRPr="00661595">
              <w:rPr>
                <w:rStyle w:val="InstructionsTabelleberschrift"/>
                <w:rFonts w:ascii="Times New Roman" w:hAnsi="Times New Roman"/>
                <w:sz w:val="24"/>
              </w:rPr>
              <w:tab/>
              <w:t>Share premium</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Point (b) of Article 62 and Article 65 CRR</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Share premium has the same meaning as under the applicable accounting standard. </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The amount to be reported in this item shall be the part related to the "fully paid up and directly issued capital instruments".</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800</w:t>
            </w:r>
          </w:p>
        </w:tc>
        <w:tc>
          <w:tcPr>
            <w:tcW w:w="7620" w:type="dxa"/>
          </w:tcPr>
          <w:p w:rsidR="0022315F" w:rsidRPr="00661595" w:rsidRDefault="0022315F"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1.2.1.4</w:t>
            </w:r>
            <w:r w:rsidRPr="00661595">
              <w:rPr>
                <w:rStyle w:val="InstructionsTabelleberschrift"/>
                <w:rFonts w:ascii="Times New Roman" w:hAnsi="Times New Roman"/>
                <w:sz w:val="24"/>
              </w:rPr>
              <w:tab/>
              <w:t>(-) Own T2 instruments</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Point (b)(i) of Article 63, point (a) of Article 66, and Article 67 CRR</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Own T2 instruments held by the reporting institution or group at the reporting date. Subject to exceptions in Article 67 CRR.</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Holdings on shares included as "Capital instruments not eligible" shall not be reported in this row.</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The amount to be reported shall include the share premium related to the own shares.</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Items 1.2.1.4 to 1.2.1.4.3 do not include actual or contingent obligations to purchase own T2 instruments. Actual or contingent obligations to purchase own T2 instruments are reported separately in item 1.2.1.5.</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810</w:t>
            </w:r>
          </w:p>
        </w:tc>
        <w:tc>
          <w:tcPr>
            <w:tcW w:w="7620" w:type="dxa"/>
          </w:tcPr>
          <w:p w:rsidR="0022315F" w:rsidRPr="00661595" w:rsidRDefault="0022315F"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1.2.1.4.1</w:t>
            </w:r>
            <w:r w:rsidRPr="00661595">
              <w:rPr>
                <w:rStyle w:val="InstructionsTabelleberschrift"/>
                <w:rFonts w:ascii="Times New Roman" w:hAnsi="Times New Roman"/>
                <w:sz w:val="24"/>
              </w:rPr>
              <w:tab/>
              <w:t>(-) Direct holdings of T2 instruments</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Point (b) of Article 63, point (a) of Article 66 and Article 67 CRR</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Tier 2 instruments included in item 1.2.1.1 held by institutions of the consolidated group. </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840</w:t>
            </w:r>
          </w:p>
        </w:tc>
        <w:tc>
          <w:tcPr>
            <w:tcW w:w="7620" w:type="dxa"/>
          </w:tcPr>
          <w:p w:rsidR="0022315F" w:rsidRPr="00661595" w:rsidRDefault="0022315F"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1.2.1.4.2</w:t>
            </w:r>
            <w:r w:rsidRPr="00661595">
              <w:rPr>
                <w:rStyle w:val="InstructionsTabelleberschrift"/>
                <w:rFonts w:ascii="Times New Roman" w:hAnsi="Times New Roman"/>
                <w:sz w:val="24"/>
              </w:rPr>
              <w:tab/>
              <w:t>(-) Indirect holdings of T2 instruments</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Point (114) of Article 4(1), point (b) of Article 63, point (a) of Article 66 and Article 67 CRR</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841</w:t>
            </w:r>
          </w:p>
        </w:tc>
        <w:tc>
          <w:tcPr>
            <w:tcW w:w="7620" w:type="dxa"/>
          </w:tcPr>
          <w:p w:rsidR="0022315F" w:rsidRPr="00661595" w:rsidRDefault="0022315F"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1.2.1.4.3</w:t>
            </w:r>
            <w:r w:rsidRPr="00661595">
              <w:rPr>
                <w:rStyle w:val="InstructionsTabelleberschrift"/>
                <w:rFonts w:ascii="Times New Roman" w:hAnsi="Times New Roman"/>
                <w:sz w:val="24"/>
              </w:rPr>
              <w:tab/>
              <w:t>(-) Synthetic holdings of T2 instruments</w:t>
            </w:r>
          </w:p>
          <w:p w:rsidR="0022315F" w:rsidRPr="00661595" w:rsidRDefault="0022315F" w:rsidP="00487A02">
            <w:pPr>
              <w:pStyle w:val="InstructionsText"/>
              <w:rPr>
                <w:rStyle w:val="InstructionsTabelleberschrift"/>
                <w:rFonts w:ascii="Times New Roman" w:hAnsi="Times New Roman"/>
                <w:b w:val="0"/>
                <w:sz w:val="24"/>
                <w:u w:val="none"/>
              </w:rPr>
            </w:pPr>
            <w:r w:rsidRPr="00661595">
              <w:rPr>
                <w:rStyle w:val="FormatvorlageInstructionsTabelleText"/>
                <w:rFonts w:ascii="Times New Roman" w:hAnsi="Times New Roman"/>
                <w:sz w:val="24"/>
              </w:rPr>
              <w:t>Point (126) of Article 4(1), point (b) of Article 63, point (a) of Article 66 and Article 67 CRR</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842</w:t>
            </w:r>
          </w:p>
        </w:tc>
        <w:tc>
          <w:tcPr>
            <w:tcW w:w="7620" w:type="dxa"/>
          </w:tcPr>
          <w:p w:rsidR="0022315F" w:rsidRPr="00661595" w:rsidRDefault="0022315F" w:rsidP="00487A02">
            <w:pPr>
              <w:pStyle w:val="InstructionsText"/>
              <w:rPr>
                <w:rStyle w:val="InstructionsTabelleberschrift"/>
                <w:rFonts w:ascii="Times New Roman" w:hAnsi="Times New Roman"/>
                <w:b w:val="0"/>
                <w:sz w:val="24"/>
              </w:rPr>
            </w:pPr>
            <w:r w:rsidRPr="00661595">
              <w:rPr>
                <w:rStyle w:val="InstructionsTabelleberschrift"/>
                <w:rFonts w:ascii="Times New Roman" w:hAnsi="Times New Roman"/>
                <w:sz w:val="24"/>
              </w:rPr>
              <w:t>1.2.1.5</w:t>
            </w:r>
            <w:r w:rsidRPr="00661595">
              <w:rPr>
                <w:rStyle w:val="InstructionsTabelleberschrift"/>
                <w:rFonts w:ascii="Times New Roman" w:hAnsi="Times New Roman"/>
                <w:sz w:val="24"/>
              </w:rPr>
              <w:tab/>
              <w:t>(-) Actual or contingent obligations to purchase own T2 instruments</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Point (a) of Article 66 and Article</w:t>
            </w:r>
            <w:r w:rsidRPr="00661595" w:rsidDel="00852CAD">
              <w:rPr>
                <w:rStyle w:val="FormatvorlageInstructionsTabelleText"/>
                <w:rFonts w:ascii="Times New Roman" w:hAnsi="Times New Roman"/>
                <w:sz w:val="24"/>
              </w:rPr>
              <w:t xml:space="preserve"> </w:t>
            </w:r>
            <w:r w:rsidRPr="00661595">
              <w:rPr>
                <w:rStyle w:val="FormatvorlageInstructionsTabelleText"/>
                <w:rFonts w:ascii="Times New Roman" w:hAnsi="Times New Roman"/>
                <w:sz w:val="24"/>
              </w:rPr>
              <w:t>67 CRR</w:t>
            </w:r>
          </w:p>
          <w:p w:rsidR="0022315F" w:rsidRPr="00661595" w:rsidRDefault="0022315F" w:rsidP="00487A02">
            <w:pPr>
              <w:pStyle w:val="InstructionsText"/>
              <w:rPr>
                <w:rStyle w:val="InstructionsTabelleberschrift"/>
                <w:rFonts w:ascii="Times New Roman" w:hAnsi="Times New Roman"/>
                <w:b w:val="0"/>
                <w:bCs w:val="0"/>
                <w:sz w:val="24"/>
                <w:u w:val="none"/>
              </w:rPr>
            </w:pPr>
            <w:r w:rsidRPr="00661595">
              <w:rPr>
                <w:rStyle w:val="InstructionsTabelleberschrift"/>
                <w:rFonts w:ascii="Times New Roman" w:hAnsi="Times New Roman"/>
                <w:b w:val="0"/>
                <w:sz w:val="24"/>
                <w:u w:val="none"/>
              </w:rPr>
              <w:t>According to point (a) of Article 66 CRR, “</w:t>
            </w:r>
            <w:r w:rsidRPr="00661595">
              <w:t>own Tier 2 instruments that an institution could be obliged to purchase as a result of existing contractual obligations” shall be deducted.</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880</w:t>
            </w:r>
          </w:p>
        </w:tc>
        <w:tc>
          <w:tcPr>
            <w:tcW w:w="7620" w:type="dxa"/>
          </w:tcPr>
          <w:p w:rsidR="0022315F" w:rsidRPr="00661595" w:rsidRDefault="0022315F"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1.2.2</w:t>
            </w:r>
            <w:r w:rsidRPr="00661595">
              <w:rPr>
                <w:rStyle w:val="InstructionsTabelleberschrift"/>
                <w:rFonts w:ascii="Times New Roman" w:hAnsi="Times New Roman"/>
                <w:sz w:val="24"/>
              </w:rPr>
              <w:tab/>
              <w:t xml:space="preserve">Transitional adjustments due to grandfathered T2 Capital instruments </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Paragraphs 6 and 7 of Article 483, Articles 484, 486, 488, 490 and 491 CRR</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Amount of capital instruments transitionally grandfathered as T2. The amount to be reported is directly obtained from CA5.</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890</w:t>
            </w:r>
          </w:p>
        </w:tc>
        <w:tc>
          <w:tcPr>
            <w:tcW w:w="7620" w:type="dxa"/>
          </w:tcPr>
          <w:p w:rsidR="0022315F" w:rsidRPr="00661595" w:rsidRDefault="0022315F"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1.2.3</w:t>
            </w:r>
            <w:r w:rsidRPr="00661595">
              <w:rPr>
                <w:rStyle w:val="InstructionsTabelleberschrift"/>
                <w:rFonts w:ascii="Times New Roman" w:hAnsi="Times New Roman"/>
                <w:sz w:val="24"/>
              </w:rPr>
              <w:tab/>
              <w:t>Instruments issued by subsidiaries that are given recognition in T2 Capital</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Articles 83, 87 and 88 CRR</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Sum of all the amounts of qualifying own funds of subsidiaries that is included in consolidated T2.</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Qualifying Tier 2 capital issued by a special purpose entity (Article 83 CRR) shall be included.</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900</w:t>
            </w:r>
          </w:p>
        </w:tc>
        <w:tc>
          <w:tcPr>
            <w:tcW w:w="7620" w:type="dxa"/>
          </w:tcPr>
          <w:p w:rsidR="0022315F" w:rsidRPr="00661595" w:rsidRDefault="0022315F"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1.2.4</w:t>
            </w:r>
            <w:r w:rsidRPr="00661595">
              <w:rPr>
                <w:rStyle w:val="InstructionsTabelleberschrift"/>
                <w:rFonts w:ascii="Times New Roman" w:hAnsi="Times New Roman"/>
                <w:sz w:val="24"/>
              </w:rPr>
              <w:tab/>
              <w:t>Transitional adjustments due to additional recognition in T2 Capital of instruments issued by subsidiaries</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Article 480 CRR</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Adjustments to the qualifying own funds included in consolidated T2 capital due to transitional provisions. This item is obtained directly from CA5.</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910</w:t>
            </w:r>
          </w:p>
        </w:tc>
        <w:tc>
          <w:tcPr>
            <w:tcW w:w="7620" w:type="dxa"/>
          </w:tcPr>
          <w:p w:rsidR="0022315F" w:rsidRPr="00661595" w:rsidRDefault="0022315F"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1.2.5</w:t>
            </w:r>
            <w:r w:rsidRPr="00661595">
              <w:rPr>
                <w:rStyle w:val="InstructionsTabelleberschrift"/>
                <w:rFonts w:ascii="Times New Roman" w:hAnsi="Times New Roman"/>
                <w:sz w:val="24"/>
              </w:rPr>
              <w:tab/>
              <w:t>IRB Excess of provisions over expected losses eligible</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Point (d) of Article 62 CRR</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For institutions calculating risk-weighted exposure amounts in accordance with IRB Approach, this item shall contain the positive amounts resulting from comparing the provisions and expected losses which are eligible as T2 capital.</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920</w:t>
            </w:r>
          </w:p>
        </w:tc>
        <w:tc>
          <w:tcPr>
            <w:tcW w:w="7620" w:type="dxa"/>
          </w:tcPr>
          <w:p w:rsidR="0022315F" w:rsidRPr="00661595" w:rsidRDefault="0022315F"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1.2.6</w:t>
            </w:r>
            <w:r w:rsidRPr="00661595">
              <w:rPr>
                <w:rStyle w:val="InstructionsTabelleberschrift"/>
                <w:rFonts w:ascii="Times New Roman" w:hAnsi="Times New Roman"/>
                <w:sz w:val="24"/>
              </w:rPr>
              <w:tab/>
              <w:t>SA General credit risk adjustments</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Point (c) of Article 62 CRR</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For institutions calculating risk-weighted exposure amounts in accordance with standard approach, this item shall contain the general credit risk adjustments eligible as T2 capital.</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930</w:t>
            </w:r>
          </w:p>
        </w:tc>
        <w:tc>
          <w:tcPr>
            <w:tcW w:w="7620" w:type="dxa"/>
          </w:tcPr>
          <w:p w:rsidR="0022315F" w:rsidRPr="00661595" w:rsidRDefault="0022315F"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1.2.7</w:t>
            </w:r>
            <w:r w:rsidRPr="00661595">
              <w:rPr>
                <w:rStyle w:val="InstructionsTabelleberschrift"/>
                <w:rFonts w:ascii="Times New Roman" w:hAnsi="Times New Roman"/>
                <w:sz w:val="24"/>
              </w:rPr>
              <w:tab/>
              <w:t>(-) Reciprocal cross holdings in T2 Capital</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Point (122) of Article 4(1), point (b) of Article 66 and Article 68 CRR</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Holdings in T2 instruments of financial sector entities (as defined in Article 4(1)(27) CRR) where there is a reciprocal cross holding that the competent authority considers to have been designed to inflate the own funds of the institution artificially.</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The amount to be reported shall be calculated on the basis of the gross long positions, and shall include Tier 2 and Tier 3 own-fund insurance items.</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940</w:t>
            </w:r>
          </w:p>
        </w:tc>
        <w:tc>
          <w:tcPr>
            <w:tcW w:w="7620" w:type="dxa"/>
          </w:tcPr>
          <w:p w:rsidR="0022315F" w:rsidRPr="00661595" w:rsidRDefault="0022315F"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1.2.8</w:t>
            </w:r>
            <w:r w:rsidRPr="00661595">
              <w:rPr>
                <w:rStyle w:val="InstructionsTabelleberschrift"/>
                <w:rFonts w:ascii="Times New Roman" w:hAnsi="Times New Roman"/>
                <w:sz w:val="24"/>
              </w:rPr>
              <w:tab/>
              <w:t>(-) T2 instruments of financial sector entities where the institution does not have a significant investment</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Point (27) of Article 4(1), point (c) of Article 66, Articles 68 to 70 and Article 79 CRR</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Part of holdings by the institution of instruments of financial sector entities (as defined in point (27) of Article 4(1) CRR) where the institution does not have a significant investment that has to be deducted from T2.</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950</w:t>
            </w:r>
          </w:p>
        </w:tc>
        <w:tc>
          <w:tcPr>
            <w:tcW w:w="7620" w:type="dxa"/>
          </w:tcPr>
          <w:p w:rsidR="0022315F" w:rsidRPr="00661595" w:rsidRDefault="0022315F"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1.2.9</w:t>
            </w:r>
            <w:r w:rsidRPr="00661595">
              <w:rPr>
                <w:rStyle w:val="InstructionsTabelleberschrift"/>
                <w:rFonts w:ascii="Times New Roman" w:hAnsi="Times New Roman"/>
                <w:sz w:val="24"/>
              </w:rPr>
              <w:tab/>
              <w:t>(-) T2 instruments of financial sector entities where the institution has a significant investment</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Point (27) of Article 4(1), point (d) of Article 66, Articles 68, 69 and Article 79 CRR</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Holdings by the institution of T2 instruments of financial sector entities (as defined in point (27) of Article 4(1) CRR) where the institution has a significant investment shall be completely deducted.</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955</w:t>
            </w:r>
          </w:p>
        </w:tc>
        <w:tc>
          <w:tcPr>
            <w:tcW w:w="7620" w:type="dxa"/>
          </w:tcPr>
          <w:p w:rsidR="0022315F" w:rsidRPr="00661595" w:rsidRDefault="0022315F"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1.2.9A</w:t>
            </w:r>
            <w:r w:rsidRPr="00661595">
              <w:rPr>
                <w:rStyle w:val="InstructionsTabelleberschrift"/>
                <w:rFonts w:ascii="Times New Roman" w:hAnsi="Times New Roman"/>
                <w:sz w:val="24"/>
              </w:rPr>
              <w:tab/>
              <w:t>(-) Excess of deductions from eligible liabilities over eligible liabilities</w:t>
            </w:r>
          </w:p>
          <w:p w:rsidR="0022315F" w:rsidRPr="00661595" w:rsidRDefault="0022315F" w:rsidP="00487A02">
            <w:pPr>
              <w:pStyle w:val="InstructionsText"/>
              <w:rPr>
                <w:rStyle w:val="InstructionsTabelleberschrift"/>
                <w:rFonts w:ascii="Times New Roman" w:hAnsi="Times New Roman"/>
                <w:sz w:val="24"/>
              </w:rPr>
            </w:pPr>
            <w:r w:rsidRPr="00661595">
              <w:rPr>
                <w:rStyle w:val="FormatvorlageInstructionsTabelleText"/>
                <w:rFonts w:ascii="Times New Roman" w:hAnsi="Times New Roman"/>
                <w:sz w:val="24"/>
              </w:rPr>
              <w:t xml:space="preserve">Article 66 </w:t>
            </w:r>
            <w:r w:rsidR="00CF1093" w:rsidRPr="00661595">
              <w:rPr>
                <w:rStyle w:val="FormatvorlageInstructionsTabelleText"/>
                <w:rFonts w:ascii="Times New Roman" w:hAnsi="Times New Roman"/>
                <w:sz w:val="24"/>
              </w:rPr>
              <w:t xml:space="preserve">(e) </w:t>
            </w:r>
            <w:r w:rsidRPr="00661595">
              <w:rPr>
                <w:rStyle w:val="FormatvorlageInstructionsTabelleText"/>
                <w:rFonts w:ascii="Times New Roman" w:hAnsi="Times New Roman"/>
                <w:sz w:val="24"/>
              </w:rPr>
              <w:t>CRR</w:t>
            </w:r>
            <w:r w:rsidR="0044539D" w:rsidRPr="00661595">
              <w:rPr>
                <w:rStyle w:val="FormatvorlageInstructionsTabelleText"/>
                <w:rFonts w:ascii="Times New Roman" w:hAnsi="Times New Roman"/>
                <w:sz w:val="24"/>
              </w:rPr>
              <w:t>.</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960</w:t>
            </w:r>
          </w:p>
        </w:tc>
        <w:tc>
          <w:tcPr>
            <w:tcW w:w="7620" w:type="dxa"/>
          </w:tcPr>
          <w:p w:rsidR="0022315F" w:rsidRPr="00661595" w:rsidRDefault="0022315F"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1.2.10</w:t>
            </w:r>
            <w:r w:rsidRPr="00661595">
              <w:rPr>
                <w:rStyle w:val="InstructionsTabelleberschrift"/>
                <w:rFonts w:ascii="Times New Roman" w:hAnsi="Times New Roman"/>
                <w:sz w:val="24"/>
              </w:rPr>
              <w:tab/>
              <w:t>Other transitional adjustments to T2 Capital</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Articles </w:t>
            </w:r>
            <w:r w:rsidR="000D0A23">
              <w:rPr>
                <w:rStyle w:val="FormatvorlageInstructionsTabelleText"/>
                <w:rFonts w:ascii="Times New Roman" w:hAnsi="Times New Roman"/>
                <w:sz w:val="24"/>
              </w:rPr>
              <w:t xml:space="preserve">472, 473a, </w:t>
            </w:r>
            <w:r w:rsidRPr="00661595">
              <w:rPr>
                <w:rStyle w:val="FormatvorlageInstructionsTabelleText"/>
                <w:rFonts w:ascii="Times New Roman" w:hAnsi="Times New Roman"/>
                <w:sz w:val="24"/>
              </w:rPr>
              <w:t>476, 477, 478 and 481 CRR</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Adjustments due to transitional provisions. The amount to be reported shall be directly obtained from CA5.</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970</w:t>
            </w:r>
          </w:p>
        </w:tc>
        <w:tc>
          <w:tcPr>
            <w:tcW w:w="7620" w:type="dxa"/>
          </w:tcPr>
          <w:p w:rsidR="0022315F" w:rsidRPr="00661595" w:rsidRDefault="0022315F"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1.2.11</w:t>
            </w:r>
            <w:r w:rsidRPr="00661595">
              <w:rPr>
                <w:rStyle w:val="InstructionsTabelleberschrift"/>
                <w:rFonts w:ascii="Times New Roman" w:hAnsi="Times New Roman"/>
                <w:sz w:val="24"/>
              </w:rPr>
              <w:tab/>
              <w:t>Excess of deduction from T2 items over T2 Capital (deducted in AT1)</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Point (e) of Article 56 CRR</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Tier 2 cannot be negative, but it is possible that T2 deductions are greater than T2 Capital plus related share premium. When this happens, T2 shall be equal to zero, and the excess of T2 deductions shall be deducted from AT1.</w:t>
            </w:r>
          </w:p>
          <w:p w:rsidR="0022315F" w:rsidRPr="00661595" w:rsidRDefault="0022315F"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With this item, the sum of items 1.2.1 to 1.2.13 is never lower than zero. Where this item shows a positive figure, item 1.1.2.8 shall be the inverse of that figure.</w:t>
            </w:r>
          </w:p>
        </w:tc>
      </w:tr>
      <w:tr w:rsidR="0022315F" w:rsidRPr="00661595" w:rsidTr="00D731E3">
        <w:tc>
          <w:tcPr>
            <w:tcW w:w="1129" w:type="dxa"/>
          </w:tcPr>
          <w:p w:rsidR="0022315F" w:rsidRPr="00661595" w:rsidDel="00BD687C"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974</w:t>
            </w:r>
          </w:p>
        </w:tc>
        <w:tc>
          <w:tcPr>
            <w:tcW w:w="7620" w:type="dxa"/>
          </w:tcPr>
          <w:p w:rsidR="0022315F" w:rsidRPr="00661595" w:rsidRDefault="0022315F"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1.2.12</w:t>
            </w:r>
            <w:r w:rsidRPr="00661595">
              <w:rPr>
                <w:rStyle w:val="InstructionsTabelleberschrift"/>
                <w:rFonts w:ascii="Times New Roman" w:hAnsi="Times New Roman"/>
                <w:sz w:val="24"/>
              </w:rPr>
              <w:tab/>
              <w:t>(-) Additional deductions of T2 Capital due to Article 3 CRR</w:t>
            </w:r>
          </w:p>
          <w:p w:rsidR="0022315F" w:rsidRPr="00661595" w:rsidRDefault="0022315F" w:rsidP="00487A02">
            <w:pPr>
              <w:pStyle w:val="InstructionsText"/>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Article 3 CRR</w:t>
            </w:r>
          </w:p>
        </w:tc>
      </w:tr>
      <w:tr w:rsidR="0022315F" w:rsidRPr="00661595" w:rsidTr="00D731E3">
        <w:tc>
          <w:tcPr>
            <w:tcW w:w="1129" w:type="dxa"/>
          </w:tcPr>
          <w:p w:rsidR="0022315F"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2315F" w:rsidRPr="00661595">
              <w:rPr>
                <w:rStyle w:val="FormatvorlageInstructionsTabelleText"/>
                <w:rFonts w:ascii="Times New Roman" w:hAnsi="Times New Roman"/>
                <w:sz w:val="24"/>
              </w:rPr>
              <w:t>978</w:t>
            </w:r>
          </w:p>
        </w:tc>
        <w:tc>
          <w:tcPr>
            <w:tcW w:w="7620" w:type="dxa"/>
          </w:tcPr>
          <w:p w:rsidR="0022315F" w:rsidRPr="00661595" w:rsidRDefault="0022315F"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1.2.13</w:t>
            </w:r>
            <w:r w:rsidRPr="00661595">
              <w:rPr>
                <w:rStyle w:val="InstructionsTabelleberschrift"/>
                <w:rFonts w:ascii="Times New Roman" w:hAnsi="Times New Roman"/>
                <w:sz w:val="24"/>
              </w:rPr>
              <w:tab/>
              <w:t xml:space="preserve">T2 capital elements or deductions - other </w:t>
            </w:r>
          </w:p>
          <w:p w:rsidR="0022315F" w:rsidRPr="00661595" w:rsidRDefault="0022315F" w:rsidP="00487A02">
            <w:pPr>
              <w:pStyle w:val="InstructionsText"/>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 xml:space="preserve">This row provides flexibility solely for reporting purposes. It shall only be populated in the rare cases that there is no final decision on the reporting of specific capital items/deductions in the current CA1 template. As a consequence, this row shall only be populated if a T2 capital element or a deduction from a T2 element cannot be assigned to one of the rows 750 to 974. </w:t>
            </w:r>
          </w:p>
          <w:p w:rsidR="0022315F" w:rsidRPr="00661595" w:rsidRDefault="0022315F" w:rsidP="00487A02">
            <w:pPr>
              <w:pStyle w:val="InstructionsText"/>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This row shall not be used to assign capital items/deductions which are not covered by CRR into the calculation of solvency ratios (e.g. an assignment of national capital items / deductions which are outside the scope CRR).</w:t>
            </w:r>
          </w:p>
        </w:tc>
      </w:tr>
    </w:tbl>
    <w:p w:rsidR="005643EA" w:rsidRPr="00661595" w:rsidRDefault="005643EA" w:rsidP="00487A02">
      <w:pPr>
        <w:pStyle w:val="InstructionsText"/>
      </w:pPr>
    </w:p>
    <w:p w:rsidR="002648B0"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41" w:name="_Toc473560875"/>
      <w:bookmarkStart w:id="42" w:name="_Toc57831515"/>
      <w:bookmarkStart w:id="43" w:name="_Toc308175823"/>
      <w:bookmarkStart w:id="44" w:name="_Toc360188327"/>
      <w:r w:rsidRPr="00661595">
        <w:rPr>
          <w:rFonts w:ascii="Times New Roman" w:hAnsi="Times New Roman" w:cs="Times New Roman"/>
          <w:sz w:val="24"/>
          <w:u w:val="none"/>
          <w:lang w:val="en-GB"/>
        </w:rPr>
        <w:t>1.3.</w:t>
      </w:r>
      <w:r w:rsidRPr="00661595">
        <w:rPr>
          <w:rFonts w:ascii="Times New Roman" w:hAnsi="Times New Roman" w:cs="Times New Roman"/>
          <w:sz w:val="24"/>
          <w:u w:val="none"/>
          <w:lang w:val="en-GB"/>
        </w:rPr>
        <w:tab/>
      </w:r>
      <w:r w:rsidR="00513822" w:rsidRPr="00661595">
        <w:rPr>
          <w:rFonts w:ascii="Times New Roman" w:hAnsi="Times New Roman" w:cs="Times New Roman"/>
          <w:sz w:val="24"/>
          <w:lang w:val="en-GB"/>
        </w:rPr>
        <w:t>C 02.00 - OWN FUNDS REQUIREMENTS (CA2)</w:t>
      </w:r>
      <w:bookmarkEnd w:id="41"/>
      <w:bookmarkEnd w:id="42"/>
      <w:r w:rsidR="002648B0" w:rsidRPr="00661595">
        <w:rPr>
          <w:rFonts w:ascii="Times New Roman" w:hAnsi="Times New Roman" w:cs="Times New Roman"/>
          <w:sz w:val="24"/>
          <w:lang w:val="en-GB"/>
        </w:rPr>
        <w:t xml:space="preserve"> </w:t>
      </w:r>
      <w:bookmarkEnd w:id="43"/>
      <w:bookmarkEnd w:id="44"/>
    </w:p>
    <w:p w:rsidR="002648B0"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45" w:name="_Toc308175824"/>
      <w:bookmarkStart w:id="46" w:name="_Toc310414970"/>
      <w:bookmarkStart w:id="47" w:name="_Toc360188328"/>
      <w:bookmarkStart w:id="48" w:name="_Toc473560876"/>
      <w:bookmarkStart w:id="49" w:name="_Toc57831516"/>
      <w:r w:rsidRPr="00661595">
        <w:rPr>
          <w:rFonts w:ascii="Times New Roman" w:hAnsi="Times New Roman" w:cs="Times New Roman"/>
          <w:sz w:val="24"/>
          <w:u w:val="none"/>
          <w:lang w:val="en-GB"/>
        </w:rPr>
        <w:t>1.3.1.</w:t>
      </w:r>
      <w:r w:rsidRPr="00661595">
        <w:rPr>
          <w:rFonts w:ascii="Times New Roman" w:hAnsi="Times New Roman" w:cs="Times New Roman"/>
          <w:sz w:val="24"/>
          <w:u w:val="none"/>
          <w:lang w:val="en-GB"/>
        </w:rPr>
        <w:tab/>
      </w:r>
      <w:r w:rsidR="002648B0" w:rsidRPr="00661595">
        <w:rPr>
          <w:rFonts w:ascii="Times New Roman" w:hAnsi="Times New Roman" w:cs="Times New Roman"/>
          <w:sz w:val="24"/>
          <w:lang w:val="en-GB"/>
        </w:rPr>
        <w:t xml:space="preserve">Instructions concerning specific </w:t>
      </w:r>
      <w:bookmarkEnd w:id="45"/>
      <w:bookmarkEnd w:id="46"/>
      <w:r w:rsidR="002B5403" w:rsidRPr="00661595">
        <w:rPr>
          <w:rFonts w:ascii="Times New Roman" w:hAnsi="Times New Roman" w:cs="Times New Roman"/>
          <w:sz w:val="24"/>
          <w:lang w:val="en-GB"/>
        </w:rPr>
        <w:t>positions</w:t>
      </w:r>
      <w:bookmarkEnd w:id="47"/>
      <w:bookmarkEnd w:id="48"/>
      <w:bookmarkEnd w:id="49"/>
    </w:p>
    <w:p w:rsidR="002648B0" w:rsidRPr="00661595" w:rsidRDefault="002648B0" w:rsidP="00D946DB">
      <w:pPr>
        <w:spacing w:after="0"/>
        <w:rPr>
          <w:rFonts w:ascii="Times New Roman" w:hAnsi="Times New Roman"/>
          <w:b/>
          <w:sz w:val="24"/>
        </w:rPr>
      </w:pPr>
    </w:p>
    <w:tbl>
      <w:tblPr>
        <w:tblW w:w="8865" w:type="dxa"/>
        <w:tblInd w:w="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91"/>
        <w:gridCol w:w="7274"/>
      </w:tblGrid>
      <w:tr w:rsidR="002648B0" w:rsidRPr="00661595" w:rsidTr="00672D2A">
        <w:tc>
          <w:tcPr>
            <w:tcW w:w="1591" w:type="dxa"/>
            <w:shd w:val="clear" w:color="auto" w:fill="D9D9D9"/>
          </w:tcPr>
          <w:p w:rsidR="002648B0" w:rsidRPr="00661595" w:rsidRDefault="002648B0" w:rsidP="00487A02">
            <w:pPr>
              <w:pStyle w:val="InstructionsText"/>
            </w:pPr>
            <w:r w:rsidRPr="00661595">
              <w:t>Row</w:t>
            </w:r>
          </w:p>
        </w:tc>
        <w:tc>
          <w:tcPr>
            <w:tcW w:w="7274" w:type="dxa"/>
            <w:shd w:val="clear" w:color="auto" w:fill="D9D9D9"/>
          </w:tcPr>
          <w:p w:rsidR="005643EA" w:rsidRPr="00661595" w:rsidRDefault="002648B0" w:rsidP="00487A02">
            <w:pPr>
              <w:pStyle w:val="InstructionsText"/>
            </w:pPr>
            <w:r w:rsidRPr="00661595">
              <w:t>Legal references and instructions</w:t>
            </w:r>
          </w:p>
        </w:tc>
      </w:tr>
      <w:tr w:rsidR="002648B0" w:rsidRPr="00661595" w:rsidTr="00672D2A">
        <w:tc>
          <w:tcPr>
            <w:tcW w:w="1591" w:type="dxa"/>
          </w:tcPr>
          <w:p w:rsidR="002648B0" w:rsidRPr="00661595" w:rsidRDefault="00CF1093" w:rsidP="00487A02">
            <w:pPr>
              <w:pStyle w:val="InstructionsText"/>
            </w:pPr>
            <w:r w:rsidRPr="00661595">
              <w:t>0</w:t>
            </w:r>
            <w:r w:rsidR="002648B0" w:rsidRPr="00661595">
              <w:t>010</w:t>
            </w:r>
          </w:p>
        </w:tc>
        <w:tc>
          <w:tcPr>
            <w:tcW w:w="7274" w:type="dxa"/>
          </w:tcPr>
          <w:p w:rsidR="005643EA" w:rsidRPr="00661595" w:rsidRDefault="00C66473" w:rsidP="00487A02">
            <w:pPr>
              <w:pStyle w:val="InstructionsText"/>
            </w:pPr>
            <w:r w:rsidRPr="00661595">
              <w:rPr>
                <w:rStyle w:val="InstructionsTabelleberschrift"/>
                <w:rFonts w:ascii="Times New Roman" w:hAnsi="Times New Roman"/>
                <w:sz w:val="24"/>
              </w:rPr>
              <w:t>1.</w:t>
            </w:r>
            <w:r w:rsidRPr="00661595">
              <w:rPr>
                <w:rStyle w:val="InstructionsTabelleberschrift"/>
                <w:rFonts w:ascii="Times New Roman" w:hAnsi="Times New Roman"/>
                <w:sz w:val="24"/>
              </w:rPr>
              <w:tab/>
            </w:r>
            <w:r w:rsidR="002648B0" w:rsidRPr="00661595">
              <w:rPr>
                <w:rStyle w:val="InstructionsTabelleberschrift"/>
                <w:rFonts w:ascii="Times New Roman" w:hAnsi="Times New Roman"/>
                <w:sz w:val="24"/>
              </w:rPr>
              <w:t>TOTAL RISK EXPOSURE AMOUNT</w:t>
            </w:r>
          </w:p>
          <w:p w:rsidR="002648B0" w:rsidRPr="00661595" w:rsidRDefault="002648B0" w:rsidP="00487A02">
            <w:pPr>
              <w:pStyle w:val="InstructionsText"/>
            </w:pPr>
            <w:r w:rsidRPr="00661595">
              <w:t xml:space="preserve">Article </w:t>
            </w:r>
            <w:r w:rsidR="007F5225" w:rsidRPr="00661595">
              <w:t>92</w:t>
            </w:r>
            <w:r w:rsidRPr="00661595">
              <w:t>(3)</w:t>
            </w:r>
            <w:r w:rsidR="00FF2818" w:rsidRPr="00661595">
              <w:t xml:space="preserve"> </w:t>
            </w:r>
            <w:r w:rsidR="002C66A4" w:rsidRPr="00661595">
              <w:t>and</w:t>
            </w:r>
            <w:r w:rsidRPr="00661595">
              <w:t xml:space="preserve"> </w:t>
            </w:r>
            <w:r w:rsidR="002C66A4" w:rsidRPr="00661595">
              <w:t xml:space="preserve">Articles </w:t>
            </w:r>
            <w:r w:rsidR="007F5225" w:rsidRPr="00661595">
              <w:t>95</w:t>
            </w:r>
            <w:r w:rsidRPr="00661595">
              <w:t xml:space="preserve">, </w:t>
            </w:r>
            <w:r w:rsidR="007F5225" w:rsidRPr="00661595">
              <w:t>96</w:t>
            </w:r>
            <w:r w:rsidR="00E84C8E" w:rsidRPr="00661595">
              <w:t xml:space="preserve"> </w:t>
            </w:r>
            <w:r w:rsidR="007F5225" w:rsidRPr="00661595">
              <w:t xml:space="preserve">and </w:t>
            </w:r>
            <w:r w:rsidR="00E84C8E" w:rsidRPr="00661595">
              <w:t xml:space="preserve">98 </w:t>
            </w:r>
            <w:r w:rsidR="00C7103D" w:rsidRPr="00661595">
              <w:t>CRR</w:t>
            </w:r>
          </w:p>
        </w:tc>
      </w:tr>
      <w:tr w:rsidR="002648B0" w:rsidRPr="00661595" w:rsidTr="00672D2A">
        <w:tc>
          <w:tcPr>
            <w:tcW w:w="1591" w:type="dxa"/>
          </w:tcPr>
          <w:p w:rsidR="002648B0" w:rsidRPr="00661595" w:rsidRDefault="00CF1093" w:rsidP="00487A02">
            <w:pPr>
              <w:pStyle w:val="InstructionsText"/>
            </w:pPr>
            <w:r w:rsidRPr="00661595">
              <w:t>0</w:t>
            </w:r>
            <w:r w:rsidR="002648B0" w:rsidRPr="00661595">
              <w:t>020</w:t>
            </w:r>
          </w:p>
        </w:tc>
        <w:tc>
          <w:tcPr>
            <w:tcW w:w="7274" w:type="dxa"/>
          </w:tcPr>
          <w:p w:rsidR="005643EA" w:rsidRPr="00661595" w:rsidRDefault="002648B0" w:rsidP="00487A02">
            <w:pPr>
              <w:pStyle w:val="InstructionsText"/>
              <w:rPr>
                <w:lang w:eastAsia="en-US"/>
              </w:rPr>
            </w:pPr>
            <w:r w:rsidRPr="00661595">
              <w:rPr>
                <w:rStyle w:val="InstructionsTabelleberschrift"/>
                <w:rFonts w:ascii="Times New Roman" w:hAnsi="Times New Roman"/>
                <w:sz w:val="24"/>
              </w:rPr>
              <w:t>1*</w:t>
            </w:r>
            <w:r w:rsidR="004D780C" w:rsidRPr="00661595">
              <w:rPr>
                <w:rStyle w:val="InstructionsTabelleberschrift"/>
                <w:rFonts w:ascii="Times New Roman" w:hAnsi="Times New Roman"/>
                <w:sz w:val="24"/>
              </w:rPr>
              <w:tab/>
            </w:r>
            <w:r w:rsidRPr="00661595">
              <w:rPr>
                <w:rStyle w:val="InstructionsTabelleberschrift"/>
                <w:rFonts w:ascii="Times New Roman" w:hAnsi="Times New Roman"/>
                <w:sz w:val="24"/>
              </w:rPr>
              <w:t>Of which: Investment firms under Article 9</w:t>
            </w:r>
            <w:r w:rsidR="00167E59" w:rsidRPr="00661595">
              <w:rPr>
                <w:rStyle w:val="InstructionsTabelleberschrift"/>
                <w:rFonts w:ascii="Times New Roman" w:hAnsi="Times New Roman"/>
                <w:sz w:val="24"/>
              </w:rPr>
              <w:t>5</w:t>
            </w:r>
            <w:r w:rsidRPr="00661595">
              <w:rPr>
                <w:rStyle w:val="InstructionsTabelleberschrift"/>
                <w:rFonts w:ascii="Times New Roman" w:hAnsi="Times New Roman"/>
                <w:sz w:val="24"/>
              </w:rPr>
              <w:t xml:space="preserve"> paragraph 2 and Article 9</w:t>
            </w:r>
            <w:r w:rsidR="00167E59" w:rsidRPr="00661595">
              <w:rPr>
                <w:rStyle w:val="InstructionsTabelleberschrift"/>
                <w:rFonts w:ascii="Times New Roman" w:hAnsi="Times New Roman"/>
                <w:sz w:val="24"/>
              </w:rPr>
              <w:t>8</w:t>
            </w:r>
            <w:r w:rsidRPr="00661595">
              <w:rPr>
                <w:rStyle w:val="InstructionsTabelleberschrift"/>
                <w:rFonts w:ascii="Times New Roman" w:hAnsi="Times New Roman"/>
                <w:sz w:val="24"/>
              </w:rPr>
              <w:t xml:space="preserve"> </w:t>
            </w:r>
            <w:r w:rsidR="00C7103D" w:rsidRPr="00661595">
              <w:rPr>
                <w:rStyle w:val="InstructionsTabelleberschrift"/>
                <w:rFonts w:ascii="Times New Roman" w:hAnsi="Times New Roman"/>
                <w:sz w:val="24"/>
              </w:rPr>
              <w:t>CRR</w:t>
            </w:r>
          </w:p>
          <w:p w:rsidR="005643EA" w:rsidRPr="00661595" w:rsidRDefault="002648B0" w:rsidP="00487A02">
            <w:pPr>
              <w:pStyle w:val="InstructionsText"/>
            </w:pPr>
            <w:r w:rsidRPr="00661595">
              <w:t xml:space="preserve">For investment firms under Article </w:t>
            </w:r>
            <w:r w:rsidR="00E84C8E" w:rsidRPr="00661595">
              <w:t>95</w:t>
            </w:r>
            <w:r w:rsidRPr="00661595">
              <w:rPr>
                <w:rStyle w:val="FormatvorlageInstructionsTabelleText"/>
                <w:rFonts w:ascii="Times New Roman" w:hAnsi="Times New Roman"/>
                <w:sz w:val="24"/>
              </w:rPr>
              <w:t>(2)</w:t>
            </w:r>
            <w:r w:rsidRPr="00661595">
              <w:t xml:space="preserve"> and Article </w:t>
            </w:r>
            <w:r w:rsidR="00E84C8E" w:rsidRPr="00661595">
              <w:t xml:space="preserve">98 </w:t>
            </w:r>
            <w:r w:rsidR="00C7103D" w:rsidRPr="00661595">
              <w:t>CRR</w:t>
            </w:r>
          </w:p>
        </w:tc>
      </w:tr>
      <w:tr w:rsidR="002648B0" w:rsidRPr="00661595" w:rsidTr="00672D2A">
        <w:tc>
          <w:tcPr>
            <w:tcW w:w="1591" w:type="dxa"/>
          </w:tcPr>
          <w:p w:rsidR="002648B0" w:rsidRPr="00661595" w:rsidRDefault="00CF1093" w:rsidP="00487A02">
            <w:pPr>
              <w:pStyle w:val="InstructionsText"/>
            </w:pPr>
            <w:r w:rsidRPr="00661595">
              <w:t>0</w:t>
            </w:r>
            <w:r w:rsidR="002648B0" w:rsidRPr="00661595">
              <w:t>030</w:t>
            </w:r>
          </w:p>
        </w:tc>
        <w:tc>
          <w:tcPr>
            <w:tcW w:w="7274" w:type="dxa"/>
          </w:tcPr>
          <w:p w:rsidR="005643EA" w:rsidRPr="00661595" w:rsidRDefault="002648B0" w:rsidP="00487A02">
            <w:pPr>
              <w:pStyle w:val="InstructionsText"/>
            </w:pPr>
            <w:r w:rsidRPr="00661595">
              <w:rPr>
                <w:rStyle w:val="InstructionsTabelleberschrift"/>
                <w:rFonts w:ascii="Times New Roman" w:hAnsi="Times New Roman"/>
                <w:sz w:val="24"/>
              </w:rPr>
              <w:t>1**</w:t>
            </w:r>
            <w:r w:rsidR="004D780C" w:rsidRPr="00661595">
              <w:rPr>
                <w:rStyle w:val="InstructionsTabelleberschrift"/>
                <w:rFonts w:ascii="Times New Roman" w:hAnsi="Times New Roman"/>
                <w:sz w:val="24"/>
              </w:rPr>
              <w:tab/>
            </w:r>
            <w:r w:rsidRPr="00661595">
              <w:rPr>
                <w:rStyle w:val="InstructionsTabelleberschrift"/>
                <w:rFonts w:ascii="Times New Roman" w:hAnsi="Times New Roman"/>
                <w:sz w:val="24"/>
              </w:rPr>
              <w:t>Of which: Investment firms under Article 9</w:t>
            </w:r>
            <w:r w:rsidR="00167E59" w:rsidRPr="00661595">
              <w:rPr>
                <w:rStyle w:val="InstructionsTabelleberschrift"/>
                <w:rFonts w:ascii="Times New Roman" w:hAnsi="Times New Roman"/>
                <w:sz w:val="24"/>
              </w:rPr>
              <w:t>6</w:t>
            </w:r>
            <w:r w:rsidRPr="00661595">
              <w:rPr>
                <w:rStyle w:val="InstructionsTabelleberschrift"/>
                <w:rFonts w:ascii="Times New Roman" w:hAnsi="Times New Roman"/>
                <w:sz w:val="24"/>
              </w:rPr>
              <w:t xml:space="preserve"> paragraph 2 and Article 9</w:t>
            </w:r>
            <w:r w:rsidR="00167E59" w:rsidRPr="00661595">
              <w:rPr>
                <w:rStyle w:val="InstructionsTabelleberschrift"/>
                <w:rFonts w:ascii="Times New Roman" w:hAnsi="Times New Roman"/>
                <w:sz w:val="24"/>
              </w:rPr>
              <w:t>7</w:t>
            </w:r>
            <w:r w:rsidRPr="00661595">
              <w:rPr>
                <w:rStyle w:val="InstructionsTabelleberschrift"/>
                <w:rFonts w:ascii="Times New Roman" w:hAnsi="Times New Roman"/>
                <w:sz w:val="24"/>
              </w:rPr>
              <w:t xml:space="preserve"> </w:t>
            </w:r>
            <w:r w:rsidR="00C7103D" w:rsidRPr="00661595">
              <w:rPr>
                <w:rStyle w:val="InstructionsTabelleberschrift"/>
                <w:rFonts w:ascii="Times New Roman" w:hAnsi="Times New Roman"/>
                <w:sz w:val="24"/>
              </w:rPr>
              <w:t>CRR</w:t>
            </w:r>
          </w:p>
          <w:p w:rsidR="005643EA" w:rsidRPr="00661595" w:rsidRDefault="002648B0" w:rsidP="00487A02">
            <w:pPr>
              <w:pStyle w:val="InstructionsText"/>
            </w:pPr>
            <w:r w:rsidRPr="00661595">
              <w:t xml:space="preserve">For investment firms under Article </w:t>
            </w:r>
            <w:r w:rsidR="00E84C8E" w:rsidRPr="00661595">
              <w:t>96</w:t>
            </w:r>
            <w:r w:rsidRPr="00661595">
              <w:rPr>
                <w:rStyle w:val="FormatvorlageInstructionsTabelleText"/>
                <w:rFonts w:ascii="Times New Roman" w:hAnsi="Times New Roman"/>
                <w:sz w:val="24"/>
              </w:rPr>
              <w:t>(2)</w:t>
            </w:r>
            <w:r w:rsidRPr="00661595">
              <w:t xml:space="preserve"> and Article </w:t>
            </w:r>
            <w:r w:rsidR="00CD7D5B" w:rsidRPr="00661595">
              <w:t xml:space="preserve">97 </w:t>
            </w:r>
            <w:r w:rsidR="00C7103D" w:rsidRPr="00661595">
              <w:t>CRR</w:t>
            </w:r>
          </w:p>
        </w:tc>
      </w:tr>
      <w:tr w:rsidR="002648B0" w:rsidRPr="00661595" w:rsidTr="00672D2A">
        <w:tc>
          <w:tcPr>
            <w:tcW w:w="1591" w:type="dxa"/>
          </w:tcPr>
          <w:p w:rsidR="002648B0"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648B0" w:rsidRPr="00661595">
              <w:rPr>
                <w:rStyle w:val="FormatvorlageInstructionsTabelleText"/>
                <w:rFonts w:ascii="Times New Roman" w:hAnsi="Times New Roman"/>
                <w:sz w:val="24"/>
              </w:rPr>
              <w:t>040</w:t>
            </w:r>
          </w:p>
        </w:tc>
        <w:tc>
          <w:tcPr>
            <w:tcW w:w="7274" w:type="dxa"/>
          </w:tcPr>
          <w:p w:rsidR="005643EA" w:rsidRPr="00661595" w:rsidRDefault="002648B0"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ab/>
            </w:r>
            <w:r w:rsidRPr="00661595">
              <w:rPr>
                <w:rStyle w:val="InstructionsTabelleberschrift"/>
                <w:rFonts w:ascii="Times New Roman" w:hAnsi="Times New Roman"/>
                <w:sz w:val="24"/>
              </w:rPr>
              <w:t>RISK WEIGHTED EXPOSURE AMOUNTS FOR CREDIT, COUNTERPARTY CREDIT AND DILUTION RISKS AND FREE DELIVERIES</w:t>
            </w:r>
          </w:p>
          <w:p w:rsidR="005643EA" w:rsidRPr="00661595" w:rsidRDefault="002C66A4"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Points (a) and (f) of </w:t>
            </w:r>
            <w:r w:rsidR="002648B0" w:rsidRPr="00661595">
              <w:rPr>
                <w:rStyle w:val="FormatvorlageInstructionsTabelleText"/>
                <w:rFonts w:ascii="Times New Roman" w:hAnsi="Times New Roman"/>
                <w:sz w:val="24"/>
              </w:rPr>
              <w:t xml:space="preserve">Article </w:t>
            </w:r>
            <w:r w:rsidR="00E84C8E" w:rsidRPr="00661595">
              <w:rPr>
                <w:rStyle w:val="FormatvorlageInstructionsTabelleText"/>
                <w:rFonts w:ascii="Times New Roman" w:hAnsi="Times New Roman"/>
                <w:sz w:val="24"/>
              </w:rPr>
              <w:t>92</w:t>
            </w:r>
            <w:r w:rsidR="002648B0" w:rsidRPr="00661595">
              <w:rPr>
                <w:rStyle w:val="FormatvorlageInstructionsTabelleText"/>
                <w:rFonts w:ascii="Times New Roman" w:hAnsi="Times New Roman"/>
                <w:sz w:val="24"/>
              </w:rPr>
              <w:t xml:space="preserve">(3) </w:t>
            </w:r>
            <w:r w:rsidR="00C7103D" w:rsidRPr="00661595">
              <w:rPr>
                <w:rStyle w:val="FormatvorlageInstructionsTabelleText"/>
                <w:rFonts w:ascii="Times New Roman" w:hAnsi="Times New Roman"/>
                <w:sz w:val="24"/>
              </w:rPr>
              <w:t>CRR</w:t>
            </w:r>
          </w:p>
        </w:tc>
      </w:tr>
      <w:tr w:rsidR="002648B0" w:rsidRPr="00661595" w:rsidTr="00672D2A">
        <w:tc>
          <w:tcPr>
            <w:tcW w:w="1591" w:type="dxa"/>
          </w:tcPr>
          <w:p w:rsidR="002648B0"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648B0" w:rsidRPr="00661595">
              <w:rPr>
                <w:rStyle w:val="FormatvorlageInstructionsTabelleText"/>
                <w:rFonts w:ascii="Times New Roman" w:hAnsi="Times New Roman"/>
                <w:sz w:val="24"/>
              </w:rPr>
              <w:t>050</w:t>
            </w:r>
          </w:p>
        </w:tc>
        <w:tc>
          <w:tcPr>
            <w:tcW w:w="7274" w:type="dxa"/>
          </w:tcPr>
          <w:p w:rsidR="005643EA" w:rsidRPr="00661595" w:rsidRDefault="002648B0"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.1.1</w:t>
            </w:r>
            <w:r w:rsidR="000D194E" w:rsidRPr="00661595">
              <w:rPr>
                <w:rStyle w:val="InstructionsTabelleberschrift"/>
                <w:rFonts w:ascii="Times New Roman" w:hAnsi="Times New Roman"/>
                <w:sz w:val="24"/>
              </w:rPr>
              <w:tab/>
            </w:r>
            <w:r w:rsidR="00CA21CA" w:rsidRPr="00661595">
              <w:rPr>
                <w:rStyle w:val="InstructionsTabelleberschrift"/>
                <w:rFonts w:ascii="Times New Roman" w:hAnsi="Times New Roman"/>
                <w:sz w:val="24"/>
              </w:rPr>
              <w:t>Standardised Approach</w:t>
            </w:r>
            <w:r w:rsidRPr="00661595">
              <w:rPr>
                <w:rStyle w:val="InstructionsTabelleberschrift"/>
                <w:rFonts w:ascii="Times New Roman" w:hAnsi="Times New Roman"/>
                <w:sz w:val="24"/>
              </w:rPr>
              <w:t xml:space="preserve"> (SA)</w:t>
            </w:r>
          </w:p>
          <w:p w:rsidR="002648B0" w:rsidRPr="00661595" w:rsidRDefault="002648B0" w:rsidP="00487A02">
            <w:pPr>
              <w:pStyle w:val="InstructionsText"/>
              <w:rPr>
                <w:rStyle w:val="FormatvorlageInstructionsTabelleText"/>
                <w:rFonts w:ascii="Times New Roman" w:hAnsi="Times New Roman"/>
                <w:sz w:val="24"/>
              </w:rPr>
            </w:pPr>
            <w:r w:rsidRPr="00661595">
              <w:rPr>
                <w:rStyle w:val="InstructionsTabelleberschrift"/>
                <w:rFonts w:ascii="Times New Roman" w:hAnsi="Times New Roman"/>
                <w:b w:val="0"/>
                <w:sz w:val="24"/>
                <w:u w:val="none"/>
              </w:rPr>
              <w:t xml:space="preserve">CR SA and SEC SA templates </w:t>
            </w:r>
            <w:r w:rsidR="007E39E6" w:rsidRPr="00661595">
              <w:rPr>
                <w:rStyle w:val="InstructionsTabelleberschrift"/>
                <w:rFonts w:ascii="Times New Roman" w:hAnsi="Times New Roman"/>
                <w:b w:val="0"/>
                <w:sz w:val="24"/>
                <w:u w:val="none"/>
              </w:rPr>
              <w:t>at the level of total exposures</w:t>
            </w:r>
          </w:p>
        </w:tc>
      </w:tr>
      <w:tr w:rsidR="00802958" w:rsidRPr="00661595" w:rsidTr="00672D2A">
        <w:tc>
          <w:tcPr>
            <w:tcW w:w="1591" w:type="dxa"/>
          </w:tcPr>
          <w:p w:rsidR="00802958"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802958" w:rsidRPr="00661595">
              <w:rPr>
                <w:rStyle w:val="FormatvorlageInstructionsTabelleText"/>
                <w:rFonts w:ascii="Times New Roman" w:hAnsi="Times New Roman"/>
                <w:sz w:val="24"/>
              </w:rPr>
              <w:t>051</w:t>
            </w:r>
          </w:p>
        </w:tc>
        <w:tc>
          <w:tcPr>
            <w:tcW w:w="7274" w:type="dxa"/>
          </w:tcPr>
          <w:p w:rsidR="00802958" w:rsidRPr="00661595" w:rsidRDefault="00802958"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1.1.1*</w:t>
            </w:r>
            <w:r w:rsidRPr="00661595">
              <w:rPr>
                <w:rStyle w:val="InstructionsTabelleberschrift"/>
                <w:rFonts w:ascii="Times New Roman" w:hAnsi="Times New Roman"/>
                <w:sz w:val="24"/>
              </w:rPr>
              <w:tab/>
              <w:t>Of which: Additional stricter prudential requirements based on Art</w:t>
            </w:r>
            <w:r w:rsidR="00DE223B" w:rsidRPr="00661595">
              <w:rPr>
                <w:rStyle w:val="InstructionsTabelleberschrift"/>
                <w:rFonts w:ascii="Times New Roman" w:hAnsi="Times New Roman"/>
                <w:sz w:val="24"/>
              </w:rPr>
              <w:t>icle</w:t>
            </w:r>
            <w:r w:rsidRPr="00661595">
              <w:rPr>
                <w:rStyle w:val="InstructionsTabelleberschrift"/>
                <w:rFonts w:ascii="Times New Roman" w:hAnsi="Times New Roman"/>
                <w:sz w:val="24"/>
              </w:rPr>
              <w:t xml:space="preserve"> 124</w:t>
            </w:r>
            <w:r w:rsidR="00DE223B" w:rsidRPr="00661595">
              <w:rPr>
                <w:rStyle w:val="InstructionsTabelleberschrift"/>
                <w:rFonts w:ascii="Times New Roman" w:hAnsi="Times New Roman"/>
                <w:sz w:val="24"/>
              </w:rPr>
              <w:t xml:space="preserve"> CRR</w:t>
            </w:r>
          </w:p>
          <w:p w:rsidR="00802958" w:rsidRPr="00661595" w:rsidRDefault="004852B9" w:rsidP="00487A02">
            <w:pPr>
              <w:pStyle w:val="InstructionsText"/>
              <w:rPr>
                <w:rStyle w:val="InstructionsTabelleberschrift"/>
                <w:rFonts w:ascii="Times New Roman" w:hAnsi="Times New Roman"/>
                <w:sz w:val="24"/>
              </w:rPr>
            </w:pPr>
            <w:r w:rsidRPr="00661595">
              <w:t xml:space="preserve">Institutions shall report the additional risk exposure amounts needed to comply with the stricter prudential requirements as communicated to the institutions after having been consulted with EBA, in accordance with </w:t>
            </w:r>
            <w:r w:rsidR="002C66A4" w:rsidRPr="00661595">
              <w:t xml:space="preserve">paragraphs 2 and 5 of </w:t>
            </w:r>
            <w:r w:rsidRPr="00661595">
              <w:t>Article 124</w:t>
            </w:r>
            <w:r w:rsidR="00C7103D" w:rsidRPr="00661595">
              <w:t>CRR</w:t>
            </w:r>
            <w:r w:rsidRPr="00661595">
              <w:t>.</w:t>
            </w:r>
          </w:p>
        </w:tc>
      </w:tr>
      <w:tr w:rsidR="002648B0" w:rsidRPr="00661595" w:rsidTr="00672D2A">
        <w:tc>
          <w:tcPr>
            <w:tcW w:w="1591" w:type="dxa"/>
          </w:tcPr>
          <w:p w:rsidR="002648B0"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648B0" w:rsidRPr="00661595">
              <w:rPr>
                <w:rStyle w:val="FormatvorlageInstructionsTabelleText"/>
                <w:rFonts w:ascii="Times New Roman" w:hAnsi="Times New Roman"/>
                <w:sz w:val="24"/>
              </w:rPr>
              <w:t>060</w:t>
            </w:r>
          </w:p>
        </w:tc>
        <w:tc>
          <w:tcPr>
            <w:tcW w:w="7274" w:type="dxa"/>
          </w:tcPr>
          <w:p w:rsidR="00C44421" w:rsidRPr="00661595" w:rsidRDefault="00C44421"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1.1.1.1</w:t>
            </w:r>
            <w:r w:rsidRPr="00661595">
              <w:rPr>
                <w:rStyle w:val="InstructionsTabelleberschrift"/>
                <w:rFonts w:ascii="Times New Roman" w:hAnsi="Times New Roman"/>
                <w:sz w:val="24"/>
              </w:rPr>
              <w:tab/>
              <w:t>SA exposure classes excluding securitisations positions</w:t>
            </w:r>
          </w:p>
          <w:p w:rsidR="002648B0" w:rsidRPr="00661595" w:rsidRDefault="002648B0"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CR SA template at the level of total exposures. The SA exposure classes are those </w:t>
            </w:r>
            <w:r w:rsidRPr="00661595">
              <w:rPr>
                <w:rStyle w:val="InstructionsTabelleberschrift"/>
                <w:rFonts w:ascii="Times New Roman" w:hAnsi="Times New Roman"/>
                <w:b w:val="0"/>
                <w:sz w:val="24"/>
                <w:u w:val="none"/>
              </w:rPr>
              <w:t>mentioned</w:t>
            </w:r>
            <w:r w:rsidRPr="00661595">
              <w:rPr>
                <w:rStyle w:val="FormatvorlageInstructionsTabelleText"/>
                <w:rFonts w:ascii="Times New Roman" w:hAnsi="Times New Roman"/>
                <w:sz w:val="24"/>
              </w:rPr>
              <w:t xml:space="preserve"> in Article </w:t>
            </w:r>
            <w:r w:rsidR="00E84C8E" w:rsidRPr="00661595">
              <w:rPr>
                <w:rStyle w:val="FormatvorlageInstructionsTabelleText"/>
                <w:rFonts w:ascii="Times New Roman" w:hAnsi="Times New Roman"/>
                <w:sz w:val="24"/>
              </w:rPr>
              <w:t xml:space="preserve">112 </w:t>
            </w:r>
            <w:r w:rsidR="00C7103D" w:rsidRPr="00661595">
              <w:rPr>
                <w:rStyle w:val="FormatvorlageInstructionsTabelleText"/>
                <w:rFonts w:ascii="Times New Roman" w:hAnsi="Times New Roman"/>
                <w:sz w:val="24"/>
              </w:rPr>
              <w:t>CRR</w:t>
            </w:r>
            <w:r w:rsidR="002C66A4" w:rsidRPr="00661595">
              <w:rPr>
                <w:rStyle w:val="FormatvorlageInstructionsTabelleText"/>
                <w:rFonts w:ascii="Times New Roman" w:hAnsi="Times New Roman"/>
                <w:sz w:val="24"/>
              </w:rPr>
              <w:t>,</w:t>
            </w:r>
            <w:r w:rsidRPr="00661595">
              <w:rPr>
                <w:rStyle w:val="FormatvorlageInstructionsTabelleText"/>
                <w:rFonts w:ascii="Times New Roman" w:hAnsi="Times New Roman"/>
                <w:sz w:val="24"/>
              </w:rPr>
              <w:t xml:space="preserve"> excluding securitisation posi</w:t>
            </w:r>
            <w:r w:rsidR="007E39E6" w:rsidRPr="00661595">
              <w:rPr>
                <w:rStyle w:val="FormatvorlageInstructionsTabelleText"/>
                <w:rFonts w:ascii="Times New Roman" w:hAnsi="Times New Roman"/>
                <w:sz w:val="24"/>
              </w:rPr>
              <w:t>tions.</w:t>
            </w:r>
          </w:p>
        </w:tc>
      </w:tr>
      <w:tr w:rsidR="002648B0" w:rsidRPr="00661595" w:rsidTr="00672D2A">
        <w:tc>
          <w:tcPr>
            <w:tcW w:w="1591" w:type="dxa"/>
          </w:tcPr>
          <w:p w:rsidR="002648B0"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648B0" w:rsidRPr="00661595">
              <w:rPr>
                <w:rStyle w:val="FormatvorlageInstructionsTabelleText"/>
                <w:rFonts w:ascii="Times New Roman" w:hAnsi="Times New Roman"/>
                <w:sz w:val="24"/>
              </w:rPr>
              <w:t>070</w:t>
            </w:r>
          </w:p>
        </w:tc>
        <w:tc>
          <w:tcPr>
            <w:tcW w:w="7274" w:type="dxa"/>
          </w:tcPr>
          <w:p w:rsidR="005643EA" w:rsidRPr="00661595" w:rsidRDefault="002648B0"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.1.1.1.01</w:t>
            </w:r>
            <w:r w:rsidR="000D194E" w:rsidRPr="00661595">
              <w:rPr>
                <w:rStyle w:val="InstructionsTabelleberschrift"/>
                <w:rFonts w:ascii="Times New Roman" w:hAnsi="Times New Roman"/>
                <w:sz w:val="24"/>
              </w:rPr>
              <w:tab/>
            </w:r>
            <w:r w:rsidRPr="00661595">
              <w:rPr>
                <w:rStyle w:val="InstructionsTabelleberschrift"/>
                <w:rFonts w:ascii="Times New Roman" w:hAnsi="Times New Roman"/>
                <w:sz w:val="24"/>
              </w:rPr>
              <w:t>Central governments or central banks</w:t>
            </w:r>
          </w:p>
          <w:p w:rsidR="00496C53" w:rsidRPr="00661595" w:rsidRDefault="00D212FE" w:rsidP="00487A02">
            <w:pPr>
              <w:pStyle w:val="InstructionsText"/>
              <w:rPr>
                <w:rStyle w:val="FormatvorlageInstructionsTabelleText"/>
                <w:rFonts w:ascii="Times New Roman" w:hAnsi="Times New Roman"/>
                <w:bCs w:val="0"/>
                <w:sz w:val="24"/>
              </w:rPr>
            </w:pPr>
            <w:r w:rsidRPr="00661595">
              <w:rPr>
                <w:rStyle w:val="FormatvorlageInstructionsTabelleText"/>
                <w:rFonts w:ascii="Times New Roman" w:hAnsi="Times New Roman"/>
                <w:sz w:val="24"/>
              </w:rPr>
              <w:t xml:space="preserve">See </w:t>
            </w:r>
            <w:r w:rsidR="002648B0" w:rsidRPr="00661595">
              <w:rPr>
                <w:rStyle w:val="FormatvorlageInstructionsTabelleText"/>
                <w:rFonts w:ascii="Times New Roman" w:hAnsi="Times New Roman"/>
                <w:sz w:val="24"/>
              </w:rPr>
              <w:t>CR SA</w:t>
            </w:r>
            <w:r w:rsidRPr="00661595">
              <w:rPr>
                <w:rStyle w:val="FormatvorlageInstructionsTabelleText"/>
                <w:rFonts w:ascii="Times New Roman" w:hAnsi="Times New Roman"/>
                <w:sz w:val="24"/>
              </w:rPr>
              <w:t xml:space="preserve"> template</w:t>
            </w:r>
          </w:p>
        </w:tc>
      </w:tr>
      <w:tr w:rsidR="002648B0" w:rsidRPr="00661595" w:rsidTr="00672D2A">
        <w:tc>
          <w:tcPr>
            <w:tcW w:w="1591" w:type="dxa"/>
          </w:tcPr>
          <w:p w:rsidR="00783881"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648B0" w:rsidRPr="00661595">
              <w:rPr>
                <w:rStyle w:val="FormatvorlageInstructionsTabelleText"/>
                <w:rFonts w:ascii="Times New Roman" w:hAnsi="Times New Roman"/>
                <w:sz w:val="24"/>
              </w:rPr>
              <w:t>080</w:t>
            </w:r>
          </w:p>
        </w:tc>
        <w:tc>
          <w:tcPr>
            <w:tcW w:w="7274" w:type="dxa"/>
          </w:tcPr>
          <w:p w:rsidR="00783881" w:rsidRPr="00661595" w:rsidRDefault="002648B0"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.1.1.1.02</w:t>
            </w:r>
            <w:r w:rsidR="000D194E" w:rsidRPr="00661595">
              <w:rPr>
                <w:rStyle w:val="InstructionsTabelleberschrift"/>
                <w:rFonts w:ascii="Times New Roman" w:hAnsi="Times New Roman"/>
                <w:sz w:val="24"/>
              </w:rPr>
              <w:tab/>
            </w:r>
            <w:r w:rsidRPr="00661595">
              <w:rPr>
                <w:rStyle w:val="InstructionsTabelleberschrift"/>
                <w:rFonts w:ascii="Times New Roman" w:hAnsi="Times New Roman"/>
                <w:sz w:val="24"/>
              </w:rPr>
              <w:t>Regional governments or local authorities</w:t>
            </w:r>
          </w:p>
          <w:p w:rsidR="002648B0" w:rsidRPr="00661595" w:rsidRDefault="00D212FE"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See CR SA template</w:t>
            </w:r>
          </w:p>
        </w:tc>
      </w:tr>
      <w:tr w:rsidR="002648B0" w:rsidRPr="00661595" w:rsidTr="00672D2A">
        <w:tc>
          <w:tcPr>
            <w:tcW w:w="1591" w:type="dxa"/>
          </w:tcPr>
          <w:p w:rsidR="00783881"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648B0" w:rsidRPr="00661595">
              <w:rPr>
                <w:rStyle w:val="FormatvorlageInstructionsTabelleText"/>
                <w:rFonts w:ascii="Times New Roman" w:hAnsi="Times New Roman"/>
                <w:sz w:val="24"/>
              </w:rPr>
              <w:t>090</w:t>
            </w:r>
          </w:p>
        </w:tc>
        <w:tc>
          <w:tcPr>
            <w:tcW w:w="7274" w:type="dxa"/>
          </w:tcPr>
          <w:p w:rsidR="005643EA" w:rsidRPr="00661595" w:rsidRDefault="002648B0" w:rsidP="00487A02">
            <w:pPr>
              <w:pStyle w:val="InstructionsText"/>
              <w:rPr>
                <w:rStyle w:val="FormatvorlageInstructionsTabelleText"/>
                <w:rFonts w:ascii="Times New Roman" w:hAnsi="Times New Roman"/>
                <w:b/>
                <w:bCs w:val="0"/>
                <w:sz w:val="24"/>
                <w:u w:val="single"/>
                <w:lang w:eastAsia="en-US"/>
              </w:rPr>
            </w:pPr>
            <w:r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.1.1.1.03</w:t>
            </w:r>
            <w:r w:rsidR="000D194E" w:rsidRPr="00661595">
              <w:rPr>
                <w:rStyle w:val="InstructionsTabelleberschrift"/>
                <w:rFonts w:ascii="Times New Roman" w:hAnsi="Times New Roman"/>
                <w:sz w:val="24"/>
              </w:rPr>
              <w:tab/>
            </w:r>
            <w:r w:rsidRPr="00661595">
              <w:rPr>
                <w:rStyle w:val="InstructionsTabelleberschrift"/>
                <w:rFonts w:ascii="Times New Roman" w:hAnsi="Times New Roman"/>
                <w:sz w:val="24"/>
              </w:rPr>
              <w:t>Public sector entities</w:t>
            </w:r>
          </w:p>
          <w:p w:rsidR="002648B0" w:rsidRPr="00661595" w:rsidRDefault="00D212FE"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See CR SA template</w:t>
            </w:r>
          </w:p>
        </w:tc>
      </w:tr>
      <w:tr w:rsidR="002648B0" w:rsidRPr="00661595" w:rsidTr="00672D2A">
        <w:tc>
          <w:tcPr>
            <w:tcW w:w="1591" w:type="dxa"/>
          </w:tcPr>
          <w:p w:rsidR="00783881"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648B0" w:rsidRPr="00661595">
              <w:rPr>
                <w:rStyle w:val="FormatvorlageInstructionsTabelleText"/>
                <w:rFonts w:ascii="Times New Roman" w:hAnsi="Times New Roman"/>
                <w:sz w:val="24"/>
              </w:rPr>
              <w:t>100</w:t>
            </w:r>
          </w:p>
        </w:tc>
        <w:tc>
          <w:tcPr>
            <w:tcW w:w="7274" w:type="dxa"/>
          </w:tcPr>
          <w:p w:rsidR="002648B0" w:rsidRPr="00661595" w:rsidRDefault="002648B0"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.1.1.1.04</w:t>
            </w:r>
            <w:r w:rsidR="000D194E" w:rsidRPr="00661595">
              <w:rPr>
                <w:rStyle w:val="InstructionsTabelleberschrift"/>
                <w:rFonts w:ascii="Times New Roman" w:hAnsi="Times New Roman"/>
                <w:sz w:val="24"/>
              </w:rPr>
              <w:tab/>
            </w:r>
            <w:r w:rsidRPr="00661595">
              <w:rPr>
                <w:rStyle w:val="InstructionsTabelleberschrift"/>
                <w:rFonts w:ascii="Times New Roman" w:hAnsi="Times New Roman"/>
                <w:sz w:val="24"/>
              </w:rPr>
              <w:t>Multilateral Development Banks</w:t>
            </w:r>
          </w:p>
          <w:p w:rsidR="002648B0" w:rsidRPr="00661595" w:rsidRDefault="00D212FE"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See CR SA template</w:t>
            </w:r>
            <w:r w:rsidR="002648B0" w:rsidRPr="00661595">
              <w:rPr>
                <w:rStyle w:val="FormatvorlageInstructionsTabelleText"/>
                <w:rFonts w:ascii="Times New Roman" w:hAnsi="Times New Roman"/>
                <w:sz w:val="24"/>
              </w:rPr>
              <w:t xml:space="preserve"> </w:t>
            </w:r>
          </w:p>
        </w:tc>
      </w:tr>
      <w:tr w:rsidR="002648B0" w:rsidRPr="009B627A" w:rsidTr="00672D2A">
        <w:tc>
          <w:tcPr>
            <w:tcW w:w="1591" w:type="dxa"/>
          </w:tcPr>
          <w:p w:rsidR="00783881"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648B0" w:rsidRPr="00661595">
              <w:rPr>
                <w:rStyle w:val="FormatvorlageInstructionsTabelleText"/>
                <w:rFonts w:ascii="Times New Roman" w:hAnsi="Times New Roman"/>
                <w:sz w:val="24"/>
              </w:rPr>
              <w:t>110</w:t>
            </w:r>
          </w:p>
        </w:tc>
        <w:tc>
          <w:tcPr>
            <w:tcW w:w="7274" w:type="dxa"/>
          </w:tcPr>
          <w:p w:rsidR="005643EA" w:rsidRPr="00661595" w:rsidRDefault="002648B0" w:rsidP="00487A02">
            <w:pPr>
              <w:pStyle w:val="InstructionsText"/>
              <w:rPr>
                <w:rStyle w:val="FormatvorlageInstructionsTabelleText"/>
                <w:rFonts w:ascii="Times New Roman" w:hAnsi="Times New Roman"/>
                <w:b/>
                <w:sz w:val="24"/>
                <w:u w:val="single"/>
                <w:lang w:val="fr-BE"/>
              </w:rPr>
            </w:pPr>
            <w:r w:rsidRPr="00661595">
              <w:rPr>
                <w:rStyle w:val="InstructionsTabelleberschrift"/>
                <w:rFonts w:ascii="Times New Roman" w:hAnsi="Times New Roman"/>
                <w:sz w:val="24"/>
                <w:lang w:val="fr-BE"/>
              </w:rPr>
              <w:t>1</w:t>
            </w:r>
            <w:r w:rsidR="000D194E" w:rsidRPr="00661595">
              <w:rPr>
                <w:rStyle w:val="InstructionsTabelleberschrift"/>
                <w:rFonts w:ascii="Times New Roman" w:hAnsi="Times New Roman"/>
                <w:sz w:val="24"/>
                <w:lang w:val="fr-BE"/>
              </w:rPr>
              <w:t>.1.1.1.05</w:t>
            </w:r>
            <w:r w:rsidR="000D194E" w:rsidRPr="00661595">
              <w:rPr>
                <w:rStyle w:val="InstructionsTabelleberschrift"/>
                <w:rFonts w:ascii="Times New Roman" w:hAnsi="Times New Roman"/>
                <w:sz w:val="24"/>
                <w:lang w:val="fr-BE"/>
              </w:rPr>
              <w:tab/>
            </w:r>
            <w:r w:rsidRPr="00661595">
              <w:rPr>
                <w:rStyle w:val="InstructionsTabelleberschrift"/>
                <w:rFonts w:ascii="Times New Roman" w:hAnsi="Times New Roman"/>
                <w:sz w:val="24"/>
                <w:lang w:val="fr-BE"/>
              </w:rPr>
              <w:t>International Organisations</w:t>
            </w:r>
          </w:p>
          <w:p w:rsidR="002648B0" w:rsidRPr="00661595" w:rsidRDefault="00783881" w:rsidP="00487A02">
            <w:pPr>
              <w:pStyle w:val="InstructionsText"/>
              <w:rPr>
                <w:rStyle w:val="FormatvorlageInstructionsTabelleText"/>
                <w:rFonts w:ascii="Times New Roman" w:hAnsi="Times New Roman"/>
                <w:sz w:val="24"/>
                <w:lang w:val="fr-BE"/>
              </w:rPr>
            </w:pPr>
            <w:r w:rsidRPr="00661595">
              <w:rPr>
                <w:rStyle w:val="FormatvorlageInstructionsTabelleText"/>
                <w:rFonts w:ascii="Times New Roman" w:hAnsi="Times New Roman"/>
                <w:sz w:val="24"/>
                <w:lang w:val="fr-BE"/>
              </w:rPr>
              <w:t>See CR SA template</w:t>
            </w:r>
          </w:p>
        </w:tc>
      </w:tr>
      <w:tr w:rsidR="002648B0" w:rsidRPr="009B627A" w:rsidTr="00672D2A">
        <w:tc>
          <w:tcPr>
            <w:tcW w:w="1591" w:type="dxa"/>
          </w:tcPr>
          <w:p w:rsidR="00783881" w:rsidRPr="00661595" w:rsidRDefault="00CF1093"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648B0" w:rsidRPr="00661595">
              <w:rPr>
                <w:rStyle w:val="FormatvorlageInstructionsTabelleText"/>
                <w:rFonts w:ascii="Times New Roman" w:hAnsi="Times New Roman"/>
                <w:sz w:val="24"/>
              </w:rPr>
              <w:t>120</w:t>
            </w:r>
          </w:p>
        </w:tc>
        <w:tc>
          <w:tcPr>
            <w:tcW w:w="7274" w:type="dxa"/>
          </w:tcPr>
          <w:p w:rsidR="005643EA" w:rsidRPr="00661595" w:rsidRDefault="00783881" w:rsidP="00487A02">
            <w:pPr>
              <w:pStyle w:val="InstructionsText"/>
              <w:rPr>
                <w:rStyle w:val="FormatvorlageInstructionsTabelleText"/>
                <w:rFonts w:ascii="Times New Roman" w:hAnsi="Times New Roman"/>
                <w:b/>
                <w:sz w:val="24"/>
                <w:u w:val="single"/>
                <w:lang w:val="fr-BE"/>
              </w:rPr>
            </w:pPr>
            <w:r w:rsidRPr="00661595">
              <w:rPr>
                <w:rStyle w:val="InstructionsTabelleberschrift"/>
                <w:rFonts w:ascii="Times New Roman" w:hAnsi="Times New Roman"/>
                <w:sz w:val="24"/>
                <w:lang w:val="fr-BE"/>
              </w:rPr>
              <w:t>1</w:t>
            </w:r>
            <w:r w:rsidR="000D194E" w:rsidRPr="00661595">
              <w:rPr>
                <w:rStyle w:val="InstructionsTabelleberschrift"/>
                <w:rFonts w:ascii="Times New Roman" w:hAnsi="Times New Roman"/>
                <w:sz w:val="24"/>
                <w:lang w:val="fr-BE"/>
              </w:rPr>
              <w:t>.1.1.1.06</w:t>
            </w:r>
            <w:r w:rsidR="000D194E" w:rsidRPr="00661595">
              <w:rPr>
                <w:rStyle w:val="InstructionsTabelleberschrift"/>
                <w:rFonts w:ascii="Times New Roman" w:hAnsi="Times New Roman"/>
                <w:sz w:val="24"/>
                <w:lang w:val="fr-BE"/>
              </w:rPr>
              <w:tab/>
            </w:r>
            <w:r w:rsidRPr="00661595">
              <w:rPr>
                <w:rStyle w:val="InstructionsTabelleberschrift"/>
                <w:rFonts w:ascii="Times New Roman" w:hAnsi="Times New Roman"/>
                <w:sz w:val="24"/>
                <w:lang w:val="fr-BE"/>
              </w:rPr>
              <w:t>Institutions</w:t>
            </w:r>
          </w:p>
          <w:p w:rsidR="002648B0" w:rsidRPr="00661595" w:rsidRDefault="00783881" w:rsidP="00487A02">
            <w:pPr>
              <w:pStyle w:val="InstructionsText"/>
              <w:rPr>
                <w:rStyle w:val="FormatvorlageInstructionsTabelleText"/>
                <w:rFonts w:ascii="Times New Roman" w:hAnsi="Times New Roman"/>
                <w:sz w:val="24"/>
                <w:lang w:val="fr-BE"/>
              </w:rPr>
            </w:pPr>
            <w:r w:rsidRPr="00661595">
              <w:rPr>
                <w:rStyle w:val="FormatvorlageInstructionsTabelleText"/>
                <w:rFonts w:ascii="Times New Roman" w:hAnsi="Times New Roman"/>
                <w:sz w:val="24"/>
                <w:lang w:val="fr-BE"/>
              </w:rPr>
              <w:t>See CR SA template</w:t>
            </w:r>
          </w:p>
        </w:tc>
      </w:tr>
      <w:tr w:rsidR="002648B0" w:rsidRPr="00661595" w:rsidTr="00672D2A">
        <w:tc>
          <w:tcPr>
            <w:tcW w:w="1591" w:type="dxa"/>
          </w:tcPr>
          <w:p w:rsidR="00783881"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648B0" w:rsidRPr="00661595">
              <w:rPr>
                <w:rStyle w:val="FormatvorlageInstructionsTabelleText"/>
                <w:rFonts w:ascii="Times New Roman" w:hAnsi="Times New Roman"/>
                <w:sz w:val="24"/>
              </w:rPr>
              <w:t>130</w:t>
            </w:r>
          </w:p>
        </w:tc>
        <w:tc>
          <w:tcPr>
            <w:tcW w:w="7274" w:type="dxa"/>
          </w:tcPr>
          <w:p w:rsidR="00783881" w:rsidRPr="00661595" w:rsidRDefault="002648B0"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.1.1.1.07</w:t>
            </w:r>
            <w:r w:rsidR="000D194E" w:rsidRPr="00661595">
              <w:rPr>
                <w:rStyle w:val="InstructionsTabelleberschrift"/>
                <w:rFonts w:ascii="Times New Roman" w:hAnsi="Times New Roman"/>
                <w:sz w:val="24"/>
              </w:rPr>
              <w:tab/>
            </w:r>
            <w:r w:rsidRPr="00661595">
              <w:rPr>
                <w:rStyle w:val="InstructionsTabelleberschrift"/>
                <w:rFonts w:ascii="Times New Roman" w:hAnsi="Times New Roman"/>
                <w:sz w:val="24"/>
              </w:rPr>
              <w:t>Corporates</w:t>
            </w:r>
          </w:p>
          <w:p w:rsidR="002648B0" w:rsidRPr="00661595" w:rsidRDefault="00D212FE"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See CR SA template</w:t>
            </w:r>
          </w:p>
        </w:tc>
      </w:tr>
      <w:tr w:rsidR="002648B0" w:rsidRPr="00661595" w:rsidTr="00672D2A">
        <w:tc>
          <w:tcPr>
            <w:tcW w:w="1591" w:type="dxa"/>
          </w:tcPr>
          <w:p w:rsidR="00783881"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648B0" w:rsidRPr="00661595">
              <w:rPr>
                <w:rStyle w:val="FormatvorlageInstructionsTabelleText"/>
                <w:rFonts w:ascii="Times New Roman" w:hAnsi="Times New Roman"/>
                <w:sz w:val="24"/>
              </w:rPr>
              <w:t>140</w:t>
            </w:r>
          </w:p>
        </w:tc>
        <w:tc>
          <w:tcPr>
            <w:tcW w:w="7274" w:type="dxa"/>
          </w:tcPr>
          <w:p w:rsidR="005643EA" w:rsidRPr="00661595" w:rsidRDefault="002648B0" w:rsidP="00487A02">
            <w:pPr>
              <w:pStyle w:val="InstructionsText"/>
              <w:rPr>
                <w:rStyle w:val="FormatvorlageInstructionsTabelleText"/>
                <w:rFonts w:ascii="Times New Roman" w:hAnsi="Times New Roman"/>
                <w:b/>
                <w:bCs w:val="0"/>
                <w:sz w:val="24"/>
                <w:u w:val="single"/>
                <w:lang w:eastAsia="en-US"/>
              </w:rPr>
            </w:pPr>
            <w:r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.1.1.1.08</w:t>
            </w:r>
            <w:r w:rsidR="000D194E" w:rsidRPr="00661595">
              <w:rPr>
                <w:rStyle w:val="InstructionsTabelleberschrift"/>
                <w:rFonts w:ascii="Times New Roman" w:hAnsi="Times New Roman"/>
                <w:sz w:val="24"/>
              </w:rPr>
              <w:tab/>
            </w:r>
            <w:r w:rsidRPr="00661595">
              <w:rPr>
                <w:rStyle w:val="InstructionsTabelleberschrift"/>
                <w:rFonts w:ascii="Times New Roman" w:hAnsi="Times New Roman"/>
                <w:sz w:val="24"/>
              </w:rPr>
              <w:t>Retail</w:t>
            </w:r>
          </w:p>
          <w:p w:rsidR="002648B0" w:rsidRPr="00661595" w:rsidRDefault="00D212FE"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See CR SA template</w:t>
            </w:r>
          </w:p>
        </w:tc>
      </w:tr>
      <w:tr w:rsidR="002648B0" w:rsidRPr="00661595" w:rsidTr="00672D2A">
        <w:tc>
          <w:tcPr>
            <w:tcW w:w="1591" w:type="dxa"/>
          </w:tcPr>
          <w:p w:rsidR="002648B0"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648B0" w:rsidRPr="00661595">
              <w:rPr>
                <w:rStyle w:val="FormatvorlageInstructionsTabelleText"/>
                <w:rFonts w:ascii="Times New Roman" w:hAnsi="Times New Roman"/>
                <w:sz w:val="24"/>
              </w:rPr>
              <w:t>150</w:t>
            </w:r>
          </w:p>
        </w:tc>
        <w:tc>
          <w:tcPr>
            <w:tcW w:w="7274" w:type="dxa"/>
          </w:tcPr>
          <w:p w:rsidR="005643EA" w:rsidRPr="00661595" w:rsidRDefault="002648B0" w:rsidP="00487A02">
            <w:pPr>
              <w:pStyle w:val="InstructionsText"/>
              <w:rPr>
                <w:rStyle w:val="InstructionsTabelleberschrift"/>
                <w:rFonts w:ascii="Times New Roman" w:hAnsi="Times New Roman"/>
                <w:bCs w:val="0"/>
                <w:sz w:val="24"/>
                <w:lang w:eastAsia="en-US"/>
              </w:rPr>
            </w:pPr>
            <w:r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.1.1.1.09</w:t>
            </w:r>
            <w:r w:rsidR="000D194E" w:rsidRPr="00661595">
              <w:rPr>
                <w:rStyle w:val="InstructionsTabelleberschrift"/>
                <w:rFonts w:ascii="Times New Roman" w:hAnsi="Times New Roman"/>
                <w:sz w:val="24"/>
              </w:rPr>
              <w:tab/>
            </w:r>
            <w:r w:rsidRPr="00661595">
              <w:rPr>
                <w:rStyle w:val="InstructionsTabelleberschrift"/>
                <w:rFonts w:ascii="Times New Roman" w:hAnsi="Times New Roman"/>
                <w:sz w:val="24"/>
              </w:rPr>
              <w:t>Secured by mortgages on immovable property</w:t>
            </w:r>
          </w:p>
          <w:p w:rsidR="002648B0" w:rsidRPr="00661595" w:rsidRDefault="00D212FE"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See CR SA template</w:t>
            </w:r>
          </w:p>
        </w:tc>
      </w:tr>
      <w:tr w:rsidR="002648B0" w:rsidRPr="00661595" w:rsidTr="00672D2A">
        <w:tc>
          <w:tcPr>
            <w:tcW w:w="1591" w:type="dxa"/>
          </w:tcPr>
          <w:p w:rsidR="002648B0"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648B0" w:rsidRPr="00661595">
              <w:rPr>
                <w:rStyle w:val="FormatvorlageInstructionsTabelleText"/>
                <w:rFonts w:ascii="Times New Roman" w:hAnsi="Times New Roman"/>
                <w:sz w:val="24"/>
              </w:rPr>
              <w:t>160</w:t>
            </w:r>
          </w:p>
        </w:tc>
        <w:tc>
          <w:tcPr>
            <w:tcW w:w="7274" w:type="dxa"/>
          </w:tcPr>
          <w:p w:rsidR="005643EA" w:rsidRPr="00661595" w:rsidRDefault="002648B0" w:rsidP="00487A02">
            <w:pPr>
              <w:pStyle w:val="InstructionsText"/>
              <w:rPr>
                <w:rStyle w:val="InstructionsTabelleberschrift"/>
                <w:rFonts w:ascii="Times New Roman" w:hAnsi="Times New Roman"/>
                <w:bCs w:val="0"/>
                <w:sz w:val="24"/>
                <w:lang w:eastAsia="en-US"/>
              </w:rPr>
            </w:pPr>
            <w:r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.1.1.1.10</w:t>
            </w:r>
            <w:r w:rsidR="000D194E" w:rsidRPr="00661595">
              <w:rPr>
                <w:rStyle w:val="InstructionsTabelleberschrift"/>
                <w:rFonts w:ascii="Times New Roman" w:hAnsi="Times New Roman"/>
                <w:sz w:val="24"/>
              </w:rPr>
              <w:tab/>
            </w:r>
            <w:r w:rsidRPr="00661595">
              <w:rPr>
                <w:rStyle w:val="InstructionsTabelleberschrift"/>
                <w:rFonts w:ascii="Times New Roman" w:hAnsi="Times New Roman"/>
                <w:sz w:val="24"/>
              </w:rPr>
              <w:t>Exposures in default</w:t>
            </w:r>
          </w:p>
          <w:p w:rsidR="002648B0" w:rsidRPr="00661595" w:rsidRDefault="00D212FE"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See CR SA template</w:t>
            </w:r>
          </w:p>
        </w:tc>
      </w:tr>
      <w:tr w:rsidR="002648B0" w:rsidRPr="00661595" w:rsidTr="00672D2A">
        <w:tc>
          <w:tcPr>
            <w:tcW w:w="1591" w:type="dxa"/>
          </w:tcPr>
          <w:p w:rsidR="00783881"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648B0" w:rsidRPr="00661595">
              <w:rPr>
                <w:rStyle w:val="FormatvorlageInstructionsTabelleText"/>
                <w:rFonts w:ascii="Times New Roman" w:hAnsi="Times New Roman"/>
                <w:sz w:val="24"/>
              </w:rPr>
              <w:t>170</w:t>
            </w:r>
          </w:p>
        </w:tc>
        <w:tc>
          <w:tcPr>
            <w:tcW w:w="7274" w:type="dxa"/>
          </w:tcPr>
          <w:p w:rsidR="00783881" w:rsidRPr="00661595" w:rsidRDefault="002648B0"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.1.1.1.11</w:t>
            </w:r>
            <w:r w:rsidR="000D194E" w:rsidRPr="00661595">
              <w:rPr>
                <w:rStyle w:val="InstructionsTabelleberschrift"/>
                <w:rFonts w:ascii="Times New Roman" w:hAnsi="Times New Roman"/>
                <w:sz w:val="24"/>
              </w:rPr>
              <w:tab/>
            </w:r>
            <w:r w:rsidRPr="00661595">
              <w:rPr>
                <w:rStyle w:val="InstructionsTabelleberschrift"/>
                <w:rFonts w:ascii="Times New Roman" w:hAnsi="Times New Roman"/>
                <w:sz w:val="24"/>
              </w:rPr>
              <w:t>Items associated with particular high risk</w:t>
            </w:r>
          </w:p>
          <w:p w:rsidR="002648B0" w:rsidRPr="00661595" w:rsidRDefault="00D212FE"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See CR SA template</w:t>
            </w:r>
          </w:p>
        </w:tc>
      </w:tr>
      <w:tr w:rsidR="002648B0" w:rsidRPr="00661595" w:rsidTr="00672D2A">
        <w:tc>
          <w:tcPr>
            <w:tcW w:w="1591" w:type="dxa"/>
          </w:tcPr>
          <w:p w:rsidR="00783881"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648B0" w:rsidRPr="00661595">
              <w:rPr>
                <w:rStyle w:val="FormatvorlageInstructionsTabelleText"/>
                <w:rFonts w:ascii="Times New Roman" w:hAnsi="Times New Roman"/>
                <w:sz w:val="24"/>
              </w:rPr>
              <w:t>180</w:t>
            </w:r>
          </w:p>
        </w:tc>
        <w:tc>
          <w:tcPr>
            <w:tcW w:w="7274" w:type="dxa"/>
          </w:tcPr>
          <w:p w:rsidR="005643EA" w:rsidRPr="00661595" w:rsidRDefault="002648B0" w:rsidP="00487A02">
            <w:pPr>
              <w:pStyle w:val="InstructionsText"/>
              <w:rPr>
                <w:rStyle w:val="InstructionsTabelleberschrift"/>
                <w:rFonts w:ascii="Times New Roman" w:hAnsi="Times New Roman"/>
                <w:bCs w:val="0"/>
                <w:sz w:val="24"/>
                <w:lang w:eastAsia="en-US"/>
              </w:rPr>
            </w:pPr>
            <w:r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.1.1.1.12</w:t>
            </w:r>
            <w:r w:rsidR="000D194E" w:rsidRPr="00661595">
              <w:rPr>
                <w:rStyle w:val="InstructionsTabelleberschrift"/>
                <w:rFonts w:ascii="Times New Roman" w:hAnsi="Times New Roman"/>
                <w:sz w:val="24"/>
              </w:rPr>
              <w:tab/>
            </w:r>
            <w:r w:rsidRPr="00661595">
              <w:rPr>
                <w:rStyle w:val="InstructionsTabelleberschrift"/>
                <w:rFonts w:ascii="Times New Roman" w:hAnsi="Times New Roman"/>
                <w:sz w:val="24"/>
              </w:rPr>
              <w:t>Covered bonds</w:t>
            </w:r>
          </w:p>
          <w:p w:rsidR="002648B0" w:rsidRPr="00661595" w:rsidRDefault="00D212FE"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See CR SA template</w:t>
            </w:r>
          </w:p>
        </w:tc>
      </w:tr>
      <w:tr w:rsidR="002648B0" w:rsidRPr="00661595" w:rsidTr="00672D2A">
        <w:tc>
          <w:tcPr>
            <w:tcW w:w="1591" w:type="dxa"/>
          </w:tcPr>
          <w:p w:rsidR="002648B0"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648B0" w:rsidRPr="00661595">
              <w:rPr>
                <w:rStyle w:val="FormatvorlageInstructionsTabelleText"/>
                <w:rFonts w:ascii="Times New Roman" w:hAnsi="Times New Roman"/>
                <w:sz w:val="24"/>
              </w:rPr>
              <w:t>190</w:t>
            </w:r>
          </w:p>
        </w:tc>
        <w:tc>
          <w:tcPr>
            <w:tcW w:w="7274" w:type="dxa"/>
          </w:tcPr>
          <w:p w:rsidR="005643EA" w:rsidRPr="00661595" w:rsidRDefault="002648B0" w:rsidP="00487A02">
            <w:pPr>
              <w:pStyle w:val="InstructionsText"/>
              <w:rPr>
                <w:rStyle w:val="InstructionsTabelleberschrift"/>
                <w:rFonts w:ascii="Times New Roman" w:hAnsi="Times New Roman"/>
                <w:bCs w:val="0"/>
                <w:sz w:val="24"/>
                <w:lang w:eastAsia="en-US"/>
              </w:rPr>
            </w:pPr>
            <w:r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.1.1.1.13</w:t>
            </w:r>
            <w:r w:rsidR="000D194E" w:rsidRPr="00661595">
              <w:rPr>
                <w:rStyle w:val="InstructionsTabelleberschrift"/>
                <w:rFonts w:ascii="Times New Roman" w:hAnsi="Times New Roman"/>
                <w:sz w:val="24"/>
              </w:rPr>
              <w:tab/>
            </w:r>
            <w:r w:rsidRPr="00661595">
              <w:rPr>
                <w:rStyle w:val="InstructionsTabelleberschrift"/>
                <w:rFonts w:ascii="Times New Roman" w:hAnsi="Times New Roman"/>
                <w:sz w:val="24"/>
              </w:rPr>
              <w:t>Claims on institutions and corporate with a short-term credit assessment</w:t>
            </w:r>
          </w:p>
          <w:p w:rsidR="002648B0" w:rsidRPr="00661595" w:rsidRDefault="00D212FE"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See CR SA template</w:t>
            </w:r>
          </w:p>
        </w:tc>
      </w:tr>
      <w:tr w:rsidR="002648B0" w:rsidRPr="00661595" w:rsidTr="00672D2A">
        <w:tc>
          <w:tcPr>
            <w:tcW w:w="1591" w:type="dxa"/>
          </w:tcPr>
          <w:p w:rsidR="005643EA" w:rsidRPr="00661595" w:rsidRDefault="00B13F06" w:rsidP="00487A02">
            <w:pPr>
              <w:pStyle w:val="InstructionsText"/>
              <w:rPr>
                <w:rStyle w:val="FormatvorlageInstructionsTabelleText"/>
                <w:rFonts w:ascii="Times New Roman" w:hAnsi="Times New Roman"/>
                <w:bCs w:val="0"/>
                <w:sz w:val="24"/>
                <w:lang w:eastAsia="en-US"/>
              </w:rPr>
            </w:pPr>
            <w:r w:rsidRPr="00661595">
              <w:rPr>
                <w:rStyle w:val="FormatvorlageInstructionsTabelleText"/>
                <w:rFonts w:ascii="Times New Roman" w:hAnsi="Times New Roman"/>
                <w:sz w:val="24"/>
              </w:rPr>
              <w:t>0</w:t>
            </w:r>
            <w:r w:rsidR="002648B0" w:rsidRPr="00661595">
              <w:rPr>
                <w:rStyle w:val="FormatvorlageInstructionsTabelleText"/>
                <w:rFonts w:ascii="Times New Roman" w:hAnsi="Times New Roman"/>
                <w:sz w:val="24"/>
              </w:rPr>
              <w:t>200</w:t>
            </w:r>
          </w:p>
        </w:tc>
        <w:tc>
          <w:tcPr>
            <w:tcW w:w="7274" w:type="dxa"/>
          </w:tcPr>
          <w:p w:rsidR="005643EA" w:rsidRPr="00661595" w:rsidRDefault="002648B0" w:rsidP="00487A02">
            <w:pPr>
              <w:pStyle w:val="InstructionsText"/>
              <w:rPr>
                <w:rStyle w:val="FormatvorlageInstructionsTabelleText"/>
                <w:rFonts w:ascii="Times New Roman" w:hAnsi="Times New Roman"/>
                <w:bCs w:val="0"/>
                <w:sz w:val="24"/>
                <w:lang w:eastAsia="en-US"/>
              </w:rPr>
            </w:pPr>
            <w:r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.1.1.1.14</w:t>
            </w:r>
            <w:r w:rsidR="000D194E" w:rsidRPr="00661595">
              <w:rPr>
                <w:rStyle w:val="InstructionsTabelleberschrift"/>
                <w:rFonts w:ascii="Times New Roman" w:hAnsi="Times New Roman"/>
                <w:sz w:val="24"/>
              </w:rPr>
              <w:tab/>
            </w:r>
            <w:r w:rsidRPr="00661595">
              <w:rPr>
                <w:rStyle w:val="InstructionsTabelleberschrift"/>
                <w:rFonts w:ascii="Times New Roman" w:hAnsi="Times New Roman"/>
                <w:sz w:val="24"/>
              </w:rPr>
              <w:t>Collective investments undertakings (CIU)</w:t>
            </w:r>
          </w:p>
          <w:p w:rsidR="002648B0" w:rsidRPr="00661595" w:rsidRDefault="00D212FE"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See CR SA template</w:t>
            </w:r>
          </w:p>
        </w:tc>
      </w:tr>
      <w:tr w:rsidR="002648B0" w:rsidRPr="00661595" w:rsidTr="00672D2A">
        <w:tc>
          <w:tcPr>
            <w:tcW w:w="1591" w:type="dxa"/>
          </w:tcPr>
          <w:p w:rsidR="002648B0"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648B0" w:rsidRPr="00661595">
              <w:rPr>
                <w:rStyle w:val="FormatvorlageInstructionsTabelleText"/>
                <w:rFonts w:ascii="Times New Roman" w:hAnsi="Times New Roman"/>
                <w:sz w:val="24"/>
              </w:rPr>
              <w:t>210</w:t>
            </w:r>
          </w:p>
        </w:tc>
        <w:tc>
          <w:tcPr>
            <w:tcW w:w="7274" w:type="dxa"/>
          </w:tcPr>
          <w:p w:rsidR="005643EA" w:rsidRPr="00661595" w:rsidRDefault="002648B0" w:rsidP="00487A02">
            <w:pPr>
              <w:pStyle w:val="InstructionsText"/>
              <w:rPr>
                <w:rStyle w:val="InstructionsTabelleberschrift"/>
                <w:rFonts w:ascii="Times New Roman" w:hAnsi="Times New Roman"/>
                <w:bCs w:val="0"/>
                <w:sz w:val="24"/>
                <w:lang w:eastAsia="en-US"/>
              </w:rPr>
            </w:pPr>
            <w:r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.1.1.1.15</w:t>
            </w:r>
            <w:r w:rsidR="000D194E" w:rsidRPr="00661595">
              <w:rPr>
                <w:rStyle w:val="InstructionsTabelleberschrift"/>
                <w:rFonts w:ascii="Times New Roman" w:hAnsi="Times New Roman"/>
                <w:sz w:val="24"/>
              </w:rPr>
              <w:tab/>
            </w:r>
            <w:r w:rsidRPr="00661595">
              <w:rPr>
                <w:rStyle w:val="InstructionsTabelleberschrift"/>
                <w:rFonts w:ascii="Times New Roman" w:hAnsi="Times New Roman"/>
                <w:sz w:val="24"/>
              </w:rPr>
              <w:t>Equity</w:t>
            </w:r>
          </w:p>
          <w:p w:rsidR="002648B0" w:rsidRPr="00661595" w:rsidRDefault="00D212FE" w:rsidP="007106FB">
            <w:pPr>
              <w:rPr>
                <w:rStyle w:val="FormatvorlageInstructionsTabelleText"/>
                <w:rFonts w:ascii="Times New Roman" w:hAnsi="Times New Roman"/>
                <w:sz w:val="24"/>
              </w:rPr>
            </w:pPr>
            <w:r w:rsidRPr="00661595">
              <w:rPr>
                <w:rStyle w:val="FormatvorlageInstructionsTabelleText"/>
                <w:rFonts w:ascii="Times New Roman" w:hAnsi="Times New Roman"/>
                <w:sz w:val="24"/>
              </w:rPr>
              <w:t>See CR SA template</w:t>
            </w:r>
          </w:p>
        </w:tc>
      </w:tr>
      <w:tr w:rsidR="002648B0" w:rsidRPr="00661595" w:rsidTr="00672D2A">
        <w:tc>
          <w:tcPr>
            <w:tcW w:w="1591" w:type="dxa"/>
          </w:tcPr>
          <w:p w:rsidR="002648B0"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648B0" w:rsidRPr="00661595">
              <w:rPr>
                <w:rStyle w:val="FormatvorlageInstructionsTabelleText"/>
                <w:rFonts w:ascii="Times New Roman" w:hAnsi="Times New Roman"/>
                <w:sz w:val="24"/>
              </w:rPr>
              <w:t>211</w:t>
            </w:r>
          </w:p>
        </w:tc>
        <w:tc>
          <w:tcPr>
            <w:tcW w:w="7274" w:type="dxa"/>
          </w:tcPr>
          <w:p w:rsidR="005643EA" w:rsidRPr="00661595" w:rsidRDefault="002648B0" w:rsidP="00487A02">
            <w:pPr>
              <w:pStyle w:val="InstructionsText"/>
              <w:rPr>
                <w:rStyle w:val="InstructionsTabelleberschrift"/>
                <w:rFonts w:ascii="Times New Roman" w:hAnsi="Times New Roman"/>
                <w:bCs w:val="0"/>
                <w:sz w:val="24"/>
                <w:lang w:eastAsia="en-US"/>
              </w:rPr>
            </w:pPr>
            <w:r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.1.1.1.16</w:t>
            </w:r>
            <w:r w:rsidR="000D194E" w:rsidRPr="00661595">
              <w:rPr>
                <w:rStyle w:val="InstructionsTabelleberschrift"/>
                <w:rFonts w:ascii="Times New Roman" w:hAnsi="Times New Roman"/>
                <w:sz w:val="24"/>
              </w:rPr>
              <w:tab/>
            </w:r>
            <w:r w:rsidRPr="00661595">
              <w:rPr>
                <w:rStyle w:val="InstructionsTabelleberschrift"/>
                <w:rFonts w:ascii="Times New Roman" w:hAnsi="Times New Roman"/>
                <w:sz w:val="24"/>
              </w:rPr>
              <w:t>Other items</w:t>
            </w:r>
          </w:p>
          <w:p w:rsidR="005643EA" w:rsidRPr="00661595" w:rsidRDefault="00D212FE" w:rsidP="00487A02">
            <w:pPr>
              <w:pStyle w:val="InstructionsText"/>
              <w:rPr>
                <w:rStyle w:val="InstructionsTabelleberschrift"/>
                <w:rFonts w:ascii="Times New Roman" w:hAnsi="Times New Roman"/>
                <w:bCs w:val="0"/>
                <w:sz w:val="24"/>
                <w:lang w:eastAsia="en-US"/>
              </w:rPr>
            </w:pPr>
            <w:r w:rsidRPr="00661595">
              <w:rPr>
                <w:rStyle w:val="FormatvorlageInstructionsTabelleText"/>
                <w:rFonts w:ascii="Times New Roman" w:hAnsi="Times New Roman"/>
                <w:sz w:val="24"/>
              </w:rPr>
              <w:t>See CR SA template</w:t>
            </w:r>
          </w:p>
        </w:tc>
      </w:tr>
      <w:tr w:rsidR="002648B0" w:rsidRPr="00661595" w:rsidTr="00672D2A">
        <w:tc>
          <w:tcPr>
            <w:tcW w:w="1591" w:type="dxa"/>
          </w:tcPr>
          <w:p w:rsidR="002648B0"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2648B0" w:rsidRPr="00661595">
              <w:rPr>
                <w:rStyle w:val="FormatvorlageInstructionsTabelleText"/>
                <w:rFonts w:ascii="Times New Roman" w:hAnsi="Times New Roman"/>
                <w:sz w:val="24"/>
              </w:rPr>
              <w:t>240</w:t>
            </w:r>
          </w:p>
        </w:tc>
        <w:tc>
          <w:tcPr>
            <w:tcW w:w="7274" w:type="dxa"/>
          </w:tcPr>
          <w:p w:rsidR="005643EA" w:rsidRPr="00661595" w:rsidRDefault="002648B0" w:rsidP="00487A02">
            <w:pPr>
              <w:pStyle w:val="InstructionsText"/>
              <w:rPr>
                <w:rStyle w:val="FormatvorlageInstructionsTabelleText"/>
                <w:rFonts w:ascii="Times New Roman" w:hAnsi="Times New Roman"/>
                <w:sz w:val="24"/>
              </w:rPr>
            </w:pPr>
            <w:r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.1.2</w:t>
            </w:r>
            <w:r w:rsidR="000D194E" w:rsidRPr="00661595">
              <w:rPr>
                <w:rStyle w:val="InstructionsTabelleberschrift"/>
                <w:rFonts w:ascii="Times New Roman" w:hAnsi="Times New Roman"/>
                <w:sz w:val="24"/>
              </w:rPr>
              <w:tab/>
            </w:r>
            <w:r w:rsidRPr="00661595">
              <w:rPr>
                <w:rStyle w:val="InstructionsTabelleberschrift"/>
                <w:rFonts w:ascii="Times New Roman" w:hAnsi="Times New Roman"/>
                <w:sz w:val="24"/>
              </w:rPr>
              <w:t xml:space="preserve">Internal ratings based Approach (IRB) </w:t>
            </w:r>
          </w:p>
        </w:tc>
      </w:tr>
      <w:tr w:rsidR="00802958" w:rsidRPr="00661595" w:rsidTr="00672D2A">
        <w:tc>
          <w:tcPr>
            <w:tcW w:w="1591" w:type="dxa"/>
          </w:tcPr>
          <w:p w:rsidR="00802958"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802958" w:rsidRPr="00661595">
              <w:rPr>
                <w:rStyle w:val="FormatvorlageInstructionsTabelleText"/>
                <w:rFonts w:ascii="Times New Roman" w:hAnsi="Times New Roman"/>
                <w:sz w:val="24"/>
              </w:rPr>
              <w:t>241</w:t>
            </w:r>
          </w:p>
        </w:tc>
        <w:tc>
          <w:tcPr>
            <w:tcW w:w="7274" w:type="dxa"/>
          </w:tcPr>
          <w:p w:rsidR="00802958" w:rsidRPr="00661595" w:rsidRDefault="00802958"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1.1.2*</w:t>
            </w:r>
            <w:r w:rsidRPr="00661595">
              <w:rPr>
                <w:rStyle w:val="InstructionsTabelleberschrift"/>
                <w:rFonts w:ascii="Times New Roman" w:hAnsi="Times New Roman"/>
                <w:sz w:val="24"/>
              </w:rPr>
              <w:tab/>
              <w:t>Of which: Additional stricter prudential requirements based on Art</w:t>
            </w:r>
            <w:r w:rsidR="00DE223B" w:rsidRPr="00661595">
              <w:rPr>
                <w:rStyle w:val="InstructionsTabelleberschrift"/>
                <w:rFonts w:ascii="Times New Roman" w:hAnsi="Times New Roman"/>
                <w:sz w:val="24"/>
              </w:rPr>
              <w:t>icle</w:t>
            </w:r>
            <w:r w:rsidRPr="00661595">
              <w:rPr>
                <w:rStyle w:val="InstructionsTabelleberschrift"/>
                <w:rFonts w:ascii="Times New Roman" w:hAnsi="Times New Roman"/>
                <w:sz w:val="24"/>
              </w:rPr>
              <w:t xml:space="preserve"> 164</w:t>
            </w:r>
            <w:r w:rsidR="00DE223B" w:rsidRPr="00661595">
              <w:rPr>
                <w:rStyle w:val="InstructionsTabelleberschrift"/>
                <w:rFonts w:ascii="Times New Roman" w:hAnsi="Times New Roman"/>
                <w:sz w:val="24"/>
              </w:rPr>
              <w:t xml:space="preserve"> CRR</w:t>
            </w:r>
          </w:p>
          <w:p w:rsidR="00802958" w:rsidRPr="00661595" w:rsidRDefault="004852B9" w:rsidP="00487A02">
            <w:pPr>
              <w:pStyle w:val="InstructionsText"/>
              <w:rPr>
                <w:rStyle w:val="InstructionsTabelleberschrift"/>
                <w:rFonts w:ascii="Times New Roman" w:hAnsi="Times New Roman"/>
                <w:sz w:val="24"/>
              </w:rPr>
            </w:pPr>
            <w:r w:rsidRPr="00661595">
              <w:t xml:space="preserve">Institutions shall report the additional risk exposure amounts needed to comply with the stricter prudential requirements as communicated to the institutions after having been notified to EBA, in accordance with </w:t>
            </w:r>
            <w:r w:rsidR="00167619" w:rsidRPr="00661595">
              <w:t xml:space="preserve">paragraphs 5 and 7 of </w:t>
            </w:r>
            <w:r w:rsidRPr="00661595">
              <w:t xml:space="preserve">Article 164 </w:t>
            </w:r>
            <w:r w:rsidR="00C7103D" w:rsidRPr="00661595">
              <w:t>CRR</w:t>
            </w:r>
            <w:r w:rsidRPr="00661595">
              <w:t>.</w:t>
            </w:r>
          </w:p>
        </w:tc>
      </w:tr>
      <w:tr w:rsidR="00802958" w:rsidRPr="00661595" w:rsidTr="00672D2A">
        <w:tc>
          <w:tcPr>
            <w:tcW w:w="1591" w:type="dxa"/>
          </w:tcPr>
          <w:p w:rsidR="00802958"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802958" w:rsidRPr="00661595">
              <w:rPr>
                <w:rStyle w:val="FormatvorlageInstructionsTabelleText"/>
                <w:rFonts w:ascii="Times New Roman" w:hAnsi="Times New Roman"/>
                <w:sz w:val="24"/>
              </w:rPr>
              <w:t>242</w:t>
            </w:r>
          </w:p>
        </w:tc>
        <w:tc>
          <w:tcPr>
            <w:tcW w:w="7274" w:type="dxa"/>
          </w:tcPr>
          <w:p w:rsidR="00802958" w:rsidRPr="00661595" w:rsidRDefault="00802958"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1.1.2**</w:t>
            </w:r>
            <w:r w:rsidRPr="00661595">
              <w:rPr>
                <w:rStyle w:val="InstructionsTabelleberschrift"/>
                <w:rFonts w:ascii="Times New Roman" w:hAnsi="Times New Roman"/>
                <w:sz w:val="24"/>
              </w:rPr>
              <w:tab/>
              <w:t>Of which: Additional stricter prudential requirements based on Art</w:t>
            </w:r>
            <w:r w:rsidR="00DE223B" w:rsidRPr="00661595">
              <w:rPr>
                <w:rStyle w:val="InstructionsTabelleberschrift"/>
                <w:rFonts w:ascii="Times New Roman" w:hAnsi="Times New Roman"/>
                <w:sz w:val="24"/>
              </w:rPr>
              <w:t>icle</w:t>
            </w:r>
            <w:r w:rsidRPr="00661595">
              <w:rPr>
                <w:rStyle w:val="InstructionsTabelleberschrift"/>
                <w:rFonts w:ascii="Times New Roman" w:hAnsi="Times New Roman"/>
                <w:sz w:val="24"/>
              </w:rPr>
              <w:t xml:space="preserve"> 124</w:t>
            </w:r>
            <w:r w:rsidR="00DE223B" w:rsidRPr="00661595">
              <w:rPr>
                <w:rStyle w:val="InstructionsTabelleberschrift"/>
                <w:rFonts w:ascii="Times New Roman" w:hAnsi="Times New Roman"/>
                <w:sz w:val="24"/>
              </w:rPr>
              <w:t xml:space="preserve"> CRR</w:t>
            </w:r>
          </w:p>
          <w:p w:rsidR="00802958" w:rsidRPr="00661595" w:rsidRDefault="004852B9" w:rsidP="00487A02">
            <w:pPr>
              <w:pStyle w:val="InstructionsText"/>
              <w:rPr>
                <w:rStyle w:val="InstructionsTabelleberschrift"/>
                <w:rFonts w:ascii="Times New Roman" w:hAnsi="Times New Roman"/>
                <w:sz w:val="24"/>
              </w:rPr>
            </w:pPr>
            <w:r w:rsidRPr="00661595">
              <w:t xml:space="preserve">Institutions shall report the additional risk exposure amounts needed to comply with the stricter prudential requirements </w:t>
            </w:r>
            <w:r w:rsidR="006A6822" w:rsidRPr="00661595">
              <w:t xml:space="preserve">set by the competent authorities </w:t>
            </w:r>
            <w:r w:rsidRPr="00661595">
              <w:t xml:space="preserve">after having consulted EBA, </w:t>
            </w:r>
            <w:r w:rsidR="006A6822" w:rsidRPr="00661595">
              <w:t>as laid down in</w:t>
            </w:r>
            <w:r w:rsidRPr="00661595">
              <w:t xml:space="preserve"> </w:t>
            </w:r>
            <w:r w:rsidR="00167619" w:rsidRPr="00661595">
              <w:t xml:space="preserve">paragraphs 2 and 5 of </w:t>
            </w:r>
            <w:r w:rsidRPr="00661595">
              <w:t xml:space="preserve">Article 124 </w:t>
            </w:r>
            <w:r w:rsidR="00C7103D" w:rsidRPr="00661595">
              <w:t>CRR</w:t>
            </w:r>
            <w:r w:rsidRPr="00661595">
              <w:t xml:space="preserve"> and </w:t>
            </w:r>
            <w:r w:rsidR="006A6822" w:rsidRPr="00661595">
              <w:t xml:space="preserve">which are </w:t>
            </w:r>
            <w:r w:rsidRPr="00661595">
              <w:t xml:space="preserve">related to limits on the eligible market value of the collateral </w:t>
            </w:r>
            <w:r w:rsidR="006A6822" w:rsidRPr="00661595">
              <w:t>as laid down in</w:t>
            </w:r>
            <w:r w:rsidRPr="00661595">
              <w:t xml:space="preserve"> </w:t>
            </w:r>
            <w:r w:rsidR="002B004B" w:rsidRPr="00661595">
              <w:t xml:space="preserve">point (d) of </w:t>
            </w:r>
            <w:r w:rsidRPr="00661595">
              <w:t xml:space="preserve">Article 125(2) and </w:t>
            </w:r>
            <w:r w:rsidR="002B004B" w:rsidRPr="00661595">
              <w:t xml:space="preserve">point (d) of </w:t>
            </w:r>
            <w:r w:rsidRPr="00661595">
              <w:t xml:space="preserve">Article 126(2) </w:t>
            </w:r>
            <w:r w:rsidR="00C7103D" w:rsidRPr="00661595">
              <w:t>CRR</w:t>
            </w:r>
            <w:r w:rsidRPr="00661595">
              <w:t>.</w:t>
            </w:r>
          </w:p>
        </w:tc>
      </w:tr>
      <w:tr w:rsidR="00802958" w:rsidRPr="00661595" w:rsidTr="00672D2A">
        <w:tc>
          <w:tcPr>
            <w:tcW w:w="1591" w:type="dxa"/>
          </w:tcPr>
          <w:p w:rsidR="00802958"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802958" w:rsidRPr="00661595">
              <w:rPr>
                <w:rStyle w:val="FormatvorlageInstructionsTabelleText"/>
                <w:rFonts w:ascii="Times New Roman" w:hAnsi="Times New Roman"/>
                <w:sz w:val="24"/>
              </w:rPr>
              <w:t>250</w:t>
            </w:r>
          </w:p>
        </w:tc>
        <w:tc>
          <w:tcPr>
            <w:tcW w:w="7274" w:type="dxa"/>
          </w:tcPr>
          <w:p w:rsidR="00802958" w:rsidRPr="00661595" w:rsidRDefault="00802958"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1.1.2.1</w:t>
            </w:r>
            <w:r w:rsidRPr="00661595">
              <w:rPr>
                <w:rStyle w:val="InstructionsTabelleberschrift"/>
                <w:rFonts w:ascii="Times New Roman" w:hAnsi="Times New Roman"/>
                <w:sz w:val="24"/>
              </w:rPr>
              <w:tab/>
            </w:r>
            <w:r w:rsidR="008241B9" w:rsidRPr="00661595">
              <w:rPr>
                <w:rStyle w:val="InstructionsTabelleberschrift"/>
                <w:rFonts w:ascii="Times New Roman" w:hAnsi="Times New Roman"/>
                <w:sz w:val="24"/>
              </w:rPr>
              <w:t>IRB Approach</w:t>
            </w:r>
            <w:r w:rsidRPr="00661595">
              <w:rPr>
                <w:rStyle w:val="InstructionsTabelleberschrift"/>
                <w:rFonts w:ascii="Times New Roman" w:hAnsi="Times New Roman"/>
                <w:sz w:val="24"/>
              </w:rPr>
              <w:t>es when neither own estimates of LGD nor Conversion Factors are used</w:t>
            </w:r>
          </w:p>
          <w:p w:rsidR="00802958" w:rsidRPr="00661595" w:rsidRDefault="00802958" w:rsidP="006A6822">
            <w:pPr>
              <w:rPr>
                <w:rStyle w:val="FormatvorlageInstructionsTabelleText"/>
                <w:rFonts w:ascii="Times New Roman" w:hAnsi="Times New Roman"/>
                <w:sz w:val="24"/>
              </w:rPr>
            </w:pPr>
            <w:r w:rsidRPr="00661595">
              <w:rPr>
                <w:rStyle w:val="FormatvorlageInstructionsTabelleText"/>
                <w:rFonts w:ascii="Times New Roman" w:hAnsi="Times New Roman"/>
                <w:sz w:val="24"/>
              </w:rPr>
              <w:t>CR IRB template at the level of total exposures (when own estimates of LGD or CCF are not used)</w:t>
            </w:r>
          </w:p>
        </w:tc>
      </w:tr>
      <w:tr w:rsidR="00802958" w:rsidRPr="00661595" w:rsidTr="00672D2A">
        <w:tc>
          <w:tcPr>
            <w:tcW w:w="1591" w:type="dxa"/>
          </w:tcPr>
          <w:p w:rsidR="00802958"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802958" w:rsidRPr="00661595">
              <w:rPr>
                <w:rStyle w:val="FormatvorlageInstructionsTabelleText"/>
                <w:rFonts w:ascii="Times New Roman" w:hAnsi="Times New Roman"/>
                <w:sz w:val="24"/>
              </w:rPr>
              <w:t>260</w:t>
            </w:r>
          </w:p>
        </w:tc>
        <w:tc>
          <w:tcPr>
            <w:tcW w:w="7274" w:type="dxa"/>
          </w:tcPr>
          <w:p w:rsidR="00802958" w:rsidRPr="00661595" w:rsidRDefault="00802958"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1.1.2.1.01</w:t>
            </w:r>
            <w:r w:rsidRPr="00661595">
              <w:rPr>
                <w:rStyle w:val="InstructionsTabelleberschrift"/>
                <w:rFonts w:ascii="Times New Roman" w:hAnsi="Times New Roman"/>
                <w:sz w:val="24"/>
              </w:rPr>
              <w:tab/>
              <w:t>Central governments and central banks</w:t>
            </w:r>
          </w:p>
          <w:p w:rsidR="00802958" w:rsidRPr="00661595" w:rsidRDefault="00802958" w:rsidP="00802958">
            <w:pPr>
              <w:rPr>
                <w:rStyle w:val="FormatvorlageInstructionsTabelleText"/>
                <w:rFonts w:ascii="Times New Roman" w:hAnsi="Times New Roman"/>
                <w:sz w:val="24"/>
              </w:rPr>
            </w:pPr>
            <w:r w:rsidRPr="00661595">
              <w:rPr>
                <w:rStyle w:val="FormatvorlageInstructionsTabelleText"/>
                <w:rFonts w:ascii="Times New Roman" w:hAnsi="Times New Roman"/>
                <w:sz w:val="24"/>
              </w:rPr>
              <w:t>See CR IRB template</w:t>
            </w:r>
          </w:p>
        </w:tc>
      </w:tr>
      <w:tr w:rsidR="00802958" w:rsidRPr="00661595" w:rsidTr="00672D2A">
        <w:tc>
          <w:tcPr>
            <w:tcW w:w="1591" w:type="dxa"/>
          </w:tcPr>
          <w:p w:rsidR="00802958"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802958" w:rsidRPr="00661595">
              <w:rPr>
                <w:rStyle w:val="FormatvorlageInstructionsTabelleText"/>
                <w:rFonts w:ascii="Times New Roman" w:hAnsi="Times New Roman"/>
                <w:sz w:val="24"/>
              </w:rPr>
              <w:t>270</w:t>
            </w:r>
          </w:p>
        </w:tc>
        <w:tc>
          <w:tcPr>
            <w:tcW w:w="7274" w:type="dxa"/>
          </w:tcPr>
          <w:p w:rsidR="00802958" w:rsidRPr="00661595" w:rsidRDefault="00802958" w:rsidP="00487A02">
            <w:pPr>
              <w:pStyle w:val="InstructionsText"/>
              <w:rPr>
                <w:rStyle w:val="InstructionsTabelleberschrift"/>
                <w:rFonts w:ascii="Times New Roman" w:hAnsi="Times New Roman"/>
                <w:bCs w:val="0"/>
                <w:sz w:val="24"/>
                <w:lang w:eastAsia="en-US"/>
              </w:rPr>
            </w:pPr>
            <w:r w:rsidRPr="00661595">
              <w:rPr>
                <w:rStyle w:val="InstructionsTabelleberschrift"/>
                <w:rFonts w:ascii="Times New Roman" w:hAnsi="Times New Roman"/>
                <w:sz w:val="24"/>
              </w:rPr>
              <w:t>1.1.2.1.02</w:t>
            </w:r>
            <w:r w:rsidRPr="00661595">
              <w:rPr>
                <w:rStyle w:val="InstructionsTabelleberschrift"/>
                <w:rFonts w:ascii="Times New Roman" w:hAnsi="Times New Roman"/>
                <w:sz w:val="24"/>
              </w:rPr>
              <w:tab/>
              <w:t>Institutions</w:t>
            </w:r>
          </w:p>
          <w:p w:rsidR="00802958" w:rsidRPr="00661595" w:rsidRDefault="00802958" w:rsidP="00802958">
            <w:pPr>
              <w:rPr>
                <w:rStyle w:val="FormatvorlageInstructionsTabelleText"/>
                <w:rFonts w:ascii="Times New Roman" w:hAnsi="Times New Roman"/>
                <w:sz w:val="24"/>
              </w:rPr>
            </w:pPr>
            <w:r w:rsidRPr="00661595">
              <w:rPr>
                <w:rStyle w:val="FormatvorlageInstructionsTabelleText"/>
                <w:rFonts w:ascii="Times New Roman" w:hAnsi="Times New Roman"/>
                <w:sz w:val="24"/>
              </w:rPr>
              <w:t>See CR IRB template</w:t>
            </w:r>
          </w:p>
        </w:tc>
      </w:tr>
      <w:tr w:rsidR="00802958" w:rsidRPr="00661595" w:rsidTr="00672D2A">
        <w:tc>
          <w:tcPr>
            <w:tcW w:w="1591" w:type="dxa"/>
          </w:tcPr>
          <w:p w:rsidR="00802958"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802958" w:rsidRPr="00661595">
              <w:rPr>
                <w:rStyle w:val="FormatvorlageInstructionsTabelleText"/>
                <w:rFonts w:ascii="Times New Roman" w:hAnsi="Times New Roman"/>
                <w:sz w:val="24"/>
              </w:rPr>
              <w:t>280</w:t>
            </w:r>
          </w:p>
        </w:tc>
        <w:tc>
          <w:tcPr>
            <w:tcW w:w="7274" w:type="dxa"/>
          </w:tcPr>
          <w:p w:rsidR="00802958" w:rsidRPr="00661595" w:rsidRDefault="00802958" w:rsidP="00487A02">
            <w:pPr>
              <w:pStyle w:val="InstructionsText"/>
              <w:rPr>
                <w:rStyle w:val="InstructionsTabelleberschrift"/>
                <w:rFonts w:ascii="Times New Roman" w:hAnsi="Times New Roman"/>
                <w:bCs w:val="0"/>
                <w:sz w:val="24"/>
                <w:lang w:eastAsia="en-US"/>
              </w:rPr>
            </w:pPr>
            <w:r w:rsidRPr="00661595">
              <w:rPr>
                <w:rStyle w:val="InstructionsTabelleberschrift"/>
                <w:rFonts w:ascii="Times New Roman" w:hAnsi="Times New Roman"/>
                <w:sz w:val="24"/>
              </w:rPr>
              <w:t>1.1.2.1.03</w:t>
            </w:r>
            <w:r w:rsidRPr="00661595">
              <w:rPr>
                <w:rStyle w:val="InstructionsTabelleberschrift"/>
                <w:rFonts w:ascii="Times New Roman" w:hAnsi="Times New Roman"/>
                <w:sz w:val="24"/>
              </w:rPr>
              <w:tab/>
              <w:t>Corporates - SME</w:t>
            </w:r>
          </w:p>
          <w:p w:rsidR="00802958" w:rsidRPr="00661595" w:rsidRDefault="00802958" w:rsidP="00802958">
            <w:pPr>
              <w:rPr>
                <w:rStyle w:val="FormatvorlageInstructionsTabelleText"/>
                <w:rFonts w:ascii="Times New Roman" w:hAnsi="Times New Roman"/>
                <w:sz w:val="24"/>
              </w:rPr>
            </w:pPr>
            <w:r w:rsidRPr="00661595">
              <w:rPr>
                <w:rStyle w:val="FormatvorlageInstructionsTabelleText"/>
                <w:rFonts w:ascii="Times New Roman" w:hAnsi="Times New Roman"/>
                <w:sz w:val="24"/>
              </w:rPr>
              <w:t>See CR IRB template</w:t>
            </w:r>
          </w:p>
        </w:tc>
      </w:tr>
      <w:tr w:rsidR="00802958" w:rsidRPr="00661595" w:rsidTr="00672D2A">
        <w:tc>
          <w:tcPr>
            <w:tcW w:w="1591" w:type="dxa"/>
          </w:tcPr>
          <w:p w:rsidR="00802958"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802958" w:rsidRPr="00661595">
              <w:rPr>
                <w:rStyle w:val="FormatvorlageInstructionsTabelleText"/>
                <w:rFonts w:ascii="Times New Roman" w:hAnsi="Times New Roman"/>
                <w:sz w:val="24"/>
              </w:rPr>
              <w:t>290</w:t>
            </w:r>
          </w:p>
        </w:tc>
        <w:tc>
          <w:tcPr>
            <w:tcW w:w="7274" w:type="dxa"/>
          </w:tcPr>
          <w:p w:rsidR="00802958" w:rsidRPr="00661595" w:rsidRDefault="00802958" w:rsidP="00487A02">
            <w:pPr>
              <w:pStyle w:val="InstructionsText"/>
              <w:rPr>
                <w:rStyle w:val="InstructionsTabelleberschrift"/>
                <w:rFonts w:ascii="Times New Roman" w:hAnsi="Times New Roman"/>
                <w:bCs w:val="0"/>
                <w:sz w:val="24"/>
                <w:lang w:eastAsia="en-US"/>
              </w:rPr>
            </w:pPr>
            <w:r w:rsidRPr="00661595">
              <w:rPr>
                <w:rStyle w:val="InstructionsTabelleberschrift"/>
                <w:rFonts w:ascii="Times New Roman" w:hAnsi="Times New Roman"/>
                <w:sz w:val="24"/>
              </w:rPr>
              <w:t>1.1.2.1.04</w:t>
            </w:r>
            <w:r w:rsidRPr="00661595">
              <w:rPr>
                <w:rStyle w:val="InstructionsTabelleberschrift"/>
                <w:rFonts w:ascii="Times New Roman" w:hAnsi="Times New Roman"/>
                <w:sz w:val="24"/>
              </w:rPr>
              <w:tab/>
              <w:t>Corporates – Specialised Lending</w:t>
            </w:r>
          </w:p>
          <w:p w:rsidR="00802958" w:rsidRPr="00661595" w:rsidRDefault="00802958" w:rsidP="00802958">
            <w:pPr>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See CR IRB template </w:t>
            </w:r>
          </w:p>
        </w:tc>
      </w:tr>
      <w:tr w:rsidR="00802958" w:rsidRPr="00661595" w:rsidTr="00672D2A">
        <w:tc>
          <w:tcPr>
            <w:tcW w:w="1591" w:type="dxa"/>
          </w:tcPr>
          <w:p w:rsidR="00802958"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802958" w:rsidRPr="00661595">
              <w:rPr>
                <w:rStyle w:val="FormatvorlageInstructionsTabelleText"/>
                <w:rFonts w:ascii="Times New Roman" w:hAnsi="Times New Roman"/>
                <w:sz w:val="24"/>
              </w:rPr>
              <w:t>300</w:t>
            </w:r>
          </w:p>
        </w:tc>
        <w:tc>
          <w:tcPr>
            <w:tcW w:w="7274" w:type="dxa"/>
          </w:tcPr>
          <w:p w:rsidR="00802958" w:rsidRPr="00661595" w:rsidRDefault="00802958" w:rsidP="00487A02">
            <w:pPr>
              <w:pStyle w:val="InstructionsText"/>
              <w:rPr>
                <w:rStyle w:val="InstructionsTabelleberschrift"/>
                <w:rFonts w:ascii="Times New Roman" w:hAnsi="Times New Roman"/>
                <w:bCs w:val="0"/>
                <w:sz w:val="24"/>
                <w:lang w:eastAsia="en-US"/>
              </w:rPr>
            </w:pPr>
            <w:r w:rsidRPr="00661595">
              <w:rPr>
                <w:rStyle w:val="InstructionsTabelleberschrift"/>
                <w:rFonts w:ascii="Times New Roman" w:hAnsi="Times New Roman"/>
                <w:sz w:val="24"/>
              </w:rPr>
              <w:t>1.1.2.1.05</w:t>
            </w:r>
            <w:r w:rsidRPr="00661595">
              <w:rPr>
                <w:rStyle w:val="InstructionsTabelleberschrift"/>
                <w:rFonts w:ascii="Times New Roman" w:hAnsi="Times New Roman"/>
                <w:sz w:val="24"/>
              </w:rPr>
              <w:tab/>
              <w:t>Corporates – Other</w:t>
            </w:r>
          </w:p>
          <w:p w:rsidR="00802958" w:rsidRPr="00661595" w:rsidRDefault="00802958" w:rsidP="00802958">
            <w:pPr>
              <w:rPr>
                <w:rStyle w:val="FormatvorlageInstructionsTabelleText"/>
                <w:rFonts w:ascii="Times New Roman" w:hAnsi="Times New Roman"/>
                <w:sz w:val="24"/>
              </w:rPr>
            </w:pPr>
            <w:r w:rsidRPr="00661595">
              <w:rPr>
                <w:rStyle w:val="FormatvorlageInstructionsTabelleText"/>
                <w:rFonts w:ascii="Times New Roman" w:hAnsi="Times New Roman"/>
                <w:sz w:val="24"/>
              </w:rPr>
              <w:t>See CR IRB template</w:t>
            </w:r>
          </w:p>
        </w:tc>
      </w:tr>
      <w:tr w:rsidR="00802958" w:rsidRPr="00661595" w:rsidTr="00672D2A">
        <w:tc>
          <w:tcPr>
            <w:tcW w:w="1591" w:type="dxa"/>
          </w:tcPr>
          <w:p w:rsidR="00802958"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802958" w:rsidRPr="00661595">
              <w:rPr>
                <w:rStyle w:val="FormatvorlageInstructionsTabelleText"/>
                <w:rFonts w:ascii="Times New Roman" w:hAnsi="Times New Roman"/>
                <w:sz w:val="24"/>
              </w:rPr>
              <w:t>310</w:t>
            </w:r>
          </w:p>
        </w:tc>
        <w:tc>
          <w:tcPr>
            <w:tcW w:w="7274" w:type="dxa"/>
          </w:tcPr>
          <w:p w:rsidR="00802958" w:rsidRPr="00661595" w:rsidRDefault="00802958" w:rsidP="00487A02">
            <w:pPr>
              <w:pStyle w:val="InstructionsText"/>
              <w:rPr>
                <w:rStyle w:val="InstructionsTabelleberschrift"/>
                <w:rFonts w:ascii="Times New Roman" w:hAnsi="Times New Roman"/>
                <w:bCs w:val="0"/>
                <w:sz w:val="24"/>
                <w:lang w:eastAsia="en-US"/>
              </w:rPr>
            </w:pPr>
            <w:r w:rsidRPr="00661595">
              <w:rPr>
                <w:rStyle w:val="InstructionsTabelleberschrift"/>
                <w:rFonts w:ascii="Times New Roman" w:hAnsi="Times New Roman"/>
                <w:sz w:val="24"/>
              </w:rPr>
              <w:t>1.1.2.2</w:t>
            </w:r>
            <w:r w:rsidRPr="00661595">
              <w:rPr>
                <w:rStyle w:val="InstructionsTabelleberschrift"/>
                <w:rFonts w:ascii="Times New Roman" w:hAnsi="Times New Roman"/>
                <w:sz w:val="24"/>
              </w:rPr>
              <w:tab/>
            </w:r>
            <w:r w:rsidR="008241B9" w:rsidRPr="00661595">
              <w:rPr>
                <w:rStyle w:val="InstructionsTabelleberschrift"/>
                <w:rFonts w:ascii="Times New Roman" w:hAnsi="Times New Roman"/>
                <w:sz w:val="24"/>
              </w:rPr>
              <w:t>IRB Approach</w:t>
            </w:r>
            <w:r w:rsidRPr="00661595">
              <w:rPr>
                <w:rStyle w:val="InstructionsTabelleberschrift"/>
                <w:rFonts w:ascii="Times New Roman" w:hAnsi="Times New Roman"/>
                <w:sz w:val="24"/>
              </w:rPr>
              <w:t>es when own estimates of LGD and/or Conversion Factor are used</w:t>
            </w:r>
          </w:p>
          <w:p w:rsidR="00802958" w:rsidRPr="00661595" w:rsidRDefault="00802958" w:rsidP="00802958">
            <w:pPr>
              <w:rPr>
                <w:rStyle w:val="FormatvorlageInstructionsTabelleText"/>
                <w:rFonts w:ascii="Times New Roman" w:hAnsi="Times New Roman"/>
                <w:sz w:val="24"/>
              </w:rPr>
            </w:pPr>
            <w:r w:rsidRPr="00661595">
              <w:rPr>
                <w:rStyle w:val="FormatvorlageInstructionsTabelleText"/>
                <w:rFonts w:ascii="Times New Roman" w:hAnsi="Times New Roman"/>
                <w:sz w:val="24"/>
              </w:rPr>
              <w:t>CR IRB template at the level of total exposures (when own estimates of LGD and/or CCF are used)</w:t>
            </w:r>
          </w:p>
        </w:tc>
      </w:tr>
      <w:tr w:rsidR="00802958" w:rsidRPr="00661595" w:rsidTr="00672D2A">
        <w:tc>
          <w:tcPr>
            <w:tcW w:w="1591" w:type="dxa"/>
          </w:tcPr>
          <w:p w:rsidR="00802958"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802958" w:rsidRPr="00661595">
              <w:rPr>
                <w:rStyle w:val="FormatvorlageInstructionsTabelleText"/>
                <w:rFonts w:ascii="Times New Roman" w:hAnsi="Times New Roman"/>
                <w:sz w:val="24"/>
              </w:rPr>
              <w:t>320</w:t>
            </w:r>
          </w:p>
        </w:tc>
        <w:tc>
          <w:tcPr>
            <w:tcW w:w="7274" w:type="dxa"/>
          </w:tcPr>
          <w:p w:rsidR="00802958" w:rsidRPr="00661595" w:rsidRDefault="00802958"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1.1.2.2.01</w:t>
            </w:r>
            <w:r w:rsidRPr="00661595">
              <w:rPr>
                <w:rStyle w:val="InstructionsTabelleberschrift"/>
                <w:rFonts w:ascii="Times New Roman" w:hAnsi="Times New Roman"/>
                <w:sz w:val="24"/>
              </w:rPr>
              <w:tab/>
              <w:t>Central governments and central banks</w:t>
            </w:r>
          </w:p>
          <w:p w:rsidR="00802958" w:rsidRPr="00661595" w:rsidRDefault="00802958" w:rsidP="00802958">
            <w:pPr>
              <w:rPr>
                <w:rStyle w:val="FormatvorlageInstructionsTabelleText"/>
                <w:rFonts w:ascii="Times New Roman" w:hAnsi="Times New Roman"/>
                <w:sz w:val="24"/>
              </w:rPr>
            </w:pPr>
            <w:r w:rsidRPr="00661595">
              <w:rPr>
                <w:rStyle w:val="FormatvorlageInstructionsTabelleText"/>
                <w:rFonts w:ascii="Times New Roman" w:hAnsi="Times New Roman"/>
                <w:sz w:val="24"/>
              </w:rPr>
              <w:t>See CR IRB template</w:t>
            </w:r>
          </w:p>
        </w:tc>
      </w:tr>
      <w:tr w:rsidR="00802958" w:rsidRPr="00661595" w:rsidTr="00672D2A">
        <w:tc>
          <w:tcPr>
            <w:tcW w:w="1591" w:type="dxa"/>
          </w:tcPr>
          <w:p w:rsidR="00802958"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802958" w:rsidRPr="00661595">
              <w:rPr>
                <w:rStyle w:val="FormatvorlageInstructionsTabelleText"/>
                <w:rFonts w:ascii="Times New Roman" w:hAnsi="Times New Roman"/>
                <w:sz w:val="24"/>
              </w:rPr>
              <w:t>330</w:t>
            </w:r>
          </w:p>
        </w:tc>
        <w:tc>
          <w:tcPr>
            <w:tcW w:w="7274" w:type="dxa"/>
          </w:tcPr>
          <w:p w:rsidR="00802958" w:rsidRPr="00661595" w:rsidRDefault="00802958" w:rsidP="00487A02">
            <w:pPr>
              <w:pStyle w:val="InstructionsText"/>
              <w:rPr>
                <w:rStyle w:val="InstructionsTabelleberschrift"/>
                <w:rFonts w:ascii="Times New Roman" w:hAnsi="Times New Roman"/>
                <w:bCs w:val="0"/>
                <w:sz w:val="24"/>
                <w:lang w:eastAsia="en-US"/>
              </w:rPr>
            </w:pPr>
            <w:r w:rsidRPr="00661595">
              <w:rPr>
                <w:rStyle w:val="InstructionsTabelleberschrift"/>
                <w:rFonts w:ascii="Times New Roman" w:hAnsi="Times New Roman"/>
                <w:sz w:val="24"/>
              </w:rPr>
              <w:t>1.1.2.2.02</w:t>
            </w:r>
            <w:r w:rsidRPr="00661595">
              <w:rPr>
                <w:rStyle w:val="InstructionsTabelleberschrift"/>
                <w:rFonts w:ascii="Times New Roman" w:hAnsi="Times New Roman"/>
                <w:sz w:val="24"/>
              </w:rPr>
              <w:tab/>
              <w:t>Institutions</w:t>
            </w:r>
          </w:p>
          <w:p w:rsidR="00802958" w:rsidRPr="00661595" w:rsidRDefault="00802958" w:rsidP="00802958">
            <w:pPr>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See CR IRB template </w:t>
            </w:r>
          </w:p>
        </w:tc>
      </w:tr>
      <w:tr w:rsidR="00802958" w:rsidRPr="00661595" w:rsidTr="00672D2A">
        <w:tc>
          <w:tcPr>
            <w:tcW w:w="1591" w:type="dxa"/>
          </w:tcPr>
          <w:p w:rsidR="00802958"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802958" w:rsidRPr="00661595">
              <w:rPr>
                <w:rStyle w:val="FormatvorlageInstructionsTabelleText"/>
                <w:rFonts w:ascii="Times New Roman" w:hAnsi="Times New Roman"/>
                <w:sz w:val="24"/>
              </w:rPr>
              <w:t>340</w:t>
            </w:r>
          </w:p>
        </w:tc>
        <w:tc>
          <w:tcPr>
            <w:tcW w:w="7274" w:type="dxa"/>
          </w:tcPr>
          <w:p w:rsidR="00802958" w:rsidRPr="00661595" w:rsidRDefault="00802958" w:rsidP="00487A02">
            <w:pPr>
              <w:pStyle w:val="InstructionsText"/>
              <w:rPr>
                <w:rStyle w:val="InstructionsTabelleberschrift"/>
                <w:rFonts w:ascii="Times New Roman" w:hAnsi="Times New Roman"/>
                <w:bCs w:val="0"/>
                <w:sz w:val="24"/>
                <w:lang w:eastAsia="en-US"/>
              </w:rPr>
            </w:pPr>
            <w:r w:rsidRPr="00661595">
              <w:rPr>
                <w:rStyle w:val="InstructionsTabelleberschrift"/>
                <w:rFonts w:ascii="Times New Roman" w:hAnsi="Times New Roman"/>
                <w:sz w:val="24"/>
              </w:rPr>
              <w:t>1.1.2.2.03</w:t>
            </w:r>
            <w:r w:rsidRPr="00661595">
              <w:rPr>
                <w:rStyle w:val="InstructionsTabelleberschrift"/>
                <w:rFonts w:ascii="Times New Roman" w:hAnsi="Times New Roman"/>
                <w:sz w:val="24"/>
              </w:rPr>
              <w:tab/>
              <w:t>Corporates - SME</w:t>
            </w:r>
          </w:p>
          <w:p w:rsidR="00802958" w:rsidRPr="00661595" w:rsidRDefault="00802958" w:rsidP="00802958">
            <w:pPr>
              <w:rPr>
                <w:rStyle w:val="FormatvorlageInstructionsTabelleText"/>
                <w:rFonts w:ascii="Times New Roman" w:hAnsi="Times New Roman"/>
                <w:sz w:val="24"/>
              </w:rPr>
            </w:pPr>
            <w:r w:rsidRPr="00661595">
              <w:rPr>
                <w:rStyle w:val="FormatvorlageInstructionsTabelleText"/>
                <w:rFonts w:ascii="Times New Roman" w:hAnsi="Times New Roman"/>
                <w:sz w:val="24"/>
              </w:rPr>
              <w:t>See CR IRB template</w:t>
            </w:r>
          </w:p>
        </w:tc>
      </w:tr>
      <w:tr w:rsidR="00802958" w:rsidRPr="00661595" w:rsidTr="00672D2A">
        <w:tc>
          <w:tcPr>
            <w:tcW w:w="1591" w:type="dxa"/>
          </w:tcPr>
          <w:p w:rsidR="00802958"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802958" w:rsidRPr="00661595">
              <w:rPr>
                <w:rStyle w:val="FormatvorlageInstructionsTabelleText"/>
                <w:rFonts w:ascii="Times New Roman" w:hAnsi="Times New Roman"/>
                <w:sz w:val="24"/>
              </w:rPr>
              <w:t>350</w:t>
            </w:r>
          </w:p>
        </w:tc>
        <w:tc>
          <w:tcPr>
            <w:tcW w:w="7274" w:type="dxa"/>
          </w:tcPr>
          <w:p w:rsidR="00802958" w:rsidRPr="00661595" w:rsidRDefault="00802958" w:rsidP="00487A02">
            <w:pPr>
              <w:pStyle w:val="InstructionsText"/>
              <w:rPr>
                <w:rStyle w:val="InstructionsTabelleberschrift"/>
                <w:rFonts w:ascii="Times New Roman" w:hAnsi="Times New Roman"/>
                <w:bCs w:val="0"/>
                <w:sz w:val="24"/>
                <w:lang w:eastAsia="en-US"/>
              </w:rPr>
            </w:pPr>
            <w:r w:rsidRPr="00661595">
              <w:rPr>
                <w:rStyle w:val="InstructionsTabelleberschrift"/>
                <w:rFonts w:ascii="Times New Roman" w:hAnsi="Times New Roman"/>
                <w:sz w:val="24"/>
              </w:rPr>
              <w:t>1.1.2.2.04</w:t>
            </w:r>
            <w:r w:rsidRPr="00661595">
              <w:rPr>
                <w:rStyle w:val="InstructionsTabelleberschrift"/>
                <w:rFonts w:ascii="Times New Roman" w:hAnsi="Times New Roman"/>
                <w:sz w:val="24"/>
              </w:rPr>
              <w:tab/>
              <w:t>Corporates – Specialised Lending</w:t>
            </w:r>
          </w:p>
          <w:p w:rsidR="00802958" w:rsidRPr="00661595" w:rsidRDefault="00802958" w:rsidP="00802958">
            <w:pPr>
              <w:rPr>
                <w:rStyle w:val="FormatvorlageInstructionsTabelleText"/>
                <w:rFonts w:ascii="Times New Roman" w:hAnsi="Times New Roman"/>
                <w:sz w:val="24"/>
              </w:rPr>
            </w:pPr>
            <w:r w:rsidRPr="00661595">
              <w:rPr>
                <w:rStyle w:val="FormatvorlageInstructionsTabelleText"/>
                <w:rFonts w:ascii="Times New Roman" w:hAnsi="Times New Roman"/>
                <w:sz w:val="24"/>
              </w:rPr>
              <w:t>See CR IRB template</w:t>
            </w:r>
          </w:p>
        </w:tc>
      </w:tr>
      <w:tr w:rsidR="00802958" w:rsidRPr="00661595" w:rsidTr="00672D2A">
        <w:tc>
          <w:tcPr>
            <w:tcW w:w="1591" w:type="dxa"/>
          </w:tcPr>
          <w:p w:rsidR="00802958"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802958" w:rsidRPr="00661595">
              <w:rPr>
                <w:rStyle w:val="FormatvorlageInstructionsTabelleText"/>
                <w:rFonts w:ascii="Times New Roman" w:hAnsi="Times New Roman"/>
                <w:sz w:val="24"/>
              </w:rPr>
              <w:t>360</w:t>
            </w:r>
          </w:p>
        </w:tc>
        <w:tc>
          <w:tcPr>
            <w:tcW w:w="7274" w:type="dxa"/>
          </w:tcPr>
          <w:p w:rsidR="00802958" w:rsidRPr="00661595" w:rsidRDefault="00802958" w:rsidP="00487A02">
            <w:pPr>
              <w:pStyle w:val="InstructionsText"/>
              <w:rPr>
                <w:rStyle w:val="InstructionsTabelleberschrift"/>
                <w:rFonts w:ascii="Times New Roman" w:hAnsi="Times New Roman"/>
                <w:bCs w:val="0"/>
                <w:sz w:val="24"/>
                <w:lang w:eastAsia="en-US"/>
              </w:rPr>
            </w:pPr>
            <w:r w:rsidRPr="00661595">
              <w:rPr>
                <w:rStyle w:val="InstructionsTabelleberschrift"/>
                <w:rFonts w:ascii="Times New Roman" w:hAnsi="Times New Roman"/>
                <w:sz w:val="24"/>
              </w:rPr>
              <w:t>1.1.2.2.05</w:t>
            </w:r>
            <w:r w:rsidRPr="00661595">
              <w:rPr>
                <w:rStyle w:val="InstructionsTabelleberschrift"/>
                <w:rFonts w:ascii="Times New Roman" w:hAnsi="Times New Roman"/>
                <w:sz w:val="24"/>
              </w:rPr>
              <w:tab/>
              <w:t>Corporates – Other</w:t>
            </w:r>
          </w:p>
          <w:p w:rsidR="00802958" w:rsidRPr="00661595" w:rsidRDefault="00802958" w:rsidP="00802958">
            <w:pPr>
              <w:rPr>
                <w:rStyle w:val="FormatvorlageInstructionsTabelleText"/>
                <w:rFonts w:ascii="Times New Roman" w:hAnsi="Times New Roman"/>
                <w:sz w:val="24"/>
              </w:rPr>
            </w:pPr>
            <w:r w:rsidRPr="00661595">
              <w:rPr>
                <w:rStyle w:val="FormatvorlageInstructionsTabelleText"/>
                <w:rFonts w:ascii="Times New Roman" w:hAnsi="Times New Roman"/>
                <w:sz w:val="24"/>
              </w:rPr>
              <w:t>See CR IRB template</w:t>
            </w:r>
          </w:p>
        </w:tc>
      </w:tr>
      <w:tr w:rsidR="00802958" w:rsidRPr="00661595" w:rsidTr="00672D2A">
        <w:tc>
          <w:tcPr>
            <w:tcW w:w="1591" w:type="dxa"/>
          </w:tcPr>
          <w:p w:rsidR="00802958"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802958" w:rsidRPr="00661595">
              <w:rPr>
                <w:rStyle w:val="FormatvorlageInstructionsTabelleText"/>
                <w:rFonts w:ascii="Times New Roman" w:hAnsi="Times New Roman"/>
                <w:sz w:val="24"/>
              </w:rPr>
              <w:t>370</w:t>
            </w:r>
          </w:p>
        </w:tc>
        <w:tc>
          <w:tcPr>
            <w:tcW w:w="7274" w:type="dxa"/>
          </w:tcPr>
          <w:p w:rsidR="00802958" w:rsidRPr="00661595" w:rsidRDefault="00802958" w:rsidP="00487A02">
            <w:pPr>
              <w:pStyle w:val="InstructionsText"/>
              <w:rPr>
                <w:rStyle w:val="InstructionsTabelleberschrift"/>
                <w:rFonts w:ascii="Times New Roman" w:hAnsi="Times New Roman"/>
                <w:bCs w:val="0"/>
                <w:sz w:val="24"/>
                <w:lang w:eastAsia="en-US"/>
              </w:rPr>
            </w:pPr>
            <w:r w:rsidRPr="00661595">
              <w:rPr>
                <w:rStyle w:val="InstructionsTabelleberschrift"/>
                <w:rFonts w:ascii="Times New Roman" w:hAnsi="Times New Roman"/>
                <w:sz w:val="24"/>
              </w:rPr>
              <w:t>1.1.2.2.06</w:t>
            </w:r>
            <w:r w:rsidRPr="00661595">
              <w:rPr>
                <w:rStyle w:val="InstructionsTabelleberschrift"/>
                <w:rFonts w:ascii="Times New Roman" w:hAnsi="Times New Roman"/>
                <w:sz w:val="24"/>
              </w:rPr>
              <w:tab/>
              <w:t>Retail – secure by real estate SME</w:t>
            </w:r>
          </w:p>
          <w:p w:rsidR="00802958" w:rsidRPr="00661595" w:rsidRDefault="00802958" w:rsidP="00802958">
            <w:pPr>
              <w:rPr>
                <w:rStyle w:val="FormatvorlageInstructionsTabelleText"/>
                <w:rFonts w:ascii="Times New Roman" w:hAnsi="Times New Roman"/>
                <w:sz w:val="24"/>
              </w:rPr>
            </w:pPr>
            <w:r w:rsidRPr="00661595">
              <w:rPr>
                <w:rStyle w:val="FormatvorlageInstructionsTabelleText"/>
                <w:rFonts w:ascii="Times New Roman" w:hAnsi="Times New Roman"/>
                <w:sz w:val="24"/>
              </w:rPr>
              <w:t>See CR IRB template</w:t>
            </w:r>
          </w:p>
        </w:tc>
      </w:tr>
      <w:tr w:rsidR="00802958" w:rsidRPr="00661595" w:rsidTr="00672D2A">
        <w:tc>
          <w:tcPr>
            <w:tcW w:w="1591" w:type="dxa"/>
          </w:tcPr>
          <w:p w:rsidR="00802958"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802958" w:rsidRPr="00661595">
              <w:rPr>
                <w:rStyle w:val="FormatvorlageInstructionsTabelleText"/>
                <w:rFonts w:ascii="Times New Roman" w:hAnsi="Times New Roman"/>
                <w:sz w:val="24"/>
              </w:rPr>
              <w:t>380</w:t>
            </w:r>
          </w:p>
        </w:tc>
        <w:tc>
          <w:tcPr>
            <w:tcW w:w="7274" w:type="dxa"/>
          </w:tcPr>
          <w:p w:rsidR="00802958" w:rsidRPr="00661595" w:rsidRDefault="00802958" w:rsidP="00487A02">
            <w:pPr>
              <w:pStyle w:val="InstructionsText"/>
              <w:rPr>
                <w:rStyle w:val="InstructionsTabelleberschrift"/>
                <w:rFonts w:ascii="Times New Roman" w:hAnsi="Times New Roman"/>
                <w:bCs w:val="0"/>
                <w:sz w:val="24"/>
                <w:lang w:eastAsia="en-US"/>
              </w:rPr>
            </w:pPr>
            <w:r w:rsidRPr="00661595">
              <w:rPr>
                <w:rStyle w:val="InstructionsTabelleberschrift"/>
                <w:rFonts w:ascii="Times New Roman" w:hAnsi="Times New Roman"/>
                <w:sz w:val="24"/>
              </w:rPr>
              <w:t>1.1.2.2.07</w:t>
            </w:r>
            <w:r w:rsidRPr="00661595">
              <w:rPr>
                <w:rStyle w:val="InstructionsTabelleberschrift"/>
                <w:rFonts w:ascii="Times New Roman" w:hAnsi="Times New Roman"/>
                <w:sz w:val="24"/>
              </w:rPr>
              <w:tab/>
              <w:t>Retail – secure by real estate non-SME</w:t>
            </w:r>
          </w:p>
          <w:p w:rsidR="00802958" w:rsidRPr="00661595" w:rsidRDefault="00802958" w:rsidP="00802958">
            <w:pPr>
              <w:rPr>
                <w:rStyle w:val="FormatvorlageInstructionsTabelleText"/>
                <w:rFonts w:ascii="Times New Roman" w:hAnsi="Times New Roman"/>
                <w:sz w:val="24"/>
              </w:rPr>
            </w:pPr>
            <w:r w:rsidRPr="00661595">
              <w:rPr>
                <w:rStyle w:val="FormatvorlageInstructionsTabelleText"/>
                <w:rFonts w:ascii="Times New Roman" w:hAnsi="Times New Roman"/>
                <w:sz w:val="24"/>
              </w:rPr>
              <w:t>See CR IRB template</w:t>
            </w:r>
          </w:p>
        </w:tc>
      </w:tr>
      <w:tr w:rsidR="00802958" w:rsidRPr="00661595" w:rsidTr="00672D2A">
        <w:tc>
          <w:tcPr>
            <w:tcW w:w="1591" w:type="dxa"/>
          </w:tcPr>
          <w:p w:rsidR="00802958"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802958" w:rsidRPr="00661595">
              <w:rPr>
                <w:rStyle w:val="FormatvorlageInstructionsTabelleText"/>
                <w:rFonts w:ascii="Times New Roman" w:hAnsi="Times New Roman"/>
                <w:sz w:val="24"/>
              </w:rPr>
              <w:t>390</w:t>
            </w:r>
          </w:p>
        </w:tc>
        <w:tc>
          <w:tcPr>
            <w:tcW w:w="7274" w:type="dxa"/>
          </w:tcPr>
          <w:p w:rsidR="00802958" w:rsidRPr="00661595" w:rsidRDefault="00802958" w:rsidP="00487A02">
            <w:pPr>
              <w:pStyle w:val="InstructionsText"/>
              <w:rPr>
                <w:rStyle w:val="InstructionsTabelleberschrift"/>
                <w:rFonts w:ascii="Times New Roman" w:hAnsi="Times New Roman"/>
                <w:bCs w:val="0"/>
                <w:sz w:val="24"/>
                <w:lang w:eastAsia="en-US"/>
              </w:rPr>
            </w:pPr>
            <w:r w:rsidRPr="00661595">
              <w:rPr>
                <w:rStyle w:val="InstructionsTabelleberschrift"/>
                <w:rFonts w:ascii="Times New Roman" w:hAnsi="Times New Roman"/>
                <w:sz w:val="24"/>
              </w:rPr>
              <w:t>1.1.2.2.08</w:t>
            </w:r>
            <w:r w:rsidRPr="00661595">
              <w:rPr>
                <w:rStyle w:val="InstructionsTabelleberschrift"/>
                <w:rFonts w:ascii="Times New Roman" w:hAnsi="Times New Roman"/>
                <w:sz w:val="24"/>
              </w:rPr>
              <w:tab/>
              <w:t>Retail – Qualifying revolving</w:t>
            </w:r>
          </w:p>
          <w:p w:rsidR="00802958" w:rsidRPr="00661595" w:rsidRDefault="00802958" w:rsidP="00802958">
            <w:pPr>
              <w:rPr>
                <w:rStyle w:val="FormatvorlageInstructionsTabelleText"/>
                <w:rFonts w:ascii="Times New Roman" w:hAnsi="Times New Roman"/>
                <w:sz w:val="24"/>
              </w:rPr>
            </w:pPr>
            <w:r w:rsidRPr="00661595">
              <w:rPr>
                <w:rStyle w:val="FormatvorlageInstructionsTabelleText"/>
                <w:rFonts w:ascii="Times New Roman" w:hAnsi="Times New Roman"/>
                <w:sz w:val="24"/>
              </w:rPr>
              <w:t>See CR IRB template</w:t>
            </w:r>
          </w:p>
        </w:tc>
      </w:tr>
      <w:tr w:rsidR="00802958" w:rsidRPr="00661595" w:rsidTr="00672D2A">
        <w:tc>
          <w:tcPr>
            <w:tcW w:w="1591" w:type="dxa"/>
          </w:tcPr>
          <w:p w:rsidR="00802958"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802958" w:rsidRPr="00661595">
              <w:rPr>
                <w:rStyle w:val="FormatvorlageInstructionsTabelleText"/>
                <w:rFonts w:ascii="Times New Roman" w:hAnsi="Times New Roman"/>
                <w:sz w:val="24"/>
              </w:rPr>
              <w:t>400</w:t>
            </w:r>
          </w:p>
        </w:tc>
        <w:tc>
          <w:tcPr>
            <w:tcW w:w="7274" w:type="dxa"/>
          </w:tcPr>
          <w:p w:rsidR="00802958" w:rsidRPr="00661595" w:rsidRDefault="00802958" w:rsidP="00487A02">
            <w:pPr>
              <w:pStyle w:val="InstructionsText"/>
              <w:rPr>
                <w:rStyle w:val="InstructionsTabelleberschrift"/>
                <w:rFonts w:ascii="Times New Roman" w:hAnsi="Times New Roman"/>
                <w:bCs w:val="0"/>
                <w:sz w:val="24"/>
                <w:lang w:eastAsia="en-US"/>
              </w:rPr>
            </w:pPr>
            <w:r w:rsidRPr="00661595">
              <w:rPr>
                <w:rStyle w:val="InstructionsTabelleberschrift"/>
                <w:rFonts w:ascii="Times New Roman" w:hAnsi="Times New Roman"/>
                <w:sz w:val="24"/>
              </w:rPr>
              <w:t>1.1.2.2.09</w:t>
            </w:r>
            <w:r w:rsidRPr="00661595">
              <w:rPr>
                <w:rStyle w:val="InstructionsTabelleberschrift"/>
                <w:rFonts w:ascii="Times New Roman" w:hAnsi="Times New Roman"/>
                <w:sz w:val="24"/>
              </w:rPr>
              <w:tab/>
              <w:t>Retail – Other SME</w:t>
            </w:r>
          </w:p>
          <w:p w:rsidR="00802958" w:rsidRPr="00661595" w:rsidRDefault="00802958" w:rsidP="00802958">
            <w:pPr>
              <w:rPr>
                <w:rStyle w:val="FormatvorlageInstructionsTabelleText"/>
                <w:rFonts w:ascii="Times New Roman" w:hAnsi="Times New Roman"/>
                <w:sz w:val="24"/>
              </w:rPr>
            </w:pPr>
            <w:r w:rsidRPr="00661595">
              <w:rPr>
                <w:rStyle w:val="FormatvorlageInstructionsTabelleText"/>
                <w:rFonts w:ascii="Times New Roman" w:hAnsi="Times New Roman"/>
                <w:sz w:val="24"/>
              </w:rPr>
              <w:t>See CR IRB template</w:t>
            </w:r>
          </w:p>
        </w:tc>
      </w:tr>
      <w:tr w:rsidR="00802958" w:rsidRPr="00661595" w:rsidTr="00672D2A">
        <w:tc>
          <w:tcPr>
            <w:tcW w:w="1591" w:type="dxa"/>
          </w:tcPr>
          <w:p w:rsidR="00802958"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802958" w:rsidRPr="00661595">
              <w:rPr>
                <w:rStyle w:val="FormatvorlageInstructionsTabelleText"/>
                <w:rFonts w:ascii="Times New Roman" w:hAnsi="Times New Roman"/>
                <w:sz w:val="24"/>
              </w:rPr>
              <w:t>410</w:t>
            </w:r>
          </w:p>
        </w:tc>
        <w:tc>
          <w:tcPr>
            <w:tcW w:w="7274" w:type="dxa"/>
          </w:tcPr>
          <w:p w:rsidR="00802958" w:rsidRPr="00661595" w:rsidRDefault="00802958" w:rsidP="00487A02">
            <w:pPr>
              <w:pStyle w:val="InstructionsText"/>
              <w:rPr>
                <w:rStyle w:val="InstructionsTabelleberschrift"/>
                <w:rFonts w:ascii="Times New Roman" w:hAnsi="Times New Roman"/>
                <w:bCs w:val="0"/>
                <w:sz w:val="24"/>
                <w:lang w:eastAsia="en-US"/>
              </w:rPr>
            </w:pPr>
            <w:r w:rsidRPr="00661595">
              <w:rPr>
                <w:rStyle w:val="InstructionsTabelleberschrift"/>
                <w:rFonts w:ascii="Times New Roman" w:hAnsi="Times New Roman"/>
                <w:sz w:val="24"/>
              </w:rPr>
              <w:t>1.1.2.2.10</w:t>
            </w:r>
            <w:r w:rsidRPr="00661595">
              <w:rPr>
                <w:rStyle w:val="InstructionsTabelleberschrift"/>
                <w:rFonts w:ascii="Times New Roman" w:hAnsi="Times New Roman"/>
                <w:sz w:val="24"/>
              </w:rPr>
              <w:tab/>
              <w:t>Retail – Other non-SME</w:t>
            </w:r>
          </w:p>
          <w:p w:rsidR="00802958" w:rsidRPr="00661595" w:rsidRDefault="00802958" w:rsidP="00802958">
            <w:pPr>
              <w:rPr>
                <w:rStyle w:val="FormatvorlageInstructionsTabelleText"/>
                <w:rFonts w:ascii="Times New Roman" w:hAnsi="Times New Roman"/>
                <w:sz w:val="24"/>
              </w:rPr>
            </w:pPr>
            <w:r w:rsidRPr="00661595">
              <w:rPr>
                <w:rStyle w:val="FormatvorlageInstructionsTabelleText"/>
                <w:rFonts w:ascii="Times New Roman" w:hAnsi="Times New Roman"/>
                <w:sz w:val="24"/>
              </w:rPr>
              <w:t>See CR IRB template</w:t>
            </w:r>
          </w:p>
        </w:tc>
      </w:tr>
      <w:tr w:rsidR="00802958" w:rsidRPr="00661595" w:rsidTr="00672D2A">
        <w:tc>
          <w:tcPr>
            <w:tcW w:w="1591" w:type="dxa"/>
          </w:tcPr>
          <w:p w:rsidR="00802958"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802958" w:rsidRPr="00661595">
              <w:rPr>
                <w:rStyle w:val="FormatvorlageInstructionsTabelleText"/>
                <w:rFonts w:ascii="Times New Roman" w:hAnsi="Times New Roman"/>
                <w:sz w:val="24"/>
              </w:rPr>
              <w:t>420</w:t>
            </w:r>
          </w:p>
        </w:tc>
        <w:tc>
          <w:tcPr>
            <w:tcW w:w="7274" w:type="dxa"/>
          </w:tcPr>
          <w:p w:rsidR="00802958" w:rsidRPr="00661595" w:rsidRDefault="00802958" w:rsidP="00487A02">
            <w:pPr>
              <w:pStyle w:val="InstructionsText"/>
              <w:rPr>
                <w:rStyle w:val="InstructionsTabelleberschrift"/>
                <w:rFonts w:ascii="Times New Roman" w:hAnsi="Times New Roman"/>
                <w:bCs w:val="0"/>
                <w:sz w:val="24"/>
                <w:lang w:eastAsia="en-US"/>
              </w:rPr>
            </w:pPr>
            <w:r w:rsidRPr="00661595">
              <w:rPr>
                <w:rStyle w:val="InstructionsTabelleberschrift"/>
                <w:rFonts w:ascii="Times New Roman" w:hAnsi="Times New Roman"/>
                <w:sz w:val="24"/>
              </w:rPr>
              <w:t>1.1.2.3</w:t>
            </w:r>
            <w:r w:rsidRPr="00661595">
              <w:rPr>
                <w:rStyle w:val="InstructionsTabelleberschrift"/>
                <w:rFonts w:ascii="Times New Roman" w:hAnsi="Times New Roman"/>
                <w:sz w:val="24"/>
              </w:rPr>
              <w:tab/>
              <w:t>Equity IRB</w:t>
            </w:r>
          </w:p>
          <w:p w:rsidR="00802958" w:rsidRPr="00661595" w:rsidRDefault="00802958" w:rsidP="00802958">
            <w:pPr>
              <w:rPr>
                <w:rStyle w:val="FormatvorlageInstructionsTabelleText"/>
                <w:rFonts w:ascii="Times New Roman" w:hAnsi="Times New Roman"/>
                <w:sz w:val="24"/>
              </w:rPr>
            </w:pPr>
            <w:r w:rsidRPr="00661595">
              <w:rPr>
                <w:rStyle w:val="FormatvorlageInstructionsTabelleText"/>
                <w:rFonts w:ascii="Times New Roman" w:hAnsi="Times New Roman"/>
                <w:sz w:val="24"/>
              </w:rPr>
              <w:t>See CR EQU IRB template</w:t>
            </w:r>
          </w:p>
        </w:tc>
      </w:tr>
      <w:tr w:rsidR="00802958" w:rsidRPr="00661595" w:rsidTr="00672D2A">
        <w:tc>
          <w:tcPr>
            <w:tcW w:w="1591" w:type="dxa"/>
          </w:tcPr>
          <w:p w:rsidR="00802958"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802958" w:rsidRPr="00661595">
              <w:rPr>
                <w:rStyle w:val="FormatvorlageInstructionsTabelleText"/>
                <w:rFonts w:ascii="Times New Roman" w:hAnsi="Times New Roman"/>
                <w:sz w:val="24"/>
              </w:rPr>
              <w:t>450</w:t>
            </w:r>
          </w:p>
        </w:tc>
        <w:tc>
          <w:tcPr>
            <w:tcW w:w="7274" w:type="dxa"/>
          </w:tcPr>
          <w:p w:rsidR="00802958" w:rsidRPr="00661595" w:rsidRDefault="00802958" w:rsidP="00487A02">
            <w:pPr>
              <w:pStyle w:val="InstructionsText"/>
              <w:rPr>
                <w:rStyle w:val="InstructionsTabelleberschrift"/>
                <w:rFonts w:ascii="Times New Roman" w:hAnsi="Times New Roman"/>
                <w:bCs w:val="0"/>
                <w:sz w:val="24"/>
                <w:lang w:eastAsia="en-US"/>
              </w:rPr>
            </w:pPr>
            <w:r w:rsidRPr="00661595">
              <w:rPr>
                <w:rStyle w:val="InstructionsTabelleberschrift"/>
                <w:rFonts w:ascii="Times New Roman" w:hAnsi="Times New Roman"/>
                <w:sz w:val="24"/>
              </w:rPr>
              <w:t>1.1.2.5</w:t>
            </w:r>
            <w:r w:rsidRPr="00661595">
              <w:rPr>
                <w:rStyle w:val="InstructionsTabelleberschrift"/>
                <w:rFonts w:ascii="Times New Roman" w:hAnsi="Times New Roman"/>
                <w:sz w:val="24"/>
              </w:rPr>
              <w:tab/>
              <w:t>Other non credit-obligation assets</w:t>
            </w:r>
          </w:p>
          <w:p w:rsidR="00802958" w:rsidRPr="00661595" w:rsidRDefault="00802958" w:rsidP="006A6822">
            <w:pPr>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The amount to be reported is the risk weighted exposure amount as calculated </w:t>
            </w:r>
            <w:r w:rsidR="006A6822" w:rsidRPr="00661595">
              <w:rPr>
                <w:rStyle w:val="FormatvorlageInstructionsTabelleText"/>
                <w:rFonts w:ascii="Times New Roman" w:hAnsi="Times New Roman"/>
                <w:sz w:val="24"/>
              </w:rPr>
              <w:t xml:space="preserve">in accordance with </w:t>
            </w:r>
            <w:r w:rsidRPr="00661595">
              <w:rPr>
                <w:rStyle w:val="FormatvorlageInstructionsTabelleText"/>
                <w:rFonts w:ascii="Times New Roman" w:hAnsi="Times New Roman"/>
                <w:sz w:val="24"/>
              </w:rPr>
              <w:t xml:space="preserve">Article 156 </w:t>
            </w:r>
            <w:r w:rsidR="00C7103D" w:rsidRPr="00661595">
              <w:rPr>
                <w:rStyle w:val="FormatvorlageInstructionsTabelleText"/>
                <w:rFonts w:ascii="Times New Roman" w:hAnsi="Times New Roman"/>
                <w:sz w:val="24"/>
              </w:rPr>
              <w:t>CRR</w:t>
            </w:r>
            <w:r w:rsidRPr="00661595">
              <w:rPr>
                <w:rStyle w:val="FormatvorlageInstructionsTabelleText"/>
                <w:rFonts w:ascii="Times New Roman" w:hAnsi="Times New Roman"/>
                <w:sz w:val="24"/>
              </w:rPr>
              <w:t xml:space="preserve">. </w:t>
            </w:r>
          </w:p>
        </w:tc>
      </w:tr>
      <w:tr w:rsidR="00802958" w:rsidRPr="00661595" w:rsidTr="00672D2A">
        <w:tc>
          <w:tcPr>
            <w:tcW w:w="1591" w:type="dxa"/>
          </w:tcPr>
          <w:p w:rsidR="00802958"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802958" w:rsidRPr="00661595">
              <w:rPr>
                <w:rStyle w:val="FormatvorlageInstructionsTabelleText"/>
                <w:rFonts w:ascii="Times New Roman" w:hAnsi="Times New Roman"/>
                <w:sz w:val="24"/>
              </w:rPr>
              <w:t>460</w:t>
            </w:r>
          </w:p>
        </w:tc>
        <w:tc>
          <w:tcPr>
            <w:tcW w:w="7274" w:type="dxa"/>
          </w:tcPr>
          <w:p w:rsidR="00802958" w:rsidRPr="00661595" w:rsidRDefault="00802958"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1.1.3</w:t>
            </w:r>
            <w:r w:rsidRPr="00661595">
              <w:rPr>
                <w:rStyle w:val="InstructionsTabelleberschrift"/>
                <w:rFonts w:ascii="Times New Roman" w:hAnsi="Times New Roman"/>
                <w:sz w:val="24"/>
              </w:rPr>
              <w:tab/>
              <w:t>Risk exposure amount for contributions to the default fund of a CCP</w:t>
            </w:r>
          </w:p>
          <w:p w:rsidR="00802958" w:rsidRPr="00661595" w:rsidRDefault="00802958" w:rsidP="00167619">
            <w:pPr>
              <w:rPr>
                <w:rStyle w:val="FormatvorlageInstructionsTabelleText"/>
                <w:rFonts w:ascii="Times New Roman" w:hAnsi="Times New Roman"/>
                <w:sz w:val="24"/>
              </w:rPr>
            </w:pPr>
            <w:r w:rsidRPr="00661595">
              <w:rPr>
                <w:rStyle w:val="FormatvorlageInstructionsTabelleText"/>
                <w:rFonts w:ascii="Times New Roman" w:hAnsi="Times New Roman"/>
                <w:sz w:val="24"/>
              </w:rPr>
              <w:t>Articles 307</w:t>
            </w:r>
            <w:r w:rsidR="00167619" w:rsidRPr="00661595">
              <w:rPr>
                <w:rStyle w:val="FormatvorlageInstructionsTabelleText"/>
                <w:rFonts w:ascii="Times New Roman" w:hAnsi="Times New Roman"/>
                <w:sz w:val="24"/>
              </w:rPr>
              <w:t xml:space="preserve">, 308 and </w:t>
            </w:r>
            <w:r w:rsidRPr="00661595">
              <w:rPr>
                <w:rStyle w:val="FormatvorlageInstructionsTabelleText"/>
                <w:rFonts w:ascii="Times New Roman" w:hAnsi="Times New Roman"/>
                <w:sz w:val="24"/>
              </w:rPr>
              <w:t xml:space="preserve">309 </w:t>
            </w:r>
            <w:r w:rsidR="00C7103D" w:rsidRPr="00661595">
              <w:rPr>
                <w:rStyle w:val="FormatvorlageInstructionsTabelleText"/>
                <w:rFonts w:ascii="Times New Roman" w:hAnsi="Times New Roman"/>
                <w:sz w:val="24"/>
              </w:rPr>
              <w:t>CRR</w:t>
            </w:r>
          </w:p>
        </w:tc>
      </w:tr>
      <w:tr w:rsidR="00802958" w:rsidRPr="00661595" w:rsidTr="00672D2A">
        <w:tc>
          <w:tcPr>
            <w:tcW w:w="1591" w:type="dxa"/>
          </w:tcPr>
          <w:p w:rsidR="00802958"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802958" w:rsidRPr="00661595">
              <w:rPr>
                <w:rStyle w:val="FormatvorlageInstructionsTabelleText"/>
                <w:rFonts w:ascii="Times New Roman" w:hAnsi="Times New Roman"/>
                <w:sz w:val="24"/>
              </w:rPr>
              <w:t>470</w:t>
            </w:r>
          </w:p>
        </w:tc>
        <w:tc>
          <w:tcPr>
            <w:tcW w:w="7274" w:type="dxa"/>
          </w:tcPr>
          <w:p w:rsidR="00802958" w:rsidRPr="00661595" w:rsidRDefault="00802958"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1.1.4   Securitisation positions</w:t>
            </w:r>
          </w:p>
          <w:p w:rsidR="00802958" w:rsidRPr="00661595" w:rsidRDefault="00802958" w:rsidP="00487A02">
            <w:pPr>
              <w:pStyle w:val="InstructionsText"/>
              <w:rPr>
                <w:rStyle w:val="InstructionsTabelleberschrift"/>
                <w:rFonts w:ascii="Times New Roman" w:hAnsi="Times New Roman"/>
                <w:sz w:val="24"/>
              </w:rPr>
            </w:pPr>
            <w:r w:rsidRPr="00661595">
              <w:rPr>
                <w:rStyle w:val="FormatvorlageInstructionsTabelleText"/>
                <w:rFonts w:ascii="Times New Roman" w:hAnsi="Times New Roman"/>
                <w:sz w:val="24"/>
              </w:rPr>
              <w:t>See CR SEC template</w:t>
            </w:r>
          </w:p>
        </w:tc>
      </w:tr>
      <w:tr w:rsidR="00802958" w:rsidRPr="00661595" w:rsidTr="00672D2A">
        <w:tc>
          <w:tcPr>
            <w:tcW w:w="1591" w:type="dxa"/>
          </w:tcPr>
          <w:p w:rsidR="00802958"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802958" w:rsidRPr="00661595">
              <w:rPr>
                <w:rStyle w:val="FormatvorlageInstructionsTabelleText"/>
                <w:rFonts w:ascii="Times New Roman" w:hAnsi="Times New Roman"/>
                <w:sz w:val="24"/>
              </w:rPr>
              <w:t>490</w:t>
            </w:r>
          </w:p>
        </w:tc>
        <w:tc>
          <w:tcPr>
            <w:tcW w:w="7274" w:type="dxa"/>
          </w:tcPr>
          <w:p w:rsidR="00802958" w:rsidRPr="00661595" w:rsidRDefault="00802958" w:rsidP="00487A02">
            <w:pPr>
              <w:pStyle w:val="InstructionsText"/>
              <w:rPr>
                <w:rStyle w:val="InstructionsTabelleberschrift"/>
                <w:rFonts w:ascii="Times New Roman" w:hAnsi="Times New Roman"/>
                <w:strike/>
                <w:sz w:val="24"/>
              </w:rPr>
            </w:pPr>
            <w:r w:rsidRPr="00661595">
              <w:rPr>
                <w:rStyle w:val="InstructionsTabelleberschrift"/>
                <w:rFonts w:ascii="Times New Roman" w:hAnsi="Times New Roman"/>
                <w:sz w:val="24"/>
              </w:rPr>
              <w:t>1.2</w:t>
            </w:r>
            <w:r w:rsidRPr="00661595">
              <w:rPr>
                <w:rStyle w:val="InstructionsTabelleberschrift"/>
                <w:rFonts w:ascii="Times New Roman" w:hAnsi="Times New Roman"/>
                <w:sz w:val="24"/>
              </w:rPr>
              <w:tab/>
              <w:t>TOTAL RISK EXPOSURE AMOUNT FOR SETTLEMENT/DELIVERY</w:t>
            </w:r>
          </w:p>
          <w:p w:rsidR="00802958" w:rsidRPr="00661595" w:rsidRDefault="006A6822" w:rsidP="006A6822">
            <w:pPr>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Point (c)(ii) of </w:t>
            </w:r>
            <w:r w:rsidR="00802958" w:rsidRPr="00661595">
              <w:rPr>
                <w:rStyle w:val="FormatvorlageInstructionsTabelleText"/>
                <w:rFonts w:ascii="Times New Roman" w:hAnsi="Times New Roman"/>
                <w:sz w:val="24"/>
              </w:rPr>
              <w:t>Article</w:t>
            </w:r>
            <w:r w:rsidRPr="00661595">
              <w:rPr>
                <w:rStyle w:val="FormatvorlageInstructionsTabelleText"/>
                <w:rFonts w:ascii="Times New Roman" w:hAnsi="Times New Roman"/>
                <w:sz w:val="24"/>
              </w:rPr>
              <w:t xml:space="preserve"> </w:t>
            </w:r>
            <w:r w:rsidR="00802958" w:rsidRPr="00661595">
              <w:rPr>
                <w:rStyle w:val="FormatvorlageInstructionsTabelleText"/>
                <w:rFonts w:ascii="Times New Roman" w:hAnsi="Times New Roman"/>
                <w:sz w:val="24"/>
              </w:rPr>
              <w:t xml:space="preserve">92(3) and </w:t>
            </w:r>
            <w:r w:rsidRPr="00661595">
              <w:rPr>
                <w:rStyle w:val="FormatvorlageInstructionsTabelleText"/>
                <w:rFonts w:ascii="Times New Roman" w:hAnsi="Times New Roman"/>
                <w:sz w:val="24"/>
              </w:rPr>
              <w:t xml:space="preserve">point (b) of Article </w:t>
            </w:r>
            <w:r w:rsidR="00802958" w:rsidRPr="00661595">
              <w:rPr>
                <w:rStyle w:val="FormatvorlageInstructionsTabelleText"/>
                <w:rFonts w:ascii="Times New Roman" w:hAnsi="Times New Roman"/>
                <w:sz w:val="24"/>
              </w:rPr>
              <w:t xml:space="preserve">92(4) </w:t>
            </w:r>
            <w:r w:rsidR="00C7103D" w:rsidRPr="00661595">
              <w:rPr>
                <w:rStyle w:val="FormatvorlageInstructionsTabelleText"/>
                <w:rFonts w:ascii="Times New Roman" w:hAnsi="Times New Roman"/>
                <w:sz w:val="24"/>
              </w:rPr>
              <w:t>CRR</w:t>
            </w:r>
          </w:p>
        </w:tc>
      </w:tr>
      <w:tr w:rsidR="00802958" w:rsidRPr="00661595" w:rsidTr="00672D2A">
        <w:tc>
          <w:tcPr>
            <w:tcW w:w="1591" w:type="dxa"/>
          </w:tcPr>
          <w:p w:rsidR="00802958"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802958" w:rsidRPr="00661595">
              <w:rPr>
                <w:rStyle w:val="FormatvorlageInstructionsTabelleText"/>
                <w:rFonts w:ascii="Times New Roman" w:hAnsi="Times New Roman"/>
                <w:sz w:val="24"/>
              </w:rPr>
              <w:t>500</w:t>
            </w:r>
          </w:p>
        </w:tc>
        <w:tc>
          <w:tcPr>
            <w:tcW w:w="7274" w:type="dxa"/>
          </w:tcPr>
          <w:p w:rsidR="00802958" w:rsidRPr="00661595" w:rsidRDefault="00802958" w:rsidP="00487A02">
            <w:pPr>
              <w:pStyle w:val="InstructionsText"/>
              <w:rPr>
                <w:rStyle w:val="InstructionsTabelleberschrift"/>
                <w:rFonts w:ascii="Times New Roman" w:hAnsi="Times New Roman"/>
                <w:bCs w:val="0"/>
                <w:sz w:val="24"/>
                <w:lang w:eastAsia="en-US"/>
              </w:rPr>
            </w:pPr>
            <w:r w:rsidRPr="00661595">
              <w:rPr>
                <w:rStyle w:val="InstructionsTabelleberschrift"/>
                <w:rFonts w:ascii="Times New Roman" w:hAnsi="Times New Roman"/>
                <w:sz w:val="24"/>
              </w:rPr>
              <w:t>1.2.1</w:t>
            </w:r>
            <w:r w:rsidRPr="00661595">
              <w:rPr>
                <w:rStyle w:val="InstructionsTabelleberschrift"/>
                <w:rFonts w:ascii="Times New Roman" w:hAnsi="Times New Roman"/>
                <w:sz w:val="24"/>
              </w:rPr>
              <w:tab/>
              <w:t>Settlement/delivery risk in the non-Trading book</w:t>
            </w:r>
          </w:p>
          <w:p w:rsidR="00802958" w:rsidRPr="00661595" w:rsidRDefault="00802958" w:rsidP="00802958">
            <w:pPr>
              <w:rPr>
                <w:rStyle w:val="FormatvorlageInstructionsTabelleText"/>
                <w:rFonts w:ascii="Times New Roman" w:hAnsi="Times New Roman"/>
                <w:sz w:val="24"/>
              </w:rPr>
            </w:pPr>
            <w:r w:rsidRPr="00661595">
              <w:rPr>
                <w:rStyle w:val="FormatvorlageInstructionsTabelleText"/>
                <w:rFonts w:ascii="Times New Roman" w:hAnsi="Times New Roman"/>
                <w:sz w:val="24"/>
              </w:rPr>
              <w:t>See CR SETT template</w:t>
            </w:r>
          </w:p>
        </w:tc>
      </w:tr>
      <w:tr w:rsidR="00802958" w:rsidRPr="00661595" w:rsidTr="00672D2A">
        <w:tc>
          <w:tcPr>
            <w:tcW w:w="1591" w:type="dxa"/>
          </w:tcPr>
          <w:p w:rsidR="00802958"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802958" w:rsidRPr="00661595">
              <w:rPr>
                <w:rStyle w:val="FormatvorlageInstructionsTabelleText"/>
                <w:rFonts w:ascii="Times New Roman" w:hAnsi="Times New Roman"/>
                <w:sz w:val="24"/>
              </w:rPr>
              <w:t>510</w:t>
            </w:r>
          </w:p>
        </w:tc>
        <w:tc>
          <w:tcPr>
            <w:tcW w:w="7274" w:type="dxa"/>
          </w:tcPr>
          <w:p w:rsidR="00802958" w:rsidRPr="00661595" w:rsidRDefault="00802958" w:rsidP="00487A02">
            <w:pPr>
              <w:pStyle w:val="InstructionsText"/>
              <w:rPr>
                <w:rStyle w:val="InstructionsTabelleberschrift"/>
                <w:rFonts w:ascii="Times New Roman" w:hAnsi="Times New Roman"/>
                <w:bCs w:val="0"/>
                <w:sz w:val="24"/>
                <w:lang w:eastAsia="en-US"/>
              </w:rPr>
            </w:pPr>
            <w:r w:rsidRPr="00661595">
              <w:rPr>
                <w:rStyle w:val="InstructionsTabelleberschrift"/>
                <w:rFonts w:ascii="Times New Roman" w:hAnsi="Times New Roman"/>
                <w:sz w:val="24"/>
              </w:rPr>
              <w:t>1.2.2</w:t>
            </w:r>
            <w:r w:rsidRPr="00661595">
              <w:rPr>
                <w:rStyle w:val="InstructionsTabelleberschrift"/>
                <w:rFonts w:ascii="Times New Roman" w:hAnsi="Times New Roman"/>
                <w:sz w:val="24"/>
              </w:rPr>
              <w:tab/>
              <w:t>Settlement/delivery risk in the Trading book</w:t>
            </w:r>
          </w:p>
          <w:p w:rsidR="00802958" w:rsidRPr="00661595" w:rsidRDefault="00802958" w:rsidP="00802958">
            <w:pPr>
              <w:rPr>
                <w:rStyle w:val="FormatvorlageInstructionsTabelleText"/>
                <w:rFonts w:ascii="Times New Roman" w:hAnsi="Times New Roman"/>
                <w:sz w:val="24"/>
              </w:rPr>
            </w:pPr>
            <w:r w:rsidRPr="00661595">
              <w:rPr>
                <w:rStyle w:val="FormatvorlageInstructionsTabelleText"/>
                <w:rFonts w:ascii="Times New Roman" w:hAnsi="Times New Roman"/>
                <w:sz w:val="24"/>
              </w:rPr>
              <w:t>See CR SETT template</w:t>
            </w:r>
          </w:p>
        </w:tc>
      </w:tr>
      <w:tr w:rsidR="00802958" w:rsidRPr="00661595" w:rsidTr="00672D2A">
        <w:tc>
          <w:tcPr>
            <w:tcW w:w="1591" w:type="dxa"/>
          </w:tcPr>
          <w:p w:rsidR="00802958"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802958" w:rsidRPr="00661595">
              <w:rPr>
                <w:rStyle w:val="FormatvorlageInstructionsTabelleText"/>
                <w:rFonts w:ascii="Times New Roman" w:hAnsi="Times New Roman"/>
                <w:sz w:val="24"/>
              </w:rPr>
              <w:t>520</w:t>
            </w:r>
          </w:p>
        </w:tc>
        <w:tc>
          <w:tcPr>
            <w:tcW w:w="7274" w:type="dxa"/>
          </w:tcPr>
          <w:p w:rsidR="00802958" w:rsidRPr="00661595" w:rsidRDefault="00802958" w:rsidP="00487A02">
            <w:pPr>
              <w:pStyle w:val="InstructionsText"/>
              <w:rPr>
                <w:rStyle w:val="InstructionsTabelleberschrift"/>
                <w:rFonts w:ascii="Times New Roman" w:hAnsi="Times New Roman"/>
                <w:bCs w:val="0"/>
                <w:sz w:val="24"/>
                <w:lang w:eastAsia="en-US"/>
              </w:rPr>
            </w:pPr>
            <w:r w:rsidRPr="00661595">
              <w:rPr>
                <w:rStyle w:val="InstructionsTabelleberschrift"/>
                <w:rFonts w:ascii="Times New Roman" w:hAnsi="Times New Roman"/>
                <w:sz w:val="24"/>
              </w:rPr>
              <w:t>1.3</w:t>
            </w:r>
            <w:r w:rsidRPr="00661595">
              <w:rPr>
                <w:rStyle w:val="InstructionsTabelleberschrift"/>
                <w:rFonts w:ascii="Times New Roman" w:hAnsi="Times New Roman"/>
                <w:sz w:val="24"/>
              </w:rPr>
              <w:tab/>
              <w:t xml:space="preserve">TOTAL RISK EXPOSURE AMOUNT FOR POSITION, FOREIGN EXCHANGE AND COMMODITIES RISKS </w:t>
            </w:r>
          </w:p>
          <w:p w:rsidR="00802958" w:rsidRPr="00661595" w:rsidRDefault="006A6822" w:rsidP="00487A02">
            <w:pPr>
              <w:pStyle w:val="InstructionsText"/>
              <w:rPr>
                <w:rStyle w:val="FormatvorlageInstructionsTabelleText"/>
                <w:rFonts w:ascii="Times New Roman" w:hAnsi="Times New Roman"/>
                <w:bCs w:val="0"/>
                <w:sz w:val="24"/>
                <w:lang w:eastAsia="en-US"/>
              </w:rPr>
            </w:pPr>
            <w:r w:rsidRPr="00661595">
              <w:rPr>
                <w:rStyle w:val="FormatvorlageInstructionsTabelleText"/>
                <w:rFonts w:ascii="Times New Roman" w:hAnsi="Times New Roman"/>
                <w:sz w:val="24"/>
              </w:rPr>
              <w:t xml:space="preserve">Points (b)(i), (c)(i) and (c)(iii) of </w:t>
            </w:r>
            <w:r w:rsidR="00802958" w:rsidRPr="00661595">
              <w:rPr>
                <w:rStyle w:val="FormatvorlageInstructionsTabelleText"/>
                <w:rFonts w:ascii="Times New Roman" w:hAnsi="Times New Roman"/>
                <w:sz w:val="24"/>
              </w:rPr>
              <w:t xml:space="preserve">Article 92(3) and </w:t>
            </w:r>
            <w:r w:rsidRPr="00661595">
              <w:rPr>
                <w:rStyle w:val="FormatvorlageInstructionsTabelleText"/>
                <w:rFonts w:ascii="Times New Roman" w:hAnsi="Times New Roman"/>
                <w:sz w:val="24"/>
              </w:rPr>
              <w:t xml:space="preserve">point (b) of Article </w:t>
            </w:r>
            <w:r w:rsidR="00802958" w:rsidRPr="00661595">
              <w:rPr>
                <w:rStyle w:val="FormatvorlageInstructionsTabelleText"/>
                <w:rFonts w:ascii="Times New Roman" w:hAnsi="Times New Roman"/>
                <w:sz w:val="24"/>
              </w:rPr>
              <w:t xml:space="preserve">92(4) </w:t>
            </w:r>
            <w:r w:rsidR="00C7103D" w:rsidRPr="00661595">
              <w:rPr>
                <w:rStyle w:val="FormatvorlageInstructionsTabelleText"/>
                <w:rFonts w:ascii="Times New Roman" w:hAnsi="Times New Roman"/>
                <w:sz w:val="24"/>
              </w:rPr>
              <w:t>CRR</w:t>
            </w:r>
          </w:p>
        </w:tc>
      </w:tr>
      <w:tr w:rsidR="00802958" w:rsidRPr="00661595" w:rsidTr="00672D2A">
        <w:tc>
          <w:tcPr>
            <w:tcW w:w="1591" w:type="dxa"/>
          </w:tcPr>
          <w:p w:rsidR="00802958"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802958" w:rsidRPr="00661595">
              <w:rPr>
                <w:rStyle w:val="FormatvorlageInstructionsTabelleText"/>
                <w:rFonts w:ascii="Times New Roman" w:hAnsi="Times New Roman"/>
                <w:sz w:val="24"/>
              </w:rPr>
              <w:t>530</w:t>
            </w:r>
          </w:p>
        </w:tc>
        <w:tc>
          <w:tcPr>
            <w:tcW w:w="7274" w:type="dxa"/>
          </w:tcPr>
          <w:p w:rsidR="00802958" w:rsidRPr="00661595" w:rsidRDefault="00802958"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1.3.1</w:t>
            </w:r>
            <w:r w:rsidRPr="00661595">
              <w:rPr>
                <w:rStyle w:val="InstructionsTabelleberschrift"/>
                <w:rFonts w:ascii="Times New Roman" w:hAnsi="Times New Roman"/>
                <w:sz w:val="24"/>
              </w:rPr>
              <w:tab/>
              <w:t xml:space="preserve">Risk exposure amount for position, foreign exchange and commodities risks under </w:t>
            </w:r>
            <w:r w:rsidR="006A6822" w:rsidRPr="00661595">
              <w:rPr>
                <w:rStyle w:val="InstructionsTabelleberschrift"/>
                <w:rFonts w:ascii="Times New Roman" w:hAnsi="Times New Roman"/>
                <w:sz w:val="24"/>
              </w:rPr>
              <w:t>S</w:t>
            </w:r>
            <w:r w:rsidRPr="00661595">
              <w:rPr>
                <w:rStyle w:val="InstructionsTabelleberschrift"/>
                <w:rFonts w:ascii="Times New Roman" w:hAnsi="Times New Roman"/>
                <w:sz w:val="24"/>
              </w:rPr>
              <w:t xml:space="preserve">tandardised </w:t>
            </w:r>
            <w:r w:rsidR="006A6822" w:rsidRPr="00661595">
              <w:rPr>
                <w:rStyle w:val="InstructionsTabelleberschrift"/>
                <w:rFonts w:ascii="Times New Roman" w:hAnsi="Times New Roman"/>
                <w:sz w:val="24"/>
              </w:rPr>
              <w:t>A</w:t>
            </w:r>
            <w:r w:rsidRPr="00661595">
              <w:rPr>
                <w:rStyle w:val="InstructionsTabelleberschrift"/>
                <w:rFonts w:ascii="Times New Roman" w:hAnsi="Times New Roman"/>
                <w:sz w:val="24"/>
              </w:rPr>
              <w:t>pproaches (SA)</w:t>
            </w:r>
          </w:p>
        </w:tc>
      </w:tr>
      <w:tr w:rsidR="00802958" w:rsidRPr="00661595" w:rsidTr="00672D2A">
        <w:tc>
          <w:tcPr>
            <w:tcW w:w="1591" w:type="dxa"/>
          </w:tcPr>
          <w:p w:rsidR="00802958"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802958" w:rsidRPr="00661595">
              <w:rPr>
                <w:rStyle w:val="FormatvorlageInstructionsTabelleText"/>
                <w:rFonts w:ascii="Times New Roman" w:hAnsi="Times New Roman"/>
                <w:sz w:val="24"/>
              </w:rPr>
              <w:t>540</w:t>
            </w:r>
          </w:p>
        </w:tc>
        <w:tc>
          <w:tcPr>
            <w:tcW w:w="7274" w:type="dxa"/>
          </w:tcPr>
          <w:p w:rsidR="00802958" w:rsidRPr="00661595" w:rsidRDefault="00802958" w:rsidP="00487A02">
            <w:pPr>
              <w:pStyle w:val="InstructionsText"/>
              <w:rPr>
                <w:rStyle w:val="InstructionsTabelleberschrift"/>
                <w:rFonts w:ascii="Times New Roman" w:hAnsi="Times New Roman"/>
                <w:bCs w:val="0"/>
                <w:sz w:val="24"/>
                <w:lang w:eastAsia="en-US"/>
              </w:rPr>
            </w:pPr>
            <w:r w:rsidRPr="00661595">
              <w:rPr>
                <w:rStyle w:val="InstructionsTabelleberschrift"/>
                <w:rFonts w:ascii="Times New Roman" w:hAnsi="Times New Roman"/>
                <w:sz w:val="24"/>
              </w:rPr>
              <w:t>1.3.1.1</w:t>
            </w:r>
            <w:r w:rsidRPr="00661595">
              <w:rPr>
                <w:rStyle w:val="InstructionsTabelleberschrift"/>
                <w:rFonts w:ascii="Times New Roman" w:hAnsi="Times New Roman"/>
                <w:sz w:val="24"/>
              </w:rPr>
              <w:tab/>
              <w:t>Traded debt instruments</w:t>
            </w:r>
          </w:p>
          <w:p w:rsidR="00802958" w:rsidRPr="00661595" w:rsidRDefault="00802958" w:rsidP="00487A02">
            <w:pPr>
              <w:pStyle w:val="InstructionsText"/>
              <w:rPr>
                <w:rStyle w:val="FormatvorlageInstructionsTabelleText"/>
                <w:rFonts w:ascii="Times New Roman" w:hAnsi="Times New Roman"/>
                <w:bCs w:val="0"/>
                <w:sz w:val="24"/>
                <w:lang w:eastAsia="en-US"/>
              </w:rPr>
            </w:pPr>
            <w:r w:rsidRPr="00661595">
              <w:rPr>
                <w:rStyle w:val="InstructionsTabelleberschrift"/>
                <w:rFonts w:ascii="Times New Roman" w:hAnsi="Times New Roman"/>
                <w:b w:val="0"/>
                <w:sz w:val="24"/>
                <w:u w:val="none"/>
              </w:rPr>
              <w:t>MKR SA TDI template at the level of total currencies.</w:t>
            </w:r>
          </w:p>
        </w:tc>
      </w:tr>
      <w:tr w:rsidR="00802958" w:rsidRPr="00661595" w:rsidTr="00672D2A">
        <w:tc>
          <w:tcPr>
            <w:tcW w:w="1591" w:type="dxa"/>
          </w:tcPr>
          <w:p w:rsidR="00802958"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802958" w:rsidRPr="00661595">
              <w:rPr>
                <w:rStyle w:val="FormatvorlageInstructionsTabelleText"/>
                <w:rFonts w:ascii="Times New Roman" w:hAnsi="Times New Roman"/>
                <w:sz w:val="24"/>
              </w:rPr>
              <w:t>550</w:t>
            </w:r>
          </w:p>
        </w:tc>
        <w:tc>
          <w:tcPr>
            <w:tcW w:w="7274" w:type="dxa"/>
          </w:tcPr>
          <w:p w:rsidR="00802958" w:rsidRPr="00661595" w:rsidRDefault="00802958" w:rsidP="00487A02">
            <w:pPr>
              <w:pStyle w:val="InstructionsText"/>
              <w:rPr>
                <w:rStyle w:val="InstructionsTabelleberschrift"/>
                <w:rFonts w:ascii="Times New Roman" w:hAnsi="Times New Roman"/>
                <w:bCs w:val="0"/>
                <w:sz w:val="24"/>
                <w:lang w:eastAsia="en-US"/>
              </w:rPr>
            </w:pPr>
            <w:r w:rsidRPr="00661595">
              <w:rPr>
                <w:rStyle w:val="InstructionsTabelleberschrift"/>
                <w:rFonts w:ascii="Times New Roman" w:hAnsi="Times New Roman"/>
                <w:sz w:val="24"/>
              </w:rPr>
              <w:t>1.3.1.2</w:t>
            </w:r>
            <w:r w:rsidRPr="00661595">
              <w:rPr>
                <w:rStyle w:val="InstructionsTabelleberschrift"/>
                <w:rFonts w:ascii="Times New Roman" w:hAnsi="Times New Roman"/>
                <w:sz w:val="24"/>
              </w:rPr>
              <w:tab/>
              <w:t>Equity</w:t>
            </w:r>
          </w:p>
          <w:p w:rsidR="00802958" w:rsidRPr="00661595" w:rsidRDefault="00802958" w:rsidP="00802958">
            <w:pPr>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MKR SA EQU template at the level of total national markets. </w:t>
            </w:r>
          </w:p>
        </w:tc>
      </w:tr>
      <w:tr w:rsidR="00802958" w:rsidRPr="00661595" w:rsidTr="00672D2A">
        <w:tc>
          <w:tcPr>
            <w:tcW w:w="1591" w:type="dxa"/>
          </w:tcPr>
          <w:p w:rsidR="00802958"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802958" w:rsidRPr="00661595">
              <w:rPr>
                <w:rStyle w:val="FormatvorlageInstructionsTabelleText"/>
                <w:rFonts w:ascii="Times New Roman" w:hAnsi="Times New Roman"/>
                <w:sz w:val="24"/>
              </w:rPr>
              <w:t>555</w:t>
            </w:r>
          </w:p>
        </w:tc>
        <w:tc>
          <w:tcPr>
            <w:tcW w:w="7274" w:type="dxa"/>
          </w:tcPr>
          <w:p w:rsidR="00802958" w:rsidRPr="00661595" w:rsidRDefault="00802958"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1.3.1.3</w:t>
            </w:r>
            <w:r w:rsidRPr="00661595">
              <w:rPr>
                <w:rStyle w:val="InstructionsTabelleberschrift"/>
                <w:rFonts w:ascii="Times New Roman" w:hAnsi="Times New Roman"/>
                <w:sz w:val="24"/>
              </w:rPr>
              <w:tab/>
              <w:t>Particular approach for position risk in CIUs</w:t>
            </w:r>
          </w:p>
          <w:p w:rsidR="00802958" w:rsidRPr="00661595" w:rsidRDefault="00802958" w:rsidP="00802958">
            <w:pPr>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Article 348(1), </w:t>
            </w:r>
            <w:r w:rsidR="006A6822" w:rsidRPr="00661595">
              <w:rPr>
                <w:rStyle w:val="FormatvorlageInstructionsTabelleText"/>
                <w:rFonts w:ascii="Times New Roman" w:hAnsi="Times New Roman"/>
                <w:sz w:val="24"/>
              </w:rPr>
              <w:t xml:space="preserve">point (c) of Article </w:t>
            </w:r>
            <w:r w:rsidRPr="00661595">
              <w:rPr>
                <w:rStyle w:val="FormatvorlageInstructionsTabelleText"/>
                <w:rFonts w:ascii="Times New Roman" w:hAnsi="Times New Roman"/>
                <w:sz w:val="24"/>
              </w:rPr>
              <w:t xml:space="preserve">350(3) and </w:t>
            </w:r>
            <w:r w:rsidR="006A6822" w:rsidRPr="00661595">
              <w:rPr>
                <w:rStyle w:val="FormatvorlageInstructionsTabelleText"/>
                <w:rFonts w:ascii="Times New Roman" w:hAnsi="Times New Roman"/>
                <w:sz w:val="24"/>
              </w:rPr>
              <w:t xml:space="preserve">point (a) of Article </w:t>
            </w:r>
            <w:r w:rsidRPr="00661595">
              <w:rPr>
                <w:rStyle w:val="FormatvorlageInstructionsTabelleText"/>
                <w:rFonts w:ascii="Times New Roman" w:hAnsi="Times New Roman"/>
                <w:sz w:val="24"/>
              </w:rPr>
              <w:t>364(2) CRR</w:t>
            </w:r>
          </w:p>
          <w:p w:rsidR="00802958" w:rsidRPr="00661595" w:rsidRDefault="00802958" w:rsidP="00802958">
            <w:pPr>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Total risk exposure amount for positions in CIUs if capital requirements are calculated </w:t>
            </w:r>
            <w:r w:rsidR="006A6822" w:rsidRPr="00661595">
              <w:rPr>
                <w:rStyle w:val="FormatvorlageInstructionsTabelleText"/>
                <w:rFonts w:ascii="Times New Roman" w:hAnsi="Times New Roman"/>
                <w:sz w:val="24"/>
              </w:rPr>
              <w:t>in accordance with</w:t>
            </w:r>
            <w:r w:rsidRPr="00661595">
              <w:rPr>
                <w:rStyle w:val="FormatvorlageInstructionsTabelleText"/>
                <w:rFonts w:ascii="Times New Roman" w:hAnsi="Times New Roman"/>
                <w:sz w:val="24"/>
              </w:rPr>
              <w:t xml:space="preserve"> Article 348(1) CRR either immediately or as a consequence of the cap </w:t>
            </w:r>
            <w:r w:rsidR="006A6822" w:rsidRPr="00661595">
              <w:rPr>
                <w:rStyle w:val="FormatvorlageInstructionsTabelleText"/>
                <w:rFonts w:ascii="Times New Roman" w:hAnsi="Times New Roman"/>
                <w:sz w:val="24"/>
              </w:rPr>
              <w:t xml:space="preserve">laid down </w:t>
            </w:r>
            <w:r w:rsidRPr="00661595">
              <w:rPr>
                <w:rStyle w:val="FormatvorlageInstructionsTabelleText"/>
                <w:rFonts w:ascii="Times New Roman" w:hAnsi="Times New Roman"/>
                <w:sz w:val="24"/>
              </w:rPr>
              <w:t xml:space="preserve">in </w:t>
            </w:r>
            <w:r w:rsidR="006A6822" w:rsidRPr="00661595">
              <w:rPr>
                <w:rStyle w:val="FormatvorlageInstructionsTabelleText"/>
                <w:rFonts w:ascii="Times New Roman" w:hAnsi="Times New Roman"/>
                <w:sz w:val="24"/>
              </w:rPr>
              <w:t xml:space="preserve">point (c) of </w:t>
            </w:r>
            <w:r w:rsidRPr="00661595">
              <w:rPr>
                <w:rStyle w:val="FormatvorlageInstructionsTabelleText"/>
                <w:rFonts w:ascii="Times New Roman" w:hAnsi="Times New Roman"/>
                <w:sz w:val="24"/>
              </w:rPr>
              <w:t>Article 350(3) CRR. CRR does not explicitly assign those positions to either the interest rate risk or the equity risk.</w:t>
            </w:r>
          </w:p>
          <w:p w:rsidR="00802958" w:rsidRPr="00661595" w:rsidRDefault="00FF2818" w:rsidP="00802958">
            <w:pPr>
              <w:rPr>
                <w:rStyle w:val="FormatvorlageInstructionsTabelleText"/>
                <w:rFonts w:ascii="Times New Roman" w:hAnsi="Times New Roman"/>
                <w:sz w:val="24"/>
              </w:rPr>
            </w:pPr>
            <w:r w:rsidRPr="00661595">
              <w:rPr>
                <w:rStyle w:val="FormatvorlageInstructionsTabelleText"/>
                <w:rFonts w:ascii="Times New Roman" w:hAnsi="Times New Roman"/>
                <w:sz w:val="24"/>
              </w:rPr>
              <w:t>Where</w:t>
            </w:r>
            <w:r w:rsidR="00802958" w:rsidRPr="00661595">
              <w:rPr>
                <w:rStyle w:val="FormatvorlageInstructionsTabelleText"/>
                <w:rFonts w:ascii="Times New Roman" w:hAnsi="Times New Roman"/>
                <w:sz w:val="24"/>
              </w:rPr>
              <w:t xml:space="preserve"> the particular approach </w:t>
            </w:r>
            <w:r w:rsidR="006A6822" w:rsidRPr="00661595">
              <w:rPr>
                <w:rStyle w:val="FormatvorlageInstructionsTabelleText"/>
                <w:rFonts w:ascii="Times New Roman" w:hAnsi="Times New Roman"/>
                <w:sz w:val="24"/>
              </w:rPr>
              <w:t>laid down in</w:t>
            </w:r>
            <w:r w:rsidR="00802958" w:rsidRPr="00661595">
              <w:rPr>
                <w:rStyle w:val="FormatvorlageInstructionsTabelleText"/>
                <w:rFonts w:ascii="Times New Roman" w:hAnsi="Times New Roman"/>
                <w:sz w:val="24"/>
              </w:rPr>
              <w:t xml:space="preserve"> the first sentence of Article 348(1) </w:t>
            </w:r>
            <w:r w:rsidR="00C7103D" w:rsidRPr="00661595">
              <w:rPr>
                <w:rStyle w:val="FormatvorlageInstructionsTabelleText"/>
                <w:rFonts w:ascii="Times New Roman" w:hAnsi="Times New Roman"/>
                <w:sz w:val="24"/>
              </w:rPr>
              <w:t>CRR</w:t>
            </w:r>
            <w:r w:rsidR="00802958" w:rsidRPr="00661595">
              <w:rPr>
                <w:rStyle w:val="FormatvorlageInstructionsTabelleText"/>
                <w:rFonts w:ascii="Times New Roman" w:hAnsi="Times New Roman"/>
                <w:sz w:val="24"/>
              </w:rPr>
              <w:t xml:space="preserve"> is applied, the amount to be reported </w:t>
            </w:r>
            <w:r w:rsidR="006A6822" w:rsidRPr="00661595">
              <w:rPr>
                <w:rStyle w:val="FormatvorlageInstructionsTabelleText"/>
                <w:rFonts w:ascii="Times New Roman" w:hAnsi="Times New Roman"/>
                <w:sz w:val="24"/>
              </w:rPr>
              <w:t xml:space="preserve">shall be </w:t>
            </w:r>
            <w:r w:rsidR="00802958" w:rsidRPr="00661595">
              <w:rPr>
                <w:rStyle w:val="FormatvorlageInstructionsTabelleText"/>
                <w:rFonts w:ascii="Times New Roman" w:hAnsi="Times New Roman"/>
                <w:sz w:val="24"/>
              </w:rPr>
              <w:t xml:space="preserve">32% of the net position of the CIU exposure in question, multiplied by 12,5. </w:t>
            </w:r>
          </w:p>
          <w:p w:rsidR="00802958" w:rsidRPr="00661595" w:rsidRDefault="00FF2818" w:rsidP="006A6822">
            <w:pPr>
              <w:rPr>
                <w:rStyle w:val="InstructionsTabelleberschrift"/>
                <w:rFonts w:ascii="Times New Roman" w:hAnsi="Times New Roman"/>
                <w:sz w:val="24"/>
              </w:rPr>
            </w:pPr>
            <w:r w:rsidRPr="00661595">
              <w:rPr>
                <w:rStyle w:val="FormatvorlageInstructionsTabelleText"/>
                <w:rFonts w:ascii="Times New Roman" w:hAnsi="Times New Roman"/>
                <w:sz w:val="24"/>
              </w:rPr>
              <w:t>Where</w:t>
            </w:r>
            <w:r w:rsidR="00802958" w:rsidRPr="00661595">
              <w:rPr>
                <w:rStyle w:val="FormatvorlageInstructionsTabelleText"/>
                <w:rFonts w:ascii="Times New Roman" w:hAnsi="Times New Roman"/>
                <w:sz w:val="24"/>
              </w:rPr>
              <w:t xml:space="preserve"> the particular approach </w:t>
            </w:r>
            <w:r w:rsidR="006A6822" w:rsidRPr="00661595">
              <w:rPr>
                <w:rStyle w:val="FormatvorlageInstructionsTabelleText"/>
                <w:rFonts w:ascii="Times New Roman" w:hAnsi="Times New Roman"/>
                <w:sz w:val="24"/>
              </w:rPr>
              <w:t>laid down in the second</w:t>
            </w:r>
            <w:r w:rsidR="00802958" w:rsidRPr="00661595">
              <w:rPr>
                <w:rStyle w:val="FormatvorlageInstructionsTabelleText"/>
                <w:rFonts w:ascii="Times New Roman" w:hAnsi="Times New Roman"/>
                <w:sz w:val="24"/>
              </w:rPr>
              <w:t xml:space="preserve"> </w:t>
            </w:r>
            <w:r w:rsidR="006A6822" w:rsidRPr="00661595">
              <w:rPr>
                <w:rStyle w:val="FormatvorlageInstructionsTabelleText"/>
                <w:rFonts w:ascii="Times New Roman" w:hAnsi="Times New Roman"/>
                <w:sz w:val="24"/>
              </w:rPr>
              <w:t xml:space="preserve">sentence of </w:t>
            </w:r>
            <w:r w:rsidR="00802958" w:rsidRPr="00661595">
              <w:rPr>
                <w:rStyle w:val="FormatvorlageInstructionsTabelleText"/>
                <w:rFonts w:ascii="Times New Roman" w:hAnsi="Times New Roman"/>
                <w:sz w:val="24"/>
              </w:rPr>
              <w:t xml:space="preserve">Article 348(1) </w:t>
            </w:r>
            <w:r w:rsidR="00C7103D" w:rsidRPr="00661595">
              <w:rPr>
                <w:rStyle w:val="FormatvorlageInstructionsTabelleText"/>
                <w:rFonts w:ascii="Times New Roman" w:hAnsi="Times New Roman"/>
                <w:sz w:val="24"/>
              </w:rPr>
              <w:t>CRR</w:t>
            </w:r>
            <w:r w:rsidR="00802958" w:rsidRPr="00661595">
              <w:rPr>
                <w:rStyle w:val="FormatvorlageInstructionsTabelleText"/>
                <w:rFonts w:ascii="Times New Roman" w:hAnsi="Times New Roman"/>
                <w:sz w:val="24"/>
              </w:rPr>
              <w:t xml:space="preserve"> is applied, the amount to be reported </w:t>
            </w:r>
            <w:r w:rsidR="006A6822" w:rsidRPr="00661595">
              <w:rPr>
                <w:rStyle w:val="FormatvorlageInstructionsTabelleText"/>
                <w:rFonts w:ascii="Times New Roman" w:hAnsi="Times New Roman"/>
                <w:sz w:val="24"/>
              </w:rPr>
              <w:t xml:space="preserve">shall be </w:t>
            </w:r>
            <w:r w:rsidR="00802958" w:rsidRPr="00661595">
              <w:rPr>
                <w:rStyle w:val="FormatvorlageInstructionsTabelleText"/>
                <w:rFonts w:ascii="Times New Roman" w:hAnsi="Times New Roman"/>
                <w:sz w:val="24"/>
              </w:rPr>
              <w:t>the lower of 32% of the net position of the relevant CIU exposure and the difference between 40% of this net position and the own funds requirements that arise from the foreign exchange risk associated with this CIU exposure, multiplied by 12,5 respectively.</w:t>
            </w:r>
          </w:p>
        </w:tc>
      </w:tr>
      <w:tr w:rsidR="00802958" w:rsidRPr="00661595" w:rsidTr="00672D2A">
        <w:tc>
          <w:tcPr>
            <w:tcW w:w="1591" w:type="dxa"/>
          </w:tcPr>
          <w:p w:rsidR="00802958"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802958" w:rsidRPr="00661595">
              <w:rPr>
                <w:rStyle w:val="FormatvorlageInstructionsTabelleText"/>
                <w:rFonts w:ascii="Times New Roman" w:hAnsi="Times New Roman"/>
                <w:sz w:val="24"/>
              </w:rPr>
              <w:t>556</w:t>
            </w:r>
          </w:p>
        </w:tc>
        <w:tc>
          <w:tcPr>
            <w:tcW w:w="7274" w:type="dxa"/>
          </w:tcPr>
          <w:p w:rsidR="00802958" w:rsidRPr="00661595" w:rsidRDefault="00802958"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1.3.1.3.*</w:t>
            </w:r>
            <w:r w:rsidRPr="00661595">
              <w:rPr>
                <w:rStyle w:val="InstructionsTabelleberschrift"/>
                <w:rFonts w:ascii="Times New Roman" w:hAnsi="Times New Roman"/>
                <w:sz w:val="24"/>
              </w:rPr>
              <w:tab/>
              <w:t>Memo item: CIUs exclusively invested in traded debt instruments</w:t>
            </w:r>
          </w:p>
          <w:p w:rsidR="00802958" w:rsidRPr="00661595" w:rsidRDefault="00802958" w:rsidP="00802958">
            <w:pPr>
              <w:rPr>
                <w:rStyle w:val="InstructionsTabelleberschrift"/>
                <w:rFonts w:ascii="Times New Roman" w:hAnsi="Times New Roman"/>
                <w:sz w:val="24"/>
              </w:rPr>
            </w:pPr>
            <w:r w:rsidRPr="00661595">
              <w:rPr>
                <w:rStyle w:val="FormatvorlageInstructionsTabelleText"/>
                <w:rFonts w:ascii="Times New Roman" w:hAnsi="Times New Roman"/>
                <w:sz w:val="24"/>
              </w:rPr>
              <w:t>Total risk exposure amount for positions in CIUs if the CIU is invested exclusively in instruments subject to interest rate risk.</w:t>
            </w:r>
          </w:p>
        </w:tc>
      </w:tr>
      <w:tr w:rsidR="00802958" w:rsidRPr="00661595" w:rsidTr="00672D2A">
        <w:tc>
          <w:tcPr>
            <w:tcW w:w="1591" w:type="dxa"/>
          </w:tcPr>
          <w:p w:rsidR="00802958"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802958" w:rsidRPr="00661595">
              <w:rPr>
                <w:rStyle w:val="FormatvorlageInstructionsTabelleText"/>
                <w:rFonts w:ascii="Times New Roman" w:hAnsi="Times New Roman"/>
                <w:sz w:val="24"/>
              </w:rPr>
              <w:t>557</w:t>
            </w:r>
          </w:p>
        </w:tc>
        <w:tc>
          <w:tcPr>
            <w:tcW w:w="7274" w:type="dxa"/>
          </w:tcPr>
          <w:p w:rsidR="00802958" w:rsidRPr="00661595" w:rsidRDefault="00802958"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1.3.1.3.**</w:t>
            </w:r>
            <w:r w:rsidRPr="00661595">
              <w:rPr>
                <w:rStyle w:val="InstructionsTabelleberschrift"/>
                <w:rFonts w:ascii="Times New Roman" w:hAnsi="Times New Roman"/>
                <w:sz w:val="24"/>
              </w:rPr>
              <w:tab/>
              <w:t>CIUs invested exclusively in equity instruments or in mixed instruments</w:t>
            </w:r>
          </w:p>
          <w:p w:rsidR="00802958" w:rsidRPr="00661595" w:rsidRDefault="00802958" w:rsidP="00802958">
            <w:pPr>
              <w:rPr>
                <w:rStyle w:val="InstructionsTabelleberschrift"/>
                <w:rFonts w:ascii="Times New Roman" w:hAnsi="Times New Roman"/>
                <w:sz w:val="24"/>
              </w:rPr>
            </w:pPr>
            <w:r w:rsidRPr="00661595">
              <w:rPr>
                <w:rStyle w:val="FormatvorlageInstructionsTabelleText"/>
                <w:rFonts w:ascii="Times New Roman" w:hAnsi="Times New Roman"/>
                <w:sz w:val="24"/>
              </w:rPr>
              <w:t>Total risk exposure amount for positions in CIUs if the CIU is invested either exclusively in instruments subject to equity risk or in mixed instruments or if the constituents of the CIU are unknown.</w:t>
            </w:r>
          </w:p>
        </w:tc>
      </w:tr>
      <w:tr w:rsidR="00802958" w:rsidRPr="00661595" w:rsidTr="00672D2A">
        <w:tc>
          <w:tcPr>
            <w:tcW w:w="1591" w:type="dxa"/>
          </w:tcPr>
          <w:p w:rsidR="00802958"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802958" w:rsidRPr="00661595">
              <w:rPr>
                <w:rStyle w:val="FormatvorlageInstructionsTabelleText"/>
                <w:rFonts w:ascii="Times New Roman" w:hAnsi="Times New Roman"/>
                <w:sz w:val="24"/>
              </w:rPr>
              <w:t>560</w:t>
            </w:r>
          </w:p>
        </w:tc>
        <w:tc>
          <w:tcPr>
            <w:tcW w:w="7274" w:type="dxa"/>
          </w:tcPr>
          <w:p w:rsidR="00802958" w:rsidRPr="00661595" w:rsidRDefault="00802958" w:rsidP="00487A02">
            <w:pPr>
              <w:pStyle w:val="InstructionsText"/>
              <w:rPr>
                <w:rStyle w:val="InstructionsTabelleberschrift"/>
                <w:rFonts w:ascii="Times New Roman" w:hAnsi="Times New Roman"/>
                <w:bCs w:val="0"/>
                <w:sz w:val="24"/>
                <w:lang w:eastAsia="en-US"/>
              </w:rPr>
            </w:pPr>
            <w:r w:rsidRPr="00661595">
              <w:rPr>
                <w:rStyle w:val="InstructionsTabelleberschrift"/>
                <w:rFonts w:ascii="Times New Roman" w:hAnsi="Times New Roman"/>
                <w:sz w:val="24"/>
              </w:rPr>
              <w:t>1.3.1.4</w:t>
            </w:r>
            <w:r w:rsidRPr="00661595">
              <w:rPr>
                <w:rStyle w:val="InstructionsTabelleberschrift"/>
                <w:rFonts w:ascii="Times New Roman" w:hAnsi="Times New Roman"/>
                <w:sz w:val="24"/>
              </w:rPr>
              <w:tab/>
              <w:t>Foreign Exchange</w:t>
            </w:r>
          </w:p>
          <w:p w:rsidR="00802958" w:rsidRPr="00661595" w:rsidRDefault="00802958" w:rsidP="00802958">
            <w:pPr>
              <w:rPr>
                <w:rStyle w:val="FormatvorlageInstructionsTabelleText"/>
                <w:rFonts w:ascii="Times New Roman" w:hAnsi="Times New Roman"/>
                <w:sz w:val="24"/>
              </w:rPr>
            </w:pPr>
            <w:r w:rsidRPr="00661595">
              <w:rPr>
                <w:rStyle w:val="FormatvorlageInstructionsTabelleText"/>
                <w:rFonts w:ascii="Times New Roman" w:hAnsi="Times New Roman"/>
                <w:sz w:val="24"/>
              </w:rPr>
              <w:t>See MKR SA FX template</w:t>
            </w:r>
          </w:p>
        </w:tc>
      </w:tr>
      <w:tr w:rsidR="00802958" w:rsidRPr="00661595" w:rsidTr="00672D2A">
        <w:tc>
          <w:tcPr>
            <w:tcW w:w="1591" w:type="dxa"/>
          </w:tcPr>
          <w:p w:rsidR="00802958"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802958" w:rsidRPr="00661595">
              <w:rPr>
                <w:rStyle w:val="FormatvorlageInstructionsTabelleText"/>
                <w:rFonts w:ascii="Times New Roman" w:hAnsi="Times New Roman"/>
                <w:sz w:val="24"/>
              </w:rPr>
              <w:t>570</w:t>
            </w:r>
          </w:p>
        </w:tc>
        <w:tc>
          <w:tcPr>
            <w:tcW w:w="7274" w:type="dxa"/>
          </w:tcPr>
          <w:p w:rsidR="00802958" w:rsidRPr="00661595" w:rsidRDefault="00802958" w:rsidP="00487A02">
            <w:pPr>
              <w:pStyle w:val="InstructionsText"/>
              <w:rPr>
                <w:rStyle w:val="InstructionsTabelleberschrift"/>
                <w:rFonts w:ascii="Times New Roman" w:hAnsi="Times New Roman"/>
                <w:bCs w:val="0"/>
                <w:sz w:val="24"/>
                <w:lang w:eastAsia="en-US"/>
              </w:rPr>
            </w:pPr>
            <w:r w:rsidRPr="00661595">
              <w:rPr>
                <w:rStyle w:val="InstructionsTabelleberschrift"/>
                <w:rFonts w:ascii="Times New Roman" w:hAnsi="Times New Roman"/>
                <w:sz w:val="24"/>
              </w:rPr>
              <w:t>1.3.1.5</w:t>
            </w:r>
            <w:r w:rsidRPr="00661595">
              <w:rPr>
                <w:rStyle w:val="InstructionsTabelleberschrift"/>
                <w:rFonts w:ascii="Times New Roman" w:hAnsi="Times New Roman"/>
                <w:sz w:val="24"/>
              </w:rPr>
              <w:tab/>
              <w:t>Commodities</w:t>
            </w:r>
          </w:p>
          <w:p w:rsidR="00802958" w:rsidRPr="00661595" w:rsidRDefault="00802958" w:rsidP="00802958">
            <w:pPr>
              <w:rPr>
                <w:rStyle w:val="FormatvorlageInstructionsTabelleText"/>
                <w:rFonts w:ascii="Times New Roman" w:hAnsi="Times New Roman"/>
                <w:sz w:val="24"/>
              </w:rPr>
            </w:pPr>
            <w:r w:rsidRPr="00661595">
              <w:rPr>
                <w:rStyle w:val="FormatvorlageInstructionsTabelleText"/>
                <w:rFonts w:ascii="Times New Roman" w:hAnsi="Times New Roman"/>
                <w:sz w:val="24"/>
              </w:rPr>
              <w:t>See MKR SA COM template</w:t>
            </w:r>
          </w:p>
        </w:tc>
      </w:tr>
      <w:tr w:rsidR="00802958" w:rsidRPr="00661595" w:rsidTr="00672D2A">
        <w:tc>
          <w:tcPr>
            <w:tcW w:w="1591" w:type="dxa"/>
          </w:tcPr>
          <w:p w:rsidR="00802958" w:rsidRPr="00661595" w:rsidRDefault="00B13F06" w:rsidP="00487A02">
            <w:pPr>
              <w:pStyle w:val="InstructionsText"/>
              <w:rPr>
                <w:rStyle w:val="FormatvorlageInstructionsTabelleText"/>
                <w:rFonts w:ascii="Times New Roman" w:hAnsi="Times New Roman"/>
                <w:bCs w:val="0"/>
                <w:sz w:val="24"/>
                <w:lang w:eastAsia="en-US"/>
              </w:rPr>
            </w:pPr>
            <w:r w:rsidRPr="00661595">
              <w:rPr>
                <w:rStyle w:val="FormatvorlageInstructionsTabelleText"/>
                <w:rFonts w:ascii="Times New Roman" w:hAnsi="Times New Roman"/>
                <w:sz w:val="24"/>
              </w:rPr>
              <w:t>0</w:t>
            </w:r>
            <w:r w:rsidR="00802958" w:rsidRPr="00661595">
              <w:rPr>
                <w:rStyle w:val="FormatvorlageInstructionsTabelleText"/>
                <w:rFonts w:ascii="Times New Roman" w:hAnsi="Times New Roman"/>
                <w:sz w:val="24"/>
              </w:rPr>
              <w:t>580</w:t>
            </w:r>
          </w:p>
        </w:tc>
        <w:tc>
          <w:tcPr>
            <w:tcW w:w="7274" w:type="dxa"/>
          </w:tcPr>
          <w:p w:rsidR="00802958" w:rsidRPr="00661595" w:rsidRDefault="00802958" w:rsidP="00487A02">
            <w:pPr>
              <w:pStyle w:val="InstructionsText"/>
              <w:rPr>
                <w:rStyle w:val="InstructionsTabelleberschrift"/>
                <w:rFonts w:ascii="Times New Roman" w:hAnsi="Times New Roman"/>
                <w:bCs w:val="0"/>
                <w:sz w:val="24"/>
                <w:lang w:eastAsia="en-US"/>
              </w:rPr>
            </w:pPr>
            <w:r w:rsidRPr="00661595">
              <w:rPr>
                <w:rStyle w:val="InstructionsTabelleberschrift"/>
                <w:rFonts w:ascii="Times New Roman" w:hAnsi="Times New Roman"/>
                <w:sz w:val="24"/>
              </w:rPr>
              <w:t>1.3.2</w:t>
            </w:r>
            <w:r w:rsidRPr="00661595">
              <w:rPr>
                <w:rStyle w:val="InstructionsTabelleberschrift"/>
                <w:rFonts w:ascii="Times New Roman" w:hAnsi="Times New Roman"/>
                <w:sz w:val="24"/>
              </w:rPr>
              <w:tab/>
              <w:t>Risk exposure amount for positions, foreign exchange and commodity risks under internal models (IM)</w:t>
            </w:r>
          </w:p>
          <w:p w:rsidR="00802958" w:rsidRPr="00661595" w:rsidRDefault="00802958" w:rsidP="00802958">
            <w:pPr>
              <w:rPr>
                <w:rStyle w:val="FormatvorlageInstructionsTabelleText"/>
                <w:rFonts w:ascii="Times New Roman" w:hAnsi="Times New Roman"/>
                <w:sz w:val="24"/>
              </w:rPr>
            </w:pPr>
            <w:r w:rsidRPr="00661595">
              <w:rPr>
                <w:rStyle w:val="FormatvorlageInstructionsTabelleText"/>
                <w:rFonts w:ascii="Times New Roman" w:hAnsi="Times New Roman"/>
                <w:sz w:val="24"/>
              </w:rPr>
              <w:t>See MKR IM template</w:t>
            </w:r>
          </w:p>
        </w:tc>
      </w:tr>
      <w:tr w:rsidR="00802958" w:rsidRPr="00661595" w:rsidTr="00672D2A">
        <w:tc>
          <w:tcPr>
            <w:tcW w:w="1591" w:type="dxa"/>
          </w:tcPr>
          <w:p w:rsidR="00802958"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802958" w:rsidRPr="00661595">
              <w:rPr>
                <w:rStyle w:val="FormatvorlageInstructionsTabelleText"/>
                <w:rFonts w:ascii="Times New Roman" w:hAnsi="Times New Roman"/>
                <w:sz w:val="24"/>
              </w:rPr>
              <w:t>590</w:t>
            </w:r>
          </w:p>
        </w:tc>
        <w:tc>
          <w:tcPr>
            <w:tcW w:w="7274" w:type="dxa"/>
          </w:tcPr>
          <w:p w:rsidR="00802958" w:rsidRPr="00661595" w:rsidRDefault="00802958" w:rsidP="00487A02">
            <w:pPr>
              <w:pStyle w:val="InstructionsText"/>
              <w:rPr>
                <w:rStyle w:val="InstructionsTabelleberschrift"/>
                <w:rFonts w:ascii="Times New Roman" w:hAnsi="Times New Roman"/>
                <w:bCs w:val="0"/>
                <w:sz w:val="24"/>
                <w:lang w:eastAsia="en-US"/>
              </w:rPr>
            </w:pPr>
            <w:r w:rsidRPr="00661595">
              <w:rPr>
                <w:rStyle w:val="InstructionsTabelleberschrift"/>
                <w:rFonts w:ascii="Times New Roman" w:hAnsi="Times New Roman"/>
                <w:sz w:val="24"/>
              </w:rPr>
              <w:t>1.4</w:t>
            </w:r>
            <w:r w:rsidRPr="00661595">
              <w:rPr>
                <w:rStyle w:val="InstructionsTabelleberschrift"/>
                <w:rFonts w:ascii="Times New Roman" w:hAnsi="Times New Roman"/>
                <w:sz w:val="24"/>
              </w:rPr>
              <w:tab/>
              <w:t>TOTAL RISK EXPOSURE AMOUNT FOR OPERATIONAL RISK (OpR)</w:t>
            </w:r>
          </w:p>
          <w:p w:rsidR="00802958" w:rsidRPr="00661595" w:rsidRDefault="006A6822" w:rsidP="00487A02">
            <w:pPr>
              <w:pStyle w:val="InstructionsText"/>
              <w:rPr>
                <w:rStyle w:val="FormatvorlageInstructionsTabelleText"/>
                <w:rFonts w:ascii="Times New Roman" w:hAnsi="Times New Roman"/>
                <w:bCs w:val="0"/>
                <w:sz w:val="24"/>
                <w:lang w:eastAsia="en-US"/>
              </w:rPr>
            </w:pPr>
            <w:r w:rsidRPr="00661595">
              <w:rPr>
                <w:rStyle w:val="FormatvorlageInstructionsTabelleText"/>
                <w:rFonts w:ascii="Times New Roman" w:hAnsi="Times New Roman"/>
                <w:sz w:val="24"/>
              </w:rPr>
              <w:t xml:space="preserve">Point (e) of </w:t>
            </w:r>
            <w:r w:rsidR="00802958" w:rsidRPr="00661595">
              <w:rPr>
                <w:rStyle w:val="FormatvorlageInstructionsTabelleText"/>
                <w:rFonts w:ascii="Times New Roman" w:hAnsi="Times New Roman"/>
                <w:sz w:val="24"/>
              </w:rPr>
              <w:t xml:space="preserve">Article 92(3) and </w:t>
            </w:r>
            <w:r w:rsidRPr="00661595">
              <w:rPr>
                <w:rStyle w:val="FormatvorlageInstructionsTabelleText"/>
                <w:rFonts w:ascii="Times New Roman" w:hAnsi="Times New Roman"/>
                <w:sz w:val="24"/>
              </w:rPr>
              <w:t xml:space="preserve">point (b) of Article </w:t>
            </w:r>
            <w:r w:rsidR="00802958" w:rsidRPr="00661595">
              <w:rPr>
                <w:rStyle w:val="FormatvorlageInstructionsTabelleText"/>
                <w:rFonts w:ascii="Times New Roman" w:hAnsi="Times New Roman"/>
                <w:sz w:val="24"/>
              </w:rPr>
              <w:t xml:space="preserve">92(4) </w:t>
            </w:r>
            <w:r w:rsidR="00C7103D" w:rsidRPr="00661595">
              <w:rPr>
                <w:rStyle w:val="FormatvorlageInstructionsTabelleText"/>
                <w:rFonts w:ascii="Times New Roman" w:hAnsi="Times New Roman"/>
                <w:sz w:val="24"/>
              </w:rPr>
              <w:t>CRR</w:t>
            </w:r>
          </w:p>
          <w:p w:rsidR="00802958" w:rsidRPr="00661595" w:rsidRDefault="00802958" w:rsidP="006A6822">
            <w:pPr>
              <w:rPr>
                <w:rStyle w:val="FormatvorlageInstructionsTabelleText"/>
                <w:rFonts w:ascii="Times New Roman" w:hAnsi="Times New Roman"/>
                <w:sz w:val="24"/>
              </w:rPr>
            </w:pPr>
            <w:r w:rsidRPr="00661595">
              <w:rPr>
                <w:rStyle w:val="FormatvorlageInstructionsTabelleText"/>
                <w:rFonts w:ascii="Times New Roman" w:hAnsi="Times New Roman"/>
                <w:sz w:val="24"/>
              </w:rPr>
              <w:t>For investment firms under Article</w:t>
            </w:r>
            <w:r w:rsidR="00FF2818" w:rsidRPr="00661595">
              <w:rPr>
                <w:rStyle w:val="FormatvorlageInstructionsTabelleText"/>
                <w:rFonts w:ascii="Times New Roman" w:hAnsi="Times New Roman"/>
                <w:sz w:val="24"/>
              </w:rPr>
              <w:t>s</w:t>
            </w:r>
            <w:r w:rsidRPr="00661595">
              <w:rPr>
                <w:rStyle w:val="FormatvorlageInstructionsTabelleText"/>
                <w:rFonts w:ascii="Times New Roman" w:hAnsi="Times New Roman"/>
                <w:sz w:val="24"/>
              </w:rPr>
              <w:t xml:space="preserve"> 95(2)</w:t>
            </w:r>
            <w:r w:rsidR="00FF2818" w:rsidRPr="00661595">
              <w:rPr>
                <w:rStyle w:val="FormatvorlageInstructionsTabelleText"/>
                <w:rFonts w:ascii="Times New Roman" w:hAnsi="Times New Roman"/>
                <w:sz w:val="24"/>
              </w:rPr>
              <w:t xml:space="preserve"> and</w:t>
            </w:r>
            <w:r w:rsidRPr="00661595">
              <w:rPr>
                <w:rStyle w:val="FormatvorlageInstructionsTabelleText"/>
                <w:rFonts w:ascii="Times New Roman" w:hAnsi="Times New Roman"/>
                <w:sz w:val="24"/>
              </w:rPr>
              <w:t xml:space="preserve"> 96(2) and Article98 </w:t>
            </w:r>
            <w:r w:rsidR="00C7103D" w:rsidRPr="00661595">
              <w:rPr>
                <w:rStyle w:val="FormatvorlageInstructionsTabelleText"/>
                <w:rFonts w:ascii="Times New Roman" w:hAnsi="Times New Roman"/>
                <w:sz w:val="24"/>
              </w:rPr>
              <w:t>CRR</w:t>
            </w:r>
            <w:r w:rsidR="00FF2818" w:rsidRPr="00661595">
              <w:rPr>
                <w:rStyle w:val="FormatvorlageInstructionsTabelleText"/>
                <w:rFonts w:ascii="Times New Roman" w:hAnsi="Times New Roman"/>
                <w:sz w:val="24"/>
              </w:rPr>
              <w:t>,</w:t>
            </w:r>
            <w:r w:rsidRPr="00661595">
              <w:rPr>
                <w:rStyle w:val="FormatvorlageInstructionsTabelleText"/>
                <w:rFonts w:ascii="Times New Roman" w:hAnsi="Times New Roman"/>
                <w:sz w:val="24"/>
              </w:rPr>
              <w:t xml:space="preserve"> this element shall be zero.</w:t>
            </w:r>
          </w:p>
        </w:tc>
      </w:tr>
      <w:tr w:rsidR="00802958" w:rsidRPr="00661595" w:rsidTr="00672D2A">
        <w:tc>
          <w:tcPr>
            <w:tcW w:w="1591" w:type="dxa"/>
          </w:tcPr>
          <w:p w:rsidR="00802958" w:rsidRPr="00661595" w:rsidRDefault="00B13F06" w:rsidP="00487A02">
            <w:pPr>
              <w:pStyle w:val="InstructionsText"/>
              <w:rPr>
                <w:rStyle w:val="FormatvorlageInstructionsTabelleText"/>
                <w:rFonts w:ascii="Times New Roman" w:hAnsi="Times New Roman"/>
                <w:bCs w:val="0"/>
                <w:sz w:val="24"/>
                <w:lang w:eastAsia="en-US"/>
              </w:rPr>
            </w:pPr>
            <w:r w:rsidRPr="00661595">
              <w:rPr>
                <w:rStyle w:val="FormatvorlageInstructionsTabelleText"/>
                <w:rFonts w:ascii="Times New Roman" w:hAnsi="Times New Roman"/>
                <w:sz w:val="24"/>
              </w:rPr>
              <w:t>0</w:t>
            </w:r>
            <w:r w:rsidR="00802958" w:rsidRPr="00661595">
              <w:rPr>
                <w:rStyle w:val="FormatvorlageInstructionsTabelleText"/>
                <w:rFonts w:ascii="Times New Roman" w:hAnsi="Times New Roman"/>
                <w:sz w:val="24"/>
              </w:rPr>
              <w:t>600</w:t>
            </w:r>
          </w:p>
        </w:tc>
        <w:tc>
          <w:tcPr>
            <w:tcW w:w="7274" w:type="dxa"/>
          </w:tcPr>
          <w:p w:rsidR="00802958" w:rsidRPr="00661595" w:rsidRDefault="00802958" w:rsidP="00487A02">
            <w:pPr>
              <w:pStyle w:val="InstructionsText"/>
              <w:rPr>
                <w:rStyle w:val="FormatvorlageInstructionsTabelleText"/>
                <w:rFonts w:ascii="Times New Roman" w:hAnsi="Times New Roman"/>
                <w:bCs w:val="0"/>
                <w:sz w:val="24"/>
                <w:lang w:eastAsia="en-US"/>
              </w:rPr>
            </w:pPr>
            <w:r w:rsidRPr="00661595">
              <w:rPr>
                <w:rStyle w:val="InstructionsTabelleberschrift"/>
                <w:rFonts w:ascii="Times New Roman" w:hAnsi="Times New Roman"/>
                <w:sz w:val="24"/>
              </w:rPr>
              <w:t>1.4.1</w:t>
            </w:r>
            <w:r w:rsidRPr="00661595">
              <w:rPr>
                <w:rStyle w:val="InstructionsTabelleberschrift"/>
                <w:rFonts w:ascii="Times New Roman" w:hAnsi="Times New Roman"/>
                <w:sz w:val="24"/>
              </w:rPr>
              <w:tab/>
              <w:t>OpR Basic Indicator approach (BIA)</w:t>
            </w:r>
          </w:p>
          <w:p w:rsidR="00802958" w:rsidRPr="00661595" w:rsidRDefault="00802958" w:rsidP="00802958">
            <w:pPr>
              <w:rPr>
                <w:rStyle w:val="FormatvorlageInstructionsTabelleText"/>
                <w:rFonts w:ascii="Times New Roman" w:hAnsi="Times New Roman"/>
                <w:sz w:val="24"/>
              </w:rPr>
            </w:pPr>
            <w:r w:rsidRPr="00661595">
              <w:rPr>
                <w:rStyle w:val="FormatvorlageInstructionsTabelleText"/>
                <w:rFonts w:ascii="Times New Roman" w:hAnsi="Times New Roman"/>
                <w:sz w:val="24"/>
              </w:rPr>
              <w:t>See OPR template</w:t>
            </w:r>
          </w:p>
        </w:tc>
      </w:tr>
      <w:tr w:rsidR="00802958" w:rsidRPr="00661595" w:rsidTr="00672D2A">
        <w:tc>
          <w:tcPr>
            <w:tcW w:w="1591" w:type="dxa"/>
          </w:tcPr>
          <w:p w:rsidR="00802958"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802958" w:rsidRPr="00661595">
              <w:rPr>
                <w:rStyle w:val="FormatvorlageInstructionsTabelleText"/>
                <w:rFonts w:ascii="Times New Roman" w:hAnsi="Times New Roman"/>
                <w:sz w:val="24"/>
              </w:rPr>
              <w:t>610</w:t>
            </w:r>
          </w:p>
        </w:tc>
        <w:tc>
          <w:tcPr>
            <w:tcW w:w="7274" w:type="dxa"/>
          </w:tcPr>
          <w:p w:rsidR="00802958" w:rsidRPr="00661595" w:rsidRDefault="00802958" w:rsidP="00487A02">
            <w:pPr>
              <w:pStyle w:val="InstructionsText"/>
              <w:rPr>
                <w:rStyle w:val="InstructionsTabelleberschrift"/>
                <w:rFonts w:ascii="Times New Roman" w:hAnsi="Times New Roman"/>
                <w:bCs w:val="0"/>
                <w:sz w:val="24"/>
                <w:lang w:eastAsia="en-US"/>
              </w:rPr>
            </w:pPr>
            <w:r w:rsidRPr="00661595">
              <w:rPr>
                <w:rStyle w:val="InstructionsTabelleberschrift"/>
                <w:rFonts w:ascii="Times New Roman" w:hAnsi="Times New Roman"/>
                <w:sz w:val="24"/>
              </w:rPr>
              <w:t>1.4.2</w:t>
            </w:r>
            <w:r w:rsidRPr="00661595">
              <w:rPr>
                <w:rStyle w:val="InstructionsTabelleberschrift"/>
                <w:rFonts w:ascii="Times New Roman" w:hAnsi="Times New Roman"/>
                <w:sz w:val="24"/>
              </w:rPr>
              <w:tab/>
              <w:t>OpR Standardised (TSA) / Alternative Standardised (ASA) approaches</w:t>
            </w:r>
          </w:p>
          <w:p w:rsidR="00802958" w:rsidRPr="00661595" w:rsidRDefault="00802958" w:rsidP="00802958">
            <w:pPr>
              <w:rPr>
                <w:rStyle w:val="FormatvorlageInstructionsTabelleText"/>
                <w:rFonts w:ascii="Times New Roman" w:hAnsi="Times New Roman"/>
                <w:sz w:val="24"/>
              </w:rPr>
            </w:pPr>
            <w:r w:rsidRPr="00661595">
              <w:rPr>
                <w:rStyle w:val="FormatvorlageInstructionsTabelleText"/>
                <w:rFonts w:ascii="Times New Roman" w:hAnsi="Times New Roman"/>
                <w:sz w:val="24"/>
              </w:rPr>
              <w:t>See OPR template</w:t>
            </w:r>
          </w:p>
        </w:tc>
      </w:tr>
      <w:tr w:rsidR="00802958" w:rsidRPr="00661595" w:rsidTr="00672D2A">
        <w:tc>
          <w:tcPr>
            <w:tcW w:w="1591" w:type="dxa"/>
          </w:tcPr>
          <w:p w:rsidR="00802958"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802958" w:rsidRPr="00661595">
              <w:rPr>
                <w:rStyle w:val="FormatvorlageInstructionsTabelleText"/>
                <w:rFonts w:ascii="Times New Roman" w:hAnsi="Times New Roman"/>
                <w:sz w:val="24"/>
              </w:rPr>
              <w:t>620</w:t>
            </w:r>
          </w:p>
        </w:tc>
        <w:tc>
          <w:tcPr>
            <w:tcW w:w="7274" w:type="dxa"/>
          </w:tcPr>
          <w:p w:rsidR="00802958" w:rsidRPr="00661595" w:rsidRDefault="00802958" w:rsidP="00487A02">
            <w:pPr>
              <w:pStyle w:val="InstructionsText"/>
              <w:rPr>
                <w:rStyle w:val="InstructionsTabelleberschrift"/>
                <w:rFonts w:ascii="Times New Roman" w:hAnsi="Times New Roman"/>
                <w:bCs w:val="0"/>
                <w:sz w:val="24"/>
                <w:lang w:eastAsia="en-US"/>
              </w:rPr>
            </w:pPr>
            <w:r w:rsidRPr="00661595">
              <w:rPr>
                <w:rStyle w:val="InstructionsTabelleberschrift"/>
                <w:rFonts w:ascii="Times New Roman" w:hAnsi="Times New Roman"/>
                <w:sz w:val="24"/>
              </w:rPr>
              <w:t>1.4.3</w:t>
            </w:r>
            <w:r w:rsidRPr="00661595">
              <w:rPr>
                <w:rStyle w:val="InstructionsTabelleberschrift"/>
                <w:rFonts w:ascii="Times New Roman" w:hAnsi="Times New Roman"/>
                <w:sz w:val="24"/>
              </w:rPr>
              <w:tab/>
              <w:t>OpR Advanced measurement approaches (AMA)</w:t>
            </w:r>
          </w:p>
          <w:p w:rsidR="00802958" w:rsidRPr="00661595" w:rsidRDefault="00802958" w:rsidP="00802958">
            <w:pPr>
              <w:rPr>
                <w:rStyle w:val="FormatvorlageInstructionsTabelleText"/>
                <w:rFonts w:ascii="Times New Roman" w:hAnsi="Times New Roman"/>
                <w:sz w:val="24"/>
              </w:rPr>
            </w:pPr>
            <w:r w:rsidRPr="00661595">
              <w:rPr>
                <w:rStyle w:val="FormatvorlageInstructionsTabelleText"/>
                <w:rFonts w:ascii="Times New Roman" w:hAnsi="Times New Roman"/>
                <w:sz w:val="24"/>
              </w:rPr>
              <w:t>See OPR template</w:t>
            </w:r>
          </w:p>
        </w:tc>
      </w:tr>
      <w:tr w:rsidR="00802958" w:rsidRPr="00661595" w:rsidTr="00672D2A">
        <w:tc>
          <w:tcPr>
            <w:tcW w:w="1591" w:type="dxa"/>
          </w:tcPr>
          <w:p w:rsidR="00802958"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802958" w:rsidRPr="00661595">
              <w:rPr>
                <w:rStyle w:val="FormatvorlageInstructionsTabelleText"/>
                <w:rFonts w:ascii="Times New Roman" w:hAnsi="Times New Roman"/>
                <w:sz w:val="24"/>
              </w:rPr>
              <w:t>630</w:t>
            </w:r>
          </w:p>
        </w:tc>
        <w:tc>
          <w:tcPr>
            <w:tcW w:w="7274" w:type="dxa"/>
          </w:tcPr>
          <w:p w:rsidR="00802958" w:rsidRPr="00661595" w:rsidRDefault="00802958" w:rsidP="00487A02">
            <w:pPr>
              <w:pStyle w:val="InstructionsText"/>
              <w:rPr>
                <w:rStyle w:val="InstructionsTabelleberschrift"/>
                <w:rFonts w:ascii="Times New Roman" w:hAnsi="Times New Roman"/>
                <w:bCs w:val="0"/>
                <w:sz w:val="24"/>
                <w:lang w:eastAsia="en-US"/>
              </w:rPr>
            </w:pPr>
            <w:r w:rsidRPr="00661595">
              <w:rPr>
                <w:rStyle w:val="InstructionsTabelleberschrift"/>
                <w:rFonts w:ascii="Times New Roman" w:hAnsi="Times New Roman"/>
                <w:sz w:val="24"/>
              </w:rPr>
              <w:t>1.5</w:t>
            </w:r>
            <w:r w:rsidRPr="00661595">
              <w:rPr>
                <w:rStyle w:val="InstructionsTabelleberschrift"/>
                <w:rFonts w:ascii="Times New Roman" w:hAnsi="Times New Roman"/>
                <w:sz w:val="24"/>
              </w:rPr>
              <w:tab/>
              <w:t>ADDITIONAL RISK EXPOSURE AMOUNT DUE TO FIXED OVERHEADS</w:t>
            </w:r>
          </w:p>
          <w:p w:rsidR="00802958" w:rsidRPr="00661595" w:rsidRDefault="00802958" w:rsidP="00802958">
            <w:pPr>
              <w:rPr>
                <w:rStyle w:val="FormatvorlageInstructionsTabelleText"/>
                <w:rFonts w:ascii="Times New Roman" w:hAnsi="Times New Roman"/>
                <w:sz w:val="24"/>
              </w:rPr>
            </w:pPr>
            <w:r w:rsidRPr="00661595">
              <w:rPr>
                <w:rStyle w:val="FormatvorlageInstructionsTabelleText"/>
                <w:rFonts w:ascii="Times New Roman" w:hAnsi="Times New Roman"/>
                <w:sz w:val="24"/>
              </w:rPr>
              <w:t>Articles 95(2)</w:t>
            </w:r>
            <w:r w:rsidR="00FF2818" w:rsidRPr="00661595">
              <w:rPr>
                <w:rStyle w:val="FormatvorlageInstructionsTabelleText"/>
                <w:rFonts w:ascii="Times New Roman" w:hAnsi="Times New Roman"/>
                <w:sz w:val="24"/>
              </w:rPr>
              <w:t xml:space="preserve"> and</w:t>
            </w:r>
            <w:r w:rsidRPr="00661595">
              <w:rPr>
                <w:rStyle w:val="FormatvorlageInstructionsTabelleText"/>
                <w:rFonts w:ascii="Times New Roman" w:hAnsi="Times New Roman"/>
                <w:sz w:val="24"/>
              </w:rPr>
              <w:t xml:space="preserve"> 96(2), </w:t>
            </w:r>
            <w:r w:rsidR="00FF2818" w:rsidRPr="00661595">
              <w:rPr>
                <w:rStyle w:val="FormatvorlageInstructionsTabelleText"/>
                <w:rFonts w:ascii="Times New Roman" w:hAnsi="Times New Roman"/>
                <w:sz w:val="24"/>
              </w:rPr>
              <w:t xml:space="preserve">Article </w:t>
            </w:r>
            <w:r w:rsidRPr="00661595">
              <w:rPr>
                <w:rStyle w:val="FormatvorlageInstructionsTabelleText"/>
                <w:rFonts w:ascii="Times New Roman" w:hAnsi="Times New Roman"/>
                <w:sz w:val="24"/>
              </w:rPr>
              <w:t xml:space="preserve">97 and </w:t>
            </w:r>
            <w:r w:rsidR="006A6822" w:rsidRPr="00661595">
              <w:rPr>
                <w:rStyle w:val="FormatvorlageInstructionsTabelleText"/>
                <w:rFonts w:ascii="Times New Roman" w:hAnsi="Times New Roman"/>
                <w:sz w:val="24"/>
              </w:rPr>
              <w:t xml:space="preserve">point (a) of Article </w:t>
            </w:r>
            <w:r w:rsidRPr="00661595">
              <w:rPr>
                <w:rStyle w:val="FormatvorlageInstructionsTabelleText"/>
                <w:rFonts w:ascii="Times New Roman" w:hAnsi="Times New Roman"/>
                <w:sz w:val="24"/>
              </w:rPr>
              <w:t xml:space="preserve">98(1) </w:t>
            </w:r>
            <w:r w:rsidR="00C7103D" w:rsidRPr="00661595">
              <w:rPr>
                <w:rStyle w:val="FormatvorlageInstructionsTabelleText"/>
                <w:rFonts w:ascii="Times New Roman" w:hAnsi="Times New Roman"/>
                <w:sz w:val="24"/>
              </w:rPr>
              <w:t>CRR</w:t>
            </w:r>
          </w:p>
          <w:p w:rsidR="00802958" w:rsidRPr="00661595" w:rsidRDefault="00802958" w:rsidP="00802958">
            <w:pPr>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Only for investment firms under Article 95(2), Article 96(2) and Article 98 </w:t>
            </w:r>
            <w:r w:rsidR="00C7103D" w:rsidRPr="00661595">
              <w:rPr>
                <w:rStyle w:val="FormatvorlageInstructionsTabelleText"/>
                <w:rFonts w:ascii="Times New Roman" w:hAnsi="Times New Roman"/>
                <w:sz w:val="24"/>
              </w:rPr>
              <w:t>CRR</w:t>
            </w:r>
            <w:r w:rsidRPr="00661595">
              <w:rPr>
                <w:rStyle w:val="FormatvorlageInstructionsTabelleText"/>
                <w:rFonts w:ascii="Times New Roman" w:hAnsi="Times New Roman"/>
                <w:sz w:val="24"/>
              </w:rPr>
              <w:t xml:space="preserve">. See also Article 97 </w:t>
            </w:r>
            <w:r w:rsidR="00C7103D" w:rsidRPr="00661595">
              <w:rPr>
                <w:rStyle w:val="FormatvorlageInstructionsTabelleText"/>
                <w:rFonts w:ascii="Times New Roman" w:hAnsi="Times New Roman"/>
                <w:sz w:val="24"/>
              </w:rPr>
              <w:t>CRR</w:t>
            </w:r>
            <w:r w:rsidR="00E3279F" w:rsidRPr="00661595">
              <w:rPr>
                <w:rStyle w:val="FormatvorlageInstructionsTabelleText"/>
                <w:rFonts w:ascii="Times New Roman" w:hAnsi="Times New Roman"/>
                <w:sz w:val="24"/>
              </w:rPr>
              <w:t>.</w:t>
            </w:r>
            <w:r w:rsidRPr="00661595">
              <w:rPr>
                <w:rStyle w:val="FormatvorlageInstructionsTabelleText"/>
                <w:rFonts w:ascii="Times New Roman" w:hAnsi="Times New Roman"/>
                <w:sz w:val="24"/>
              </w:rPr>
              <w:t xml:space="preserve"> </w:t>
            </w:r>
          </w:p>
          <w:p w:rsidR="00802958" w:rsidRPr="00661595" w:rsidRDefault="00802958" w:rsidP="00802958">
            <w:pPr>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Investment firms under Article 96 </w:t>
            </w:r>
            <w:r w:rsidR="00C7103D" w:rsidRPr="00661595">
              <w:rPr>
                <w:rStyle w:val="FormatvorlageInstructionsTabelleText"/>
                <w:rFonts w:ascii="Times New Roman" w:hAnsi="Times New Roman"/>
                <w:sz w:val="24"/>
              </w:rPr>
              <w:t>CRR</w:t>
            </w:r>
            <w:r w:rsidRPr="00661595">
              <w:rPr>
                <w:rStyle w:val="FormatvorlageInstructionsTabelleText"/>
                <w:rFonts w:ascii="Times New Roman" w:hAnsi="Times New Roman"/>
                <w:sz w:val="24"/>
              </w:rPr>
              <w:t xml:space="preserve"> shall report the amount referred to in Article 97 multiplied by 12.5.</w:t>
            </w:r>
          </w:p>
          <w:p w:rsidR="00802958" w:rsidRPr="00661595" w:rsidRDefault="00802958" w:rsidP="00802958">
            <w:pPr>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Investment firms under Article 95 </w:t>
            </w:r>
            <w:r w:rsidR="00C7103D" w:rsidRPr="00661595">
              <w:rPr>
                <w:rStyle w:val="FormatvorlageInstructionsTabelleText"/>
                <w:rFonts w:ascii="Times New Roman" w:hAnsi="Times New Roman"/>
                <w:sz w:val="24"/>
              </w:rPr>
              <w:t>CRR</w:t>
            </w:r>
            <w:r w:rsidRPr="00661595">
              <w:rPr>
                <w:rStyle w:val="FormatvorlageInstructionsTabelleText"/>
                <w:rFonts w:ascii="Times New Roman" w:hAnsi="Times New Roman"/>
                <w:sz w:val="24"/>
              </w:rPr>
              <w:t xml:space="preserve"> shall report</w:t>
            </w:r>
            <w:r w:rsidR="00E3279F" w:rsidRPr="00661595">
              <w:rPr>
                <w:rStyle w:val="FormatvorlageInstructionsTabelleText"/>
                <w:rFonts w:ascii="Times New Roman" w:hAnsi="Times New Roman"/>
                <w:sz w:val="24"/>
              </w:rPr>
              <w:t xml:space="preserve"> as follows</w:t>
            </w:r>
            <w:r w:rsidRPr="00661595">
              <w:rPr>
                <w:rStyle w:val="FormatvorlageInstructionsTabelleText"/>
                <w:rFonts w:ascii="Times New Roman" w:hAnsi="Times New Roman"/>
                <w:sz w:val="24"/>
              </w:rPr>
              <w:t>:</w:t>
            </w:r>
          </w:p>
          <w:p w:rsidR="00802958" w:rsidRPr="00661595" w:rsidRDefault="00802958" w:rsidP="00487A02">
            <w:pPr>
              <w:pStyle w:val="InstructionsText"/>
              <w:rPr>
                <w:rStyle w:val="FormatvorlageInstructionsTabelleText"/>
                <w:rFonts w:ascii="Times New Roman" w:hAnsi="Times New Roman"/>
                <w:sz w:val="24"/>
              </w:rPr>
            </w:pPr>
            <w:r w:rsidRPr="00661595">
              <w:rPr>
                <w:rStyle w:val="FormatvorlageInstructionsTabelleText"/>
                <w:rFonts w:ascii="Arial" w:hAnsi="Arial"/>
                <w:sz w:val="24"/>
              </w:rPr>
              <w:t>-</w:t>
            </w:r>
            <w:r w:rsidRPr="00661595">
              <w:rPr>
                <w:rStyle w:val="FormatvorlageInstructionsTabelleText"/>
                <w:rFonts w:ascii="Arial" w:hAnsi="Arial"/>
                <w:sz w:val="24"/>
              </w:rPr>
              <w:tab/>
            </w:r>
            <w:r w:rsidR="00FF2818" w:rsidRPr="00661595">
              <w:rPr>
                <w:rStyle w:val="FormatvorlageInstructionsTabelleText"/>
                <w:rFonts w:ascii="Times New Roman" w:hAnsi="Times New Roman"/>
                <w:sz w:val="24"/>
              </w:rPr>
              <w:t>Where</w:t>
            </w:r>
            <w:r w:rsidRPr="00661595">
              <w:rPr>
                <w:rStyle w:val="FormatvorlageInstructionsTabelleText"/>
                <w:rFonts w:ascii="Times New Roman" w:hAnsi="Times New Roman"/>
                <w:sz w:val="24"/>
              </w:rPr>
              <w:t xml:space="preserve"> the </w:t>
            </w:r>
            <w:r w:rsidRPr="00661595">
              <w:t>amount</w:t>
            </w:r>
            <w:r w:rsidRPr="00661595">
              <w:rPr>
                <w:rStyle w:val="FormatvorlageInstructionsTabelleText"/>
                <w:rFonts w:ascii="Times New Roman" w:hAnsi="Times New Roman"/>
                <w:sz w:val="24"/>
              </w:rPr>
              <w:t xml:space="preserve"> referred to in </w:t>
            </w:r>
            <w:r w:rsidR="006A6822" w:rsidRPr="00661595">
              <w:rPr>
                <w:rStyle w:val="FormatvorlageInstructionsTabelleText"/>
                <w:rFonts w:ascii="Times New Roman" w:hAnsi="Times New Roman"/>
                <w:sz w:val="24"/>
              </w:rPr>
              <w:t>point (a) of A</w:t>
            </w:r>
            <w:r w:rsidRPr="00661595">
              <w:rPr>
                <w:rStyle w:val="FormatvorlageInstructionsTabelleText"/>
                <w:rFonts w:ascii="Times New Roman" w:hAnsi="Times New Roman"/>
                <w:sz w:val="24"/>
              </w:rPr>
              <w:t xml:space="preserve">rticle 95(2) </w:t>
            </w:r>
            <w:r w:rsidR="00C7103D" w:rsidRPr="00661595">
              <w:rPr>
                <w:rStyle w:val="FormatvorlageInstructionsTabelleText"/>
                <w:rFonts w:ascii="Times New Roman" w:hAnsi="Times New Roman"/>
                <w:sz w:val="24"/>
              </w:rPr>
              <w:t>CRR</w:t>
            </w:r>
            <w:r w:rsidRPr="00661595">
              <w:rPr>
                <w:rStyle w:val="FormatvorlageInstructionsTabelleText"/>
                <w:rFonts w:ascii="Times New Roman" w:hAnsi="Times New Roman"/>
                <w:sz w:val="24"/>
              </w:rPr>
              <w:t xml:space="preserve"> is greater than the amount referred to in </w:t>
            </w:r>
            <w:r w:rsidR="006A6822" w:rsidRPr="00661595">
              <w:rPr>
                <w:rStyle w:val="FormatvorlageInstructionsTabelleText"/>
                <w:rFonts w:ascii="Times New Roman" w:hAnsi="Times New Roman"/>
                <w:sz w:val="24"/>
              </w:rPr>
              <w:t xml:space="preserve">point (b) </w:t>
            </w:r>
            <w:r w:rsidR="00167619" w:rsidRPr="00661595">
              <w:rPr>
                <w:rStyle w:val="FormatvorlageInstructionsTabelleText"/>
                <w:rFonts w:ascii="Times New Roman" w:hAnsi="Times New Roman"/>
                <w:sz w:val="24"/>
              </w:rPr>
              <w:t>of</w:t>
            </w:r>
            <w:r w:rsidR="006A6822" w:rsidRPr="00661595">
              <w:rPr>
                <w:rStyle w:val="FormatvorlageInstructionsTabelleText"/>
                <w:rFonts w:ascii="Times New Roman" w:hAnsi="Times New Roman"/>
                <w:sz w:val="24"/>
              </w:rPr>
              <w:t xml:space="preserve"> A</w:t>
            </w:r>
            <w:r w:rsidRPr="00661595">
              <w:rPr>
                <w:rStyle w:val="FormatvorlageInstructionsTabelleText"/>
                <w:rFonts w:ascii="Times New Roman" w:hAnsi="Times New Roman"/>
                <w:sz w:val="24"/>
              </w:rPr>
              <w:t xml:space="preserve">rticle 95(2) </w:t>
            </w:r>
            <w:r w:rsidR="00C7103D" w:rsidRPr="00661595">
              <w:rPr>
                <w:rStyle w:val="FormatvorlageInstructionsTabelleText"/>
                <w:rFonts w:ascii="Times New Roman" w:hAnsi="Times New Roman"/>
                <w:sz w:val="24"/>
              </w:rPr>
              <w:t>CRR</w:t>
            </w:r>
            <w:r w:rsidRPr="00661595">
              <w:rPr>
                <w:rStyle w:val="FormatvorlageInstructionsTabelleText"/>
                <w:rFonts w:ascii="Times New Roman" w:hAnsi="Times New Roman"/>
                <w:sz w:val="24"/>
              </w:rPr>
              <w:t>, the amount to be reported is zero.</w:t>
            </w:r>
          </w:p>
          <w:p w:rsidR="00802958" w:rsidRPr="00661595" w:rsidRDefault="00802958" w:rsidP="00487A02">
            <w:pPr>
              <w:pStyle w:val="InstructionsText"/>
              <w:rPr>
                <w:rStyle w:val="FormatvorlageInstructionsTabelleText"/>
                <w:rFonts w:ascii="Times New Roman" w:hAnsi="Times New Roman"/>
                <w:sz w:val="24"/>
              </w:rPr>
            </w:pPr>
            <w:r w:rsidRPr="00661595">
              <w:rPr>
                <w:rStyle w:val="FormatvorlageInstructionsTabelleText"/>
                <w:rFonts w:ascii="Arial" w:hAnsi="Arial"/>
                <w:sz w:val="24"/>
              </w:rPr>
              <w:t>-</w:t>
            </w:r>
            <w:r w:rsidRPr="00661595">
              <w:rPr>
                <w:rStyle w:val="FormatvorlageInstructionsTabelleText"/>
                <w:rFonts w:ascii="Arial" w:hAnsi="Arial"/>
                <w:sz w:val="24"/>
              </w:rPr>
              <w:tab/>
            </w:r>
            <w:r w:rsidR="00FF2818" w:rsidRPr="00661595">
              <w:rPr>
                <w:rStyle w:val="FormatvorlageInstructionsTabelleText"/>
                <w:rFonts w:ascii="Times New Roman" w:hAnsi="Times New Roman"/>
                <w:sz w:val="24"/>
              </w:rPr>
              <w:t>Where</w:t>
            </w:r>
            <w:r w:rsidRPr="00661595">
              <w:rPr>
                <w:rStyle w:val="FormatvorlageInstructionsTabelleText"/>
                <w:rFonts w:ascii="Times New Roman" w:hAnsi="Times New Roman"/>
                <w:sz w:val="24"/>
              </w:rPr>
              <w:t xml:space="preserve"> the </w:t>
            </w:r>
            <w:r w:rsidRPr="00661595">
              <w:t>amount</w:t>
            </w:r>
            <w:r w:rsidRPr="00661595">
              <w:rPr>
                <w:rStyle w:val="FormatvorlageInstructionsTabelleText"/>
                <w:rFonts w:ascii="Times New Roman" w:hAnsi="Times New Roman"/>
                <w:sz w:val="24"/>
              </w:rPr>
              <w:t xml:space="preserve"> referred to in </w:t>
            </w:r>
            <w:r w:rsidR="006A6822" w:rsidRPr="00661595">
              <w:rPr>
                <w:rStyle w:val="FormatvorlageInstructionsTabelleText"/>
                <w:rFonts w:ascii="Times New Roman" w:hAnsi="Times New Roman"/>
                <w:sz w:val="24"/>
              </w:rPr>
              <w:t>point (b) of A</w:t>
            </w:r>
            <w:r w:rsidRPr="00661595">
              <w:rPr>
                <w:rStyle w:val="FormatvorlageInstructionsTabelleText"/>
                <w:rFonts w:ascii="Times New Roman" w:hAnsi="Times New Roman"/>
                <w:sz w:val="24"/>
              </w:rPr>
              <w:t xml:space="preserve">rticle 95(2) </w:t>
            </w:r>
            <w:r w:rsidR="00C7103D" w:rsidRPr="00661595">
              <w:rPr>
                <w:rStyle w:val="FormatvorlageInstructionsTabelleText"/>
                <w:rFonts w:ascii="Times New Roman" w:hAnsi="Times New Roman"/>
                <w:sz w:val="24"/>
              </w:rPr>
              <w:t>CRR</w:t>
            </w:r>
            <w:r w:rsidRPr="00661595">
              <w:rPr>
                <w:rStyle w:val="FormatvorlageInstructionsTabelleText"/>
                <w:rFonts w:ascii="Times New Roman" w:hAnsi="Times New Roman"/>
                <w:sz w:val="24"/>
              </w:rPr>
              <w:t xml:space="preserve"> is greater than the amount referred to in </w:t>
            </w:r>
            <w:r w:rsidR="006A6822" w:rsidRPr="00661595">
              <w:rPr>
                <w:rStyle w:val="FormatvorlageInstructionsTabelleText"/>
                <w:rFonts w:ascii="Times New Roman" w:hAnsi="Times New Roman"/>
                <w:sz w:val="24"/>
              </w:rPr>
              <w:t>point (a) of A</w:t>
            </w:r>
            <w:r w:rsidRPr="00661595">
              <w:rPr>
                <w:rStyle w:val="FormatvorlageInstructionsTabelleText"/>
                <w:rFonts w:ascii="Times New Roman" w:hAnsi="Times New Roman"/>
                <w:sz w:val="24"/>
              </w:rPr>
              <w:t xml:space="preserve">rticle 95(2) </w:t>
            </w:r>
            <w:r w:rsidR="00C7103D" w:rsidRPr="00661595">
              <w:rPr>
                <w:rStyle w:val="FormatvorlageInstructionsTabelleText"/>
                <w:rFonts w:ascii="Times New Roman" w:hAnsi="Times New Roman"/>
                <w:sz w:val="24"/>
              </w:rPr>
              <w:t>CRR</w:t>
            </w:r>
            <w:r w:rsidRPr="00661595">
              <w:rPr>
                <w:rStyle w:val="FormatvorlageInstructionsTabelleText"/>
                <w:rFonts w:ascii="Times New Roman" w:hAnsi="Times New Roman"/>
                <w:sz w:val="24"/>
              </w:rPr>
              <w:t xml:space="preserve">, the amount to be reported is the result of subtracting the latter amount from the former. </w:t>
            </w:r>
          </w:p>
        </w:tc>
      </w:tr>
      <w:tr w:rsidR="00802958" w:rsidRPr="00661595" w:rsidTr="00672D2A">
        <w:tc>
          <w:tcPr>
            <w:tcW w:w="1591" w:type="dxa"/>
          </w:tcPr>
          <w:p w:rsidR="00802958"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802958" w:rsidRPr="00661595">
              <w:rPr>
                <w:rStyle w:val="FormatvorlageInstructionsTabelleText"/>
                <w:rFonts w:ascii="Times New Roman" w:hAnsi="Times New Roman"/>
                <w:sz w:val="24"/>
              </w:rPr>
              <w:t>640</w:t>
            </w:r>
          </w:p>
        </w:tc>
        <w:tc>
          <w:tcPr>
            <w:tcW w:w="7274" w:type="dxa"/>
          </w:tcPr>
          <w:p w:rsidR="00802958" w:rsidRPr="00661595" w:rsidRDefault="00802958" w:rsidP="00487A02">
            <w:pPr>
              <w:pStyle w:val="InstructionsText"/>
              <w:rPr>
                <w:rStyle w:val="InstructionsTabelleberschrift"/>
                <w:rFonts w:ascii="Times New Roman" w:hAnsi="Times New Roman"/>
                <w:bCs w:val="0"/>
                <w:sz w:val="24"/>
                <w:lang w:eastAsia="en-US"/>
              </w:rPr>
            </w:pPr>
            <w:r w:rsidRPr="00661595">
              <w:rPr>
                <w:rStyle w:val="InstructionsTabelleberschrift"/>
                <w:rFonts w:ascii="Times New Roman" w:hAnsi="Times New Roman"/>
                <w:sz w:val="24"/>
              </w:rPr>
              <w:t>1.6</w:t>
            </w:r>
            <w:r w:rsidRPr="00661595">
              <w:rPr>
                <w:rStyle w:val="InstructionsTabelleberschrift"/>
                <w:rFonts w:ascii="Times New Roman" w:hAnsi="Times New Roman"/>
                <w:sz w:val="24"/>
              </w:rPr>
              <w:tab/>
              <w:t>TOTAL RISK EXPOSURE AMOUNT FOR CREDIT VALUATION ADJUSTMENT</w:t>
            </w:r>
          </w:p>
          <w:p w:rsidR="00E3279F" w:rsidRPr="00661595" w:rsidRDefault="006A6822" w:rsidP="00487A02">
            <w:pPr>
              <w:pStyle w:val="InstructionsText"/>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 xml:space="preserve">Point (d) of </w:t>
            </w:r>
            <w:r w:rsidR="00802958" w:rsidRPr="00661595">
              <w:rPr>
                <w:rStyle w:val="InstructionsTabelleberschrift"/>
                <w:rFonts w:ascii="Times New Roman" w:hAnsi="Times New Roman"/>
                <w:b w:val="0"/>
                <w:sz w:val="24"/>
                <w:u w:val="none"/>
              </w:rPr>
              <w:t xml:space="preserve">Article 92(3) </w:t>
            </w:r>
            <w:r w:rsidR="00C7103D" w:rsidRPr="00661595">
              <w:rPr>
                <w:rStyle w:val="InstructionsTabelleberschrift"/>
                <w:rFonts w:ascii="Times New Roman" w:hAnsi="Times New Roman"/>
                <w:b w:val="0"/>
                <w:sz w:val="24"/>
                <w:u w:val="none"/>
              </w:rPr>
              <w:t>CRR</w:t>
            </w:r>
          </w:p>
          <w:p w:rsidR="00802958" w:rsidRPr="00661595" w:rsidRDefault="00802958" w:rsidP="00487A02">
            <w:pPr>
              <w:pStyle w:val="InstructionsText"/>
              <w:rPr>
                <w:rStyle w:val="FormatvorlageInstructionsTabelleText"/>
                <w:rFonts w:ascii="Times New Roman" w:hAnsi="Times New Roman"/>
                <w:bCs w:val="0"/>
                <w:sz w:val="24"/>
                <w:lang w:eastAsia="en-US"/>
              </w:rPr>
            </w:pPr>
            <w:r w:rsidRPr="00661595">
              <w:rPr>
                <w:rStyle w:val="InstructionsTabelleberschrift"/>
                <w:rFonts w:ascii="Times New Roman" w:hAnsi="Times New Roman"/>
                <w:b w:val="0"/>
                <w:sz w:val="24"/>
                <w:u w:val="none"/>
              </w:rPr>
              <w:t>See CVA template.</w:t>
            </w:r>
            <w:r w:rsidRPr="00661595">
              <w:rPr>
                <w:rStyle w:val="FormatvorlageInstructionsTabelleText"/>
                <w:rFonts w:ascii="Times New Roman" w:hAnsi="Times New Roman"/>
                <w:sz w:val="24"/>
              </w:rPr>
              <w:t xml:space="preserve"> </w:t>
            </w:r>
          </w:p>
        </w:tc>
      </w:tr>
      <w:tr w:rsidR="00802958" w:rsidRPr="00661595" w:rsidTr="00672D2A">
        <w:tc>
          <w:tcPr>
            <w:tcW w:w="1591" w:type="dxa"/>
          </w:tcPr>
          <w:p w:rsidR="00802958"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802958" w:rsidRPr="00661595">
              <w:rPr>
                <w:rStyle w:val="FormatvorlageInstructionsTabelleText"/>
                <w:rFonts w:ascii="Times New Roman" w:hAnsi="Times New Roman"/>
                <w:sz w:val="24"/>
              </w:rPr>
              <w:t>650</w:t>
            </w:r>
          </w:p>
        </w:tc>
        <w:tc>
          <w:tcPr>
            <w:tcW w:w="7274" w:type="dxa"/>
          </w:tcPr>
          <w:p w:rsidR="00802958" w:rsidRPr="00661595" w:rsidRDefault="00802958"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1.6.1</w:t>
            </w:r>
            <w:r w:rsidRPr="00661595">
              <w:rPr>
                <w:rStyle w:val="InstructionsTabelleberschrift"/>
                <w:rFonts w:ascii="Times New Roman" w:hAnsi="Times New Roman"/>
                <w:sz w:val="24"/>
              </w:rPr>
              <w:tab/>
              <w:t>Advanced method</w:t>
            </w:r>
          </w:p>
          <w:p w:rsidR="001E3EF1" w:rsidRPr="00661595" w:rsidRDefault="00802958" w:rsidP="00802958">
            <w:pPr>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Own funds requirements for credit valuation adjustment risk </w:t>
            </w:r>
            <w:r w:rsidR="006A6822" w:rsidRPr="00661595">
              <w:rPr>
                <w:rStyle w:val="FormatvorlageInstructionsTabelleText"/>
                <w:rFonts w:ascii="Times New Roman" w:hAnsi="Times New Roman"/>
                <w:sz w:val="24"/>
              </w:rPr>
              <w:t xml:space="preserve">in accordance with </w:t>
            </w:r>
            <w:r w:rsidRPr="00661595">
              <w:rPr>
                <w:rStyle w:val="FormatvorlageInstructionsTabelleText"/>
                <w:rFonts w:ascii="Times New Roman" w:hAnsi="Times New Roman"/>
                <w:sz w:val="24"/>
              </w:rPr>
              <w:t xml:space="preserve">Article 383 </w:t>
            </w:r>
            <w:r w:rsidR="00C7103D" w:rsidRPr="00661595">
              <w:rPr>
                <w:rStyle w:val="FormatvorlageInstructionsTabelleText"/>
                <w:rFonts w:ascii="Times New Roman" w:hAnsi="Times New Roman"/>
                <w:sz w:val="24"/>
              </w:rPr>
              <w:t>CRR</w:t>
            </w:r>
            <w:r w:rsidRPr="00661595">
              <w:rPr>
                <w:rStyle w:val="FormatvorlageInstructionsTabelleText"/>
                <w:rFonts w:ascii="Times New Roman" w:hAnsi="Times New Roman"/>
                <w:sz w:val="24"/>
              </w:rPr>
              <w:t>.</w:t>
            </w:r>
          </w:p>
          <w:p w:rsidR="00802958" w:rsidRPr="00661595" w:rsidRDefault="00802958" w:rsidP="00802958">
            <w:pPr>
              <w:rPr>
                <w:rStyle w:val="FormatvorlageInstructionsTabelleText"/>
                <w:rFonts w:ascii="Times New Roman" w:hAnsi="Times New Roman"/>
                <w:sz w:val="24"/>
              </w:rPr>
            </w:pPr>
            <w:r w:rsidRPr="00661595">
              <w:rPr>
                <w:rStyle w:val="FormatvorlageInstructionsTabelleText"/>
                <w:rFonts w:ascii="Times New Roman" w:hAnsi="Times New Roman"/>
                <w:sz w:val="24"/>
              </w:rPr>
              <w:t>See CVA template.</w:t>
            </w:r>
          </w:p>
        </w:tc>
      </w:tr>
      <w:tr w:rsidR="00802958" w:rsidRPr="00661595" w:rsidTr="00672D2A">
        <w:tc>
          <w:tcPr>
            <w:tcW w:w="1591" w:type="dxa"/>
          </w:tcPr>
          <w:p w:rsidR="00802958"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802958" w:rsidRPr="00661595">
              <w:rPr>
                <w:rStyle w:val="FormatvorlageInstructionsTabelleText"/>
                <w:rFonts w:ascii="Times New Roman" w:hAnsi="Times New Roman"/>
                <w:sz w:val="24"/>
              </w:rPr>
              <w:t>660</w:t>
            </w:r>
          </w:p>
        </w:tc>
        <w:tc>
          <w:tcPr>
            <w:tcW w:w="7274" w:type="dxa"/>
          </w:tcPr>
          <w:p w:rsidR="00802958" w:rsidRPr="00661595" w:rsidRDefault="00802958"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1.6.2</w:t>
            </w:r>
            <w:r w:rsidRPr="00661595">
              <w:rPr>
                <w:rStyle w:val="InstructionsTabelleberschrift"/>
                <w:rFonts w:ascii="Times New Roman" w:hAnsi="Times New Roman"/>
                <w:sz w:val="24"/>
              </w:rPr>
              <w:tab/>
              <w:t>Standardised method</w:t>
            </w:r>
          </w:p>
          <w:p w:rsidR="001E3EF1" w:rsidRPr="00661595" w:rsidRDefault="00802958" w:rsidP="00802958">
            <w:pPr>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Own funds requirements for credit valuation adjustment risk </w:t>
            </w:r>
            <w:r w:rsidR="006A6822" w:rsidRPr="00661595">
              <w:rPr>
                <w:rStyle w:val="FormatvorlageInstructionsTabelleText"/>
                <w:rFonts w:ascii="Times New Roman" w:hAnsi="Times New Roman"/>
                <w:sz w:val="24"/>
              </w:rPr>
              <w:t xml:space="preserve">in accordance with </w:t>
            </w:r>
            <w:r w:rsidRPr="00661595">
              <w:rPr>
                <w:rStyle w:val="FormatvorlageInstructionsTabelleText"/>
                <w:rFonts w:ascii="Times New Roman" w:hAnsi="Times New Roman"/>
                <w:sz w:val="24"/>
              </w:rPr>
              <w:t xml:space="preserve">Article 384 </w:t>
            </w:r>
            <w:r w:rsidR="00C7103D" w:rsidRPr="00661595">
              <w:rPr>
                <w:rStyle w:val="FormatvorlageInstructionsTabelleText"/>
                <w:rFonts w:ascii="Times New Roman" w:hAnsi="Times New Roman"/>
                <w:sz w:val="24"/>
              </w:rPr>
              <w:t>CRR</w:t>
            </w:r>
            <w:r w:rsidRPr="00661595">
              <w:rPr>
                <w:rStyle w:val="FormatvorlageInstructionsTabelleText"/>
                <w:rFonts w:ascii="Times New Roman" w:hAnsi="Times New Roman"/>
                <w:sz w:val="24"/>
              </w:rPr>
              <w:t xml:space="preserve">. </w:t>
            </w:r>
          </w:p>
          <w:p w:rsidR="00802958" w:rsidRPr="00661595" w:rsidRDefault="00802958" w:rsidP="00802958">
            <w:pPr>
              <w:rPr>
                <w:rStyle w:val="FormatvorlageInstructionsTabelleText"/>
                <w:rFonts w:ascii="Times New Roman" w:hAnsi="Times New Roman"/>
                <w:sz w:val="24"/>
              </w:rPr>
            </w:pPr>
            <w:r w:rsidRPr="00661595">
              <w:rPr>
                <w:rStyle w:val="FormatvorlageInstructionsTabelleText"/>
                <w:rFonts w:ascii="Times New Roman" w:hAnsi="Times New Roman"/>
                <w:sz w:val="24"/>
              </w:rPr>
              <w:t>See CVA template.</w:t>
            </w:r>
          </w:p>
        </w:tc>
      </w:tr>
      <w:tr w:rsidR="00802958" w:rsidRPr="00661595" w:rsidTr="00672D2A">
        <w:tc>
          <w:tcPr>
            <w:tcW w:w="1591" w:type="dxa"/>
          </w:tcPr>
          <w:p w:rsidR="00802958"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802958" w:rsidRPr="00661595">
              <w:rPr>
                <w:rStyle w:val="FormatvorlageInstructionsTabelleText"/>
                <w:rFonts w:ascii="Times New Roman" w:hAnsi="Times New Roman"/>
                <w:sz w:val="24"/>
              </w:rPr>
              <w:t>670</w:t>
            </w:r>
          </w:p>
        </w:tc>
        <w:tc>
          <w:tcPr>
            <w:tcW w:w="7274" w:type="dxa"/>
          </w:tcPr>
          <w:p w:rsidR="00802958" w:rsidRPr="00661595" w:rsidRDefault="00802958" w:rsidP="00487A02">
            <w:pPr>
              <w:pStyle w:val="InstructionsText"/>
              <w:rPr>
                <w:rStyle w:val="InstructionsTabelleberschrift"/>
                <w:rFonts w:ascii="Times New Roman" w:hAnsi="Times New Roman"/>
                <w:bCs w:val="0"/>
                <w:sz w:val="24"/>
                <w:lang w:eastAsia="en-US"/>
              </w:rPr>
            </w:pPr>
            <w:r w:rsidRPr="00661595">
              <w:rPr>
                <w:rStyle w:val="InstructionsTabelleberschrift"/>
                <w:rFonts w:ascii="Times New Roman" w:hAnsi="Times New Roman"/>
                <w:sz w:val="24"/>
              </w:rPr>
              <w:t>1.6.3.</w:t>
            </w:r>
            <w:r w:rsidRPr="00661595">
              <w:rPr>
                <w:rStyle w:val="InstructionsTabelleberschrift"/>
                <w:rFonts w:ascii="Times New Roman" w:hAnsi="Times New Roman"/>
                <w:sz w:val="24"/>
              </w:rPr>
              <w:tab/>
              <w:t>Based on OEM</w:t>
            </w:r>
          </w:p>
          <w:p w:rsidR="001E3EF1" w:rsidRPr="00661595" w:rsidRDefault="00802958"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Own funds requirements for credit valuation adjustment risk </w:t>
            </w:r>
            <w:r w:rsidR="006A6822" w:rsidRPr="00661595">
              <w:rPr>
                <w:rStyle w:val="FormatvorlageInstructionsTabelleText"/>
                <w:rFonts w:ascii="Times New Roman" w:hAnsi="Times New Roman"/>
                <w:sz w:val="24"/>
              </w:rPr>
              <w:t xml:space="preserve">in accordance with </w:t>
            </w:r>
            <w:r w:rsidRPr="00661595">
              <w:rPr>
                <w:rStyle w:val="FormatvorlageInstructionsTabelleText"/>
                <w:rFonts w:ascii="Times New Roman" w:hAnsi="Times New Roman"/>
                <w:sz w:val="24"/>
              </w:rPr>
              <w:t xml:space="preserve">Article 385 </w:t>
            </w:r>
            <w:r w:rsidR="00C7103D" w:rsidRPr="00661595">
              <w:rPr>
                <w:rStyle w:val="FormatvorlageInstructionsTabelleText"/>
                <w:rFonts w:ascii="Times New Roman" w:hAnsi="Times New Roman"/>
                <w:sz w:val="24"/>
              </w:rPr>
              <w:t>CRR</w:t>
            </w:r>
            <w:r w:rsidRPr="00661595">
              <w:rPr>
                <w:rStyle w:val="FormatvorlageInstructionsTabelleText"/>
                <w:rFonts w:ascii="Times New Roman" w:hAnsi="Times New Roman"/>
                <w:sz w:val="24"/>
              </w:rPr>
              <w:t xml:space="preserve">. </w:t>
            </w:r>
          </w:p>
          <w:p w:rsidR="00802958" w:rsidRPr="00661595" w:rsidRDefault="00802958" w:rsidP="00487A02">
            <w:pPr>
              <w:pStyle w:val="InstructionsText"/>
              <w:rPr>
                <w:rStyle w:val="InstructionsTabelleberschrift"/>
                <w:rFonts w:ascii="Times New Roman" w:hAnsi="Times New Roman"/>
                <w:b w:val="0"/>
                <w:bCs w:val="0"/>
                <w:sz w:val="24"/>
                <w:u w:val="none"/>
                <w:lang w:eastAsia="en-US"/>
              </w:rPr>
            </w:pPr>
            <w:r w:rsidRPr="00661595">
              <w:rPr>
                <w:rStyle w:val="FormatvorlageInstructionsTabelleText"/>
                <w:rFonts w:ascii="Times New Roman" w:hAnsi="Times New Roman"/>
                <w:sz w:val="24"/>
              </w:rPr>
              <w:t>See CVA template.</w:t>
            </w:r>
          </w:p>
        </w:tc>
      </w:tr>
      <w:tr w:rsidR="00802958" w:rsidRPr="00661595" w:rsidTr="00672D2A">
        <w:tc>
          <w:tcPr>
            <w:tcW w:w="1591" w:type="dxa"/>
          </w:tcPr>
          <w:p w:rsidR="00802958" w:rsidRPr="00661595" w:rsidRDefault="00B13F06" w:rsidP="00487A02">
            <w:pPr>
              <w:pStyle w:val="InstructionsText"/>
              <w:rPr>
                <w:rStyle w:val="FormatvorlageInstructionsTabelleText"/>
                <w:rFonts w:ascii="Times New Roman" w:hAnsi="Times New Roman"/>
                <w:bCs w:val="0"/>
                <w:sz w:val="24"/>
              </w:rPr>
            </w:pPr>
            <w:r w:rsidRPr="00661595">
              <w:rPr>
                <w:rStyle w:val="FormatvorlageInstructionsTabelleText"/>
                <w:rFonts w:ascii="Times New Roman" w:hAnsi="Times New Roman"/>
                <w:sz w:val="24"/>
              </w:rPr>
              <w:t>0</w:t>
            </w:r>
            <w:r w:rsidR="00802958" w:rsidRPr="00661595">
              <w:rPr>
                <w:rStyle w:val="FormatvorlageInstructionsTabelleText"/>
                <w:rFonts w:ascii="Times New Roman" w:hAnsi="Times New Roman"/>
                <w:sz w:val="24"/>
              </w:rPr>
              <w:t>680</w:t>
            </w:r>
          </w:p>
        </w:tc>
        <w:tc>
          <w:tcPr>
            <w:tcW w:w="7274" w:type="dxa"/>
          </w:tcPr>
          <w:p w:rsidR="00802958" w:rsidRPr="00661595" w:rsidRDefault="00802958" w:rsidP="00487A02">
            <w:pPr>
              <w:pStyle w:val="InstructionsText"/>
              <w:rPr>
                <w:rStyle w:val="FormatvorlageInstructionsTabelleText"/>
                <w:rFonts w:ascii="Times New Roman" w:hAnsi="Times New Roman"/>
                <w:b/>
                <w:bCs w:val="0"/>
                <w:sz w:val="24"/>
                <w:u w:val="single"/>
              </w:rPr>
            </w:pPr>
            <w:r w:rsidRPr="00661595">
              <w:rPr>
                <w:rStyle w:val="InstructionsTabelleberschrift"/>
                <w:rFonts w:ascii="Times New Roman" w:hAnsi="Times New Roman"/>
                <w:sz w:val="24"/>
              </w:rPr>
              <w:t>1.7</w:t>
            </w:r>
            <w:r w:rsidRPr="00661595">
              <w:rPr>
                <w:rStyle w:val="InstructionsTabelleberschrift"/>
                <w:rFonts w:ascii="Times New Roman" w:hAnsi="Times New Roman"/>
                <w:sz w:val="24"/>
              </w:rPr>
              <w:tab/>
              <w:t>TOTAL RISK EXPOSURE AMOUNT RELATED TO LARGE EXPOSURES IN THE TRADING BOOK</w:t>
            </w:r>
          </w:p>
          <w:p w:rsidR="00802958" w:rsidRPr="00661595" w:rsidRDefault="006A6822" w:rsidP="00487A02">
            <w:pPr>
              <w:pStyle w:val="InstructionsText"/>
              <w:rPr>
                <w:rStyle w:val="FormatvorlageInstructionsTabelleText"/>
                <w:rFonts w:ascii="Times New Roman" w:hAnsi="Times New Roman"/>
                <w:bCs w:val="0"/>
                <w:sz w:val="24"/>
              </w:rPr>
            </w:pPr>
            <w:r w:rsidRPr="00661595">
              <w:rPr>
                <w:rStyle w:val="FormatvorlageInstructionsTabelleText"/>
                <w:rFonts w:ascii="Times New Roman" w:hAnsi="Times New Roman"/>
                <w:sz w:val="24"/>
              </w:rPr>
              <w:t xml:space="preserve">Point (b)(ii) of </w:t>
            </w:r>
            <w:r w:rsidR="00802958" w:rsidRPr="00661595">
              <w:rPr>
                <w:rStyle w:val="FormatvorlageInstructionsTabelleText"/>
                <w:rFonts w:ascii="Times New Roman" w:hAnsi="Times New Roman"/>
                <w:sz w:val="24"/>
              </w:rPr>
              <w:t xml:space="preserve">Article 92(3) and </w:t>
            </w:r>
            <w:r w:rsidRPr="00661595">
              <w:rPr>
                <w:rStyle w:val="FormatvorlageInstructionsTabelleText"/>
                <w:rFonts w:ascii="Times New Roman" w:hAnsi="Times New Roman"/>
                <w:sz w:val="24"/>
              </w:rPr>
              <w:t xml:space="preserve">Articles </w:t>
            </w:r>
            <w:r w:rsidR="00802958" w:rsidRPr="00661595">
              <w:rPr>
                <w:rStyle w:val="FormatvorlageInstructionsTabelleText"/>
                <w:rFonts w:ascii="Times New Roman" w:hAnsi="Times New Roman"/>
                <w:sz w:val="24"/>
              </w:rPr>
              <w:t xml:space="preserve">395 to 401 </w:t>
            </w:r>
            <w:r w:rsidR="00C7103D" w:rsidRPr="00661595">
              <w:rPr>
                <w:rStyle w:val="FormatvorlageInstructionsTabelleText"/>
                <w:rFonts w:ascii="Times New Roman" w:hAnsi="Times New Roman"/>
                <w:sz w:val="24"/>
              </w:rPr>
              <w:t>CRR</w:t>
            </w:r>
          </w:p>
        </w:tc>
      </w:tr>
      <w:tr w:rsidR="00802958" w:rsidRPr="00661595" w:rsidTr="00672D2A">
        <w:tc>
          <w:tcPr>
            <w:tcW w:w="1591" w:type="dxa"/>
          </w:tcPr>
          <w:p w:rsidR="00802958"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802958" w:rsidRPr="00661595">
              <w:rPr>
                <w:rStyle w:val="FormatvorlageInstructionsTabelleText"/>
                <w:rFonts w:ascii="Times New Roman" w:hAnsi="Times New Roman"/>
                <w:sz w:val="24"/>
              </w:rPr>
              <w:t>690</w:t>
            </w:r>
          </w:p>
        </w:tc>
        <w:tc>
          <w:tcPr>
            <w:tcW w:w="7274" w:type="dxa"/>
          </w:tcPr>
          <w:p w:rsidR="00802958" w:rsidRPr="00661595" w:rsidRDefault="00802958"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1.8</w:t>
            </w:r>
            <w:r w:rsidRPr="00661595">
              <w:rPr>
                <w:rStyle w:val="InstructionsTabelleberschrift"/>
                <w:rFonts w:ascii="Times New Roman" w:hAnsi="Times New Roman"/>
                <w:sz w:val="24"/>
              </w:rPr>
              <w:tab/>
              <w:t>OTHER RISK EXPOSURE AMOUNTS</w:t>
            </w:r>
          </w:p>
          <w:p w:rsidR="00802958" w:rsidRPr="00661595" w:rsidRDefault="00802958" w:rsidP="00487A02">
            <w:pPr>
              <w:pStyle w:val="InstructionsText"/>
              <w:rPr>
                <w:rStyle w:val="InstructionsTabelleberschrift"/>
                <w:rFonts w:ascii="Times New Roman" w:hAnsi="Times New Roman"/>
                <w:b w:val="0"/>
                <w:bCs w:val="0"/>
                <w:sz w:val="24"/>
                <w:u w:val="none"/>
              </w:rPr>
            </w:pPr>
            <w:r w:rsidRPr="00661595">
              <w:rPr>
                <w:rStyle w:val="InstructionsTabelleberschrift"/>
                <w:rFonts w:ascii="Times New Roman" w:hAnsi="Times New Roman"/>
                <w:b w:val="0"/>
                <w:sz w:val="24"/>
                <w:u w:val="none"/>
              </w:rPr>
              <w:t xml:space="preserve">Articles 3, 458 and 459 </w:t>
            </w:r>
            <w:r w:rsidR="00C7103D" w:rsidRPr="00661595">
              <w:rPr>
                <w:rStyle w:val="InstructionsTabelleberschrift"/>
                <w:rFonts w:ascii="Times New Roman" w:hAnsi="Times New Roman"/>
                <w:b w:val="0"/>
                <w:sz w:val="24"/>
                <w:u w:val="none"/>
              </w:rPr>
              <w:t>CRR</w:t>
            </w:r>
            <w:r w:rsidRPr="00661595">
              <w:rPr>
                <w:rStyle w:val="InstructionsTabelleberschrift"/>
                <w:rFonts w:ascii="Times New Roman" w:hAnsi="Times New Roman"/>
                <w:b w:val="0"/>
                <w:sz w:val="24"/>
                <w:u w:val="none"/>
              </w:rPr>
              <w:t xml:space="preserve"> and risk exposure amounts which cannot be assigned to one of the items from 1.1 to 1.7. </w:t>
            </w:r>
          </w:p>
          <w:p w:rsidR="00802958" w:rsidRPr="00661595" w:rsidRDefault="00802958" w:rsidP="00487A02">
            <w:pPr>
              <w:pStyle w:val="InstructionsText"/>
              <w:rPr>
                <w:rStyle w:val="InstructionsTabelleberschrift"/>
                <w:rFonts w:ascii="Times New Roman" w:hAnsi="Times New Roman"/>
                <w:b w:val="0"/>
                <w:bCs w:val="0"/>
                <w:sz w:val="24"/>
                <w:u w:val="none"/>
              </w:rPr>
            </w:pPr>
            <w:r w:rsidRPr="00661595">
              <w:rPr>
                <w:rStyle w:val="InstructionsTabelleberschrift"/>
                <w:rFonts w:ascii="Times New Roman" w:hAnsi="Times New Roman"/>
                <w:b w:val="0"/>
                <w:sz w:val="24"/>
                <w:u w:val="none"/>
              </w:rPr>
              <w:t>Institutions shall report the amounts needed to comply with the following:</w:t>
            </w:r>
          </w:p>
          <w:p w:rsidR="00802958" w:rsidRPr="00661595" w:rsidRDefault="00802958" w:rsidP="00487A02">
            <w:pPr>
              <w:pStyle w:val="InstructionsText"/>
              <w:rPr>
                <w:rStyle w:val="InstructionsTabelleberschrift"/>
                <w:rFonts w:ascii="Times New Roman" w:hAnsi="Times New Roman"/>
                <w:b w:val="0"/>
                <w:bCs w:val="0"/>
                <w:sz w:val="24"/>
                <w:u w:val="none"/>
              </w:rPr>
            </w:pPr>
            <w:r w:rsidRPr="00661595">
              <w:rPr>
                <w:rStyle w:val="InstructionsTabelleberschrift"/>
                <w:rFonts w:ascii="Times New Roman" w:hAnsi="Times New Roman"/>
                <w:b w:val="0"/>
                <w:sz w:val="24"/>
                <w:u w:val="none"/>
              </w:rPr>
              <w:t>Stricter prudential requirements imposed by the Commission, in accordance with Article</w:t>
            </w:r>
            <w:r w:rsidR="006A6822" w:rsidRPr="00661595">
              <w:rPr>
                <w:rStyle w:val="InstructionsTabelleberschrift"/>
                <w:rFonts w:ascii="Times New Roman" w:hAnsi="Times New Roman"/>
                <w:b w:val="0"/>
                <w:sz w:val="24"/>
                <w:u w:val="none"/>
              </w:rPr>
              <w:t>s</w:t>
            </w:r>
            <w:r w:rsidRPr="00661595">
              <w:rPr>
                <w:rStyle w:val="InstructionsTabelleberschrift"/>
                <w:rFonts w:ascii="Times New Roman" w:hAnsi="Times New Roman"/>
                <w:b w:val="0"/>
                <w:sz w:val="24"/>
                <w:u w:val="none"/>
              </w:rPr>
              <w:t xml:space="preserve"> 458 and 459 </w:t>
            </w:r>
            <w:r w:rsidR="00C7103D" w:rsidRPr="00661595">
              <w:rPr>
                <w:rStyle w:val="InstructionsTabelleberschrift"/>
                <w:rFonts w:ascii="Times New Roman" w:hAnsi="Times New Roman"/>
                <w:b w:val="0"/>
                <w:sz w:val="24"/>
                <w:u w:val="none"/>
              </w:rPr>
              <w:t>CRR</w:t>
            </w:r>
            <w:r w:rsidR="006A6822" w:rsidRPr="00661595">
              <w:rPr>
                <w:rStyle w:val="InstructionsTabelleberschrift"/>
                <w:rFonts w:ascii="Times New Roman" w:hAnsi="Times New Roman"/>
                <w:b w:val="0"/>
                <w:sz w:val="24"/>
                <w:u w:val="none"/>
              </w:rPr>
              <w:t>.</w:t>
            </w:r>
            <w:r w:rsidRPr="00661595">
              <w:rPr>
                <w:rStyle w:val="InstructionsTabelleberschrift"/>
                <w:rFonts w:ascii="Times New Roman" w:hAnsi="Times New Roman"/>
                <w:b w:val="0"/>
                <w:sz w:val="24"/>
                <w:u w:val="none"/>
              </w:rPr>
              <w:t xml:space="preserve"> </w:t>
            </w:r>
          </w:p>
          <w:p w:rsidR="00802958" w:rsidRPr="00661595" w:rsidRDefault="00802958" w:rsidP="00487A02">
            <w:pPr>
              <w:pStyle w:val="InstructionsText"/>
              <w:rPr>
                <w:rStyle w:val="InstructionsTabelleberschrift"/>
                <w:rFonts w:ascii="Times New Roman" w:hAnsi="Times New Roman"/>
                <w:b w:val="0"/>
                <w:bCs w:val="0"/>
                <w:sz w:val="24"/>
                <w:u w:val="none"/>
              </w:rPr>
            </w:pPr>
            <w:r w:rsidRPr="00661595">
              <w:rPr>
                <w:rStyle w:val="InstructionsTabelleberschrift"/>
                <w:rFonts w:ascii="Times New Roman" w:hAnsi="Times New Roman"/>
                <w:b w:val="0"/>
                <w:sz w:val="24"/>
                <w:u w:val="none"/>
              </w:rPr>
              <w:t>Additional risk exposure amounts due to Article 3 CRR</w:t>
            </w:r>
            <w:r w:rsidR="006A6822" w:rsidRPr="00661595">
              <w:rPr>
                <w:rStyle w:val="InstructionsTabelleberschrift"/>
                <w:rFonts w:ascii="Times New Roman" w:hAnsi="Times New Roman"/>
                <w:b w:val="0"/>
                <w:sz w:val="24"/>
                <w:u w:val="none"/>
              </w:rPr>
              <w:t>.</w:t>
            </w:r>
          </w:p>
          <w:p w:rsidR="00802958" w:rsidRPr="00661595" w:rsidRDefault="00802958" w:rsidP="00487A02">
            <w:pPr>
              <w:pStyle w:val="InstructionsText"/>
              <w:rPr>
                <w:rStyle w:val="InstructionsTabelleberschrift"/>
                <w:rFonts w:ascii="Times New Roman" w:hAnsi="Times New Roman"/>
                <w:bCs w:val="0"/>
                <w:sz w:val="24"/>
                <w:u w:val="none"/>
              </w:rPr>
            </w:pPr>
            <w:r w:rsidRPr="00661595">
              <w:rPr>
                <w:rStyle w:val="InstructionsTabelleberschrift"/>
                <w:rFonts w:ascii="Times New Roman" w:hAnsi="Times New Roman"/>
                <w:b w:val="0"/>
                <w:sz w:val="24"/>
                <w:u w:val="none"/>
              </w:rPr>
              <w:t xml:space="preserve">This item does not have a link to a details template. </w:t>
            </w:r>
          </w:p>
        </w:tc>
      </w:tr>
      <w:tr w:rsidR="00802958" w:rsidRPr="00661595" w:rsidTr="00672D2A">
        <w:tc>
          <w:tcPr>
            <w:tcW w:w="1591" w:type="dxa"/>
          </w:tcPr>
          <w:p w:rsidR="00802958"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802958" w:rsidRPr="00661595">
              <w:rPr>
                <w:rStyle w:val="FormatvorlageInstructionsTabelleText"/>
                <w:rFonts w:ascii="Times New Roman" w:hAnsi="Times New Roman"/>
                <w:sz w:val="24"/>
              </w:rPr>
              <w:t>710</w:t>
            </w:r>
          </w:p>
        </w:tc>
        <w:tc>
          <w:tcPr>
            <w:tcW w:w="7274" w:type="dxa"/>
          </w:tcPr>
          <w:p w:rsidR="00802958" w:rsidRPr="00661595" w:rsidRDefault="00802958"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1.8.2</w:t>
            </w:r>
            <w:r w:rsidRPr="00661595">
              <w:rPr>
                <w:rStyle w:val="InstructionsTabelleberschrift"/>
                <w:rFonts w:ascii="Times New Roman" w:hAnsi="Times New Roman"/>
                <w:sz w:val="24"/>
              </w:rPr>
              <w:tab/>
              <w:t>Of which: Additional stricter prudential requirements based on Art</w:t>
            </w:r>
            <w:r w:rsidR="00DE223B" w:rsidRPr="00661595">
              <w:rPr>
                <w:rStyle w:val="InstructionsTabelleberschrift"/>
                <w:rFonts w:ascii="Times New Roman" w:hAnsi="Times New Roman"/>
                <w:sz w:val="24"/>
              </w:rPr>
              <w:t>icle</w:t>
            </w:r>
            <w:r w:rsidRPr="00661595">
              <w:rPr>
                <w:rStyle w:val="InstructionsTabelleberschrift"/>
                <w:rFonts w:ascii="Times New Roman" w:hAnsi="Times New Roman"/>
                <w:sz w:val="24"/>
              </w:rPr>
              <w:t xml:space="preserve"> 458</w:t>
            </w:r>
            <w:r w:rsidR="001E3EF1" w:rsidRPr="00661595">
              <w:rPr>
                <w:rStyle w:val="InstructionsTabelleberschrift"/>
                <w:rFonts w:ascii="Times New Roman" w:hAnsi="Times New Roman"/>
                <w:sz w:val="24"/>
              </w:rPr>
              <w:t xml:space="preserve"> CRR</w:t>
            </w:r>
          </w:p>
          <w:p w:rsidR="00802958" w:rsidRPr="00661595" w:rsidRDefault="00802958" w:rsidP="00487A02">
            <w:pPr>
              <w:pStyle w:val="InstructionsText"/>
              <w:rPr>
                <w:rStyle w:val="InstructionsTabelleberschrift"/>
                <w:rFonts w:ascii="Times New Roman" w:hAnsi="Times New Roman"/>
                <w:b w:val="0"/>
                <w:sz w:val="24"/>
                <w:u w:val="none"/>
              </w:rPr>
            </w:pPr>
            <w:r w:rsidRPr="00661595">
              <w:rPr>
                <w:rStyle w:val="FormatvorlageInstructionsTabelleText"/>
                <w:rFonts w:ascii="Times New Roman" w:hAnsi="Times New Roman"/>
                <w:sz w:val="24"/>
              </w:rPr>
              <w:t xml:space="preserve">Article 458 </w:t>
            </w:r>
            <w:r w:rsidR="00C7103D" w:rsidRPr="00661595">
              <w:rPr>
                <w:rStyle w:val="FormatvorlageInstructionsTabelleText"/>
                <w:rFonts w:ascii="Times New Roman" w:hAnsi="Times New Roman"/>
                <w:sz w:val="24"/>
              </w:rPr>
              <w:t>CRR</w:t>
            </w:r>
          </w:p>
        </w:tc>
      </w:tr>
      <w:tr w:rsidR="00802958" w:rsidRPr="00661595" w:rsidTr="00672D2A">
        <w:tc>
          <w:tcPr>
            <w:tcW w:w="1591" w:type="dxa"/>
          </w:tcPr>
          <w:p w:rsidR="00802958"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802958" w:rsidRPr="00661595">
              <w:rPr>
                <w:rStyle w:val="FormatvorlageInstructionsTabelleText"/>
                <w:rFonts w:ascii="Times New Roman" w:hAnsi="Times New Roman"/>
                <w:sz w:val="24"/>
              </w:rPr>
              <w:t>720</w:t>
            </w:r>
          </w:p>
        </w:tc>
        <w:tc>
          <w:tcPr>
            <w:tcW w:w="7274" w:type="dxa"/>
          </w:tcPr>
          <w:p w:rsidR="00802958" w:rsidRPr="00661595" w:rsidRDefault="00802958" w:rsidP="00487A02">
            <w:pPr>
              <w:pStyle w:val="InstructionsText"/>
            </w:pPr>
            <w:r w:rsidRPr="00661595">
              <w:rPr>
                <w:rStyle w:val="InstructionsTabelleberschrift"/>
                <w:rFonts w:ascii="Times New Roman" w:hAnsi="Times New Roman"/>
                <w:sz w:val="24"/>
              </w:rPr>
              <w:t>1.8.2*</w:t>
            </w:r>
            <w:r w:rsidRPr="00661595">
              <w:rPr>
                <w:rStyle w:val="InstructionsTabelleberschrift"/>
                <w:rFonts w:ascii="Times New Roman" w:hAnsi="Times New Roman"/>
                <w:sz w:val="24"/>
              </w:rPr>
              <w:tab/>
              <w:t>Of which: requirements for large exposures</w:t>
            </w:r>
          </w:p>
          <w:p w:rsidR="00802958" w:rsidRPr="00661595" w:rsidRDefault="00802958" w:rsidP="00487A02">
            <w:pPr>
              <w:pStyle w:val="InstructionsText"/>
              <w:rPr>
                <w:rStyle w:val="InstructionsTabelleberschrift"/>
                <w:rFonts w:ascii="Times New Roman" w:hAnsi="Times New Roman"/>
                <w:sz w:val="24"/>
              </w:rPr>
            </w:pPr>
            <w:r w:rsidRPr="00661595">
              <w:t xml:space="preserve">Article 458 </w:t>
            </w:r>
            <w:r w:rsidR="00C7103D" w:rsidRPr="00661595">
              <w:t>CRR</w:t>
            </w:r>
          </w:p>
        </w:tc>
      </w:tr>
      <w:tr w:rsidR="00802958" w:rsidRPr="00661595" w:rsidTr="00672D2A">
        <w:tc>
          <w:tcPr>
            <w:tcW w:w="1591" w:type="dxa"/>
          </w:tcPr>
          <w:p w:rsidR="00802958"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802958" w:rsidRPr="00661595">
              <w:rPr>
                <w:rStyle w:val="FormatvorlageInstructionsTabelleText"/>
                <w:rFonts w:ascii="Times New Roman" w:hAnsi="Times New Roman"/>
                <w:sz w:val="24"/>
              </w:rPr>
              <w:t>730</w:t>
            </w:r>
          </w:p>
        </w:tc>
        <w:tc>
          <w:tcPr>
            <w:tcW w:w="7274" w:type="dxa"/>
          </w:tcPr>
          <w:p w:rsidR="00802958" w:rsidRPr="00661595" w:rsidRDefault="00802958" w:rsidP="00487A02">
            <w:pPr>
              <w:pStyle w:val="InstructionsText"/>
            </w:pPr>
            <w:r w:rsidRPr="00661595">
              <w:rPr>
                <w:rStyle w:val="InstructionsTabelleberschrift"/>
                <w:rFonts w:ascii="Times New Roman" w:hAnsi="Times New Roman"/>
                <w:sz w:val="24"/>
              </w:rPr>
              <w:t>1.8.2**</w:t>
            </w:r>
            <w:r w:rsidRPr="00661595">
              <w:rPr>
                <w:rStyle w:val="InstructionsTabelleberschrift"/>
                <w:rFonts w:ascii="Times New Roman" w:hAnsi="Times New Roman"/>
                <w:sz w:val="24"/>
              </w:rPr>
              <w:tab/>
              <w:t>Of which: due to modified risk weights for targeting asset bubbles in the residential and commercial property</w:t>
            </w:r>
          </w:p>
          <w:p w:rsidR="00802958" w:rsidRPr="00661595" w:rsidRDefault="00802958" w:rsidP="00487A02">
            <w:pPr>
              <w:pStyle w:val="InstructionsText"/>
              <w:rPr>
                <w:rStyle w:val="InstructionsTabelleberschrift"/>
                <w:rFonts w:ascii="Times New Roman" w:hAnsi="Times New Roman"/>
                <w:sz w:val="24"/>
              </w:rPr>
            </w:pPr>
            <w:r w:rsidRPr="00661595">
              <w:t xml:space="preserve">Article 458 </w:t>
            </w:r>
            <w:r w:rsidR="00C7103D" w:rsidRPr="00661595">
              <w:t>CRR</w:t>
            </w:r>
          </w:p>
        </w:tc>
      </w:tr>
      <w:tr w:rsidR="00802958" w:rsidRPr="00661595" w:rsidTr="00672D2A">
        <w:tc>
          <w:tcPr>
            <w:tcW w:w="1591" w:type="dxa"/>
          </w:tcPr>
          <w:p w:rsidR="00802958"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802958" w:rsidRPr="00661595">
              <w:rPr>
                <w:rStyle w:val="FormatvorlageInstructionsTabelleText"/>
                <w:rFonts w:ascii="Times New Roman" w:hAnsi="Times New Roman"/>
                <w:sz w:val="24"/>
              </w:rPr>
              <w:t>740</w:t>
            </w:r>
          </w:p>
        </w:tc>
        <w:tc>
          <w:tcPr>
            <w:tcW w:w="7274" w:type="dxa"/>
          </w:tcPr>
          <w:p w:rsidR="00802958" w:rsidRPr="00661595" w:rsidRDefault="00802958" w:rsidP="00487A02">
            <w:pPr>
              <w:pStyle w:val="InstructionsText"/>
            </w:pPr>
            <w:r w:rsidRPr="00661595">
              <w:rPr>
                <w:rStyle w:val="InstructionsTabelleberschrift"/>
                <w:rFonts w:ascii="Times New Roman" w:hAnsi="Times New Roman"/>
                <w:sz w:val="24"/>
              </w:rPr>
              <w:t>1.8.2***</w:t>
            </w:r>
            <w:r w:rsidRPr="00661595">
              <w:rPr>
                <w:rStyle w:val="InstructionsTabelleberschrift"/>
                <w:rFonts w:ascii="Times New Roman" w:hAnsi="Times New Roman"/>
                <w:sz w:val="24"/>
              </w:rPr>
              <w:tab/>
              <w:t>Of which: due to intra financial sector exposures</w:t>
            </w:r>
          </w:p>
          <w:p w:rsidR="00802958" w:rsidRPr="00661595" w:rsidRDefault="00802958" w:rsidP="00487A02">
            <w:pPr>
              <w:pStyle w:val="InstructionsText"/>
              <w:rPr>
                <w:rStyle w:val="InstructionsTabelleberschrift"/>
                <w:rFonts w:ascii="Times New Roman" w:hAnsi="Times New Roman"/>
                <w:sz w:val="24"/>
              </w:rPr>
            </w:pPr>
            <w:r w:rsidRPr="00661595">
              <w:t xml:space="preserve">Article 458 </w:t>
            </w:r>
            <w:r w:rsidR="00C7103D" w:rsidRPr="00661595">
              <w:t>CRR</w:t>
            </w:r>
          </w:p>
        </w:tc>
      </w:tr>
      <w:tr w:rsidR="00802958" w:rsidRPr="00661595" w:rsidTr="00672D2A">
        <w:tc>
          <w:tcPr>
            <w:tcW w:w="1591" w:type="dxa"/>
          </w:tcPr>
          <w:p w:rsidR="00802958"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802958" w:rsidRPr="00661595">
              <w:rPr>
                <w:rStyle w:val="FormatvorlageInstructionsTabelleText"/>
                <w:rFonts w:ascii="Times New Roman" w:hAnsi="Times New Roman"/>
                <w:sz w:val="24"/>
              </w:rPr>
              <w:t>750</w:t>
            </w:r>
          </w:p>
        </w:tc>
        <w:tc>
          <w:tcPr>
            <w:tcW w:w="7274" w:type="dxa"/>
          </w:tcPr>
          <w:p w:rsidR="00802958" w:rsidRPr="00661595" w:rsidRDefault="00802958"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1.8.3</w:t>
            </w:r>
            <w:r w:rsidRPr="00661595">
              <w:rPr>
                <w:rStyle w:val="InstructionsTabelleberschrift"/>
                <w:rFonts w:ascii="Times New Roman" w:hAnsi="Times New Roman"/>
                <w:sz w:val="24"/>
              </w:rPr>
              <w:tab/>
              <w:t>Of which: Additional stricter prudential requirements based on Art</w:t>
            </w:r>
            <w:r w:rsidR="00DE223B" w:rsidRPr="00661595">
              <w:rPr>
                <w:rStyle w:val="InstructionsTabelleberschrift"/>
                <w:rFonts w:ascii="Times New Roman" w:hAnsi="Times New Roman"/>
                <w:sz w:val="24"/>
              </w:rPr>
              <w:t>icle</w:t>
            </w:r>
            <w:r w:rsidRPr="00661595">
              <w:rPr>
                <w:rStyle w:val="InstructionsTabelleberschrift"/>
                <w:rFonts w:ascii="Times New Roman" w:hAnsi="Times New Roman"/>
                <w:sz w:val="24"/>
              </w:rPr>
              <w:t xml:space="preserve"> 459</w:t>
            </w:r>
            <w:r w:rsidR="001E3EF1" w:rsidRPr="00661595">
              <w:rPr>
                <w:rStyle w:val="InstructionsTabelleberschrift"/>
                <w:rFonts w:ascii="Times New Roman" w:hAnsi="Times New Roman"/>
                <w:sz w:val="24"/>
              </w:rPr>
              <w:t xml:space="preserve"> CRR</w:t>
            </w:r>
          </w:p>
          <w:p w:rsidR="00802958" w:rsidRPr="00661595" w:rsidRDefault="00802958" w:rsidP="00487A02">
            <w:pPr>
              <w:pStyle w:val="InstructionsText"/>
              <w:rPr>
                <w:rStyle w:val="InstructionsTabelleberschrift"/>
                <w:rFonts w:ascii="Times New Roman" w:hAnsi="Times New Roman"/>
                <w:sz w:val="24"/>
              </w:rPr>
            </w:pPr>
            <w:r w:rsidRPr="00661595">
              <w:rPr>
                <w:rStyle w:val="FormatvorlageInstructionsTabelleText"/>
                <w:rFonts w:ascii="Times New Roman" w:hAnsi="Times New Roman"/>
                <w:sz w:val="24"/>
              </w:rPr>
              <w:t xml:space="preserve">Article 459 </w:t>
            </w:r>
            <w:r w:rsidR="00C7103D" w:rsidRPr="00661595">
              <w:rPr>
                <w:rStyle w:val="FormatvorlageInstructionsTabelleText"/>
                <w:rFonts w:ascii="Times New Roman" w:hAnsi="Times New Roman"/>
                <w:sz w:val="24"/>
              </w:rPr>
              <w:t>CRR</w:t>
            </w:r>
          </w:p>
        </w:tc>
      </w:tr>
      <w:tr w:rsidR="00802958" w:rsidRPr="00661595" w:rsidTr="00672D2A">
        <w:tc>
          <w:tcPr>
            <w:tcW w:w="1591" w:type="dxa"/>
            <w:shd w:val="clear" w:color="auto" w:fill="auto"/>
          </w:tcPr>
          <w:p w:rsidR="00802958" w:rsidRPr="00661595" w:rsidRDefault="00B13F06"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0</w:t>
            </w:r>
            <w:r w:rsidR="00802958" w:rsidRPr="00661595">
              <w:rPr>
                <w:rStyle w:val="FormatvorlageInstructionsTabelleText"/>
                <w:rFonts w:ascii="Times New Roman" w:hAnsi="Times New Roman"/>
                <w:sz w:val="24"/>
              </w:rPr>
              <w:t>760</w:t>
            </w:r>
          </w:p>
        </w:tc>
        <w:tc>
          <w:tcPr>
            <w:tcW w:w="7274" w:type="dxa"/>
          </w:tcPr>
          <w:p w:rsidR="00802958" w:rsidRPr="00661595" w:rsidRDefault="00802958"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1.8.4</w:t>
            </w:r>
            <w:r w:rsidRPr="00661595">
              <w:rPr>
                <w:rStyle w:val="InstructionsTabelleberschrift"/>
                <w:rFonts w:ascii="Times New Roman" w:hAnsi="Times New Roman"/>
                <w:sz w:val="24"/>
              </w:rPr>
              <w:tab/>
              <w:t>Of which: Additional risk exposure amount due to Article 3 CRR</w:t>
            </w:r>
          </w:p>
          <w:p w:rsidR="00802958" w:rsidRPr="00661595" w:rsidRDefault="00802958" w:rsidP="00487A02">
            <w:pPr>
              <w:pStyle w:val="InstructionsText"/>
              <w:rPr>
                <w:rStyle w:val="FormatvorlageInstructionsTabelleText"/>
                <w:rFonts w:ascii="Times New Roman" w:hAnsi="Times New Roman"/>
                <w:sz w:val="24"/>
              </w:rPr>
            </w:pPr>
            <w:r w:rsidRPr="00661595">
              <w:rPr>
                <w:rStyle w:val="FormatvorlageInstructionsTabelleText"/>
                <w:rFonts w:ascii="Times New Roman" w:hAnsi="Times New Roman"/>
                <w:sz w:val="24"/>
              </w:rPr>
              <w:t>Article 3 CRR</w:t>
            </w:r>
          </w:p>
          <w:p w:rsidR="00802958" w:rsidRPr="00661595" w:rsidRDefault="00802958" w:rsidP="00487A02">
            <w:pPr>
              <w:pStyle w:val="InstructionsText"/>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 xml:space="preserve">The additional risk exposure amount has to be reported. It shall only include the additional amounts (e.g. if an exposure of 100 has a risk-weight of 20% and the institutions applies a risk weight of 50% based on </w:t>
            </w:r>
            <w:r w:rsidR="006A6822" w:rsidRPr="00661595">
              <w:rPr>
                <w:rStyle w:val="InstructionsTabelleberschrift"/>
                <w:rFonts w:ascii="Times New Roman" w:hAnsi="Times New Roman"/>
                <w:b w:val="0"/>
                <w:sz w:val="24"/>
                <w:u w:val="none"/>
              </w:rPr>
              <w:t>A</w:t>
            </w:r>
            <w:r w:rsidRPr="00661595">
              <w:rPr>
                <w:rStyle w:val="InstructionsTabelleberschrift"/>
                <w:rFonts w:ascii="Times New Roman" w:hAnsi="Times New Roman"/>
                <w:b w:val="0"/>
                <w:sz w:val="24"/>
                <w:u w:val="none"/>
              </w:rPr>
              <w:t xml:space="preserve">rticle 3 CRR, the amount to be reported is 30). </w:t>
            </w:r>
          </w:p>
        </w:tc>
      </w:tr>
    </w:tbl>
    <w:p w:rsidR="002648B0" w:rsidRPr="00661595" w:rsidRDefault="00936DD1" w:rsidP="0023700C">
      <w:pPr>
        <w:pStyle w:val="Instructionsberschrift2"/>
        <w:numPr>
          <w:ilvl w:val="0"/>
          <w:numId w:val="0"/>
        </w:numPr>
        <w:ind w:left="357" w:hanging="357"/>
        <w:rPr>
          <w:rFonts w:ascii="Times New Roman" w:hAnsi="Times New Roman" w:cs="Times New Roman"/>
          <w:sz w:val="24"/>
          <w:u w:val="none"/>
          <w:lang w:val="en-GB"/>
        </w:rPr>
      </w:pPr>
      <w:bookmarkStart w:id="50" w:name="_Toc473560877"/>
      <w:bookmarkStart w:id="51" w:name="_Toc57831517"/>
      <w:bookmarkStart w:id="52" w:name="_Toc308175826"/>
      <w:bookmarkStart w:id="53" w:name="_Toc360188329"/>
      <w:r w:rsidRPr="00661595">
        <w:rPr>
          <w:rFonts w:ascii="Times New Roman" w:hAnsi="Times New Roman" w:cs="Times New Roman"/>
          <w:sz w:val="24"/>
          <w:u w:val="none"/>
          <w:lang w:val="en-GB"/>
        </w:rPr>
        <w:t>1.4</w:t>
      </w:r>
      <w:r w:rsidRPr="00661595">
        <w:rPr>
          <w:rFonts w:ascii="Times New Roman" w:hAnsi="Times New Roman" w:cs="Times New Roman"/>
          <w:sz w:val="24"/>
          <w:u w:val="none"/>
          <w:lang w:val="en-GB"/>
        </w:rPr>
        <w:tab/>
      </w:r>
      <w:r w:rsidR="00513822" w:rsidRPr="00661595">
        <w:rPr>
          <w:rFonts w:ascii="Times New Roman" w:hAnsi="Times New Roman" w:cs="Times New Roman"/>
          <w:sz w:val="24"/>
          <w:u w:val="none"/>
          <w:lang w:val="en-GB"/>
        </w:rPr>
        <w:t>C 03.00 - CAPITAL RATIOS AND CAPITAL LEVELS (CA3)</w:t>
      </w:r>
      <w:bookmarkEnd w:id="50"/>
      <w:bookmarkEnd w:id="51"/>
      <w:r w:rsidR="002648B0" w:rsidRPr="00661595">
        <w:rPr>
          <w:rFonts w:ascii="Times New Roman" w:hAnsi="Times New Roman" w:cs="Times New Roman"/>
          <w:sz w:val="24"/>
          <w:u w:val="none"/>
          <w:lang w:val="en-GB"/>
        </w:rPr>
        <w:t xml:space="preserve"> </w:t>
      </w:r>
      <w:bookmarkEnd w:id="52"/>
      <w:bookmarkEnd w:id="53"/>
    </w:p>
    <w:p w:rsidR="002648B0"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54" w:name="_Toc308175827"/>
      <w:bookmarkStart w:id="55" w:name="_Toc310414972"/>
      <w:bookmarkStart w:id="56" w:name="_Toc360188330"/>
      <w:bookmarkStart w:id="57" w:name="_Toc473560878"/>
      <w:bookmarkStart w:id="58" w:name="_Toc57831518"/>
      <w:r w:rsidRPr="00661595">
        <w:rPr>
          <w:rFonts w:ascii="Times New Roman" w:hAnsi="Times New Roman" w:cs="Times New Roman"/>
          <w:sz w:val="24"/>
          <w:u w:val="none"/>
          <w:lang w:val="en-GB"/>
        </w:rPr>
        <w:t>1.4.1.</w:t>
      </w:r>
      <w:r w:rsidRPr="00661595">
        <w:rPr>
          <w:rFonts w:ascii="Times New Roman" w:hAnsi="Times New Roman" w:cs="Times New Roman"/>
          <w:sz w:val="24"/>
          <w:u w:val="none"/>
          <w:lang w:val="en-GB"/>
        </w:rPr>
        <w:tab/>
      </w:r>
      <w:r w:rsidR="002648B0" w:rsidRPr="00661595">
        <w:rPr>
          <w:rFonts w:ascii="Times New Roman" w:hAnsi="Times New Roman" w:cs="Times New Roman"/>
          <w:sz w:val="24"/>
          <w:lang w:val="en-GB"/>
        </w:rPr>
        <w:t xml:space="preserve">Instructions concerning specific </w:t>
      </w:r>
      <w:bookmarkEnd w:id="54"/>
      <w:bookmarkEnd w:id="55"/>
      <w:r w:rsidR="002B5403" w:rsidRPr="00661595">
        <w:rPr>
          <w:rFonts w:ascii="Times New Roman" w:hAnsi="Times New Roman" w:cs="Times New Roman"/>
          <w:sz w:val="24"/>
          <w:lang w:val="en-GB"/>
        </w:rPr>
        <w:t>positions</w:t>
      </w:r>
      <w:bookmarkEnd w:id="56"/>
      <w:bookmarkEnd w:id="57"/>
      <w:bookmarkEnd w:id="58"/>
    </w:p>
    <w:tbl>
      <w:tblPr>
        <w:tblW w:w="8783" w:type="dxa"/>
        <w:tblInd w:w="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63"/>
        <w:gridCol w:w="7620"/>
      </w:tblGrid>
      <w:tr w:rsidR="002648B0" w:rsidRPr="00661595" w:rsidTr="00672D2A">
        <w:tc>
          <w:tcPr>
            <w:tcW w:w="8783" w:type="dxa"/>
            <w:gridSpan w:val="2"/>
            <w:shd w:val="clear" w:color="auto" w:fill="D9D9D9"/>
          </w:tcPr>
          <w:p w:rsidR="005643EA" w:rsidRPr="00661595" w:rsidRDefault="002648B0" w:rsidP="00487A02">
            <w:pPr>
              <w:pStyle w:val="InstructionsText"/>
            </w:pPr>
            <w:r w:rsidRPr="00661595">
              <w:t>Rows</w:t>
            </w:r>
          </w:p>
        </w:tc>
      </w:tr>
      <w:tr w:rsidR="002648B0" w:rsidRPr="00661595" w:rsidTr="003E47C5">
        <w:tc>
          <w:tcPr>
            <w:tcW w:w="1163" w:type="dxa"/>
          </w:tcPr>
          <w:p w:rsidR="002648B0" w:rsidRPr="00661595" w:rsidRDefault="00B13F06" w:rsidP="00487A02">
            <w:pPr>
              <w:pStyle w:val="InstructionsText"/>
            </w:pPr>
            <w:r w:rsidRPr="00661595">
              <w:t>0</w:t>
            </w:r>
            <w:r w:rsidR="002648B0" w:rsidRPr="00661595">
              <w:t>010</w:t>
            </w:r>
          </w:p>
        </w:tc>
        <w:tc>
          <w:tcPr>
            <w:tcW w:w="7620" w:type="dxa"/>
          </w:tcPr>
          <w:p w:rsidR="005643EA" w:rsidRPr="00661595" w:rsidRDefault="002648B0" w:rsidP="00487A02">
            <w:pPr>
              <w:pStyle w:val="InstructionsText"/>
            </w:pPr>
            <w:r w:rsidRPr="00661595">
              <w:rPr>
                <w:rStyle w:val="InstructionsTabelleberschrift"/>
                <w:rFonts w:ascii="Times New Roman" w:hAnsi="Times New Roman"/>
                <w:sz w:val="24"/>
              </w:rPr>
              <w:t>1</w:t>
            </w:r>
            <w:r w:rsidR="00A4319E" w:rsidRPr="00661595">
              <w:rPr>
                <w:rStyle w:val="InstructionsTabelleberschrift"/>
                <w:rFonts w:ascii="Times New Roman" w:hAnsi="Times New Roman"/>
                <w:sz w:val="24"/>
              </w:rPr>
              <w:tab/>
            </w:r>
            <w:r w:rsidRPr="00661595">
              <w:rPr>
                <w:rStyle w:val="InstructionsTabelleberschrift"/>
                <w:rFonts w:ascii="Times New Roman" w:hAnsi="Times New Roman"/>
                <w:sz w:val="24"/>
              </w:rPr>
              <w:t>CET1 Capital ratio</w:t>
            </w:r>
          </w:p>
          <w:p w:rsidR="005643EA" w:rsidRPr="00661595" w:rsidRDefault="00705025" w:rsidP="00487A02">
            <w:pPr>
              <w:pStyle w:val="InstructionsText"/>
            </w:pPr>
            <w:r w:rsidRPr="00661595">
              <w:t xml:space="preserve">Point (a) of </w:t>
            </w:r>
            <w:r w:rsidR="002648B0" w:rsidRPr="00661595">
              <w:t xml:space="preserve">Article </w:t>
            </w:r>
            <w:r w:rsidR="00AE3D79" w:rsidRPr="00661595">
              <w:t>92</w:t>
            </w:r>
            <w:r w:rsidR="002648B0" w:rsidRPr="00661595">
              <w:t xml:space="preserve">(2) </w:t>
            </w:r>
            <w:r w:rsidR="00C7103D" w:rsidRPr="00661595">
              <w:t>CRR</w:t>
            </w:r>
          </w:p>
          <w:p w:rsidR="005643EA" w:rsidRPr="00661595" w:rsidRDefault="002648B0" w:rsidP="00487A02">
            <w:pPr>
              <w:pStyle w:val="InstructionsText"/>
            </w:pPr>
            <w:r w:rsidRPr="00661595">
              <w:t>The CET1 capital ratio is the CET1 capital of the institution expressed as a percentage of the total risk exposure amount.</w:t>
            </w:r>
          </w:p>
        </w:tc>
      </w:tr>
      <w:tr w:rsidR="002648B0" w:rsidRPr="00661595" w:rsidTr="003E47C5">
        <w:tc>
          <w:tcPr>
            <w:tcW w:w="1163" w:type="dxa"/>
          </w:tcPr>
          <w:p w:rsidR="002648B0" w:rsidRPr="00661595" w:rsidRDefault="00B13F06" w:rsidP="00487A02">
            <w:pPr>
              <w:pStyle w:val="InstructionsText"/>
            </w:pPr>
            <w:r w:rsidRPr="00661595">
              <w:t>0</w:t>
            </w:r>
            <w:r w:rsidR="002648B0" w:rsidRPr="00661595">
              <w:t>020</w:t>
            </w:r>
          </w:p>
        </w:tc>
        <w:tc>
          <w:tcPr>
            <w:tcW w:w="7620" w:type="dxa"/>
          </w:tcPr>
          <w:p w:rsidR="005643EA" w:rsidRPr="00661595" w:rsidRDefault="002648B0"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2</w:t>
            </w:r>
            <w:r w:rsidR="00A4319E" w:rsidRPr="00661595">
              <w:rPr>
                <w:rStyle w:val="InstructionsTabelleberschrift"/>
                <w:rFonts w:ascii="Times New Roman" w:hAnsi="Times New Roman"/>
                <w:sz w:val="24"/>
              </w:rPr>
              <w:tab/>
            </w:r>
            <w:r w:rsidRPr="00661595">
              <w:rPr>
                <w:rStyle w:val="InstructionsTabelleberschrift"/>
                <w:rFonts w:ascii="Times New Roman" w:hAnsi="Times New Roman"/>
                <w:sz w:val="24"/>
              </w:rPr>
              <w:t>Surplus(+)/Deficit(-) of CET1 capital</w:t>
            </w:r>
          </w:p>
          <w:p w:rsidR="005643EA" w:rsidRPr="00661595" w:rsidRDefault="002648B0" w:rsidP="00487A02">
            <w:pPr>
              <w:pStyle w:val="InstructionsText"/>
            </w:pPr>
            <w:r w:rsidRPr="00661595">
              <w:t xml:space="preserve">This item shows, in absolute figures, the amount of CET1 capital surplus or deficit relating to the requirement set in </w:t>
            </w:r>
            <w:r w:rsidR="00705025" w:rsidRPr="00661595">
              <w:t xml:space="preserve">point (a) of </w:t>
            </w:r>
            <w:r w:rsidRPr="00661595">
              <w:t>Article</w:t>
            </w:r>
            <w:r w:rsidR="00730040" w:rsidRPr="00661595">
              <w:t xml:space="preserve"> </w:t>
            </w:r>
            <w:r w:rsidR="00AE3D79" w:rsidRPr="00661595">
              <w:t>92</w:t>
            </w:r>
            <w:r w:rsidRPr="00661595">
              <w:t xml:space="preserve">(1) </w:t>
            </w:r>
            <w:r w:rsidR="00C7103D" w:rsidRPr="00661595">
              <w:t>CRR</w:t>
            </w:r>
            <w:r w:rsidRPr="00661595">
              <w:t xml:space="preserve"> (4,5%), i.e. without taking into account the capital buffers and transitional provisions on the ratio.</w:t>
            </w:r>
          </w:p>
        </w:tc>
      </w:tr>
      <w:tr w:rsidR="002648B0" w:rsidRPr="00661595" w:rsidTr="003E47C5">
        <w:tc>
          <w:tcPr>
            <w:tcW w:w="1163" w:type="dxa"/>
          </w:tcPr>
          <w:p w:rsidR="002648B0" w:rsidRPr="00661595" w:rsidRDefault="00B13F06" w:rsidP="00487A02">
            <w:pPr>
              <w:pStyle w:val="InstructionsText"/>
            </w:pPr>
            <w:r w:rsidRPr="00661595">
              <w:t>0</w:t>
            </w:r>
            <w:r w:rsidR="002648B0" w:rsidRPr="00661595">
              <w:t>030</w:t>
            </w:r>
          </w:p>
        </w:tc>
        <w:tc>
          <w:tcPr>
            <w:tcW w:w="7620" w:type="dxa"/>
          </w:tcPr>
          <w:p w:rsidR="005643EA" w:rsidRPr="00661595" w:rsidRDefault="002648B0" w:rsidP="00487A02">
            <w:pPr>
              <w:pStyle w:val="InstructionsText"/>
            </w:pPr>
            <w:r w:rsidRPr="00661595">
              <w:rPr>
                <w:rStyle w:val="InstructionsTabelleberschrift"/>
                <w:rFonts w:ascii="Times New Roman" w:hAnsi="Times New Roman"/>
                <w:sz w:val="24"/>
              </w:rPr>
              <w:t>3</w:t>
            </w:r>
            <w:r w:rsidR="00A4319E" w:rsidRPr="00661595">
              <w:rPr>
                <w:rStyle w:val="InstructionsTabelleberschrift"/>
                <w:rFonts w:ascii="Times New Roman" w:hAnsi="Times New Roman"/>
                <w:sz w:val="24"/>
              </w:rPr>
              <w:tab/>
            </w:r>
            <w:r w:rsidRPr="00661595">
              <w:rPr>
                <w:rStyle w:val="InstructionsTabelleberschrift"/>
                <w:rFonts w:ascii="Times New Roman" w:hAnsi="Times New Roman"/>
                <w:sz w:val="24"/>
              </w:rPr>
              <w:t>T1 Capital ratio</w:t>
            </w:r>
          </w:p>
          <w:p w:rsidR="005643EA" w:rsidRPr="00661595" w:rsidRDefault="00705025" w:rsidP="00487A02">
            <w:pPr>
              <w:pStyle w:val="InstructionsText"/>
            </w:pPr>
            <w:r w:rsidRPr="00661595">
              <w:t xml:space="preserve">Point (b) of </w:t>
            </w:r>
            <w:r w:rsidR="002648B0" w:rsidRPr="00661595">
              <w:t xml:space="preserve">Article </w:t>
            </w:r>
            <w:r w:rsidR="00AE3D79" w:rsidRPr="00661595">
              <w:t>92</w:t>
            </w:r>
            <w:r w:rsidR="002648B0" w:rsidRPr="00661595">
              <w:t xml:space="preserve">(2) </w:t>
            </w:r>
            <w:r w:rsidR="00C7103D" w:rsidRPr="00661595">
              <w:t>CRR</w:t>
            </w:r>
          </w:p>
          <w:p w:rsidR="005643EA" w:rsidRPr="00661595" w:rsidRDefault="002648B0" w:rsidP="00487A02">
            <w:pPr>
              <w:pStyle w:val="InstructionsText"/>
            </w:pPr>
            <w:r w:rsidRPr="00661595">
              <w:t>The T1 capital ratio is the T1 capital of the institution expressed as a percentage of the total risk exposure amount.</w:t>
            </w:r>
          </w:p>
        </w:tc>
      </w:tr>
      <w:tr w:rsidR="002648B0" w:rsidRPr="00661595" w:rsidTr="003E47C5">
        <w:tc>
          <w:tcPr>
            <w:tcW w:w="1163" w:type="dxa"/>
          </w:tcPr>
          <w:p w:rsidR="002648B0" w:rsidRPr="00661595" w:rsidRDefault="00B13F06" w:rsidP="00487A02">
            <w:pPr>
              <w:pStyle w:val="InstructionsText"/>
            </w:pPr>
            <w:r w:rsidRPr="00661595">
              <w:t>0</w:t>
            </w:r>
            <w:r w:rsidR="002648B0" w:rsidRPr="00661595">
              <w:t>040</w:t>
            </w:r>
          </w:p>
        </w:tc>
        <w:tc>
          <w:tcPr>
            <w:tcW w:w="7620" w:type="dxa"/>
          </w:tcPr>
          <w:p w:rsidR="005643EA" w:rsidRPr="00661595" w:rsidRDefault="002648B0" w:rsidP="00487A02">
            <w:pPr>
              <w:pStyle w:val="InstructionsText"/>
            </w:pPr>
            <w:r w:rsidRPr="00661595">
              <w:rPr>
                <w:rStyle w:val="InstructionsTabelleberschrift"/>
                <w:rFonts w:ascii="Times New Roman" w:hAnsi="Times New Roman"/>
                <w:sz w:val="24"/>
              </w:rPr>
              <w:t>4</w:t>
            </w:r>
            <w:r w:rsidR="00A4319E" w:rsidRPr="00661595">
              <w:rPr>
                <w:rStyle w:val="InstructionsTabelleberschrift"/>
                <w:rFonts w:ascii="Times New Roman" w:hAnsi="Times New Roman"/>
                <w:sz w:val="24"/>
              </w:rPr>
              <w:tab/>
            </w:r>
            <w:r w:rsidRPr="00661595">
              <w:rPr>
                <w:rStyle w:val="InstructionsTabelleberschrift"/>
                <w:rFonts w:ascii="Times New Roman" w:hAnsi="Times New Roman"/>
                <w:sz w:val="24"/>
              </w:rPr>
              <w:t>Surplus(+)/Deficit(-) of T1 capital</w:t>
            </w:r>
          </w:p>
          <w:p w:rsidR="005643EA" w:rsidRPr="00661595" w:rsidRDefault="002648B0" w:rsidP="00487A02">
            <w:pPr>
              <w:pStyle w:val="InstructionsText"/>
            </w:pPr>
            <w:r w:rsidRPr="00661595">
              <w:t xml:space="preserve">This item shows, in absolute figures, the amount of T1 capital surplus or deficit relating to the requirement set in </w:t>
            </w:r>
            <w:r w:rsidR="00705025" w:rsidRPr="00661595">
              <w:t xml:space="preserve">point (b) of </w:t>
            </w:r>
            <w:r w:rsidRPr="00661595">
              <w:t>Article</w:t>
            </w:r>
            <w:r w:rsidR="00730040" w:rsidRPr="00661595">
              <w:t xml:space="preserve"> </w:t>
            </w:r>
            <w:r w:rsidR="00AE3D79" w:rsidRPr="00661595">
              <w:t>92</w:t>
            </w:r>
            <w:r w:rsidRPr="00661595">
              <w:t xml:space="preserve">(1) </w:t>
            </w:r>
            <w:r w:rsidR="00C7103D" w:rsidRPr="00661595">
              <w:t>CRR</w:t>
            </w:r>
            <w:r w:rsidRPr="00661595">
              <w:t xml:space="preserve"> (6%), i.e. without taking into account the capital buffers and transitional provisions on the ratio.</w:t>
            </w:r>
          </w:p>
        </w:tc>
      </w:tr>
      <w:tr w:rsidR="002648B0" w:rsidRPr="00661595" w:rsidTr="003E47C5">
        <w:tc>
          <w:tcPr>
            <w:tcW w:w="1163" w:type="dxa"/>
          </w:tcPr>
          <w:p w:rsidR="002648B0" w:rsidRPr="00661595" w:rsidRDefault="00B13F06" w:rsidP="00487A02">
            <w:pPr>
              <w:pStyle w:val="InstructionsText"/>
            </w:pPr>
            <w:r w:rsidRPr="00661595">
              <w:t>0</w:t>
            </w:r>
            <w:r w:rsidR="002648B0" w:rsidRPr="00661595">
              <w:t>050</w:t>
            </w:r>
          </w:p>
        </w:tc>
        <w:tc>
          <w:tcPr>
            <w:tcW w:w="7620" w:type="dxa"/>
          </w:tcPr>
          <w:p w:rsidR="005643EA" w:rsidRPr="00661595" w:rsidRDefault="002648B0" w:rsidP="00487A02">
            <w:pPr>
              <w:pStyle w:val="InstructionsText"/>
            </w:pPr>
            <w:r w:rsidRPr="00661595">
              <w:rPr>
                <w:rStyle w:val="InstructionsTabelleberschrift"/>
                <w:rFonts w:ascii="Times New Roman" w:hAnsi="Times New Roman"/>
                <w:sz w:val="24"/>
              </w:rPr>
              <w:t>5</w:t>
            </w:r>
            <w:r w:rsidR="00A4319E" w:rsidRPr="00661595">
              <w:rPr>
                <w:rStyle w:val="InstructionsTabelleberschrift"/>
                <w:rFonts w:ascii="Times New Roman" w:hAnsi="Times New Roman"/>
                <w:sz w:val="24"/>
              </w:rPr>
              <w:tab/>
            </w:r>
            <w:r w:rsidRPr="00661595">
              <w:rPr>
                <w:rStyle w:val="InstructionsTabelleberschrift"/>
                <w:rFonts w:ascii="Times New Roman" w:hAnsi="Times New Roman"/>
                <w:sz w:val="24"/>
              </w:rPr>
              <w:t>Total capital ratio</w:t>
            </w:r>
          </w:p>
          <w:p w:rsidR="005643EA" w:rsidRPr="00661595" w:rsidRDefault="00705025" w:rsidP="00487A02">
            <w:pPr>
              <w:pStyle w:val="InstructionsText"/>
            </w:pPr>
            <w:r w:rsidRPr="00661595">
              <w:t xml:space="preserve">Point (c) of </w:t>
            </w:r>
            <w:r w:rsidR="002648B0" w:rsidRPr="00661595">
              <w:t xml:space="preserve">Article </w:t>
            </w:r>
            <w:r w:rsidR="00AE3D79" w:rsidRPr="00661595">
              <w:t>92</w:t>
            </w:r>
            <w:r w:rsidR="002648B0" w:rsidRPr="00661595">
              <w:t xml:space="preserve">(2) </w:t>
            </w:r>
            <w:r w:rsidR="00C7103D" w:rsidRPr="00661595">
              <w:t>CRR</w:t>
            </w:r>
          </w:p>
          <w:p w:rsidR="005643EA" w:rsidRPr="00661595" w:rsidRDefault="002648B0" w:rsidP="00487A02">
            <w:pPr>
              <w:pStyle w:val="InstructionsText"/>
            </w:pPr>
            <w:r w:rsidRPr="00661595">
              <w:t>The total capital ratio is the own funds of the institution expressed as a percentage of the total risk exposure amount.</w:t>
            </w:r>
          </w:p>
        </w:tc>
      </w:tr>
      <w:tr w:rsidR="002648B0" w:rsidRPr="00661595" w:rsidTr="003E47C5">
        <w:tc>
          <w:tcPr>
            <w:tcW w:w="1163" w:type="dxa"/>
          </w:tcPr>
          <w:p w:rsidR="002648B0" w:rsidRPr="00661595" w:rsidRDefault="00B13F06" w:rsidP="00487A02">
            <w:pPr>
              <w:pStyle w:val="InstructionsText"/>
            </w:pPr>
            <w:r w:rsidRPr="00661595">
              <w:t>0</w:t>
            </w:r>
            <w:r w:rsidR="002648B0" w:rsidRPr="00661595">
              <w:t>060</w:t>
            </w:r>
          </w:p>
        </w:tc>
        <w:tc>
          <w:tcPr>
            <w:tcW w:w="7620" w:type="dxa"/>
          </w:tcPr>
          <w:p w:rsidR="005643EA" w:rsidRPr="00661595" w:rsidRDefault="002648B0" w:rsidP="00487A02">
            <w:pPr>
              <w:pStyle w:val="InstructionsText"/>
            </w:pPr>
            <w:r w:rsidRPr="00661595">
              <w:rPr>
                <w:rStyle w:val="InstructionsTabelleberschrift"/>
                <w:rFonts w:ascii="Times New Roman" w:hAnsi="Times New Roman"/>
                <w:sz w:val="24"/>
              </w:rPr>
              <w:t>6</w:t>
            </w:r>
            <w:r w:rsidR="00A4319E" w:rsidRPr="00661595">
              <w:rPr>
                <w:rStyle w:val="InstructionsTabelleberschrift"/>
                <w:rFonts w:ascii="Times New Roman" w:hAnsi="Times New Roman"/>
                <w:sz w:val="24"/>
              </w:rPr>
              <w:tab/>
            </w:r>
            <w:r w:rsidRPr="00661595">
              <w:rPr>
                <w:rStyle w:val="InstructionsTabelleberschrift"/>
                <w:rFonts w:ascii="Times New Roman" w:hAnsi="Times New Roman"/>
                <w:sz w:val="24"/>
              </w:rPr>
              <w:t>Surplus(+)/Deficit(-) of total capital</w:t>
            </w:r>
          </w:p>
          <w:p w:rsidR="005643EA" w:rsidRPr="00661595" w:rsidRDefault="002648B0" w:rsidP="00487A02">
            <w:pPr>
              <w:pStyle w:val="InstructionsText"/>
            </w:pPr>
            <w:r w:rsidRPr="00661595">
              <w:t xml:space="preserve">This item shows, in absolute figures, the amount of own funds surplus or deficit relating to the requirement set in </w:t>
            </w:r>
            <w:r w:rsidR="00705025" w:rsidRPr="00661595">
              <w:t xml:space="preserve">point (c) of </w:t>
            </w:r>
            <w:r w:rsidRPr="00661595">
              <w:t>Article</w:t>
            </w:r>
            <w:r w:rsidR="00730040" w:rsidRPr="00661595">
              <w:t xml:space="preserve"> </w:t>
            </w:r>
            <w:r w:rsidR="00AE3D79" w:rsidRPr="00661595">
              <w:t>92</w:t>
            </w:r>
            <w:r w:rsidRPr="00661595">
              <w:t xml:space="preserve">(1) </w:t>
            </w:r>
            <w:r w:rsidR="00C7103D" w:rsidRPr="00661595">
              <w:t>CRR</w:t>
            </w:r>
            <w:r w:rsidRPr="00661595">
              <w:t xml:space="preserve"> (8%), i.e. without taking into account the capital buffers and transitional provisions on the ratio.</w:t>
            </w:r>
          </w:p>
        </w:tc>
      </w:tr>
      <w:tr w:rsidR="009C083D" w:rsidRPr="00661595" w:rsidTr="003E47C5">
        <w:tc>
          <w:tcPr>
            <w:tcW w:w="1163" w:type="dxa"/>
          </w:tcPr>
          <w:p w:rsidR="009C083D" w:rsidRPr="00661595" w:rsidRDefault="00B13F06" w:rsidP="00487A02">
            <w:pPr>
              <w:pStyle w:val="InstructionsText"/>
            </w:pPr>
            <w:r w:rsidRPr="00661595">
              <w:t>0</w:t>
            </w:r>
            <w:r w:rsidR="009C083D" w:rsidRPr="00661595">
              <w:t>130</w:t>
            </w:r>
          </w:p>
        </w:tc>
        <w:tc>
          <w:tcPr>
            <w:tcW w:w="7620" w:type="dxa"/>
          </w:tcPr>
          <w:p w:rsidR="009C083D" w:rsidRPr="00661595" w:rsidRDefault="009C083D" w:rsidP="00487A02">
            <w:pPr>
              <w:pStyle w:val="InstructionsText"/>
              <w:rPr>
                <w:rStyle w:val="InstructionsTabelleberschrift"/>
                <w:rFonts w:ascii="Times New Roman" w:hAnsi="Times New Roman"/>
                <w:bCs w:val="0"/>
                <w:sz w:val="24"/>
                <w:lang w:eastAsia="en-US"/>
              </w:rPr>
            </w:pPr>
            <w:r w:rsidRPr="00661595">
              <w:rPr>
                <w:rStyle w:val="InstructionsTabelleberschrift"/>
                <w:rFonts w:ascii="Times New Roman" w:hAnsi="Times New Roman"/>
                <w:sz w:val="24"/>
              </w:rPr>
              <w:t>13</w:t>
            </w:r>
            <w:r w:rsidRPr="00661595">
              <w:rPr>
                <w:rStyle w:val="InstructionsTabelleberschrift"/>
                <w:rFonts w:ascii="Times New Roman" w:hAnsi="Times New Roman"/>
                <w:sz w:val="24"/>
              </w:rPr>
              <w:tab/>
              <w:t>Total SREP capital requirement (TSCR)</w:t>
            </w:r>
            <w:r w:rsidR="007615A8" w:rsidRPr="00661595">
              <w:rPr>
                <w:rStyle w:val="InstructionsTabelleberschrift"/>
                <w:rFonts w:ascii="Times New Roman" w:hAnsi="Times New Roman"/>
                <w:sz w:val="24"/>
              </w:rPr>
              <w:t xml:space="preserve"> ratio</w:t>
            </w:r>
          </w:p>
          <w:p w:rsidR="009C083D" w:rsidRPr="00661595" w:rsidRDefault="009C083D" w:rsidP="00487A02">
            <w:pPr>
              <w:pStyle w:val="InstructionsText"/>
            </w:pPr>
            <w:r w:rsidRPr="00661595">
              <w:t>The sum of (i) and (ii) as follows:</w:t>
            </w:r>
          </w:p>
          <w:p w:rsidR="009C083D" w:rsidRPr="00661595" w:rsidRDefault="009C083D" w:rsidP="00487A02">
            <w:pPr>
              <w:pStyle w:val="InstructionsText"/>
              <w:numPr>
                <w:ilvl w:val="0"/>
                <w:numId w:val="20"/>
              </w:numPr>
            </w:pPr>
            <w:r w:rsidRPr="00661595">
              <w:t xml:space="preserve">the total capital ratio (8%) as specified in </w:t>
            </w:r>
            <w:r w:rsidR="00705025" w:rsidRPr="00661595">
              <w:t xml:space="preserve">point (c) of </w:t>
            </w:r>
            <w:r w:rsidRPr="00661595">
              <w:t xml:space="preserve">Article 92(1) </w:t>
            </w:r>
            <w:r w:rsidR="00C7103D" w:rsidRPr="00661595">
              <w:t>CRR</w:t>
            </w:r>
            <w:r w:rsidRPr="00661595">
              <w:t xml:space="preserve">; </w:t>
            </w:r>
          </w:p>
          <w:p w:rsidR="009C083D" w:rsidRPr="00661595" w:rsidRDefault="009C083D" w:rsidP="00487A02">
            <w:pPr>
              <w:pStyle w:val="InstructionsText"/>
              <w:numPr>
                <w:ilvl w:val="0"/>
                <w:numId w:val="20"/>
              </w:numPr>
            </w:pPr>
            <w:r w:rsidRPr="00661595">
              <w:t xml:space="preserve">the additional own funds requirements (Pillar 2 Requirements – P2R) </w:t>
            </w:r>
            <w:r w:rsidR="0044639C" w:rsidRPr="00661595">
              <w:t xml:space="preserve">as referred to in </w:t>
            </w:r>
            <w:r w:rsidR="009258A2">
              <w:t xml:space="preserve">point (a) of </w:t>
            </w:r>
            <w:r w:rsidR="0044639C" w:rsidRPr="00661595">
              <w:t>Article 104 (1) CRD, presented as ratio. They shall be</w:t>
            </w:r>
            <w:r w:rsidRPr="00661595">
              <w:t xml:space="preserve"> determined in accordance with the criteria specified in the </w:t>
            </w:r>
            <w:r w:rsidRPr="00661595">
              <w:rPr>
                <w:i/>
              </w:rPr>
              <w:t xml:space="preserve">EBA Guidelines on common procedures and methodologies for the supervisory review and evaluation process and supervisory stress testing </w:t>
            </w:r>
            <w:r w:rsidRPr="00661595">
              <w:t>(EBA SREP GL).</w:t>
            </w:r>
          </w:p>
          <w:p w:rsidR="009C083D" w:rsidRPr="00661595" w:rsidRDefault="009C083D" w:rsidP="00487A02">
            <w:pPr>
              <w:pStyle w:val="InstructionsText"/>
            </w:pPr>
            <w:r w:rsidRPr="00661595">
              <w:t xml:space="preserve">This item shall reflect the total SREP capital requirement (TSCR) ratio as communicated to the institution by the competent authority. The TSCR is defined in Section </w:t>
            </w:r>
            <w:r w:rsidR="0044639C" w:rsidRPr="00661595">
              <w:t>7.4 and 7.5</w:t>
            </w:r>
            <w:r w:rsidRPr="00661595">
              <w:t xml:space="preserve"> of the EBA SREP GL.</w:t>
            </w:r>
          </w:p>
          <w:p w:rsidR="00C9673B" w:rsidRPr="00661595" w:rsidRDefault="00FF2818" w:rsidP="00487A02">
            <w:pPr>
              <w:pStyle w:val="InstructionsText"/>
              <w:rPr>
                <w:rStyle w:val="InstructionsTabelleberschrift"/>
                <w:rFonts w:ascii="Times New Roman" w:hAnsi="Times New Roman"/>
                <w:b w:val="0"/>
                <w:bCs w:val="0"/>
                <w:sz w:val="24"/>
                <w:u w:val="none"/>
              </w:rPr>
            </w:pPr>
            <w:r w:rsidRPr="00661595">
              <w:t>Where</w:t>
            </w:r>
            <w:r w:rsidR="00236E33" w:rsidRPr="00661595">
              <w:t xml:space="preserve"> no additional own funds requirements were communicated by the competent authority, only point (i) sh</w:t>
            </w:r>
            <w:r w:rsidRPr="00661595">
              <w:t>all</w:t>
            </w:r>
            <w:r w:rsidR="00236E33" w:rsidRPr="00661595">
              <w:t xml:space="preserve"> be reported.</w:t>
            </w:r>
            <w:r w:rsidR="00C9673B" w:rsidRPr="00661595">
              <w:t xml:space="preserve"> </w:t>
            </w:r>
          </w:p>
        </w:tc>
      </w:tr>
      <w:tr w:rsidR="009C083D" w:rsidRPr="00661595" w:rsidTr="003E47C5">
        <w:tc>
          <w:tcPr>
            <w:tcW w:w="1163" w:type="dxa"/>
          </w:tcPr>
          <w:p w:rsidR="009C083D" w:rsidRPr="00661595" w:rsidRDefault="00B13F06" w:rsidP="00487A02">
            <w:pPr>
              <w:pStyle w:val="InstructionsText"/>
            </w:pPr>
            <w:r w:rsidRPr="00661595">
              <w:t>0</w:t>
            </w:r>
            <w:r w:rsidR="009C083D" w:rsidRPr="00661595">
              <w:t>140</w:t>
            </w:r>
          </w:p>
        </w:tc>
        <w:tc>
          <w:tcPr>
            <w:tcW w:w="7620" w:type="dxa"/>
          </w:tcPr>
          <w:p w:rsidR="009C083D" w:rsidRPr="00661595" w:rsidRDefault="009C083D"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13*</w:t>
            </w:r>
            <w:r w:rsidRPr="00661595">
              <w:rPr>
                <w:rStyle w:val="InstructionsTabelleberschrift"/>
                <w:rFonts w:ascii="Times New Roman" w:hAnsi="Times New Roman"/>
                <w:sz w:val="24"/>
              </w:rPr>
              <w:tab/>
              <w:t xml:space="preserve">TSCR: to be made up of CET1 capital </w:t>
            </w:r>
          </w:p>
          <w:p w:rsidR="009C083D" w:rsidRPr="00661595" w:rsidRDefault="009C083D" w:rsidP="00487A02">
            <w:pPr>
              <w:pStyle w:val="InstructionsText"/>
            </w:pPr>
            <w:r w:rsidRPr="00661595">
              <w:t>The sum of (i) and (ii) as follows:</w:t>
            </w:r>
          </w:p>
          <w:p w:rsidR="009C083D" w:rsidRPr="00661595" w:rsidRDefault="009C083D" w:rsidP="00487A02">
            <w:pPr>
              <w:pStyle w:val="InstructionsText"/>
              <w:numPr>
                <w:ilvl w:val="0"/>
                <w:numId w:val="21"/>
              </w:numPr>
            </w:pPr>
            <w:r w:rsidRPr="00661595">
              <w:t xml:space="preserve">the CET1 capital ratio (4.5%) as per </w:t>
            </w:r>
            <w:r w:rsidR="00705025" w:rsidRPr="00661595">
              <w:t xml:space="preserve">point (a) of </w:t>
            </w:r>
            <w:r w:rsidRPr="00661595">
              <w:t>Article 92(1)</w:t>
            </w:r>
            <w:r w:rsidR="00705025" w:rsidRPr="00661595">
              <w:t xml:space="preserve"> </w:t>
            </w:r>
            <w:r w:rsidR="00C7103D" w:rsidRPr="00661595">
              <w:t>CRR</w:t>
            </w:r>
            <w:r w:rsidRPr="00661595">
              <w:t>;</w:t>
            </w:r>
          </w:p>
          <w:p w:rsidR="0002157C" w:rsidRPr="00661595" w:rsidRDefault="009C083D" w:rsidP="00487A02">
            <w:pPr>
              <w:pStyle w:val="InstructionsText"/>
              <w:numPr>
                <w:ilvl w:val="0"/>
                <w:numId w:val="21"/>
              </w:numPr>
              <w:rPr>
                <w:b/>
                <w:bCs/>
                <w:u w:val="single"/>
              </w:rPr>
            </w:pPr>
            <w:r w:rsidRPr="00661595">
              <w:t xml:space="preserve">the part of </w:t>
            </w:r>
            <w:r w:rsidR="005E4BEC" w:rsidRPr="00661595">
              <w:t xml:space="preserve">the </w:t>
            </w:r>
            <w:r w:rsidRPr="00661595">
              <w:t xml:space="preserve">P2R ratio, referred to in point (ii) of row </w:t>
            </w:r>
            <w:r w:rsidR="00B13F06" w:rsidRPr="00661595">
              <w:t>0</w:t>
            </w:r>
            <w:r w:rsidRPr="00661595">
              <w:t>130, which is required by the competent authority to be held in the form of CET1 capital.</w:t>
            </w:r>
          </w:p>
          <w:p w:rsidR="009C083D" w:rsidRPr="00661595" w:rsidRDefault="00FF2818" w:rsidP="00487A02">
            <w:pPr>
              <w:pStyle w:val="InstructionsText"/>
              <w:rPr>
                <w:rStyle w:val="InstructionsTabelleberschrift"/>
                <w:rFonts w:ascii="Times New Roman" w:hAnsi="Times New Roman"/>
                <w:sz w:val="24"/>
              </w:rPr>
            </w:pPr>
            <w:r w:rsidRPr="00661595">
              <w:t>Where</w:t>
            </w:r>
            <w:r w:rsidR="005B54BB" w:rsidRPr="00661595">
              <w:t xml:space="preserve"> no additional own funds requirements, to be held in the form of CET1 capital, were communicated by the competent authority, only point (i) sh</w:t>
            </w:r>
            <w:r w:rsidRPr="00661595">
              <w:t>all</w:t>
            </w:r>
            <w:r w:rsidR="005B54BB" w:rsidRPr="00661595">
              <w:t xml:space="preserve"> be reported.</w:t>
            </w:r>
            <w:r w:rsidR="009C083D" w:rsidRPr="00661595">
              <w:rPr>
                <w:rStyle w:val="InstructionsTabelleberschrift"/>
                <w:rFonts w:ascii="Times New Roman" w:hAnsi="Times New Roman"/>
                <w:b w:val="0"/>
                <w:sz w:val="24"/>
              </w:rPr>
              <w:t xml:space="preserve"> </w:t>
            </w:r>
          </w:p>
        </w:tc>
      </w:tr>
      <w:tr w:rsidR="009C083D" w:rsidRPr="00661595" w:rsidTr="003E47C5">
        <w:tc>
          <w:tcPr>
            <w:tcW w:w="1163" w:type="dxa"/>
          </w:tcPr>
          <w:p w:rsidR="009C083D" w:rsidRPr="00661595" w:rsidRDefault="00B13F06" w:rsidP="00487A02">
            <w:pPr>
              <w:pStyle w:val="InstructionsText"/>
            </w:pPr>
            <w:r w:rsidRPr="00661595">
              <w:t>0</w:t>
            </w:r>
            <w:r w:rsidR="009C083D" w:rsidRPr="00661595">
              <w:t>150</w:t>
            </w:r>
          </w:p>
        </w:tc>
        <w:tc>
          <w:tcPr>
            <w:tcW w:w="7620" w:type="dxa"/>
          </w:tcPr>
          <w:p w:rsidR="009C083D" w:rsidRPr="00661595" w:rsidRDefault="009C083D"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13**</w:t>
            </w:r>
            <w:r w:rsidRPr="00661595">
              <w:rPr>
                <w:rStyle w:val="InstructionsTabelleberschrift"/>
                <w:rFonts w:ascii="Times New Roman" w:hAnsi="Times New Roman"/>
                <w:sz w:val="24"/>
              </w:rPr>
              <w:tab/>
              <w:t>TSCR: to be made up of Tier 1 capital</w:t>
            </w:r>
          </w:p>
          <w:p w:rsidR="009C083D" w:rsidRPr="00661595" w:rsidRDefault="009C083D" w:rsidP="00487A02">
            <w:pPr>
              <w:pStyle w:val="InstructionsText"/>
            </w:pPr>
            <w:r w:rsidRPr="00661595">
              <w:t>The sum of (i) and (ii) as follows:</w:t>
            </w:r>
          </w:p>
          <w:p w:rsidR="009C083D" w:rsidRPr="00661595" w:rsidRDefault="009C083D" w:rsidP="00487A02">
            <w:pPr>
              <w:pStyle w:val="InstructionsText"/>
              <w:numPr>
                <w:ilvl w:val="0"/>
                <w:numId w:val="22"/>
              </w:numPr>
            </w:pPr>
            <w:r w:rsidRPr="00661595">
              <w:t xml:space="preserve">the Tier 1 capital ratio (6%) as per </w:t>
            </w:r>
            <w:r w:rsidR="00705025" w:rsidRPr="00661595">
              <w:t xml:space="preserve">point (b) of </w:t>
            </w:r>
            <w:r w:rsidRPr="00661595">
              <w:t>Article 92(1)</w:t>
            </w:r>
            <w:r w:rsidR="00705025" w:rsidRPr="00661595">
              <w:t xml:space="preserve"> </w:t>
            </w:r>
            <w:r w:rsidR="00C7103D" w:rsidRPr="00661595">
              <w:t>CRR</w:t>
            </w:r>
            <w:r w:rsidRPr="00661595">
              <w:t>;</w:t>
            </w:r>
          </w:p>
          <w:p w:rsidR="009C083D" w:rsidRPr="00661595" w:rsidRDefault="009C083D" w:rsidP="00487A02">
            <w:pPr>
              <w:pStyle w:val="InstructionsText"/>
              <w:numPr>
                <w:ilvl w:val="0"/>
                <w:numId w:val="22"/>
              </w:numPr>
              <w:rPr>
                <w:bCs/>
                <w:u w:val="single"/>
              </w:rPr>
            </w:pPr>
            <w:r w:rsidRPr="00661595">
              <w:t xml:space="preserve">the part of P2R ratio, referred to in point (ii) of row </w:t>
            </w:r>
            <w:r w:rsidR="00B13F06" w:rsidRPr="00661595">
              <w:t>0</w:t>
            </w:r>
            <w:r w:rsidRPr="00661595">
              <w:t>130, which is required by the competent authority to be held in the form of Tier 1 capital.</w:t>
            </w:r>
          </w:p>
          <w:p w:rsidR="00DA6CB8" w:rsidRPr="00661595" w:rsidRDefault="00FF2818" w:rsidP="00487A02">
            <w:pPr>
              <w:pStyle w:val="InstructionsText"/>
              <w:rPr>
                <w:rStyle w:val="InstructionsTabelleberschrift"/>
                <w:rFonts w:ascii="Times New Roman" w:hAnsi="Times New Roman"/>
                <w:b w:val="0"/>
                <w:sz w:val="24"/>
              </w:rPr>
            </w:pPr>
            <w:r w:rsidRPr="00661595">
              <w:t>Where</w:t>
            </w:r>
            <w:r w:rsidR="005B54BB" w:rsidRPr="00661595">
              <w:t xml:space="preserve"> no additional own funds requirements, to be held in the form of Tier 1 capital, were communicated by the competent authority, then only point (i) sh</w:t>
            </w:r>
            <w:r w:rsidRPr="00661595">
              <w:t>all</w:t>
            </w:r>
            <w:r w:rsidR="005B54BB" w:rsidRPr="00661595">
              <w:t xml:space="preserve"> be reported.</w:t>
            </w:r>
          </w:p>
        </w:tc>
      </w:tr>
      <w:tr w:rsidR="009C083D" w:rsidRPr="00661595" w:rsidTr="003E47C5">
        <w:tc>
          <w:tcPr>
            <w:tcW w:w="1163" w:type="dxa"/>
          </w:tcPr>
          <w:p w:rsidR="009C083D" w:rsidRPr="00661595" w:rsidRDefault="00B13F06" w:rsidP="00487A02">
            <w:pPr>
              <w:pStyle w:val="InstructionsText"/>
            </w:pPr>
            <w:r w:rsidRPr="00661595">
              <w:t>0</w:t>
            </w:r>
            <w:r w:rsidR="009C083D" w:rsidRPr="00661595">
              <w:t>160</w:t>
            </w:r>
          </w:p>
        </w:tc>
        <w:tc>
          <w:tcPr>
            <w:tcW w:w="7620" w:type="dxa"/>
          </w:tcPr>
          <w:p w:rsidR="009C083D" w:rsidRPr="00661595" w:rsidRDefault="009C083D"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14</w:t>
            </w:r>
            <w:r w:rsidRPr="00661595">
              <w:rPr>
                <w:rStyle w:val="InstructionsTabelleberschrift"/>
                <w:rFonts w:ascii="Times New Roman" w:hAnsi="Times New Roman"/>
                <w:sz w:val="24"/>
              </w:rPr>
              <w:tab/>
              <w:t xml:space="preserve">Overall capital requirement </w:t>
            </w:r>
            <w:r w:rsidR="007615A8" w:rsidRPr="00661595">
              <w:rPr>
                <w:rStyle w:val="InstructionsTabelleberschrift"/>
                <w:rFonts w:ascii="Times New Roman" w:hAnsi="Times New Roman"/>
                <w:sz w:val="24"/>
              </w:rPr>
              <w:t>(OCR) ratio</w:t>
            </w:r>
          </w:p>
          <w:p w:rsidR="009C083D" w:rsidRPr="00661595" w:rsidRDefault="009C083D" w:rsidP="00487A02">
            <w:pPr>
              <w:pStyle w:val="InstructionsText"/>
            </w:pPr>
            <w:r w:rsidRPr="00661595">
              <w:t>The sum of (i) and (ii) as follows:</w:t>
            </w:r>
          </w:p>
          <w:p w:rsidR="009C083D" w:rsidRPr="00661595" w:rsidRDefault="009C083D" w:rsidP="00487A02">
            <w:pPr>
              <w:pStyle w:val="InstructionsText"/>
              <w:numPr>
                <w:ilvl w:val="0"/>
                <w:numId w:val="23"/>
              </w:numPr>
            </w:pPr>
            <w:r w:rsidRPr="00661595">
              <w:t xml:space="preserve">the TSCR ratio referred to in row </w:t>
            </w:r>
            <w:r w:rsidR="00B13F06" w:rsidRPr="00661595">
              <w:t>0</w:t>
            </w:r>
            <w:r w:rsidRPr="00661595">
              <w:t>130;</w:t>
            </w:r>
          </w:p>
          <w:p w:rsidR="009C083D" w:rsidRPr="00661595" w:rsidRDefault="009C083D" w:rsidP="00487A02">
            <w:pPr>
              <w:pStyle w:val="InstructionsText"/>
              <w:numPr>
                <w:ilvl w:val="0"/>
                <w:numId w:val="23"/>
              </w:numPr>
            </w:pPr>
            <w:r w:rsidRPr="00661595">
              <w:t xml:space="preserve">to the extent it is legally applicable, the combined buffer requirement ratio referred to in </w:t>
            </w:r>
            <w:r w:rsidR="00705025" w:rsidRPr="00661595">
              <w:t xml:space="preserve">point (6) of </w:t>
            </w:r>
            <w:r w:rsidRPr="00661595">
              <w:t>Article 128 CRD.</w:t>
            </w:r>
          </w:p>
          <w:p w:rsidR="005B54BB" w:rsidRPr="00661595" w:rsidRDefault="009C083D" w:rsidP="00487A02">
            <w:pPr>
              <w:pStyle w:val="InstructionsText"/>
            </w:pPr>
            <w:r w:rsidRPr="00661595">
              <w:t xml:space="preserve">This item shall reflect the Overall capital requirement (OCR) ratio as defined in Section </w:t>
            </w:r>
            <w:r w:rsidR="00477C45" w:rsidRPr="00661595">
              <w:t>7.5</w:t>
            </w:r>
            <w:r w:rsidRPr="00661595">
              <w:t xml:space="preserve"> of the EBA SREP GL.</w:t>
            </w:r>
          </w:p>
          <w:p w:rsidR="00645573" w:rsidRPr="00661595" w:rsidRDefault="00FF2818" w:rsidP="00487A02">
            <w:pPr>
              <w:pStyle w:val="InstructionsText"/>
              <w:rPr>
                <w:rStyle w:val="InstructionsTabelleberschrift"/>
                <w:rFonts w:ascii="Times New Roman" w:hAnsi="Times New Roman"/>
                <w:sz w:val="24"/>
              </w:rPr>
            </w:pPr>
            <w:r w:rsidRPr="00661595">
              <w:t>Where</w:t>
            </w:r>
            <w:r w:rsidR="007260DA" w:rsidRPr="00661595">
              <w:t xml:space="preserve"> </w:t>
            </w:r>
            <w:r w:rsidR="00ED78AD" w:rsidRPr="00661595">
              <w:t>no buffer requirement is applicable</w:t>
            </w:r>
            <w:r w:rsidR="007260DA" w:rsidRPr="00661595">
              <w:t>, only point (i) shall be reported.</w:t>
            </w:r>
          </w:p>
        </w:tc>
      </w:tr>
      <w:tr w:rsidR="009C083D" w:rsidRPr="00661595" w:rsidTr="003E47C5">
        <w:tc>
          <w:tcPr>
            <w:tcW w:w="1163" w:type="dxa"/>
          </w:tcPr>
          <w:p w:rsidR="009C083D" w:rsidRPr="00661595" w:rsidRDefault="00B13F06" w:rsidP="00487A02">
            <w:pPr>
              <w:pStyle w:val="InstructionsText"/>
            </w:pPr>
            <w:r w:rsidRPr="00661595">
              <w:t>0</w:t>
            </w:r>
            <w:r w:rsidR="009C083D" w:rsidRPr="00661595">
              <w:t>170</w:t>
            </w:r>
          </w:p>
        </w:tc>
        <w:tc>
          <w:tcPr>
            <w:tcW w:w="7620" w:type="dxa"/>
          </w:tcPr>
          <w:p w:rsidR="009C083D" w:rsidRPr="00661595" w:rsidRDefault="009C083D"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14*</w:t>
            </w:r>
            <w:r w:rsidRPr="00661595">
              <w:rPr>
                <w:rStyle w:val="InstructionsTabelleberschrift"/>
                <w:rFonts w:ascii="Times New Roman" w:hAnsi="Times New Roman"/>
                <w:sz w:val="24"/>
              </w:rPr>
              <w:tab/>
              <w:t xml:space="preserve">OCR: to be made up of CET1 capital </w:t>
            </w:r>
          </w:p>
          <w:p w:rsidR="009C083D" w:rsidRPr="00661595" w:rsidRDefault="009C083D" w:rsidP="00487A02">
            <w:pPr>
              <w:pStyle w:val="InstructionsText"/>
            </w:pPr>
            <w:r w:rsidRPr="00661595">
              <w:t>The sum of (i) and (ii) as follows:</w:t>
            </w:r>
          </w:p>
          <w:p w:rsidR="009C083D" w:rsidRPr="00661595" w:rsidRDefault="009C083D" w:rsidP="00487A02">
            <w:pPr>
              <w:pStyle w:val="InstructionsText"/>
              <w:numPr>
                <w:ilvl w:val="0"/>
                <w:numId w:val="24"/>
              </w:numPr>
            </w:pPr>
            <w:r w:rsidRPr="00661595">
              <w:t xml:space="preserve">the TSCR ratio to be made up of CET1 capital referred to in row </w:t>
            </w:r>
            <w:r w:rsidR="00B13F06" w:rsidRPr="00661595">
              <w:t>0</w:t>
            </w:r>
            <w:r w:rsidRPr="00661595">
              <w:t>140;</w:t>
            </w:r>
          </w:p>
          <w:p w:rsidR="009C083D" w:rsidRPr="00661595" w:rsidRDefault="009C083D" w:rsidP="00487A02">
            <w:pPr>
              <w:pStyle w:val="InstructionsText"/>
              <w:numPr>
                <w:ilvl w:val="0"/>
                <w:numId w:val="24"/>
              </w:numPr>
              <w:rPr>
                <w:bCs/>
                <w:u w:val="single"/>
              </w:rPr>
            </w:pPr>
            <w:r w:rsidRPr="00661595">
              <w:t xml:space="preserve">to the extent it is legally applicable, the combined buffer requirement ratio referred to in </w:t>
            </w:r>
            <w:r w:rsidR="00705025" w:rsidRPr="00661595">
              <w:t xml:space="preserve">point (6) of </w:t>
            </w:r>
            <w:r w:rsidRPr="00661595">
              <w:t>Article 128 CRD.</w:t>
            </w:r>
          </w:p>
          <w:p w:rsidR="00BA325A" w:rsidRPr="00661595" w:rsidRDefault="00FF2818" w:rsidP="00487A02">
            <w:pPr>
              <w:pStyle w:val="InstructionsText"/>
              <w:rPr>
                <w:rStyle w:val="InstructionsTabelleberschrift"/>
                <w:rFonts w:ascii="Times New Roman" w:hAnsi="Times New Roman"/>
                <w:b w:val="0"/>
                <w:sz w:val="24"/>
              </w:rPr>
            </w:pPr>
            <w:r w:rsidRPr="00661595">
              <w:t>Where</w:t>
            </w:r>
            <w:r w:rsidR="00087E1A" w:rsidRPr="00661595">
              <w:t xml:space="preserve"> no buffer requirement is applicable, only point (i) shall be reported.</w:t>
            </w:r>
          </w:p>
        </w:tc>
      </w:tr>
      <w:tr w:rsidR="009C083D" w:rsidRPr="00661595" w:rsidTr="003E47C5">
        <w:tc>
          <w:tcPr>
            <w:tcW w:w="1163" w:type="dxa"/>
          </w:tcPr>
          <w:p w:rsidR="009C083D" w:rsidRPr="00661595" w:rsidRDefault="00B13F06" w:rsidP="00487A02">
            <w:pPr>
              <w:pStyle w:val="InstructionsText"/>
            </w:pPr>
            <w:r w:rsidRPr="00661595">
              <w:t>0</w:t>
            </w:r>
            <w:r w:rsidR="009C083D" w:rsidRPr="00661595">
              <w:t>180</w:t>
            </w:r>
          </w:p>
        </w:tc>
        <w:tc>
          <w:tcPr>
            <w:tcW w:w="7620" w:type="dxa"/>
          </w:tcPr>
          <w:p w:rsidR="009C083D" w:rsidRPr="00661595" w:rsidRDefault="009C083D"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14**</w:t>
            </w:r>
            <w:r w:rsidRPr="00661595">
              <w:rPr>
                <w:rStyle w:val="InstructionsTabelleberschrift"/>
                <w:rFonts w:ascii="Times New Roman" w:hAnsi="Times New Roman"/>
                <w:sz w:val="24"/>
              </w:rPr>
              <w:tab/>
              <w:t>OCR: to be made up of Tier 1 capital</w:t>
            </w:r>
          </w:p>
          <w:p w:rsidR="009C083D" w:rsidRPr="00661595" w:rsidRDefault="009C083D" w:rsidP="00487A02">
            <w:pPr>
              <w:pStyle w:val="InstructionsText"/>
            </w:pPr>
            <w:r w:rsidRPr="00661595">
              <w:t>The sum of (i) and (ii) as follows:</w:t>
            </w:r>
          </w:p>
          <w:p w:rsidR="009C083D" w:rsidRPr="00661595" w:rsidRDefault="009C083D" w:rsidP="00487A02">
            <w:pPr>
              <w:pStyle w:val="InstructionsText"/>
              <w:numPr>
                <w:ilvl w:val="0"/>
                <w:numId w:val="25"/>
              </w:numPr>
            </w:pPr>
            <w:r w:rsidRPr="00661595">
              <w:t xml:space="preserve">the TSCR ratio to be made up of Tier 1 capital referred to in row </w:t>
            </w:r>
            <w:r w:rsidR="00B13F06" w:rsidRPr="00661595">
              <w:t>0</w:t>
            </w:r>
            <w:r w:rsidRPr="00661595">
              <w:t>150;</w:t>
            </w:r>
          </w:p>
          <w:p w:rsidR="009C083D" w:rsidRPr="00661595" w:rsidRDefault="009C083D" w:rsidP="00487A02">
            <w:pPr>
              <w:pStyle w:val="InstructionsText"/>
              <w:numPr>
                <w:ilvl w:val="0"/>
                <w:numId w:val="25"/>
              </w:numPr>
              <w:rPr>
                <w:bCs/>
                <w:u w:val="single"/>
              </w:rPr>
            </w:pPr>
            <w:r w:rsidRPr="00661595">
              <w:t xml:space="preserve">to the extent it is legally applicable, the combined buffer requirement ratio referred to in </w:t>
            </w:r>
            <w:r w:rsidR="00705025" w:rsidRPr="00661595">
              <w:t xml:space="preserve">point (6) of </w:t>
            </w:r>
            <w:r w:rsidRPr="00661595">
              <w:t>Article 128 CRD.</w:t>
            </w:r>
          </w:p>
          <w:p w:rsidR="00BA325A" w:rsidRPr="00661595" w:rsidRDefault="00FF2818" w:rsidP="00487A02">
            <w:pPr>
              <w:pStyle w:val="InstructionsText"/>
              <w:rPr>
                <w:rStyle w:val="InstructionsTabelleberschrift"/>
                <w:rFonts w:ascii="Times New Roman" w:hAnsi="Times New Roman"/>
                <w:b w:val="0"/>
                <w:sz w:val="24"/>
              </w:rPr>
            </w:pPr>
            <w:r w:rsidRPr="00661595">
              <w:t>Where</w:t>
            </w:r>
            <w:r w:rsidR="00087E1A" w:rsidRPr="00661595">
              <w:t xml:space="preserve"> no buffer requirement is applicable, only point (i) shall be reported.</w:t>
            </w:r>
          </w:p>
        </w:tc>
      </w:tr>
      <w:tr w:rsidR="009C083D" w:rsidRPr="00661595" w:rsidTr="003E47C5">
        <w:tc>
          <w:tcPr>
            <w:tcW w:w="1163" w:type="dxa"/>
          </w:tcPr>
          <w:p w:rsidR="009C083D" w:rsidRPr="00661595" w:rsidRDefault="00B13F06" w:rsidP="00487A02">
            <w:pPr>
              <w:pStyle w:val="InstructionsText"/>
            </w:pPr>
            <w:r w:rsidRPr="00661595">
              <w:t>0</w:t>
            </w:r>
            <w:r w:rsidR="009C083D" w:rsidRPr="00661595">
              <w:t>190</w:t>
            </w:r>
          </w:p>
        </w:tc>
        <w:tc>
          <w:tcPr>
            <w:tcW w:w="7620" w:type="dxa"/>
          </w:tcPr>
          <w:p w:rsidR="009C083D" w:rsidRPr="00661595" w:rsidRDefault="009C083D"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15</w:t>
            </w:r>
            <w:r w:rsidRPr="00661595">
              <w:rPr>
                <w:rStyle w:val="InstructionsTabelleberschrift"/>
                <w:rFonts w:ascii="Times New Roman" w:hAnsi="Times New Roman"/>
                <w:sz w:val="24"/>
              </w:rPr>
              <w:tab/>
              <w:t>Overall capital requirement (OCR) and Pillar 2 Guidance (P2G) ratio</w:t>
            </w:r>
          </w:p>
          <w:p w:rsidR="009C083D" w:rsidRPr="00661595" w:rsidRDefault="009C083D" w:rsidP="00487A02">
            <w:pPr>
              <w:pStyle w:val="InstructionsText"/>
            </w:pPr>
            <w:r w:rsidRPr="00661595">
              <w:t>The sum of (i) and (ii) as follows:</w:t>
            </w:r>
          </w:p>
          <w:p w:rsidR="009C083D" w:rsidRPr="00661595" w:rsidRDefault="009C083D" w:rsidP="00487A02">
            <w:pPr>
              <w:pStyle w:val="InstructionsText"/>
              <w:numPr>
                <w:ilvl w:val="0"/>
                <w:numId w:val="26"/>
              </w:numPr>
            </w:pPr>
            <w:r w:rsidRPr="00661595">
              <w:t>the OCR ratio referred to in row 160;</w:t>
            </w:r>
          </w:p>
          <w:p w:rsidR="009C083D" w:rsidRPr="00661595" w:rsidRDefault="009C083D" w:rsidP="00487A02">
            <w:pPr>
              <w:pStyle w:val="InstructionsText"/>
              <w:numPr>
                <w:ilvl w:val="0"/>
                <w:numId w:val="26"/>
              </w:numPr>
              <w:rPr>
                <w:bCs/>
                <w:u w:val="single"/>
              </w:rPr>
            </w:pPr>
            <w:r w:rsidRPr="00661595">
              <w:t xml:space="preserve">where applicable, </w:t>
            </w:r>
            <w:r w:rsidR="00477C45" w:rsidRPr="00661595">
              <w:t>the guidance on additional own funds communicated by the competent authority</w:t>
            </w:r>
            <w:r w:rsidRPr="00661595">
              <w:t xml:space="preserve"> </w:t>
            </w:r>
            <w:r w:rsidR="00477C45" w:rsidRPr="00661595">
              <w:t>(</w:t>
            </w:r>
            <w:r w:rsidRPr="00661595">
              <w:t xml:space="preserve">Pillar 2 Guidance </w:t>
            </w:r>
            <w:r w:rsidR="00477C45" w:rsidRPr="00661595">
              <w:t xml:space="preserve">- </w:t>
            </w:r>
            <w:r w:rsidRPr="00661595">
              <w:t xml:space="preserve">P2G) </w:t>
            </w:r>
            <w:r w:rsidR="00477C45" w:rsidRPr="00661595">
              <w:t>as referred to in Article 104b(3) CRD, presented as ratio. They shall be</w:t>
            </w:r>
            <w:r w:rsidRPr="00661595">
              <w:t xml:space="preserve"> defined in </w:t>
            </w:r>
            <w:r w:rsidR="00477C45" w:rsidRPr="00661595">
              <w:t xml:space="preserve">accordance with section 7.7.1 of </w:t>
            </w:r>
            <w:r w:rsidRPr="00661595">
              <w:t>the EBA SREP GL. P2G shall be included only if communicated to the institution by the competent authority.</w:t>
            </w:r>
          </w:p>
          <w:p w:rsidR="0047693D" w:rsidRPr="00661595" w:rsidRDefault="00FF2818" w:rsidP="00487A02">
            <w:pPr>
              <w:pStyle w:val="InstructionsText"/>
              <w:rPr>
                <w:rStyle w:val="InstructionsTabelleberschrift"/>
                <w:rFonts w:ascii="Times New Roman" w:hAnsi="Times New Roman"/>
                <w:b w:val="0"/>
                <w:sz w:val="24"/>
              </w:rPr>
            </w:pPr>
            <w:r w:rsidRPr="00661595">
              <w:t>Where</w:t>
            </w:r>
            <w:r w:rsidR="005B54BB" w:rsidRPr="00661595">
              <w:t xml:space="preserve"> no P2G is communicated by the competent authority, only point (i) sh</w:t>
            </w:r>
            <w:r w:rsidR="0014657C" w:rsidRPr="00661595">
              <w:t>all</w:t>
            </w:r>
            <w:r w:rsidR="005B54BB" w:rsidRPr="00661595">
              <w:t xml:space="preserve"> be reported.</w:t>
            </w:r>
            <w:r w:rsidR="0047693D" w:rsidRPr="00661595">
              <w:t xml:space="preserve"> </w:t>
            </w:r>
            <w:r w:rsidR="0047693D" w:rsidRPr="00661595">
              <w:rPr>
                <w:rStyle w:val="InstructionsTabelleberschrift"/>
                <w:rFonts w:ascii="Times New Roman" w:hAnsi="Times New Roman"/>
                <w:b w:val="0"/>
                <w:sz w:val="24"/>
              </w:rPr>
              <w:t xml:space="preserve"> </w:t>
            </w:r>
          </w:p>
        </w:tc>
      </w:tr>
      <w:tr w:rsidR="009C083D" w:rsidRPr="00661595" w:rsidTr="003E47C5">
        <w:tc>
          <w:tcPr>
            <w:tcW w:w="1163" w:type="dxa"/>
          </w:tcPr>
          <w:p w:rsidR="009C083D" w:rsidRPr="00661595" w:rsidRDefault="00B13F06" w:rsidP="00487A02">
            <w:pPr>
              <w:pStyle w:val="InstructionsText"/>
            </w:pPr>
            <w:r w:rsidRPr="00661595">
              <w:t>0</w:t>
            </w:r>
            <w:r w:rsidR="009C083D" w:rsidRPr="00661595">
              <w:t>200</w:t>
            </w:r>
          </w:p>
        </w:tc>
        <w:tc>
          <w:tcPr>
            <w:tcW w:w="7620" w:type="dxa"/>
          </w:tcPr>
          <w:p w:rsidR="009C083D" w:rsidRPr="00661595" w:rsidRDefault="009C083D"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15*</w:t>
            </w:r>
            <w:r w:rsidRPr="00661595">
              <w:rPr>
                <w:rStyle w:val="InstructionsTabelleberschrift"/>
                <w:rFonts w:ascii="Times New Roman" w:hAnsi="Times New Roman"/>
                <w:sz w:val="24"/>
              </w:rPr>
              <w:tab/>
              <w:t xml:space="preserve">OCR and P2G: to be made up of CET1 capital </w:t>
            </w:r>
          </w:p>
          <w:p w:rsidR="009C083D" w:rsidRPr="00661595" w:rsidRDefault="009C083D" w:rsidP="00487A02">
            <w:pPr>
              <w:pStyle w:val="InstructionsText"/>
            </w:pPr>
            <w:r w:rsidRPr="00661595">
              <w:t>The sum of (i) and (ii) as follows:</w:t>
            </w:r>
          </w:p>
          <w:p w:rsidR="009C083D" w:rsidRPr="00661595" w:rsidRDefault="009C083D" w:rsidP="00487A02">
            <w:pPr>
              <w:pStyle w:val="InstructionsText"/>
              <w:numPr>
                <w:ilvl w:val="0"/>
                <w:numId w:val="27"/>
              </w:numPr>
            </w:pPr>
            <w:r w:rsidRPr="00661595">
              <w:t xml:space="preserve">the OCR ratio to be made up of CET1 capital referred to in row </w:t>
            </w:r>
            <w:r w:rsidR="00B13F06" w:rsidRPr="00661595">
              <w:t>0</w:t>
            </w:r>
            <w:r w:rsidRPr="00661595">
              <w:t>170;</w:t>
            </w:r>
          </w:p>
          <w:p w:rsidR="009C083D" w:rsidRPr="00661595" w:rsidRDefault="009C083D" w:rsidP="00487A02">
            <w:pPr>
              <w:pStyle w:val="InstructionsText"/>
              <w:numPr>
                <w:ilvl w:val="0"/>
                <w:numId w:val="27"/>
              </w:numPr>
              <w:rPr>
                <w:bCs/>
                <w:u w:val="single"/>
              </w:rPr>
            </w:pPr>
            <w:r w:rsidRPr="00661595">
              <w:t xml:space="preserve">where applicable, the part of P2G, referred to in point (ii) in row </w:t>
            </w:r>
            <w:r w:rsidR="00B13F06" w:rsidRPr="00661595">
              <w:t>0</w:t>
            </w:r>
            <w:r w:rsidRPr="00661595">
              <w:t>190, which is required by the competent authority to be held in the form of CET1 capital. P2G shall be included only if communicated to the institution by the competent authority.</w:t>
            </w:r>
          </w:p>
          <w:p w:rsidR="0047693D" w:rsidRPr="00661595" w:rsidRDefault="00FF2818" w:rsidP="00487A02">
            <w:pPr>
              <w:pStyle w:val="InstructionsText"/>
              <w:rPr>
                <w:rStyle w:val="InstructionsTabelleberschrift"/>
                <w:rFonts w:ascii="Times New Roman" w:hAnsi="Times New Roman"/>
                <w:b w:val="0"/>
                <w:sz w:val="24"/>
              </w:rPr>
            </w:pPr>
            <w:r w:rsidRPr="00661595">
              <w:t>Where</w:t>
            </w:r>
            <w:r w:rsidR="005B54BB" w:rsidRPr="00661595">
              <w:t xml:space="preserve"> no P2G is communicated by the competent authority, only point (i) sh</w:t>
            </w:r>
            <w:r w:rsidR="0014657C" w:rsidRPr="00661595">
              <w:t>all</w:t>
            </w:r>
            <w:r w:rsidR="005B54BB" w:rsidRPr="00661595">
              <w:t xml:space="preserve"> be reported.</w:t>
            </w:r>
          </w:p>
        </w:tc>
      </w:tr>
      <w:tr w:rsidR="009C083D" w:rsidRPr="00661595" w:rsidTr="003E47C5">
        <w:tc>
          <w:tcPr>
            <w:tcW w:w="1163" w:type="dxa"/>
          </w:tcPr>
          <w:p w:rsidR="009C083D" w:rsidRPr="00661595" w:rsidRDefault="00B13F06" w:rsidP="00487A02">
            <w:pPr>
              <w:pStyle w:val="InstructionsText"/>
            </w:pPr>
            <w:r w:rsidRPr="00661595">
              <w:t>0</w:t>
            </w:r>
            <w:r w:rsidR="009C083D" w:rsidRPr="00661595">
              <w:t>210</w:t>
            </w:r>
          </w:p>
        </w:tc>
        <w:tc>
          <w:tcPr>
            <w:tcW w:w="7620" w:type="dxa"/>
          </w:tcPr>
          <w:p w:rsidR="009C083D" w:rsidRPr="00661595" w:rsidRDefault="009C083D"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15**</w:t>
            </w:r>
            <w:r w:rsidRPr="00661595">
              <w:rPr>
                <w:rStyle w:val="InstructionsTabelleberschrift"/>
                <w:rFonts w:ascii="Times New Roman" w:hAnsi="Times New Roman"/>
                <w:sz w:val="24"/>
              </w:rPr>
              <w:tab/>
              <w:t xml:space="preserve">OCR and P2G: to be made up of Tier 1 capital </w:t>
            </w:r>
          </w:p>
          <w:p w:rsidR="009C083D" w:rsidRPr="00661595" w:rsidRDefault="009C083D" w:rsidP="00487A02">
            <w:pPr>
              <w:pStyle w:val="InstructionsText"/>
            </w:pPr>
            <w:r w:rsidRPr="00661595">
              <w:t>The sum of (i) and (ii) as follows:</w:t>
            </w:r>
          </w:p>
          <w:p w:rsidR="009C083D" w:rsidRPr="00661595" w:rsidRDefault="009C083D" w:rsidP="00487A02">
            <w:pPr>
              <w:pStyle w:val="InstructionsText"/>
              <w:numPr>
                <w:ilvl w:val="0"/>
                <w:numId w:val="28"/>
              </w:numPr>
            </w:pPr>
            <w:r w:rsidRPr="00661595">
              <w:t xml:space="preserve">the OCR ratio to be made up of Tier 1 capital referred to in row </w:t>
            </w:r>
            <w:r w:rsidR="00B13F06" w:rsidRPr="00661595">
              <w:t>0</w:t>
            </w:r>
            <w:r w:rsidRPr="00661595">
              <w:t>180;</w:t>
            </w:r>
          </w:p>
          <w:p w:rsidR="009C083D" w:rsidRPr="00661595" w:rsidRDefault="009C083D" w:rsidP="00487A02">
            <w:pPr>
              <w:pStyle w:val="InstructionsText"/>
              <w:numPr>
                <w:ilvl w:val="0"/>
                <w:numId w:val="28"/>
              </w:numPr>
            </w:pPr>
            <w:r w:rsidRPr="00661595">
              <w:t xml:space="preserve">where applicable, the part of P2G, referred to in point (ii) in row </w:t>
            </w:r>
            <w:r w:rsidR="00B13F06" w:rsidRPr="00661595">
              <w:t>0</w:t>
            </w:r>
            <w:r w:rsidRPr="00661595">
              <w:t>190, which is required by the competent authority to be held in the form of Tier 1 capital. P2G shall be included only if communicated to the institution by the competent authority.</w:t>
            </w:r>
          </w:p>
          <w:p w:rsidR="0047693D" w:rsidRPr="00661595" w:rsidRDefault="00FF2818" w:rsidP="00487A02">
            <w:pPr>
              <w:pStyle w:val="InstructionsText"/>
              <w:rPr>
                <w:rStyle w:val="InstructionsTabelleberschrift"/>
                <w:rFonts w:ascii="Times New Roman" w:hAnsi="Times New Roman"/>
                <w:b w:val="0"/>
                <w:bCs w:val="0"/>
                <w:sz w:val="24"/>
                <w:u w:val="none"/>
              </w:rPr>
            </w:pPr>
            <w:r w:rsidRPr="00661595">
              <w:t>Where</w:t>
            </w:r>
            <w:r w:rsidR="005B54BB" w:rsidRPr="00661595">
              <w:t xml:space="preserve"> no P2G is communicated by the competent authority, only point (i) sh</w:t>
            </w:r>
            <w:r w:rsidR="0014657C" w:rsidRPr="00661595">
              <w:t>all</w:t>
            </w:r>
            <w:r w:rsidR="005B54BB" w:rsidRPr="00661595">
              <w:t xml:space="preserve"> be reported.</w:t>
            </w:r>
            <w:r w:rsidR="0047693D" w:rsidRPr="00661595">
              <w:rPr>
                <w:rStyle w:val="InstructionsTabelleberschrift"/>
                <w:rFonts w:ascii="Times New Roman" w:hAnsi="Times New Roman"/>
                <w:b w:val="0"/>
                <w:sz w:val="24"/>
              </w:rPr>
              <w:t xml:space="preserve"> </w:t>
            </w:r>
          </w:p>
        </w:tc>
      </w:tr>
      <w:tr w:rsidR="00477C45" w:rsidRPr="00661595" w:rsidTr="003E47C5">
        <w:tc>
          <w:tcPr>
            <w:tcW w:w="1163" w:type="dxa"/>
          </w:tcPr>
          <w:p w:rsidR="00477C45" w:rsidRPr="00661595" w:rsidRDefault="00B13F06" w:rsidP="00487A02">
            <w:pPr>
              <w:pStyle w:val="InstructionsText"/>
            </w:pPr>
            <w:r w:rsidRPr="00661595">
              <w:t>0</w:t>
            </w:r>
            <w:r w:rsidR="00477C45" w:rsidRPr="00661595">
              <w:t>220</w:t>
            </w:r>
          </w:p>
        </w:tc>
        <w:tc>
          <w:tcPr>
            <w:tcW w:w="7620" w:type="dxa"/>
          </w:tcPr>
          <w:p w:rsidR="00477C45" w:rsidRPr="00661595" w:rsidRDefault="00477C45"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Surplus(+)/Deficit(-) of CET1 capital considering the requirements of Article 92 CRR and 104a CRD</w:t>
            </w:r>
          </w:p>
          <w:p w:rsidR="00477C45" w:rsidRPr="00661595" w:rsidRDefault="00477C45" w:rsidP="00487A02">
            <w:pPr>
              <w:pStyle w:val="InstructionsText"/>
            </w:pPr>
            <w:r w:rsidRPr="00661595">
              <w:t xml:space="preserve">This item shows, in absolute figures, the amount of CET1 capital surplus or defi-cit relating to the requirements set in </w:t>
            </w:r>
            <w:r w:rsidR="0044539D" w:rsidRPr="00661595">
              <w:t xml:space="preserve">point (a) of </w:t>
            </w:r>
            <w:r w:rsidRPr="00661595">
              <w:t xml:space="preserve">Article 92(1) CRR (4,5%) and Article 104a CRD, to the extent that the requirement of Article 104a CRD has to be met with CET1 capital. Where an institution has to use its CET1 to meet its requirements of Article 92(1) point </w:t>
            </w:r>
            <w:r w:rsidR="009258A2">
              <w:t>(</w:t>
            </w:r>
            <w:r w:rsidRPr="00661595">
              <w:t>b</w:t>
            </w:r>
            <w:r w:rsidR="009258A2">
              <w:t>)</w:t>
            </w:r>
            <w:r w:rsidRPr="00661595">
              <w:t xml:space="preserve"> and / or </w:t>
            </w:r>
            <w:r w:rsidR="009258A2">
              <w:t>(</w:t>
            </w:r>
            <w:r w:rsidRPr="00661595">
              <w:t>c</w:t>
            </w:r>
            <w:r w:rsidR="009258A2">
              <w:t>)</w:t>
            </w:r>
            <w:r w:rsidRPr="00661595">
              <w:t xml:space="preserve"> CRR and / or Article 104a CRD beyond the extent to which the latter has to be met with CET1 capital, the reported surplus or deficit shall take this into account.</w:t>
            </w:r>
          </w:p>
          <w:p w:rsidR="00477C45" w:rsidRPr="00661595" w:rsidRDefault="00477C45" w:rsidP="00487A02">
            <w:pPr>
              <w:pStyle w:val="InstructionsText"/>
              <w:rPr>
                <w:rStyle w:val="InstructionsTabelleberschrift"/>
                <w:rFonts w:ascii="Times New Roman" w:hAnsi="Times New Roman"/>
                <w:sz w:val="24"/>
              </w:rPr>
            </w:pPr>
            <w:r w:rsidRPr="00661595">
              <w:t>This amount reflects the CET1 capital available to meet the combined buffer requirement and other requirements.</w:t>
            </w:r>
          </w:p>
        </w:tc>
      </w:tr>
      <w:tr w:rsidR="00845551" w:rsidRPr="00661595" w:rsidTr="003E47C5">
        <w:tc>
          <w:tcPr>
            <w:tcW w:w="1163" w:type="dxa"/>
          </w:tcPr>
          <w:p w:rsidR="00845551" w:rsidRPr="00661595" w:rsidRDefault="00845551" w:rsidP="00845551">
            <w:pPr>
              <w:pStyle w:val="InstructionsText"/>
            </w:pPr>
            <w:r>
              <w:t>0300</w:t>
            </w:r>
          </w:p>
        </w:tc>
        <w:tc>
          <w:tcPr>
            <w:tcW w:w="7620" w:type="dxa"/>
          </w:tcPr>
          <w:p w:rsidR="00845551" w:rsidRDefault="00845551" w:rsidP="00845551">
            <w:pPr>
              <w:pStyle w:val="InstructionsText"/>
            </w:pPr>
            <w:r w:rsidRPr="00081753">
              <w:rPr>
                <w:b/>
              </w:rPr>
              <w:t>CET1 Capital ratio without application of the</w:t>
            </w:r>
            <w:r w:rsidRPr="00E74FBD">
              <w:t xml:space="preserve"> </w:t>
            </w:r>
            <w:r w:rsidRPr="00081753">
              <w:rPr>
                <w:b/>
              </w:rPr>
              <w:t>transitional provisions on IFRS 9</w:t>
            </w:r>
          </w:p>
          <w:p w:rsidR="00845551" w:rsidRPr="00661595" w:rsidRDefault="00845551" w:rsidP="00845551">
            <w:pPr>
              <w:pStyle w:val="InstructionsText"/>
              <w:rPr>
                <w:rStyle w:val="InstructionsTabelleberschrift"/>
                <w:rFonts w:ascii="Times New Roman" w:hAnsi="Times New Roman"/>
                <w:sz w:val="24"/>
              </w:rPr>
            </w:pPr>
            <w:r w:rsidRPr="00661595">
              <w:t>Point (a) of Article 92(2) CRR</w:t>
            </w:r>
            <w:r>
              <w:t xml:space="preserve">, </w:t>
            </w:r>
            <w:r w:rsidRPr="00081753">
              <w:rPr>
                <w:rStyle w:val="InstructionsTabelleberschrift"/>
                <w:rFonts w:ascii="Times New Roman" w:hAnsi="Times New Roman"/>
                <w:b w:val="0"/>
                <w:sz w:val="24"/>
              </w:rPr>
              <w:t>Article 473a (8) CRR</w:t>
            </w:r>
          </w:p>
        </w:tc>
      </w:tr>
      <w:tr w:rsidR="00845551" w:rsidRPr="00661595" w:rsidTr="003E47C5">
        <w:tc>
          <w:tcPr>
            <w:tcW w:w="1163" w:type="dxa"/>
          </w:tcPr>
          <w:p w:rsidR="00845551" w:rsidRPr="00661595" w:rsidRDefault="00845551" w:rsidP="00845551">
            <w:pPr>
              <w:pStyle w:val="InstructionsText"/>
            </w:pPr>
            <w:r>
              <w:t>0310</w:t>
            </w:r>
          </w:p>
        </w:tc>
        <w:tc>
          <w:tcPr>
            <w:tcW w:w="7620" w:type="dxa"/>
          </w:tcPr>
          <w:p w:rsidR="00845551" w:rsidRDefault="00845551" w:rsidP="00845551">
            <w:pPr>
              <w:pStyle w:val="InstructionsText"/>
            </w:pPr>
            <w:r w:rsidRPr="00081753">
              <w:rPr>
                <w:b/>
              </w:rPr>
              <w:t>T1 Capital ratio without application of the transitional provisions on IFRS 9</w:t>
            </w:r>
          </w:p>
          <w:p w:rsidR="00845551" w:rsidRPr="00661595" w:rsidRDefault="00845551" w:rsidP="00845551">
            <w:pPr>
              <w:pStyle w:val="InstructionsText"/>
              <w:rPr>
                <w:rStyle w:val="InstructionsTabelleberschrift"/>
                <w:rFonts w:ascii="Times New Roman" w:hAnsi="Times New Roman"/>
                <w:sz w:val="24"/>
              </w:rPr>
            </w:pPr>
            <w:r w:rsidRPr="00661595">
              <w:t>Point (</w:t>
            </w:r>
            <w:r>
              <w:t>b</w:t>
            </w:r>
            <w:r w:rsidRPr="00661595">
              <w:t>) of Article 92(2) CRR</w:t>
            </w:r>
            <w:r>
              <w:t xml:space="preserve">, </w:t>
            </w:r>
            <w:r w:rsidRPr="006548F0">
              <w:rPr>
                <w:rStyle w:val="InstructionsTabelleberschrift"/>
                <w:rFonts w:ascii="Times New Roman" w:hAnsi="Times New Roman"/>
                <w:b w:val="0"/>
                <w:sz w:val="24"/>
              </w:rPr>
              <w:t>Article 473a (8) CRR</w:t>
            </w:r>
          </w:p>
        </w:tc>
      </w:tr>
      <w:tr w:rsidR="00845551" w:rsidRPr="00661595" w:rsidTr="003E47C5">
        <w:tc>
          <w:tcPr>
            <w:tcW w:w="1163" w:type="dxa"/>
          </w:tcPr>
          <w:p w:rsidR="00845551" w:rsidRPr="00661595" w:rsidRDefault="00845551" w:rsidP="00845551">
            <w:pPr>
              <w:pStyle w:val="InstructionsText"/>
            </w:pPr>
            <w:r>
              <w:t>0320</w:t>
            </w:r>
          </w:p>
        </w:tc>
        <w:tc>
          <w:tcPr>
            <w:tcW w:w="7620" w:type="dxa"/>
          </w:tcPr>
          <w:p w:rsidR="00845551" w:rsidRDefault="00845551" w:rsidP="00845551">
            <w:pPr>
              <w:pStyle w:val="InstructionsText"/>
            </w:pPr>
            <w:r w:rsidRPr="00081753">
              <w:rPr>
                <w:b/>
              </w:rPr>
              <w:t>Total capital ratio without application of the transitional provisions on IFRS</w:t>
            </w:r>
            <w:r w:rsidRPr="00E74FBD">
              <w:t xml:space="preserve"> </w:t>
            </w:r>
            <w:r w:rsidRPr="00081753">
              <w:rPr>
                <w:b/>
              </w:rPr>
              <w:t>9</w:t>
            </w:r>
          </w:p>
          <w:p w:rsidR="00845551" w:rsidRPr="00661595" w:rsidRDefault="00845551" w:rsidP="00845551">
            <w:pPr>
              <w:pStyle w:val="InstructionsText"/>
              <w:rPr>
                <w:rStyle w:val="InstructionsTabelleberschrift"/>
                <w:rFonts w:ascii="Times New Roman" w:hAnsi="Times New Roman"/>
                <w:sz w:val="24"/>
              </w:rPr>
            </w:pPr>
            <w:r w:rsidRPr="00661595">
              <w:t>Point (</w:t>
            </w:r>
            <w:r>
              <w:t>c</w:t>
            </w:r>
            <w:r w:rsidRPr="00661595">
              <w:t>) of Article 92(2) CRR</w:t>
            </w:r>
            <w:r>
              <w:t xml:space="preserve">, </w:t>
            </w:r>
            <w:r w:rsidRPr="006548F0">
              <w:rPr>
                <w:rStyle w:val="InstructionsTabelleberschrift"/>
                <w:rFonts w:ascii="Times New Roman" w:hAnsi="Times New Roman"/>
                <w:b w:val="0"/>
                <w:sz w:val="24"/>
              </w:rPr>
              <w:t>Article 473a (8) CRR</w:t>
            </w:r>
          </w:p>
        </w:tc>
      </w:tr>
    </w:tbl>
    <w:p w:rsidR="005643EA" w:rsidRPr="00661595" w:rsidRDefault="005643EA" w:rsidP="00487A02">
      <w:pPr>
        <w:pStyle w:val="InstructionsText"/>
      </w:pPr>
    </w:p>
    <w:p w:rsidR="002648B0"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59" w:name="_Toc473560879"/>
      <w:bookmarkStart w:id="60" w:name="_Toc57831519"/>
      <w:bookmarkStart w:id="61" w:name="_Toc308175830"/>
      <w:bookmarkStart w:id="62" w:name="_Toc360188331"/>
      <w:r w:rsidRPr="00661595">
        <w:rPr>
          <w:rFonts w:ascii="Times New Roman" w:hAnsi="Times New Roman" w:cs="Times New Roman"/>
          <w:sz w:val="24"/>
          <w:u w:val="none"/>
          <w:lang w:val="en-GB"/>
        </w:rPr>
        <w:t>1.5.</w:t>
      </w:r>
      <w:r w:rsidRPr="00661595">
        <w:rPr>
          <w:rFonts w:ascii="Times New Roman" w:hAnsi="Times New Roman" w:cs="Times New Roman"/>
          <w:sz w:val="24"/>
          <w:u w:val="none"/>
          <w:lang w:val="en-GB"/>
        </w:rPr>
        <w:tab/>
      </w:r>
      <w:r w:rsidR="00513822" w:rsidRPr="00661595">
        <w:rPr>
          <w:rFonts w:ascii="Times New Roman" w:hAnsi="Times New Roman" w:cs="Times New Roman"/>
          <w:sz w:val="24"/>
          <w:lang w:val="en-GB"/>
        </w:rPr>
        <w:t>C 04.00 - MEMORANDUM ITEMS (CA4)</w:t>
      </w:r>
      <w:bookmarkEnd w:id="59"/>
      <w:bookmarkEnd w:id="60"/>
      <w:r w:rsidR="002648B0" w:rsidRPr="00661595">
        <w:rPr>
          <w:rFonts w:ascii="Times New Roman" w:hAnsi="Times New Roman" w:cs="Times New Roman"/>
          <w:sz w:val="24"/>
          <w:lang w:val="en-GB"/>
        </w:rPr>
        <w:t xml:space="preserve"> </w:t>
      </w:r>
      <w:bookmarkEnd w:id="61"/>
      <w:bookmarkEnd w:id="62"/>
    </w:p>
    <w:p w:rsidR="002648B0"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63" w:name="_Toc308175831"/>
      <w:bookmarkStart w:id="64" w:name="_Toc310414974"/>
      <w:bookmarkStart w:id="65" w:name="_Toc360188332"/>
      <w:bookmarkStart w:id="66" w:name="_Toc473560880"/>
      <w:bookmarkStart w:id="67" w:name="_Toc57831520"/>
      <w:r w:rsidRPr="00661595">
        <w:rPr>
          <w:rFonts w:ascii="Times New Roman" w:hAnsi="Times New Roman" w:cs="Times New Roman"/>
          <w:sz w:val="24"/>
          <w:u w:val="none"/>
          <w:lang w:val="en-GB"/>
        </w:rPr>
        <w:t>1.5.1.</w:t>
      </w:r>
      <w:r w:rsidRPr="00661595">
        <w:rPr>
          <w:rFonts w:ascii="Times New Roman" w:hAnsi="Times New Roman" w:cs="Times New Roman"/>
          <w:sz w:val="24"/>
          <w:u w:val="none"/>
          <w:lang w:val="en-GB"/>
        </w:rPr>
        <w:tab/>
      </w:r>
      <w:r w:rsidR="002648B0" w:rsidRPr="00661595">
        <w:rPr>
          <w:rFonts w:ascii="Times New Roman" w:hAnsi="Times New Roman" w:cs="Times New Roman"/>
          <w:sz w:val="24"/>
          <w:lang w:val="en-GB"/>
        </w:rPr>
        <w:t xml:space="preserve">Instructions concerning specific </w:t>
      </w:r>
      <w:bookmarkEnd w:id="63"/>
      <w:bookmarkEnd w:id="64"/>
      <w:r w:rsidR="002B5403" w:rsidRPr="00661595">
        <w:rPr>
          <w:rFonts w:ascii="Times New Roman" w:hAnsi="Times New Roman" w:cs="Times New Roman"/>
          <w:sz w:val="24"/>
          <w:lang w:val="en-GB"/>
        </w:rPr>
        <w:t>positions</w:t>
      </w:r>
      <w:bookmarkEnd w:id="65"/>
      <w:bookmarkEnd w:id="66"/>
      <w:bookmarkEnd w:id="67"/>
    </w:p>
    <w:p w:rsidR="002648B0" w:rsidRPr="00661595" w:rsidRDefault="002648B0" w:rsidP="00487A02">
      <w:pPr>
        <w:pStyle w:val="InstructionsText"/>
      </w:pPr>
    </w:p>
    <w:tbl>
      <w:tblPr>
        <w:tblW w:w="0" w:type="auto"/>
        <w:tblInd w:w="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74"/>
        <w:gridCol w:w="7049"/>
      </w:tblGrid>
      <w:tr w:rsidR="002648B0" w:rsidRPr="00661595" w:rsidTr="00674BF5">
        <w:tc>
          <w:tcPr>
            <w:tcW w:w="8523" w:type="dxa"/>
            <w:gridSpan w:val="2"/>
            <w:shd w:val="clear" w:color="auto" w:fill="D9D9D9"/>
          </w:tcPr>
          <w:p w:rsidR="005643EA" w:rsidRPr="00661595" w:rsidRDefault="002648B0" w:rsidP="00487A02">
            <w:pPr>
              <w:pStyle w:val="InstructionsText"/>
            </w:pPr>
            <w:r w:rsidRPr="00661595">
              <w:t>Rows</w:t>
            </w:r>
          </w:p>
        </w:tc>
      </w:tr>
      <w:tr w:rsidR="002648B0" w:rsidRPr="00661595" w:rsidTr="00674BF5">
        <w:tc>
          <w:tcPr>
            <w:tcW w:w="1474" w:type="dxa"/>
          </w:tcPr>
          <w:p w:rsidR="002648B0" w:rsidRPr="00661595" w:rsidRDefault="00B13F06" w:rsidP="00487A02">
            <w:pPr>
              <w:pStyle w:val="InstructionsText"/>
            </w:pPr>
            <w:r w:rsidRPr="00661595">
              <w:t>0</w:t>
            </w:r>
            <w:r w:rsidR="002648B0" w:rsidRPr="00661595">
              <w:t>010</w:t>
            </w:r>
          </w:p>
        </w:tc>
        <w:tc>
          <w:tcPr>
            <w:tcW w:w="7049" w:type="dxa"/>
          </w:tcPr>
          <w:p w:rsidR="005643EA" w:rsidRPr="00661595" w:rsidRDefault="00C66473" w:rsidP="00487A02">
            <w:pPr>
              <w:pStyle w:val="InstructionsText"/>
            </w:pPr>
            <w:r w:rsidRPr="00661595">
              <w:rPr>
                <w:rStyle w:val="InstructionsTabelleberschrift"/>
                <w:rFonts w:ascii="Times New Roman" w:hAnsi="Times New Roman"/>
                <w:sz w:val="24"/>
              </w:rPr>
              <w:t>1.</w:t>
            </w:r>
            <w:r w:rsidRPr="00661595">
              <w:rPr>
                <w:rStyle w:val="InstructionsTabelleberschrift"/>
                <w:rFonts w:ascii="Times New Roman" w:hAnsi="Times New Roman"/>
                <w:sz w:val="24"/>
              </w:rPr>
              <w:tab/>
            </w:r>
            <w:r w:rsidR="002648B0" w:rsidRPr="00661595">
              <w:rPr>
                <w:rStyle w:val="InstructionsTabelleberschrift"/>
                <w:rFonts w:ascii="Times New Roman" w:hAnsi="Times New Roman"/>
                <w:sz w:val="24"/>
              </w:rPr>
              <w:t>Total deferred tax assets</w:t>
            </w:r>
          </w:p>
          <w:p w:rsidR="005643EA" w:rsidRPr="00661595" w:rsidRDefault="002648B0" w:rsidP="00487A02">
            <w:pPr>
              <w:pStyle w:val="InstructionsText"/>
            </w:pPr>
            <w:r w:rsidRPr="00661595">
              <w:t xml:space="preserve">The amount reported in this item shall be equal to the amount reported in the </w:t>
            </w:r>
            <w:r w:rsidR="0014657C" w:rsidRPr="00661595">
              <w:t xml:space="preserve">most recent </w:t>
            </w:r>
            <w:r w:rsidR="00967FAE" w:rsidRPr="00661595">
              <w:t xml:space="preserve">verified/audited </w:t>
            </w:r>
            <w:r w:rsidRPr="00661595">
              <w:t>accounting balance sheet.</w:t>
            </w:r>
          </w:p>
        </w:tc>
      </w:tr>
      <w:tr w:rsidR="002648B0" w:rsidRPr="00661595" w:rsidTr="00674BF5">
        <w:tc>
          <w:tcPr>
            <w:tcW w:w="1474" w:type="dxa"/>
          </w:tcPr>
          <w:p w:rsidR="002648B0" w:rsidRPr="00661595" w:rsidRDefault="00B13F06" w:rsidP="00487A02">
            <w:pPr>
              <w:pStyle w:val="InstructionsText"/>
            </w:pPr>
            <w:r w:rsidRPr="00661595">
              <w:t>0</w:t>
            </w:r>
            <w:r w:rsidR="002648B0" w:rsidRPr="00661595">
              <w:t>020</w:t>
            </w:r>
          </w:p>
        </w:tc>
        <w:tc>
          <w:tcPr>
            <w:tcW w:w="7049" w:type="dxa"/>
          </w:tcPr>
          <w:p w:rsidR="005643EA" w:rsidRPr="00661595" w:rsidRDefault="002648B0" w:rsidP="00487A02">
            <w:pPr>
              <w:pStyle w:val="InstructionsText"/>
            </w:pPr>
            <w:r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ab/>
            </w:r>
            <w:r w:rsidRPr="00661595">
              <w:rPr>
                <w:rStyle w:val="InstructionsTabelleberschrift"/>
                <w:rFonts w:ascii="Times New Roman" w:hAnsi="Times New Roman"/>
                <w:sz w:val="24"/>
              </w:rPr>
              <w:t>Deferred tax assets that do not rely on future profitability</w:t>
            </w:r>
          </w:p>
          <w:p w:rsidR="005643EA" w:rsidRPr="00661595" w:rsidRDefault="002648B0" w:rsidP="00487A02">
            <w:pPr>
              <w:pStyle w:val="InstructionsText"/>
            </w:pPr>
            <w:r w:rsidRPr="00661595">
              <w:t xml:space="preserve">Article </w:t>
            </w:r>
            <w:r w:rsidR="00984A5C" w:rsidRPr="00661595">
              <w:t>39</w:t>
            </w:r>
            <w:r w:rsidR="00DF65DF" w:rsidRPr="00661595">
              <w:t>(2)</w:t>
            </w:r>
            <w:r w:rsidR="00984A5C" w:rsidRPr="00661595">
              <w:t xml:space="preserve"> </w:t>
            </w:r>
            <w:r w:rsidR="00C7103D" w:rsidRPr="00661595">
              <w:t>CRR</w:t>
            </w:r>
          </w:p>
          <w:p w:rsidR="005643EA" w:rsidRPr="00661595" w:rsidRDefault="002648B0" w:rsidP="00487A02">
            <w:pPr>
              <w:pStyle w:val="InstructionsText"/>
            </w:pPr>
            <w:r w:rsidRPr="00661595">
              <w:t xml:space="preserve">Deferred tax assets that </w:t>
            </w:r>
            <w:r w:rsidR="00477C45" w:rsidRPr="00661595">
              <w:t xml:space="preserve">were created before 23 November 2016 and </w:t>
            </w:r>
            <w:r w:rsidRPr="00661595">
              <w:t>do not rely on future profitability, and thus are subject to the application of a risk weight.</w:t>
            </w:r>
          </w:p>
        </w:tc>
      </w:tr>
      <w:tr w:rsidR="002648B0" w:rsidRPr="00661595" w:rsidTr="00674BF5">
        <w:tc>
          <w:tcPr>
            <w:tcW w:w="1474" w:type="dxa"/>
          </w:tcPr>
          <w:p w:rsidR="002648B0" w:rsidRPr="00661595" w:rsidRDefault="00B13F06" w:rsidP="00487A02">
            <w:pPr>
              <w:pStyle w:val="InstructionsText"/>
            </w:pPr>
            <w:r w:rsidRPr="00661595">
              <w:t>0</w:t>
            </w:r>
            <w:r w:rsidR="002648B0" w:rsidRPr="00661595">
              <w:t>030</w:t>
            </w:r>
          </w:p>
        </w:tc>
        <w:tc>
          <w:tcPr>
            <w:tcW w:w="7049" w:type="dxa"/>
          </w:tcPr>
          <w:p w:rsidR="005643EA" w:rsidRPr="00661595" w:rsidRDefault="002648B0" w:rsidP="00487A02">
            <w:pPr>
              <w:pStyle w:val="InstructionsText"/>
            </w:pPr>
            <w:r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.2</w:t>
            </w:r>
            <w:r w:rsidR="000D194E" w:rsidRPr="00661595">
              <w:rPr>
                <w:rStyle w:val="InstructionsTabelleberschrift"/>
                <w:rFonts w:ascii="Times New Roman" w:hAnsi="Times New Roman"/>
                <w:sz w:val="24"/>
              </w:rPr>
              <w:tab/>
            </w:r>
            <w:r w:rsidRPr="00661595">
              <w:rPr>
                <w:rStyle w:val="InstructionsTabelleberschrift"/>
                <w:rFonts w:ascii="Times New Roman" w:hAnsi="Times New Roman"/>
                <w:sz w:val="24"/>
              </w:rPr>
              <w:t>Deferred tax assets that rely on future profitability and do not arise from temporary differences</w:t>
            </w:r>
          </w:p>
          <w:p w:rsidR="005643EA" w:rsidRPr="00661595" w:rsidRDefault="0014657C" w:rsidP="00487A02">
            <w:pPr>
              <w:pStyle w:val="InstructionsText"/>
            </w:pPr>
            <w:r w:rsidRPr="00661595">
              <w:t xml:space="preserve">Point (c) of </w:t>
            </w:r>
            <w:r w:rsidR="002648B0" w:rsidRPr="00661595">
              <w:t xml:space="preserve">Article </w:t>
            </w:r>
            <w:r w:rsidR="00407110" w:rsidRPr="00661595">
              <w:t>36(</w:t>
            </w:r>
            <w:r w:rsidR="002648B0" w:rsidRPr="00661595">
              <w:t xml:space="preserve">1) and </w:t>
            </w:r>
            <w:r w:rsidRPr="00661595">
              <w:t xml:space="preserve">Article </w:t>
            </w:r>
            <w:r w:rsidR="00984A5C" w:rsidRPr="00661595">
              <w:t xml:space="preserve">38 </w:t>
            </w:r>
            <w:r w:rsidR="00C7103D" w:rsidRPr="00661595">
              <w:t>CRR</w:t>
            </w:r>
          </w:p>
          <w:p w:rsidR="005643EA" w:rsidRPr="00661595" w:rsidRDefault="002648B0" w:rsidP="00487A02">
            <w:pPr>
              <w:pStyle w:val="InstructionsText"/>
            </w:pPr>
            <w:r w:rsidRPr="00661595">
              <w:t>Deferred tax assets that rely on future profitability, but do not arise from temporary differences, and thus are not subject to any threshold (i.e. are completely deducted from CET1).</w:t>
            </w:r>
          </w:p>
        </w:tc>
      </w:tr>
      <w:tr w:rsidR="002648B0" w:rsidRPr="00661595" w:rsidTr="00674BF5">
        <w:tc>
          <w:tcPr>
            <w:tcW w:w="1474" w:type="dxa"/>
          </w:tcPr>
          <w:p w:rsidR="002648B0" w:rsidRPr="00661595" w:rsidRDefault="00B13F06" w:rsidP="00487A02">
            <w:pPr>
              <w:pStyle w:val="InstructionsText"/>
            </w:pPr>
            <w:r w:rsidRPr="00661595">
              <w:t>0</w:t>
            </w:r>
            <w:r w:rsidR="002648B0" w:rsidRPr="00661595">
              <w:t>040</w:t>
            </w:r>
          </w:p>
        </w:tc>
        <w:tc>
          <w:tcPr>
            <w:tcW w:w="7049" w:type="dxa"/>
          </w:tcPr>
          <w:p w:rsidR="005643EA" w:rsidRPr="00661595" w:rsidRDefault="002648B0" w:rsidP="00487A02">
            <w:pPr>
              <w:pStyle w:val="InstructionsText"/>
            </w:pPr>
            <w:r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.3</w:t>
            </w:r>
            <w:r w:rsidR="000D194E" w:rsidRPr="00661595">
              <w:rPr>
                <w:rStyle w:val="InstructionsTabelleberschrift"/>
                <w:rFonts w:ascii="Times New Roman" w:hAnsi="Times New Roman"/>
                <w:sz w:val="24"/>
              </w:rPr>
              <w:tab/>
            </w:r>
            <w:r w:rsidRPr="00661595">
              <w:rPr>
                <w:rStyle w:val="InstructionsTabelleberschrift"/>
                <w:rFonts w:ascii="Times New Roman" w:hAnsi="Times New Roman"/>
                <w:sz w:val="24"/>
              </w:rPr>
              <w:t>Deferred tax assets that rely on future profitability and arise from temporary differences</w:t>
            </w:r>
          </w:p>
          <w:p w:rsidR="005643EA" w:rsidRPr="00661595" w:rsidRDefault="0014657C" w:rsidP="00487A02">
            <w:pPr>
              <w:pStyle w:val="InstructionsText"/>
            </w:pPr>
            <w:r w:rsidRPr="00661595">
              <w:t xml:space="preserve">Point (c) of </w:t>
            </w:r>
            <w:r w:rsidR="002648B0" w:rsidRPr="00661595">
              <w:t xml:space="preserve">Article </w:t>
            </w:r>
            <w:r w:rsidR="00407110" w:rsidRPr="00661595">
              <w:t>36(</w:t>
            </w:r>
            <w:r w:rsidR="002648B0" w:rsidRPr="00661595">
              <w:t xml:space="preserve">1); </w:t>
            </w:r>
            <w:r w:rsidRPr="00661595">
              <w:t xml:space="preserve">Article </w:t>
            </w:r>
            <w:r w:rsidR="00984A5C" w:rsidRPr="00661595">
              <w:t xml:space="preserve">38 </w:t>
            </w:r>
            <w:r w:rsidR="002648B0" w:rsidRPr="00661595">
              <w:t xml:space="preserve">and </w:t>
            </w:r>
            <w:r w:rsidRPr="00661595">
              <w:t xml:space="preserve">point (a) of Article </w:t>
            </w:r>
            <w:r w:rsidR="00984A5C" w:rsidRPr="00661595">
              <w:t>48</w:t>
            </w:r>
            <w:r w:rsidR="002648B0" w:rsidRPr="00661595">
              <w:t xml:space="preserve">(1) </w:t>
            </w:r>
            <w:r w:rsidR="00C7103D" w:rsidRPr="00661595">
              <w:t>CRR</w:t>
            </w:r>
          </w:p>
          <w:p w:rsidR="005643EA" w:rsidRPr="00661595" w:rsidRDefault="002648B0" w:rsidP="00487A02">
            <w:pPr>
              <w:pStyle w:val="InstructionsText"/>
            </w:pPr>
            <w:r w:rsidRPr="00661595">
              <w:t xml:space="preserve">Deferred tax assets that rely on future profitability and arise from temporary differences, and thus, their deduction from CET1 is subject to 10% and </w:t>
            </w:r>
            <w:r w:rsidR="00F052D1" w:rsidRPr="00661595">
              <w:t>17.65</w:t>
            </w:r>
            <w:r w:rsidRPr="00661595">
              <w:t xml:space="preserve">% thresholds in Article </w:t>
            </w:r>
            <w:r w:rsidR="00984A5C" w:rsidRPr="00661595">
              <w:t xml:space="preserve">48 </w:t>
            </w:r>
            <w:r w:rsidR="00C7103D" w:rsidRPr="00661595">
              <w:t>CRR</w:t>
            </w:r>
            <w:r w:rsidRPr="00661595">
              <w:t>.</w:t>
            </w:r>
          </w:p>
        </w:tc>
      </w:tr>
      <w:tr w:rsidR="002648B0" w:rsidRPr="00661595" w:rsidTr="00674BF5">
        <w:tc>
          <w:tcPr>
            <w:tcW w:w="1474" w:type="dxa"/>
          </w:tcPr>
          <w:p w:rsidR="002648B0" w:rsidRPr="00661595" w:rsidRDefault="00B13F06" w:rsidP="00487A02">
            <w:pPr>
              <w:pStyle w:val="InstructionsText"/>
            </w:pPr>
            <w:r w:rsidRPr="00661595">
              <w:t>0</w:t>
            </w:r>
            <w:r w:rsidR="002648B0" w:rsidRPr="00661595">
              <w:t>050</w:t>
            </w:r>
          </w:p>
        </w:tc>
        <w:tc>
          <w:tcPr>
            <w:tcW w:w="7049" w:type="dxa"/>
          </w:tcPr>
          <w:p w:rsidR="005643EA" w:rsidRPr="00661595" w:rsidRDefault="002648B0" w:rsidP="00487A02">
            <w:pPr>
              <w:pStyle w:val="InstructionsText"/>
            </w:pPr>
            <w:r w:rsidRPr="00661595">
              <w:rPr>
                <w:rStyle w:val="InstructionsTabelleberschrift"/>
                <w:rFonts w:ascii="Times New Roman" w:hAnsi="Times New Roman"/>
                <w:sz w:val="24"/>
              </w:rPr>
              <w:t>2 Total deferred tax liabilities</w:t>
            </w:r>
          </w:p>
          <w:p w:rsidR="005643EA" w:rsidRPr="00661595" w:rsidRDefault="002648B0" w:rsidP="00487A02">
            <w:pPr>
              <w:pStyle w:val="InstructionsText"/>
            </w:pPr>
            <w:r w:rsidRPr="00661595">
              <w:t>The amount reported in this item shall be equal to the amount reported in the</w:t>
            </w:r>
            <w:r w:rsidR="00967FAE" w:rsidRPr="00661595">
              <w:t xml:space="preserve"> latest verified/audited</w:t>
            </w:r>
            <w:r w:rsidRPr="00661595">
              <w:t xml:space="preserve"> accounting balance sheet.</w:t>
            </w:r>
          </w:p>
        </w:tc>
      </w:tr>
      <w:tr w:rsidR="002648B0" w:rsidRPr="00661595" w:rsidTr="00674BF5">
        <w:tc>
          <w:tcPr>
            <w:tcW w:w="1474" w:type="dxa"/>
          </w:tcPr>
          <w:p w:rsidR="002648B0" w:rsidRPr="00661595" w:rsidRDefault="00B13F06" w:rsidP="00487A02">
            <w:pPr>
              <w:pStyle w:val="InstructionsText"/>
            </w:pPr>
            <w:r w:rsidRPr="00661595">
              <w:t>0</w:t>
            </w:r>
            <w:r w:rsidR="002648B0" w:rsidRPr="00661595">
              <w:t>060</w:t>
            </w:r>
          </w:p>
        </w:tc>
        <w:tc>
          <w:tcPr>
            <w:tcW w:w="7049" w:type="dxa"/>
          </w:tcPr>
          <w:p w:rsidR="005643EA" w:rsidRPr="00661595" w:rsidRDefault="002648B0" w:rsidP="00487A02">
            <w:pPr>
              <w:pStyle w:val="InstructionsText"/>
            </w:pPr>
            <w:r w:rsidRPr="00661595">
              <w:rPr>
                <w:rStyle w:val="InstructionsTabelleberschrift"/>
                <w:rFonts w:ascii="Times New Roman" w:hAnsi="Times New Roman"/>
                <w:sz w:val="24"/>
              </w:rPr>
              <w:t>2</w:t>
            </w:r>
            <w:r w:rsidR="000D194E"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ab/>
            </w:r>
            <w:r w:rsidRPr="00661595">
              <w:rPr>
                <w:rStyle w:val="InstructionsTabelleberschrift"/>
                <w:rFonts w:ascii="Times New Roman" w:hAnsi="Times New Roman"/>
                <w:sz w:val="24"/>
              </w:rPr>
              <w:t>Deferred tax liabilities non deductible from deferred tax assets that rely on future profitability</w:t>
            </w:r>
          </w:p>
          <w:p w:rsidR="005643EA" w:rsidRPr="00661595" w:rsidRDefault="00167619" w:rsidP="00487A02">
            <w:pPr>
              <w:pStyle w:val="InstructionsText"/>
            </w:pPr>
            <w:r w:rsidRPr="00661595">
              <w:t xml:space="preserve">Paragraphs 3 and 4 of </w:t>
            </w:r>
            <w:r w:rsidR="002648B0" w:rsidRPr="00661595">
              <w:t xml:space="preserve">Article </w:t>
            </w:r>
            <w:r w:rsidR="00984A5C" w:rsidRPr="00661595">
              <w:t>38</w:t>
            </w:r>
            <w:r w:rsidR="002648B0" w:rsidRPr="00661595">
              <w:t xml:space="preserve"> </w:t>
            </w:r>
            <w:r w:rsidR="00C7103D" w:rsidRPr="00661595">
              <w:t>CRR</w:t>
            </w:r>
          </w:p>
          <w:p w:rsidR="005643EA" w:rsidRPr="00661595" w:rsidRDefault="002648B0" w:rsidP="00487A02">
            <w:pPr>
              <w:pStyle w:val="InstructionsText"/>
            </w:pPr>
            <w:r w:rsidRPr="00661595">
              <w:t xml:space="preserve">Deferred tax liabilities for which conditions in </w:t>
            </w:r>
            <w:r w:rsidR="00167619" w:rsidRPr="00661595">
              <w:t xml:space="preserve">paragraphs 3 and 4 of </w:t>
            </w:r>
            <w:r w:rsidRPr="00661595">
              <w:t xml:space="preserve">Article </w:t>
            </w:r>
            <w:r w:rsidR="00984A5C" w:rsidRPr="00661595">
              <w:t>38</w:t>
            </w:r>
            <w:r w:rsidRPr="00661595">
              <w:t xml:space="preserve"> </w:t>
            </w:r>
            <w:r w:rsidR="00C7103D" w:rsidRPr="00661595">
              <w:t>CRR</w:t>
            </w:r>
            <w:r w:rsidRPr="00661595">
              <w:t xml:space="preserve"> are not met. Hence, this item shall include the deferred tax liabilities that reduce the amount of goodwill, other intangible assets or defined benefit pension fund assets required to be deducted, which are reported, respectively, in CA1 items </w:t>
            </w:r>
            <w:r w:rsidR="00DA4727" w:rsidRPr="00661595">
              <w:t>1.</w:t>
            </w:r>
            <w:r w:rsidRPr="00661595">
              <w:t xml:space="preserve">1.1.10.3, </w:t>
            </w:r>
            <w:r w:rsidR="00DA4727" w:rsidRPr="00661595">
              <w:t>1.</w:t>
            </w:r>
            <w:r w:rsidRPr="00661595">
              <w:t xml:space="preserve">1.1.11.2 and </w:t>
            </w:r>
            <w:r w:rsidR="00DA4727" w:rsidRPr="00661595">
              <w:t>1.</w:t>
            </w:r>
            <w:r w:rsidRPr="00661595">
              <w:t>1.1.14.2.</w:t>
            </w:r>
          </w:p>
        </w:tc>
      </w:tr>
      <w:tr w:rsidR="002648B0" w:rsidRPr="00661595" w:rsidTr="00674BF5">
        <w:tc>
          <w:tcPr>
            <w:tcW w:w="1474" w:type="dxa"/>
          </w:tcPr>
          <w:p w:rsidR="002648B0" w:rsidRPr="00661595" w:rsidRDefault="00B13F06" w:rsidP="00487A02">
            <w:pPr>
              <w:pStyle w:val="InstructionsText"/>
            </w:pPr>
            <w:r w:rsidRPr="00661595">
              <w:t>0</w:t>
            </w:r>
            <w:r w:rsidR="002648B0" w:rsidRPr="00661595">
              <w:t>070</w:t>
            </w:r>
          </w:p>
        </w:tc>
        <w:tc>
          <w:tcPr>
            <w:tcW w:w="7049" w:type="dxa"/>
          </w:tcPr>
          <w:p w:rsidR="005643EA" w:rsidRPr="00661595" w:rsidRDefault="002648B0" w:rsidP="00487A02">
            <w:pPr>
              <w:pStyle w:val="InstructionsText"/>
            </w:pPr>
            <w:r w:rsidRPr="00661595">
              <w:rPr>
                <w:rStyle w:val="InstructionsTabelleberschrift"/>
                <w:rFonts w:ascii="Times New Roman" w:hAnsi="Times New Roman"/>
                <w:sz w:val="24"/>
              </w:rPr>
              <w:t>2</w:t>
            </w:r>
            <w:r w:rsidR="000D194E" w:rsidRPr="00661595">
              <w:rPr>
                <w:rStyle w:val="InstructionsTabelleberschrift"/>
                <w:rFonts w:ascii="Times New Roman" w:hAnsi="Times New Roman"/>
                <w:sz w:val="24"/>
              </w:rPr>
              <w:t>.2</w:t>
            </w:r>
            <w:r w:rsidR="000D194E" w:rsidRPr="00661595">
              <w:rPr>
                <w:rStyle w:val="InstructionsTabelleberschrift"/>
                <w:rFonts w:ascii="Times New Roman" w:hAnsi="Times New Roman"/>
                <w:sz w:val="24"/>
              </w:rPr>
              <w:tab/>
            </w:r>
            <w:r w:rsidRPr="00661595">
              <w:rPr>
                <w:rStyle w:val="InstructionsTabelleberschrift"/>
                <w:rFonts w:ascii="Times New Roman" w:hAnsi="Times New Roman"/>
                <w:sz w:val="24"/>
              </w:rPr>
              <w:t>Deferred tax liabilities deductible from deferred tax assets that rely on future profitability</w:t>
            </w:r>
          </w:p>
          <w:p w:rsidR="005643EA" w:rsidRPr="00661595" w:rsidRDefault="002648B0" w:rsidP="00487A02">
            <w:pPr>
              <w:pStyle w:val="InstructionsText"/>
            </w:pPr>
            <w:r w:rsidRPr="00661595">
              <w:t xml:space="preserve">Article </w:t>
            </w:r>
            <w:r w:rsidR="00984A5C" w:rsidRPr="00661595">
              <w:t xml:space="preserve">38 </w:t>
            </w:r>
            <w:r w:rsidR="00C7103D" w:rsidRPr="00661595">
              <w:t>CRR</w:t>
            </w:r>
          </w:p>
        </w:tc>
      </w:tr>
      <w:tr w:rsidR="002648B0" w:rsidRPr="00661595" w:rsidTr="00674BF5">
        <w:tc>
          <w:tcPr>
            <w:tcW w:w="1474" w:type="dxa"/>
          </w:tcPr>
          <w:p w:rsidR="002648B0" w:rsidRPr="00661595" w:rsidRDefault="00B13F06" w:rsidP="00487A02">
            <w:pPr>
              <w:pStyle w:val="InstructionsText"/>
            </w:pPr>
            <w:r w:rsidRPr="00661595">
              <w:t>0</w:t>
            </w:r>
            <w:r w:rsidR="002648B0" w:rsidRPr="00661595">
              <w:t>080</w:t>
            </w:r>
          </w:p>
        </w:tc>
        <w:tc>
          <w:tcPr>
            <w:tcW w:w="7049" w:type="dxa"/>
          </w:tcPr>
          <w:p w:rsidR="005643EA" w:rsidRPr="00661595" w:rsidRDefault="002648B0" w:rsidP="00487A02">
            <w:pPr>
              <w:pStyle w:val="InstructionsText"/>
            </w:pPr>
            <w:r w:rsidRPr="00661595">
              <w:rPr>
                <w:rStyle w:val="InstructionsTabelleberschrift"/>
                <w:rFonts w:ascii="Times New Roman" w:hAnsi="Times New Roman"/>
                <w:sz w:val="24"/>
              </w:rPr>
              <w:t>2</w:t>
            </w:r>
            <w:r w:rsidR="000D194E" w:rsidRPr="00661595">
              <w:rPr>
                <w:rStyle w:val="InstructionsTabelleberschrift"/>
                <w:rFonts w:ascii="Times New Roman" w:hAnsi="Times New Roman"/>
                <w:sz w:val="24"/>
              </w:rPr>
              <w:t>.2.1</w:t>
            </w:r>
            <w:r w:rsidR="000D194E" w:rsidRPr="00661595">
              <w:rPr>
                <w:rStyle w:val="InstructionsTabelleberschrift"/>
                <w:rFonts w:ascii="Times New Roman" w:hAnsi="Times New Roman"/>
                <w:sz w:val="24"/>
              </w:rPr>
              <w:tab/>
            </w:r>
            <w:r w:rsidRPr="00661595">
              <w:rPr>
                <w:rStyle w:val="InstructionsTabelleberschrift"/>
                <w:rFonts w:ascii="Times New Roman" w:hAnsi="Times New Roman"/>
                <w:sz w:val="24"/>
              </w:rPr>
              <w:t>Deductible deferred tax liabilities associated with deferred tax assets that rely on future profitability and do not arise from temporary differences</w:t>
            </w:r>
          </w:p>
          <w:p w:rsidR="005643EA" w:rsidRPr="00661595" w:rsidRDefault="00167619" w:rsidP="00487A02">
            <w:pPr>
              <w:pStyle w:val="InstructionsText"/>
            </w:pPr>
            <w:r w:rsidRPr="00661595">
              <w:t xml:space="preserve">Paragraphs 3, 4 and 5 of </w:t>
            </w:r>
            <w:r w:rsidR="002648B0" w:rsidRPr="00661595">
              <w:t xml:space="preserve">Article </w:t>
            </w:r>
            <w:r w:rsidR="00984A5C" w:rsidRPr="00661595">
              <w:t>38</w:t>
            </w:r>
            <w:r w:rsidR="002648B0" w:rsidRPr="00661595">
              <w:t xml:space="preserve"> </w:t>
            </w:r>
            <w:r w:rsidR="00C7103D" w:rsidRPr="00661595">
              <w:t>CRR</w:t>
            </w:r>
          </w:p>
          <w:p w:rsidR="005643EA" w:rsidRPr="00661595" w:rsidRDefault="002648B0" w:rsidP="00487A02">
            <w:pPr>
              <w:pStyle w:val="InstructionsText"/>
            </w:pPr>
            <w:r w:rsidRPr="00661595">
              <w:t xml:space="preserve">Deferred tax liabilities which may reduce the amount of deferred tax assets that rely on future profitability, </w:t>
            </w:r>
            <w:r w:rsidR="0014657C" w:rsidRPr="00661595">
              <w:rPr>
                <w:rStyle w:val="FormatvorlageInstructionsTabelleText"/>
                <w:rFonts w:ascii="Times New Roman" w:hAnsi="Times New Roman"/>
                <w:sz w:val="24"/>
              </w:rPr>
              <w:t xml:space="preserve">in accordance with </w:t>
            </w:r>
            <w:r w:rsidR="00167619" w:rsidRPr="00661595">
              <w:t xml:space="preserve">paragraphs 3 and 4 of </w:t>
            </w:r>
            <w:r w:rsidRPr="00661595">
              <w:t xml:space="preserve">Article </w:t>
            </w:r>
            <w:r w:rsidR="00984A5C" w:rsidRPr="00661595">
              <w:t>38</w:t>
            </w:r>
            <w:r w:rsidRPr="00661595">
              <w:t xml:space="preserve"> </w:t>
            </w:r>
            <w:r w:rsidR="00C7103D" w:rsidRPr="00661595">
              <w:t>CRR</w:t>
            </w:r>
            <w:r w:rsidRPr="00661595">
              <w:t xml:space="preserve">, and are not allocated to deferred tax assets that rely on future profitability and arise from temporary differences, </w:t>
            </w:r>
            <w:r w:rsidR="0014657C" w:rsidRPr="00661595">
              <w:t>as laid down in</w:t>
            </w:r>
            <w:r w:rsidRPr="00661595">
              <w:t xml:space="preserve"> Article </w:t>
            </w:r>
            <w:r w:rsidR="00984A5C" w:rsidRPr="00661595">
              <w:t>38</w:t>
            </w:r>
            <w:r w:rsidRPr="00661595">
              <w:t xml:space="preserve">(5) </w:t>
            </w:r>
            <w:r w:rsidR="00C7103D" w:rsidRPr="00661595">
              <w:t>CRR</w:t>
            </w:r>
          </w:p>
        </w:tc>
      </w:tr>
      <w:tr w:rsidR="002648B0" w:rsidRPr="00661595" w:rsidTr="00674BF5">
        <w:tc>
          <w:tcPr>
            <w:tcW w:w="1474" w:type="dxa"/>
          </w:tcPr>
          <w:p w:rsidR="002648B0" w:rsidRPr="00661595" w:rsidRDefault="00B13F06" w:rsidP="00487A02">
            <w:pPr>
              <w:pStyle w:val="InstructionsText"/>
            </w:pPr>
            <w:r w:rsidRPr="00661595">
              <w:t>0</w:t>
            </w:r>
            <w:r w:rsidR="002648B0" w:rsidRPr="00661595">
              <w:t>090</w:t>
            </w:r>
          </w:p>
        </w:tc>
        <w:tc>
          <w:tcPr>
            <w:tcW w:w="7049" w:type="dxa"/>
          </w:tcPr>
          <w:p w:rsidR="005643EA" w:rsidRPr="00661595" w:rsidRDefault="002648B0" w:rsidP="00487A02">
            <w:pPr>
              <w:pStyle w:val="InstructionsText"/>
            </w:pPr>
            <w:r w:rsidRPr="00661595">
              <w:rPr>
                <w:rStyle w:val="InstructionsTabelleberschrift"/>
                <w:rFonts w:ascii="Times New Roman" w:hAnsi="Times New Roman"/>
                <w:sz w:val="24"/>
              </w:rPr>
              <w:t>2</w:t>
            </w:r>
            <w:r w:rsidR="000D194E" w:rsidRPr="00661595">
              <w:rPr>
                <w:rStyle w:val="InstructionsTabelleberschrift"/>
                <w:rFonts w:ascii="Times New Roman" w:hAnsi="Times New Roman"/>
                <w:sz w:val="24"/>
              </w:rPr>
              <w:t>.2.2</w:t>
            </w:r>
            <w:r w:rsidR="000D194E" w:rsidRPr="00661595">
              <w:rPr>
                <w:rStyle w:val="InstructionsTabelleberschrift"/>
                <w:rFonts w:ascii="Times New Roman" w:hAnsi="Times New Roman"/>
                <w:sz w:val="24"/>
              </w:rPr>
              <w:tab/>
            </w:r>
            <w:r w:rsidRPr="00661595">
              <w:rPr>
                <w:rStyle w:val="InstructionsTabelleberschrift"/>
                <w:rFonts w:ascii="Times New Roman" w:hAnsi="Times New Roman"/>
                <w:sz w:val="24"/>
              </w:rPr>
              <w:t>Deductible deferred tax liabilities associated with deferred tax assets that rely on future profitability and arise from temporary differences</w:t>
            </w:r>
          </w:p>
          <w:p w:rsidR="005643EA" w:rsidRPr="00661595" w:rsidRDefault="00167619" w:rsidP="00487A02">
            <w:pPr>
              <w:pStyle w:val="InstructionsText"/>
            </w:pPr>
            <w:r w:rsidRPr="00661595">
              <w:t xml:space="preserve">Paragraphs 3, 4 and 5 of </w:t>
            </w:r>
            <w:r w:rsidR="002648B0" w:rsidRPr="00661595">
              <w:t xml:space="preserve">Article </w:t>
            </w:r>
            <w:r w:rsidR="00984A5C" w:rsidRPr="00661595">
              <w:t>38</w:t>
            </w:r>
            <w:r w:rsidR="002648B0" w:rsidRPr="00661595">
              <w:t xml:space="preserve"> </w:t>
            </w:r>
            <w:r w:rsidR="00C7103D" w:rsidRPr="00661595">
              <w:t>CRR</w:t>
            </w:r>
          </w:p>
          <w:p w:rsidR="005643EA" w:rsidRPr="00661595" w:rsidRDefault="002648B0" w:rsidP="00487A02">
            <w:pPr>
              <w:pStyle w:val="InstructionsText"/>
            </w:pPr>
            <w:r w:rsidRPr="00661595">
              <w:t xml:space="preserve">Deferred tax liabilities which may reduce the amount of deferred tax assets that rely on future profitability, </w:t>
            </w:r>
            <w:r w:rsidR="0014657C" w:rsidRPr="00661595">
              <w:rPr>
                <w:rStyle w:val="FormatvorlageInstructionsTabelleText"/>
                <w:rFonts w:ascii="Times New Roman" w:hAnsi="Times New Roman"/>
                <w:sz w:val="24"/>
              </w:rPr>
              <w:t xml:space="preserve">in accordance with </w:t>
            </w:r>
            <w:r w:rsidR="00167619" w:rsidRPr="00661595">
              <w:t xml:space="preserve">paragraphs 3 and 4 of </w:t>
            </w:r>
            <w:r w:rsidRPr="00661595">
              <w:t xml:space="preserve">Article </w:t>
            </w:r>
            <w:r w:rsidR="00984A5C" w:rsidRPr="00661595">
              <w:t>38</w:t>
            </w:r>
            <w:r w:rsidRPr="00661595">
              <w:t xml:space="preserve"> </w:t>
            </w:r>
            <w:r w:rsidR="00C7103D" w:rsidRPr="00661595">
              <w:t>CRR</w:t>
            </w:r>
            <w:r w:rsidRPr="00661595">
              <w:t xml:space="preserve">, and are allocated to deferred tax assets that rely on future profitability and arise from temporary differences, </w:t>
            </w:r>
            <w:r w:rsidR="0014657C" w:rsidRPr="00661595">
              <w:t>as laid down in</w:t>
            </w:r>
            <w:r w:rsidRPr="00661595">
              <w:t xml:space="preserve"> Article </w:t>
            </w:r>
            <w:r w:rsidR="00984A5C" w:rsidRPr="00661595">
              <w:t>38</w:t>
            </w:r>
            <w:r w:rsidRPr="00661595">
              <w:t xml:space="preserve">(5) </w:t>
            </w:r>
            <w:r w:rsidR="00C7103D" w:rsidRPr="00661595">
              <w:t>CRR</w:t>
            </w:r>
          </w:p>
        </w:tc>
      </w:tr>
      <w:tr w:rsidR="00550113" w:rsidRPr="00661595" w:rsidTr="00674BF5">
        <w:tc>
          <w:tcPr>
            <w:tcW w:w="1474" w:type="dxa"/>
          </w:tcPr>
          <w:p w:rsidR="00550113" w:rsidRPr="00661595" w:rsidRDefault="00B13F06" w:rsidP="00487A02">
            <w:pPr>
              <w:pStyle w:val="InstructionsText"/>
            </w:pPr>
            <w:r w:rsidRPr="00661595">
              <w:t>0</w:t>
            </w:r>
            <w:r w:rsidR="00550113" w:rsidRPr="00661595">
              <w:t>093</w:t>
            </w:r>
          </w:p>
        </w:tc>
        <w:tc>
          <w:tcPr>
            <w:tcW w:w="7049" w:type="dxa"/>
          </w:tcPr>
          <w:p w:rsidR="00550113" w:rsidRPr="00661595" w:rsidRDefault="00550113" w:rsidP="00487A02">
            <w:pPr>
              <w:pStyle w:val="InstructionsText"/>
            </w:pPr>
            <w:r w:rsidRPr="00661595">
              <w:rPr>
                <w:rStyle w:val="InstructionsTabelleberschrift"/>
                <w:rFonts w:ascii="Times New Roman" w:hAnsi="Times New Roman"/>
                <w:sz w:val="24"/>
              </w:rPr>
              <w:t>2A</w:t>
            </w:r>
            <w:r w:rsidR="00A4319E" w:rsidRPr="00661595">
              <w:rPr>
                <w:rStyle w:val="InstructionsTabelleberschrift"/>
                <w:rFonts w:ascii="Times New Roman" w:hAnsi="Times New Roman"/>
                <w:sz w:val="24"/>
              </w:rPr>
              <w:tab/>
            </w:r>
            <w:r w:rsidRPr="00661595">
              <w:rPr>
                <w:rStyle w:val="InstructionsTabelleberschrift"/>
                <w:rFonts w:ascii="Times New Roman" w:hAnsi="Times New Roman"/>
                <w:sz w:val="24"/>
              </w:rPr>
              <w:t>Tax overpa</w:t>
            </w:r>
            <w:r w:rsidR="00201704" w:rsidRPr="00661595">
              <w:rPr>
                <w:rStyle w:val="InstructionsTabelleberschrift"/>
                <w:rFonts w:ascii="Times New Roman" w:hAnsi="Times New Roman"/>
                <w:sz w:val="24"/>
              </w:rPr>
              <w:t>yments and tax loss carry backs</w:t>
            </w:r>
          </w:p>
          <w:p w:rsidR="00550113" w:rsidRPr="00661595" w:rsidRDefault="00201704" w:rsidP="00487A02">
            <w:pPr>
              <w:pStyle w:val="InstructionsText"/>
            </w:pPr>
            <w:r w:rsidRPr="00661595">
              <w:t>Article 39(1) CRR</w:t>
            </w:r>
          </w:p>
          <w:p w:rsidR="00550113" w:rsidRPr="00661595" w:rsidRDefault="00550113" w:rsidP="00487A02">
            <w:pPr>
              <w:pStyle w:val="InstructionsText"/>
              <w:rPr>
                <w:rStyle w:val="InstructionsTabelleberschrift"/>
                <w:rFonts w:ascii="Times New Roman" w:hAnsi="Times New Roman"/>
                <w:b w:val="0"/>
                <w:bCs w:val="0"/>
                <w:sz w:val="24"/>
                <w:u w:val="none"/>
              </w:rPr>
            </w:pPr>
            <w:r w:rsidRPr="00661595">
              <w:t>The amount of tax overpayments and tax loss carry backs which is not deducted from own funds in accordance with Article 39(1) CRR; the amount reported shall be the amount before the applicati</w:t>
            </w:r>
            <w:r w:rsidR="00201704" w:rsidRPr="00661595">
              <w:t>on of risk weights.</w:t>
            </w:r>
          </w:p>
        </w:tc>
      </w:tr>
      <w:tr w:rsidR="00DF65DF" w:rsidRPr="00661595" w:rsidTr="00674BF5">
        <w:tc>
          <w:tcPr>
            <w:tcW w:w="1474" w:type="dxa"/>
          </w:tcPr>
          <w:p w:rsidR="00DF65DF" w:rsidRPr="00661595" w:rsidRDefault="00B13F06" w:rsidP="00487A02">
            <w:pPr>
              <w:pStyle w:val="InstructionsText"/>
            </w:pPr>
            <w:r w:rsidRPr="00661595">
              <w:t>0</w:t>
            </w:r>
            <w:r w:rsidR="00DF65DF" w:rsidRPr="00661595">
              <w:t>096</w:t>
            </w:r>
          </w:p>
        </w:tc>
        <w:tc>
          <w:tcPr>
            <w:tcW w:w="7049" w:type="dxa"/>
          </w:tcPr>
          <w:p w:rsidR="00DF65DF" w:rsidRPr="00661595" w:rsidRDefault="00550113" w:rsidP="00487A02">
            <w:pPr>
              <w:pStyle w:val="InstructionsText"/>
            </w:pPr>
            <w:r w:rsidRPr="00661595">
              <w:rPr>
                <w:rStyle w:val="InstructionsTabelleberschrift"/>
                <w:rFonts w:ascii="Times New Roman" w:hAnsi="Times New Roman"/>
                <w:sz w:val="24"/>
              </w:rPr>
              <w:t>2B</w:t>
            </w:r>
            <w:r w:rsidR="00A4319E" w:rsidRPr="00661595">
              <w:rPr>
                <w:rStyle w:val="InstructionsTabelleberschrift"/>
                <w:rFonts w:ascii="Times New Roman" w:hAnsi="Times New Roman"/>
                <w:sz w:val="24"/>
              </w:rPr>
              <w:tab/>
            </w:r>
            <w:r w:rsidR="00DF65DF" w:rsidRPr="00661595">
              <w:rPr>
                <w:rStyle w:val="InstructionsTabelleberschrift"/>
                <w:rFonts w:ascii="Times New Roman" w:hAnsi="Times New Roman"/>
                <w:sz w:val="24"/>
              </w:rPr>
              <w:t>Deferred Tax Assets s</w:t>
            </w:r>
            <w:r w:rsidR="00201704" w:rsidRPr="00661595">
              <w:rPr>
                <w:rStyle w:val="InstructionsTabelleberschrift"/>
                <w:rFonts w:ascii="Times New Roman" w:hAnsi="Times New Roman"/>
                <w:sz w:val="24"/>
              </w:rPr>
              <w:t>ubject to a risk weight of 250%</w:t>
            </w:r>
          </w:p>
          <w:p w:rsidR="00DF65DF" w:rsidRPr="00661595" w:rsidRDefault="00201704" w:rsidP="00487A02">
            <w:pPr>
              <w:pStyle w:val="InstructionsText"/>
            </w:pPr>
            <w:r w:rsidRPr="00661595">
              <w:t>Article 48(4) CRR</w:t>
            </w:r>
          </w:p>
          <w:p w:rsidR="00DF65DF" w:rsidRPr="00661595" w:rsidRDefault="00DF65DF" w:rsidP="000D04B6">
            <w:pPr>
              <w:pStyle w:val="InstructionsText"/>
              <w:rPr>
                <w:rStyle w:val="InstructionsTabelleberschrift"/>
                <w:rFonts w:ascii="Times New Roman" w:hAnsi="Times New Roman"/>
                <w:b w:val="0"/>
                <w:bCs w:val="0"/>
                <w:sz w:val="24"/>
                <w:u w:val="none"/>
              </w:rPr>
            </w:pPr>
            <w:r w:rsidRPr="00661595">
              <w:t>The amount of deferred tax assets that are dependent on future profitability and arise from temporary differences that are not deducted pursuant to Article 48(1) CRR, but subject to a risk weight of 250% in</w:t>
            </w:r>
            <w:r w:rsidR="00DC3A83" w:rsidRPr="00661595">
              <w:t xml:space="preserve"> </w:t>
            </w:r>
            <w:r w:rsidRPr="00661595">
              <w:t>accordance with Article 48(4) CRR, taking into account the effect of Article 470</w:t>
            </w:r>
            <w:r w:rsidR="00674BF5" w:rsidRPr="00661595">
              <w:t xml:space="preserve">, </w:t>
            </w:r>
            <w:r w:rsidR="00B13F06" w:rsidRPr="00661595">
              <w:t xml:space="preserve">Article </w:t>
            </w:r>
            <w:r w:rsidR="00674BF5" w:rsidRPr="00661595">
              <w:t xml:space="preserve">478(2) and </w:t>
            </w:r>
            <w:r w:rsidR="00B13F06" w:rsidRPr="00661595">
              <w:t xml:space="preserve">point (a) of Article </w:t>
            </w:r>
            <w:r w:rsidR="00674BF5" w:rsidRPr="00661595">
              <w:t xml:space="preserve">473a(7) </w:t>
            </w:r>
            <w:r w:rsidRPr="00661595">
              <w:t xml:space="preserve">CRR. The amount reported shall be the amount of DTAs before the </w:t>
            </w:r>
            <w:r w:rsidR="00201704" w:rsidRPr="00661595">
              <w:t>application of the risk weight.</w:t>
            </w:r>
          </w:p>
        </w:tc>
      </w:tr>
      <w:tr w:rsidR="00DF65DF" w:rsidRPr="00661595" w:rsidTr="00674BF5">
        <w:tc>
          <w:tcPr>
            <w:tcW w:w="1474" w:type="dxa"/>
          </w:tcPr>
          <w:p w:rsidR="00DF65DF" w:rsidRPr="00661595" w:rsidRDefault="00B13F06" w:rsidP="00487A02">
            <w:pPr>
              <w:pStyle w:val="InstructionsText"/>
            </w:pPr>
            <w:r w:rsidRPr="00661595">
              <w:t>0</w:t>
            </w:r>
            <w:r w:rsidR="00DF65DF" w:rsidRPr="00661595">
              <w:t>097</w:t>
            </w:r>
          </w:p>
        </w:tc>
        <w:tc>
          <w:tcPr>
            <w:tcW w:w="7049" w:type="dxa"/>
          </w:tcPr>
          <w:p w:rsidR="00DF65DF" w:rsidRPr="00661595" w:rsidRDefault="00550113" w:rsidP="00487A02">
            <w:pPr>
              <w:pStyle w:val="InstructionsText"/>
            </w:pPr>
            <w:r w:rsidRPr="00661595">
              <w:rPr>
                <w:rStyle w:val="InstructionsTabelleberschrift"/>
                <w:rFonts w:ascii="Times New Roman" w:hAnsi="Times New Roman"/>
                <w:sz w:val="24"/>
              </w:rPr>
              <w:t>2C</w:t>
            </w:r>
            <w:r w:rsidR="00A4319E" w:rsidRPr="00661595">
              <w:rPr>
                <w:rStyle w:val="InstructionsTabelleberschrift"/>
                <w:rFonts w:ascii="Times New Roman" w:hAnsi="Times New Roman"/>
                <w:sz w:val="24"/>
              </w:rPr>
              <w:tab/>
            </w:r>
            <w:r w:rsidR="00DF65DF" w:rsidRPr="00661595">
              <w:rPr>
                <w:rStyle w:val="InstructionsTabelleberschrift"/>
                <w:rFonts w:ascii="Times New Roman" w:hAnsi="Times New Roman"/>
                <w:sz w:val="24"/>
              </w:rPr>
              <w:t>Deferred Tax Assets</w:t>
            </w:r>
            <w:r w:rsidR="00201704" w:rsidRPr="00661595">
              <w:rPr>
                <w:rStyle w:val="InstructionsTabelleberschrift"/>
                <w:rFonts w:ascii="Times New Roman" w:hAnsi="Times New Roman"/>
                <w:sz w:val="24"/>
              </w:rPr>
              <w:t xml:space="preserve"> subject to a risk weight of 0%</w:t>
            </w:r>
          </w:p>
          <w:p w:rsidR="00DF65DF" w:rsidRPr="00661595" w:rsidRDefault="0014657C" w:rsidP="00487A02">
            <w:pPr>
              <w:pStyle w:val="InstructionsText"/>
            </w:pPr>
            <w:r w:rsidRPr="00661595">
              <w:t xml:space="preserve">Point (d) of </w:t>
            </w:r>
            <w:r w:rsidR="00DF65DF" w:rsidRPr="00661595">
              <w:t>Article 469(1)</w:t>
            </w:r>
            <w:r w:rsidR="00201704" w:rsidRPr="00661595">
              <w:t xml:space="preserve">, </w:t>
            </w:r>
            <w:r w:rsidRPr="00661595">
              <w:t xml:space="preserve">Article </w:t>
            </w:r>
            <w:r w:rsidR="00201704" w:rsidRPr="00661595">
              <w:t xml:space="preserve">470, </w:t>
            </w:r>
            <w:r w:rsidR="008241B9" w:rsidRPr="00661595">
              <w:t xml:space="preserve">Article </w:t>
            </w:r>
            <w:r w:rsidR="00201704" w:rsidRPr="00661595">
              <w:t xml:space="preserve">472(5) and </w:t>
            </w:r>
            <w:r w:rsidR="008241B9" w:rsidRPr="00661595">
              <w:t xml:space="preserve">Article </w:t>
            </w:r>
            <w:r w:rsidR="00201704" w:rsidRPr="00661595">
              <w:t>478 CRR</w:t>
            </w:r>
          </w:p>
          <w:p w:rsidR="00DF65DF" w:rsidRPr="00661595" w:rsidRDefault="00DF65DF" w:rsidP="00487A02">
            <w:pPr>
              <w:pStyle w:val="InstructionsText"/>
              <w:rPr>
                <w:rStyle w:val="InstructionsTabelleberschrift"/>
                <w:rFonts w:ascii="Times New Roman" w:hAnsi="Times New Roman"/>
                <w:b w:val="0"/>
                <w:bCs w:val="0"/>
                <w:sz w:val="24"/>
                <w:u w:val="none"/>
              </w:rPr>
            </w:pPr>
            <w:r w:rsidRPr="00661595">
              <w:t xml:space="preserve">The amount of deferred tax assets that are dependent on future profitability and arise from temporary differences that are not deducted pursuant to </w:t>
            </w:r>
            <w:r w:rsidR="0014657C" w:rsidRPr="00661595">
              <w:t xml:space="preserve">point (d) of </w:t>
            </w:r>
            <w:r w:rsidRPr="00661595">
              <w:t>Article 469(1)</w:t>
            </w:r>
            <w:r w:rsidR="00674BF5" w:rsidRPr="00661595">
              <w:t>,</w:t>
            </w:r>
            <w:r w:rsidRPr="00661595">
              <w:t xml:space="preserve"> </w:t>
            </w:r>
            <w:r w:rsidR="0014657C" w:rsidRPr="00661595">
              <w:t xml:space="preserve">Article </w:t>
            </w:r>
            <w:r w:rsidRPr="00661595">
              <w:t>470 CRR</w:t>
            </w:r>
            <w:r w:rsidR="00B13F06" w:rsidRPr="00661595">
              <w:t>, Article</w:t>
            </w:r>
            <w:r w:rsidR="00674BF5" w:rsidRPr="00661595">
              <w:t xml:space="preserve"> 478 (2) and point a of Article 473a (7)</w:t>
            </w:r>
            <w:r w:rsidR="00B13F06" w:rsidRPr="00661595">
              <w:t xml:space="preserve"> CRR</w:t>
            </w:r>
            <w:r w:rsidRPr="00661595">
              <w:t xml:space="preserve">, but subject to a risk weight of 0% in accordance with Article 472(5) CRR. The amount reported shall be the amount of DTAs before the </w:t>
            </w:r>
            <w:r w:rsidR="00201704" w:rsidRPr="00661595">
              <w:t>application of the risk weight.</w:t>
            </w:r>
          </w:p>
        </w:tc>
      </w:tr>
      <w:tr w:rsidR="00674BF5" w:rsidRPr="00661595" w:rsidTr="00674BF5">
        <w:tc>
          <w:tcPr>
            <w:tcW w:w="1474" w:type="dxa"/>
          </w:tcPr>
          <w:p w:rsidR="00674BF5" w:rsidRPr="00661595" w:rsidRDefault="004F1DDB" w:rsidP="00487A02">
            <w:pPr>
              <w:pStyle w:val="InstructionsText"/>
            </w:pPr>
            <w:r w:rsidRPr="00661595">
              <w:t>0</w:t>
            </w:r>
            <w:r w:rsidR="00674BF5" w:rsidRPr="00661595">
              <w:t>90</w:t>
            </w:r>
            <w:r w:rsidR="00AA72D7">
              <w:t>1</w:t>
            </w:r>
          </w:p>
        </w:tc>
        <w:tc>
          <w:tcPr>
            <w:tcW w:w="7049" w:type="dxa"/>
          </w:tcPr>
          <w:p w:rsidR="00674BF5" w:rsidRPr="00661595" w:rsidRDefault="00674BF5"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2W Exception from deduction of intangible assets from CET1</w:t>
            </w:r>
          </w:p>
          <w:p w:rsidR="00674BF5" w:rsidRPr="00661595" w:rsidRDefault="004F1DDB" w:rsidP="00487A02">
            <w:pPr>
              <w:pStyle w:val="InstructionsText"/>
            </w:pPr>
            <w:r w:rsidRPr="00661595">
              <w:t xml:space="preserve">Point (b) of </w:t>
            </w:r>
            <w:r w:rsidR="00674BF5" w:rsidRPr="00661595">
              <w:t xml:space="preserve">Article 36(1) </w:t>
            </w:r>
            <w:r w:rsidRPr="00661595">
              <w:t>CRR</w:t>
            </w:r>
          </w:p>
          <w:p w:rsidR="00674BF5" w:rsidRPr="00661595" w:rsidRDefault="00674BF5" w:rsidP="00487A02">
            <w:pPr>
              <w:pStyle w:val="InstructionsText"/>
              <w:rPr>
                <w:rStyle w:val="InstructionsTabelleberschrift"/>
                <w:rFonts w:ascii="Times New Roman" w:hAnsi="Times New Roman"/>
                <w:sz w:val="24"/>
              </w:rPr>
            </w:pPr>
            <w:r w:rsidRPr="00661595">
              <w:t>Institutions shall report the amount of prudently valued software assets exempted from the deduction.</w:t>
            </w:r>
          </w:p>
        </w:tc>
      </w:tr>
      <w:tr w:rsidR="00674BF5" w:rsidRPr="00661595" w:rsidTr="00674BF5">
        <w:tc>
          <w:tcPr>
            <w:tcW w:w="1474" w:type="dxa"/>
          </w:tcPr>
          <w:p w:rsidR="00674BF5" w:rsidRPr="00661595" w:rsidRDefault="004F1DDB" w:rsidP="00487A02">
            <w:pPr>
              <w:pStyle w:val="InstructionsText"/>
            </w:pPr>
            <w:r w:rsidRPr="00661595">
              <w:t>0</w:t>
            </w:r>
            <w:r w:rsidR="00AA72D7">
              <w:t>905</w:t>
            </w:r>
          </w:p>
        </w:tc>
        <w:tc>
          <w:tcPr>
            <w:tcW w:w="7049" w:type="dxa"/>
          </w:tcPr>
          <w:p w:rsidR="00674BF5" w:rsidRPr="00661595" w:rsidRDefault="00674BF5"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2Y AT1 Capital instruments and the related share premium accounts classified as equity under applicable accounting standards</w:t>
            </w:r>
          </w:p>
          <w:p w:rsidR="00674BF5" w:rsidRPr="00661595" w:rsidRDefault="00674BF5" w:rsidP="00487A02">
            <w:pPr>
              <w:pStyle w:val="InstructionsText"/>
              <w:rPr>
                <w:rStyle w:val="InstructionsTabelleberschrift"/>
                <w:rFonts w:ascii="Times New Roman" w:hAnsi="Times New Roman"/>
                <w:sz w:val="24"/>
              </w:rPr>
            </w:pPr>
            <w:r w:rsidRPr="00661595">
              <w:t>The amount of AT1 instruments including their related share premium accounts that are classified as equity under the applicable accounting standard</w:t>
            </w:r>
          </w:p>
        </w:tc>
      </w:tr>
      <w:tr w:rsidR="00674BF5" w:rsidRPr="00661595" w:rsidTr="00674BF5">
        <w:tc>
          <w:tcPr>
            <w:tcW w:w="1474" w:type="dxa"/>
          </w:tcPr>
          <w:p w:rsidR="00674BF5" w:rsidRPr="00661595" w:rsidRDefault="004F1DDB" w:rsidP="00487A02">
            <w:pPr>
              <w:pStyle w:val="InstructionsText"/>
            </w:pPr>
            <w:r w:rsidRPr="00661595">
              <w:t>0</w:t>
            </w:r>
            <w:r w:rsidR="00AA72D7">
              <w:t>906</w:t>
            </w:r>
          </w:p>
        </w:tc>
        <w:tc>
          <w:tcPr>
            <w:tcW w:w="7049" w:type="dxa"/>
          </w:tcPr>
          <w:p w:rsidR="00674BF5" w:rsidRPr="00661595" w:rsidRDefault="00674BF5"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2Z AT1 Capital instruments and the related share premium accounts classified as liabilities under applicable accounting standards</w:t>
            </w:r>
          </w:p>
          <w:p w:rsidR="00674BF5" w:rsidRPr="00661595" w:rsidRDefault="00674BF5" w:rsidP="00487A02">
            <w:pPr>
              <w:pStyle w:val="InstructionsText"/>
              <w:rPr>
                <w:rStyle w:val="InstructionsTabelleberschrift"/>
                <w:rFonts w:ascii="Times New Roman" w:hAnsi="Times New Roman"/>
                <w:sz w:val="24"/>
              </w:rPr>
            </w:pPr>
            <w:r w:rsidRPr="00661595">
              <w:t>The amount of AT1 instruments including their related share premium accounts that are classified as liabilities under the applicable accounting standard</w:t>
            </w:r>
          </w:p>
        </w:tc>
      </w:tr>
      <w:tr w:rsidR="00674BF5" w:rsidRPr="00661595" w:rsidTr="00674BF5">
        <w:tc>
          <w:tcPr>
            <w:tcW w:w="1474" w:type="dxa"/>
          </w:tcPr>
          <w:p w:rsidR="00674BF5" w:rsidRPr="00661595" w:rsidRDefault="004F1DDB" w:rsidP="00487A02">
            <w:pPr>
              <w:pStyle w:val="InstructionsText"/>
            </w:pPr>
            <w:r w:rsidRPr="00661595">
              <w:t>0</w:t>
            </w:r>
            <w:r w:rsidR="00674BF5" w:rsidRPr="00661595">
              <w:t>100</w:t>
            </w:r>
          </w:p>
        </w:tc>
        <w:tc>
          <w:tcPr>
            <w:tcW w:w="7049" w:type="dxa"/>
          </w:tcPr>
          <w:p w:rsidR="00674BF5" w:rsidRPr="00661595" w:rsidRDefault="00674BF5"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3.</w:t>
            </w:r>
            <w:r w:rsidRPr="00661595">
              <w:rPr>
                <w:rStyle w:val="InstructionsTabelleberschrift"/>
                <w:rFonts w:ascii="Times New Roman" w:hAnsi="Times New Roman"/>
                <w:sz w:val="24"/>
              </w:rPr>
              <w:tab/>
              <w:t>IRB excess (+) or shortfall (-) of credit risk adjustments, additional value adjustments and other own funds reductions to expected losses for non defaulted exposures</w:t>
            </w:r>
          </w:p>
          <w:p w:rsidR="00674BF5" w:rsidRPr="00661595" w:rsidRDefault="00674BF5" w:rsidP="00487A02">
            <w:pPr>
              <w:pStyle w:val="InstructionsText"/>
            </w:pPr>
            <w:r w:rsidRPr="00661595">
              <w:t>Point (d) of Article 36(1), point (d) of Article 62, Articles 158 and 159 CRR</w:t>
            </w:r>
          </w:p>
          <w:p w:rsidR="00674BF5" w:rsidRPr="00661595" w:rsidRDefault="00674BF5" w:rsidP="00487A02">
            <w:pPr>
              <w:pStyle w:val="InstructionsText"/>
            </w:pPr>
            <w:r w:rsidRPr="00661595">
              <w:t>This item shall only be reported by IRB institutions.</w:t>
            </w:r>
          </w:p>
        </w:tc>
      </w:tr>
      <w:tr w:rsidR="00674BF5" w:rsidRPr="00661595" w:rsidTr="00674BF5">
        <w:tc>
          <w:tcPr>
            <w:tcW w:w="1474" w:type="dxa"/>
          </w:tcPr>
          <w:p w:rsidR="00674BF5" w:rsidRPr="00661595" w:rsidRDefault="004F1DDB" w:rsidP="00487A02">
            <w:pPr>
              <w:pStyle w:val="InstructionsText"/>
            </w:pPr>
            <w:r w:rsidRPr="00661595">
              <w:t>0</w:t>
            </w:r>
            <w:r w:rsidR="00674BF5" w:rsidRPr="00661595">
              <w:t>110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3.1</w:t>
            </w:r>
            <w:r w:rsidRPr="00661595">
              <w:rPr>
                <w:rStyle w:val="InstructionsTabelleberschrift"/>
                <w:rFonts w:ascii="Times New Roman" w:hAnsi="Times New Roman"/>
                <w:sz w:val="24"/>
              </w:rPr>
              <w:tab/>
              <w:t>Total credit risk adjustments, additional value adjustments and other own funds reductions eligible for inclusion in the calculation of the expected loss amount</w:t>
            </w:r>
          </w:p>
          <w:p w:rsidR="00674BF5" w:rsidRPr="00661595" w:rsidRDefault="00674BF5" w:rsidP="00487A02">
            <w:pPr>
              <w:pStyle w:val="InstructionsText"/>
            </w:pPr>
            <w:r w:rsidRPr="00661595">
              <w:t>Article 159 CRR</w:t>
            </w:r>
          </w:p>
          <w:p w:rsidR="00674BF5" w:rsidRPr="00661595" w:rsidRDefault="00674BF5" w:rsidP="00487A02">
            <w:pPr>
              <w:pStyle w:val="InstructionsText"/>
            </w:pPr>
            <w:r w:rsidRPr="00661595">
              <w:t>This item shall only be reported by IRB institutions.</w:t>
            </w:r>
          </w:p>
        </w:tc>
      </w:tr>
      <w:tr w:rsidR="00674BF5" w:rsidRPr="00661595" w:rsidTr="00674BF5">
        <w:tc>
          <w:tcPr>
            <w:tcW w:w="1474" w:type="dxa"/>
          </w:tcPr>
          <w:p w:rsidR="00674BF5" w:rsidRPr="00661595" w:rsidRDefault="004F1DDB" w:rsidP="00487A02">
            <w:pPr>
              <w:pStyle w:val="InstructionsText"/>
            </w:pPr>
            <w:r w:rsidRPr="00661595">
              <w:t>0</w:t>
            </w:r>
            <w:r w:rsidR="00674BF5" w:rsidRPr="00661595">
              <w:t>120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3.1.1</w:t>
            </w:r>
            <w:r w:rsidRPr="00661595">
              <w:rPr>
                <w:rStyle w:val="InstructionsTabelleberschrift"/>
                <w:rFonts w:ascii="Times New Roman" w:hAnsi="Times New Roman"/>
                <w:sz w:val="24"/>
              </w:rPr>
              <w:tab/>
              <w:t>General credit risk adjustments</w:t>
            </w:r>
          </w:p>
          <w:p w:rsidR="00674BF5" w:rsidRPr="00661595" w:rsidRDefault="00674BF5" w:rsidP="00487A02">
            <w:pPr>
              <w:pStyle w:val="InstructionsText"/>
            </w:pPr>
            <w:r w:rsidRPr="00661595">
              <w:t>Article 159 CRR</w:t>
            </w:r>
          </w:p>
          <w:p w:rsidR="00674BF5" w:rsidRPr="00661595" w:rsidRDefault="00674BF5" w:rsidP="00487A02">
            <w:pPr>
              <w:pStyle w:val="InstructionsText"/>
            </w:pPr>
            <w:r w:rsidRPr="00661595">
              <w:t>This item shall only be reported by IRB institutions.</w:t>
            </w:r>
          </w:p>
        </w:tc>
      </w:tr>
      <w:tr w:rsidR="00674BF5" w:rsidRPr="00661595" w:rsidTr="00674BF5">
        <w:tc>
          <w:tcPr>
            <w:tcW w:w="1474" w:type="dxa"/>
          </w:tcPr>
          <w:p w:rsidR="00674BF5" w:rsidRPr="00661595" w:rsidRDefault="004F1DDB" w:rsidP="00487A02">
            <w:pPr>
              <w:pStyle w:val="InstructionsText"/>
            </w:pPr>
            <w:r w:rsidRPr="00661595">
              <w:t>0</w:t>
            </w:r>
            <w:r w:rsidR="00674BF5" w:rsidRPr="00661595">
              <w:t>130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3.1.2</w:t>
            </w:r>
            <w:r w:rsidRPr="00661595">
              <w:rPr>
                <w:rStyle w:val="InstructionsTabelleberschrift"/>
                <w:rFonts w:ascii="Times New Roman" w:hAnsi="Times New Roman"/>
                <w:sz w:val="24"/>
              </w:rPr>
              <w:tab/>
              <w:t>Specific credit risk adjustments</w:t>
            </w:r>
          </w:p>
          <w:p w:rsidR="00674BF5" w:rsidRPr="00661595" w:rsidRDefault="00674BF5" w:rsidP="00487A02">
            <w:pPr>
              <w:pStyle w:val="InstructionsText"/>
            </w:pPr>
            <w:r w:rsidRPr="00661595">
              <w:t>Article 159 CRR</w:t>
            </w:r>
          </w:p>
          <w:p w:rsidR="00674BF5" w:rsidRPr="00661595" w:rsidRDefault="00674BF5" w:rsidP="00487A02">
            <w:pPr>
              <w:pStyle w:val="InstructionsText"/>
            </w:pPr>
            <w:r w:rsidRPr="00661595">
              <w:t>This item shall only be reported by IRB institutions.</w:t>
            </w:r>
          </w:p>
        </w:tc>
      </w:tr>
      <w:tr w:rsidR="00674BF5" w:rsidRPr="00661595" w:rsidTr="00674BF5">
        <w:tc>
          <w:tcPr>
            <w:tcW w:w="1474" w:type="dxa"/>
          </w:tcPr>
          <w:p w:rsidR="00674BF5" w:rsidRPr="00661595" w:rsidRDefault="004F1DDB" w:rsidP="00487A02">
            <w:pPr>
              <w:pStyle w:val="InstructionsText"/>
            </w:pPr>
            <w:r w:rsidRPr="00661595">
              <w:t>0</w:t>
            </w:r>
            <w:r w:rsidR="00674BF5" w:rsidRPr="00661595">
              <w:t>131</w:t>
            </w:r>
          </w:p>
        </w:tc>
        <w:tc>
          <w:tcPr>
            <w:tcW w:w="7049" w:type="dxa"/>
          </w:tcPr>
          <w:p w:rsidR="00674BF5" w:rsidRPr="00661595" w:rsidRDefault="00674BF5"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3.1.3</w:t>
            </w:r>
            <w:r w:rsidRPr="00661595">
              <w:rPr>
                <w:rStyle w:val="InstructionsTabelleberschrift"/>
                <w:rFonts w:ascii="Times New Roman" w:hAnsi="Times New Roman"/>
                <w:sz w:val="24"/>
              </w:rPr>
              <w:tab/>
              <w:t>Additional value adjustments and other own funds reductions</w:t>
            </w:r>
          </w:p>
          <w:p w:rsidR="00674BF5" w:rsidRPr="00661595" w:rsidRDefault="00674BF5" w:rsidP="00487A02">
            <w:pPr>
              <w:pStyle w:val="InstructionsText"/>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Articles 34, 110 and 159 CRR</w:t>
            </w:r>
          </w:p>
          <w:p w:rsidR="00674BF5" w:rsidRPr="00661595" w:rsidRDefault="00674BF5" w:rsidP="00487A02">
            <w:pPr>
              <w:pStyle w:val="InstructionsText"/>
              <w:rPr>
                <w:rStyle w:val="InstructionsTabelleberschrift"/>
                <w:rFonts w:ascii="Times New Roman" w:hAnsi="Times New Roman"/>
                <w:b w:val="0"/>
                <w:bCs w:val="0"/>
                <w:sz w:val="24"/>
                <w:u w:val="none"/>
              </w:rPr>
            </w:pPr>
            <w:r w:rsidRPr="00661595">
              <w:t>This item shall only be reported by IRB institutions.</w:t>
            </w:r>
          </w:p>
        </w:tc>
      </w:tr>
      <w:tr w:rsidR="00674BF5" w:rsidRPr="00661595" w:rsidTr="00674BF5">
        <w:tc>
          <w:tcPr>
            <w:tcW w:w="1474" w:type="dxa"/>
          </w:tcPr>
          <w:p w:rsidR="00674BF5" w:rsidRPr="00661595" w:rsidRDefault="004F1DDB" w:rsidP="00487A02">
            <w:pPr>
              <w:pStyle w:val="InstructionsText"/>
            </w:pPr>
            <w:r w:rsidRPr="00661595">
              <w:t>0</w:t>
            </w:r>
            <w:r w:rsidR="00674BF5" w:rsidRPr="00661595">
              <w:t>140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3.2</w:t>
            </w:r>
            <w:r w:rsidRPr="00661595">
              <w:rPr>
                <w:rStyle w:val="InstructionsTabelleberschrift"/>
                <w:rFonts w:ascii="Times New Roman" w:hAnsi="Times New Roman"/>
                <w:sz w:val="24"/>
              </w:rPr>
              <w:tab/>
              <w:t xml:space="preserve">Total expected losses eligible </w:t>
            </w:r>
          </w:p>
          <w:p w:rsidR="00674BF5" w:rsidRPr="00661595" w:rsidRDefault="00674BF5" w:rsidP="00487A02">
            <w:pPr>
              <w:pStyle w:val="InstructionsText"/>
            </w:pPr>
            <w:r w:rsidRPr="00661595">
              <w:t>Paragraphs 5, 6 and 10 of Article 158 and Article 159 CRR</w:t>
            </w:r>
          </w:p>
          <w:p w:rsidR="00674BF5" w:rsidRPr="00661595" w:rsidRDefault="00674BF5" w:rsidP="00487A02">
            <w:pPr>
              <w:pStyle w:val="InstructionsText"/>
            </w:pPr>
            <w:r w:rsidRPr="00661595">
              <w:t>This item shall only be reported by IRB institutions. Only the expected loss related to non-defaulted exposures shall be reported.</w:t>
            </w:r>
          </w:p>
        </w:tc>
      </w:tr>
      <w:tr w:rsidR="00674BF5" w:rsidRPr="00661595" w:rsidTr="00674BF5">
        <w:tc>
          <w:tcPr>
            <w:tcW w:w="1474" w:type="dxa"/>
          </w:tcPr>
          <w:p w:rsidR="00674BF5" w:rsidRPr="00661595" w:rsidRDefault="004F1DDB" w:rsidP="00487A02">
            <w:pPr>
              <w:pStyle w:val="InstructionsText"/>
            </w:pPr>
            <w:r w:rsidRPr="00661595">
              <w:t>0</w:t>
            </w:r>
            <w:r w:rsidR="00674BF5" w:rsidRPr="00661595">
              <w:t>145</w:t>
            </w:r>
          </w:p>
        </w:tc>
        <w:tc>
          <w:tcPr>
            <w:tcW w:w="7049" w:type="dxa"/>
          </w:tcPr>
          <w:p w:rsidR="00674BF5" w:rsidRPr="00661595" w:rsidRDefault="00674BF5"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4 IRB excess (+) or shortfall (-) of specific credit risk adjustments to expected losses for defaulted exposures</w:t>
            </w:r>
          </w:p>
          <w:p w:rsidR="00674BF5" w:rsidRPr="00661595" w:rsidRDefault="00674BF5" w:rsidP="00487A02">
            <w:pPr>
              <w:pStyle w:val="InstructionsText"/>
            </w:pPr>
            <w:r w:rsidRPr="00661595">
              <w:t>Point (d) of Article 36(1), point (d) of Article 62, Articles 158 and 159 CRR</w:t>
            </w:r>
          </w:p>
          <w:p w:rsidR="00674BF5" w:rsidRPr="00661595" w:rsidRDefault="00674BF5" w:rsidP="00487A02">
            <w:pPr>
              <w:pStyle w:val="InstructionsText"/>
              <w:rPr>
                <w:rStyle w:val="InstructionsTabelleberschrift"/>
                <w:rFonts w:ascii="Times New Roman" w:hAnsi="Times New Roman"/>
                <w:b w:val="0"/>
                <w:bCs w:val="0"/>
                <w:sz w:val="24"/>
                <w:u w:val="none"/>
              </w:rPr>
            </w:pPr>
            <w:r w:rsidRPr="00661595">
              <w:t>This item shall only be reported by IRB institutions.</w:t>
            </w:r>
          </w:p>
        </w:tc>
      </w:tr>
      <w:tr w:rsidR="00674BF5" w:rsidRPr="00661595" w:rsidTr="00674BF5">
        <w:tc>
          <w:tcPr>
            <w:tcW w:w="1474" w:type="dxa"/>
          </w:tcPr>
          <w:p w:rsidR="00674BF5" w:rsidRPr="00661595" w:rsidRDefault="004F1DDB" w:rsidP="00487A02">
            <w:pPr>
              <w:pStyle w:val="InstructionsText"/>
            </w:pPr>
            <w:r w:rsidRPr="00661595">
              <w:t>0</w:t>
            </w:r>
            <w:r w:rsidR="00674BF5" w:rsidRPr="00661595">
              <w:t>150</w:t>
            </w:r>
          </w:p>
        </w:tc>
        <w:tc>
          <w:tcPr>
            <w:tcW w:w="7049" w:type="dxa"/>
          </w:tcPr>
          <w:p w:rsidR="00674BF5" w:rsidRPr="00661595" w:rsidRDefault="00674BF5"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4.1</w:t>
            </w:r>
            <w:r w:rsidRPr="00661595">
              <w:rPr>
                <w:rStyle w:val="InstructionsTabelleberschrift"/>
                <w:rFonts w:ascii="Times New Roman" w:hAnsi="Times New Roman"/>
                <w:sz w:val="24"/>
              </w:rPr>
              <w:tab/>
              <w:t>Specific credit risk adjustments and positions treated similarly</w:t>
            </w:r>
          </w:p>
          <w:p w:rsidR="00674BF5" w:rsidRPr="00661595" w:rsidRDefault="00674BF5" w:rsidP="00487A02">
            <w:pPr>
              <w:pStyle w:val="InstructionsText"/>
            </w:pPr>
            <w:r w:rsidRPr="00661595">
              <w:t>Article 159 CRR</w:t>
            </w:r>
          </w:p>
          <w:p w:rsidR="00674BF5" w:rsidRPr="00661595" w:rsidRDefault="00674BF5" w:rsidP="00487A02">
            <w:pPr>
              <w:pStyle w:val="InstructionsText"/>
              <w:rPr>
                <w:rStyle w:val="InstructionsTabelleberschrift"/>
                <w:rFonts w:ascii="Times New Roman" w:hAnsi="Times New Roman"/>
                <w:b w:val="0"/>
                <w:bCs w:val="0"/>
                <w:sz w:val="24"/>
                <w:u w:val="none"/>
              </w:rPr>
            </w:pPr>
            <w:r w:rsidRPr="00661595">
              <w:t>This item shall only be reported by IRB institutions.</w:t>
            </w:r>
          </w:p>
        </w:tc>
      </w:tr>
      <w:tr w:rsidR="00674BF5" w:rsidRPr="00661595" w:rsidTr="00674BF5">
        <w:tc>
          <w:tcPr>
            <w:tcW w:w="1474" w:type="dxa"/>
          </w:tcPr>
          <w:p w:rsidR="00674BF5" w:rsidRPr="00661595" w:rsidRDefault="004F1DDB" w:rsidP="00487A02">
            <w:pPr>
              <w:pStyle w:val="InstructionsText"/>
            </w:pPr>
            <w:r w:rsidRPr="00661595">
              <w:t>0</w:t>
            </w:r>
            <w:r w:rsidR="00674BF5" w:rsidRPr="00661595">
              <w:t>155</w:t>
            </w:r>
          </w:p>
        </w:tc>
        <w:tc>
          <w:tcPr>
            <w:tcW w:w="7049" w:type="dxa"/>
          </w:tcPr>
          <w:p w:rsidR="00674BF5" w:rsidRPr="00661595" w:rsidRDefault="00674BF5"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4.2</w:t>
            </w:r>
            <w:r w:rsidRPr="00661595">
              <w:rPr>
                <w:rStyle w:val="InstructionsTabelleberschrift"/>
                <w:rFonts w:ascii="Times New Roman" w:hAnsi="Times New Roman"/>
                <w:sz w:val="24"/>
              </w:rPr>
              <w:tab/>
              <w:t>Total expected losses eligible</w:t>
            </w:r>
          </w:p>
          <w:p w:rsidR="00674BF5" w:rsidRPr="00661595" w:rsidRDefault="00674BF5" w:rsidP="00487A02">
            <w:pPr>
              <w:pStyle w:val="InstructionsText"/>
              <w:rPr>
                <w:rStyle w:val="InstructionsTabelleberschrift"/>
                <w:rFonts w:ascii="Times New Roman" w:hAnsi="Times New Roman"/>
                <w:sz w:val="24"/>
              </w:rPr>
            </w:pPr>
            <w:r w:rsidRPr="00661595">
              <w:t>Paragraphs 5, 6 and 10 of Article 158, and Article 159 CRR</w:t>
            </w:r>
          </w:p>
          <w:p w:rsidR="00674BF5" w:rsidRPr="00661595" w:rsidRDefault="00674BF5" w:rsidP="00487A02">
            <w:pPr>
              <w:pStyle w:val="InstructionsText"/>
              <w:rPr>
                <w:rStyle w:val="InstructionsTabelleberschrift"/>
                <w:rFonts w:ascii="Times New Roman" w:hAnsi="Times New Roman"/>
                <w:b w:val="0"/>
                <w:bCs w:val="0"/>
                <w:sz w:val="24"/>
                <w:u w:val="none"/>
              </w:rPr>
            </w:pPr>
            <w:r w:rsidRPr="00661595">
              <w:t>This item shall only be reported by IRB institutions. Only the expected loss related to defaulted exposures shall be reported.</w:t>
            </w:r>
          </w:p>
        </w:tc>
      </w:tr>
      <w:tr w:rsidR="00674BF5" w:rsidRPr="00661595" w:rsidTr="00674BF5">
        <w:tc>
          <w:tcPr>
            <w:tcW w:w="1474" w:type="dxa"/>
          </w:tcPr>
          <w:p w:rsidR="00674BF5" w:rsidRPr="00661595" w:rsidRDefault="004F1DDB" w:rsidP="00487A02">
            <w:pPr>
              <w:pStyle w:val="InstructionsText"/>
            </w:pPr>
            <w:r w:rsidRPr="00661595">
              <w:t>0</w:t>
            </w:r>
            <w:r w:rsidR="00674BF5" w:rsidRPr="00661595">
              <w:t>160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5</w:t>
            </w:r>
            <w:r w:rsidRPr="00661595">
              <w:rPr>
                <w:rStyle w:val="InstructionsTabelleberschrift"/>
                <w:rFonts w:ascii="Times New Roman" w:hAnsi="Times New Roman"/>
                <w:sz w:val="24"/>
              </w:rPr>
              <w:tab/>
              <w:t>Risk weighted exposure amounts for calculating the cap to the excess of provision eligible as T2</w:t>
            </w:r>
          </w:p>
          <w:p w:rsidR="00674BF5" w:rsidRPr="00661595" w:rsidRDefault="00674BF5" w:rsidP="00487A02">
            <w:pPr>
              <w:pStyle w:val="InstructionsText"/>
            </w:pPr>
            <w:r w:rsidRPr="00661595">
              <w:t>Point (d) of Article 62 CRR</w:t>
            </w:r>
          </w:p>
          <w:p w:rsidR="00674BF5" w:rsidRPr="00661595" w:rsidRDefault="00674BF5" w:rsidP="00487A02">
            <w:pPr>
              <w:pStyle w:val="InstructionsText"/>
            </w:pPr>
            <w:r w:rsidRPr="00661595">
              <w:t xml:space="preserve">For IRB institutions, the excess amount of provisions (to expected losses) eligible for inclusion in Tier 2 capital is capped at 0.6% of risk-weighted exposure amounts calculated with the IRB Approach, </w:t>
            </w:r>
            <w:r w:rsidRPr="00661595">
              <w:rPr>
                <w:rStyle w:val="FormatvorlageInstructionsTabelleText"/>
                <w:rFonts w:ascii="Times New Roman" w:hAnsi="Times New Roman"/>
                <w:sz w:val="24"/>
              </w:rPr>
              <w:t xml:space="preserve">in accordance with </w:t>
            </w:r>
            <w:r w:rsidRPr="00661595">
              <w:t>point (d) of Article 62 CRR.</w:t>
            </w:r>
          </w:p>
          <w:p w:rsidR="00674BF5" w:rsidRPr="00661595" w:rsidRDefault="00674BF5" w:rsidP="00487A02">
            <w:pPr>
              <w:pStyle w:val="InstructionsText"/>
            </w:pPr>
            <w:r w:rsidRPr="00661595">
              <w:t>The amount to be reported in this item is the risk weighted exposure amounts (i.e. not multiplied by 0.6%) which is the base for calculating the cap.</w:t>
            </w:r>
          </w:p>
        </w:tc>
      </w:tr>
      <w:tr w:rsidR="00674BF5" w:rsidRPr="00661595" w:rsidTr="00674BF5">
        <w:tc>
          <w:tcPr>
            <w:tcW w:w="1474" w:type="dxa"/>
          </w:tcPr>
          <w:p w:rsidR="00674BF5" w:rsidRPr="00661595" w:rsidRDefault="004F1DDB" w:rsidP="00487A02">
            <w:pPr>
              <w:pStyle w:val="InstructionsText"/>
            </w:pPr>
            <w:r w:rsidRPr="00661595">
              <w:t>0</w:t>
            </w:r>
            <w:r w:rsidR="00674BF5" w:rsidRPr="00661595">
              <w:t>170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6</w:t>
            </w:r>
            <w:r w:rsidRPr="00661595">
              <w:rPr>
                <w:rStyle w:val="InstructionsTabelleberschrift"/>
                <w:rFonts w:ascii="Times New Roman" w:hAnsi="Times New Roman"/>
                <w:sz w:val="24"/>
              </w:rPr>
              <w:tab/>
              <w:t>Total gross provisions eligible for inclusion in T2 capital</w:t>
            </w:r>
          </w:p>
          <w:p w:rsidR="00674BF5" w:rsidRPr="00661595" w:rsidRDefault="00674BF5" w:rsidP="00487A02">
            <w:pPr>
              <w:pStyle w:val="InstructionsText"/>
            </w:pPr>
            <w:r w:rsidRPr="00661595">
              <w:t>Point (c) of Article 62 CRR</w:t>
            </w:r>
          </w:p>
          <w:p w:rsidR="00674BF5" w:rsidRPr="00661595" w:rsidRDefault="00674BF5" w:rsidP="00487A02">
            <w:pPr>
              <w:pStyle w:val="InstructionsText"/>
            </w:pPr>
            <w:r w:rsidRPr="00661595">
              <w:t>This item includes the general credit risk adjustments that are eligible for inclusion in T2 capital, before cap.</w:t>
            </w:r>
          </w:p>
          <w:p w:rsidR="00674BF5" w:rsidRPr="00661595" w:rsidRDefault="00674BF5" w:rsidP="00487A02">
            <w:pPr>
              <w:pStyle w:val="InstructionsText"/>
            </w:pPr>
            <w:r w:rsidRPr="00661595">
              <w:t>The amount to be reported shall be gross of tax effects.</w:t>
            </w:r>
          </w:p>
        </w:tc>
      </w:tr>
      <w:tr w:rsidR="00674BF5" w:rsidRPr="00661595" w:rsidTr="00674BF5">
        <w:tc>
          <w:tcPr>
            <w:tcW w:w="1474" w:type="dxa"/>
          </w:tcPr>
          <w:p w:rsidR="00674BF5" w:rsidRPr="00661595" w:rsidRDefault="004F1DDB" w:rsidP="00487A02">
            <w:pPr>
              <w:pStyle w:val="InstructionsText"/>
            </w:pPr>
            <w:r w:rsidRPr="00661595">
              <w:t>0</w:t>
            </w:r>
            <w:r w:rsidR="00674BF5" w:rsidRPr="00661595">
              <w:t>180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7</w:t>
            </w:r>
            <w:r w:rsidRPr="00661595">
              <w:rPr>
                <w:rStyle w:val="InstructionsTabelleberschrift"/>
                <w:rFonts w:ascii="Times New Roman" w:hAnsi="Times New Roman"/>
                <w:sz w:val="24"/>
              </w:rPr>
              <w:tab/>
              <w:t>Risk weighted exposure amounts for calculating the cap to the provision eligible as T2</w:t>
            </w:r>
          </w:p>
          <w:p w:rsidR="00674BF5" w:rsidRPr="00661595" w:rsidRDefault="00674BF5" w:rsidP="00487A02">
            <w:pPr>
              <w:pStyle w:val="InstructionsText"/>
            </w:pPr>
            <w:r w:rsidRPr="00661595">
              <w:t>Point (c) of Article 62 CRR</w:t>
            </w:r>
          </w:p>
          <w:p w:rsidR="00674BF5" w:rsidRPr="00661595" w:rsidRDefault="00674BF5" w:rsidP="00487A02">
            <w:pPr>
              <w:pStyle w:val="InstructionsText"/>
            </w:pPr>
            <w:r w:rsidRPr="00661595">
              <w:t>According to point (c) of Article 62 CRR, the credit risk adjustments eligible for inclusion in Tier 2 capital is capped at 1.25% of risk-weighted exposure amounts.</w:t>
            </w:r>
          </w:p>
          <w:p w:rsidR="00674BF5" w:rsidRPr="00661595" w:rsidRDefault="00674BF5" w:rsidP="00487A02">
            <w:pPr>
              <w:pStyle w:val="InstructionsText"/>
            </w:pPr>
            <w:r w:rsidRPr="00661595">
              <w:t>The amount to be reported in this item is the risk weighted exposure amounts (i.e. not multiplied by 1.25%) which is the base for calculating the cap.</w:t>
            </w:r>
          </w:p>
        </w:tc>
      </w:tr>
      <w:tr w:rsidR="00674BF5" w:rsidRPr="00661595" w:rsidTr="00674BF5">
        <w:tc>
          <w:tcPr>
            <w:tcW w:w="1474" w:type="dxa"/>
          </w:tcPr>
          <w:p w:rsidR="00674BF5" w:rsidRPr="00661595" w:rsidRDefault="004F1DDB" w:rsidP="00487A02">
            <w:pPr>
              <w:pStyle w:val="InstructionsText"/>
            </w:pPr>
            <w:r w:rsidRPr="00661595">
              <w:t>0</w:t>
            </w:r>
            <w:r w:rsidR="00674BF5" w:rsidRPr="00661595">
              <w:t>190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8</w:t>
            </w:r>
            <w:r w:rsidRPr="00661595">
              <w:rPr>
                <w:rStyle w:val="InstructionsTabelleberschrift"/>
                <w:rFonts w:ascii="Times New Roman" w:hAnsi="Times New Roman"/>
                <w:sz w:val="24"/>
              </w:rPr>
              <w:tab/>
              <w:t>Threshold non deductible of holdings in financial sector entities where an institution does not have a significant investment</w:t>
            </w:r>
          </w:p>
          <w:p w:rsidR="00674BF5" w:rsidRPr="00661595" w:rsidRDefault="00674BF5" w:rsidP="00487A02">
            <w:pPr>
              <w:pStyle w:val="InstructionsText"/>
            </w:pPr>
            <w:r w:rsidRPr="00661595">
              <w:t>Point (a) of Article 46(1) CRR</w:t>
            </w:r>
          </w:p>
          <w:p w:rsidR="00674BF5" w:rsidRPr="00661595" w:rsidRDefault="00674BF5" w:rsidP="00487A02">
            <w:pPr>
              <w:pStyle w:val="InstructionsText"/>
            </w:pPr>
            <w:r w:rsidRPr="00661595">
              <w:t>This item contains the threshold up to which holdings in a financial sector entity where an institution does not have a significant investment are not deducted. The amount results from adding up all items which are the base of the threshold and multiplying the sum thus obtained by 10%.</w:t>
            </w:r>
          </w:p>
        </w:tc>
      </w:tr>
      <w:tr w:rsidR="00674BF5" w:rsidRPr="00661595" w:rsidTr="00674BF5">
        <w:tc>
          <w:tcPr>
            <w:tcW w:w="1474" w:type="dxa"/>
          </w:tcPr>
          <w:p w:rsidR="00674BF5" w:rsidRPr="00661595" w:rsidRDefault="004F1DDB" w:rsidP="00487A02">
            <w:pPr>
              <w:pStyle w:val="InstructionsText"/>
            </w:pPr>
            <w:r w:rsidRPr="00661595">
              <w:t>0</w:t>
            </w:r>
            <w:r w:rsidR="00674BF5" w:rsidRPr="00661595">
              <w:t>200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9</w:t>
            </w:r>
            <w:r w:rsidRPr="00661595">
              <w:rPr>
                <w:rStyle w:val="InstructionsTabelleberschrift"/>
                <w:rFonts w:ascii="Times New Roman" w:hAnsi="Times New Roman"/>
                <w:sz w:val="24"/>
              </w:rPr>
              <w:tab/>
              <w:t xml:space="preserve">10% CET1 threshold </w:t>
            </w:r>
          </w:p>
          <w:p w:rsidR="00674BF5" w:rsidRPr="00661595" w:rsidRDefault="00674BF5" w:rsidP="00487A02">
            <w:pPr>
              <w:pStyle w:val="InstructionsText"/>
            </w:pPr>
            <w:r w:rsidRPr="00661595">
              <w:t>Points (a) and (b) of Article 48(1) CRR</w:t>
            </w:r>
          </w:p>
          <w:p w:rsidR="00674BF5" w:rsidRPr="00661595" w:rsidRDefault="00674BF5" w:rsidP="00487A02">
            <w:pPr>
              <w:pStyle w:val="InstructionsText"/>
            </w:pPr>
            <w:r w:rsidRPr="00661595">
              <w:t>This item contains the 10% threshold for holdings in financial sector entities where an institution has a significant investment, and for deferred tax assets that are dependent on future profitability and arise from temporary differences.</w:t>
            </w:r>
          </w:p>
          <w:p w:rsidR="00674BF5" w:rsidRPr="00661595" w:rsidRDefault="00674BF5" w:rsidP="00487A02">
            <w:pPr>
              <w:pStyle w:val="InstructionsText"/>
            </w:pPr>
            <w:r w:rsidRPr="00661595">
              <w:t>The amount results from adding up all items which are the base of the threshold and multiplying the sum thus obtained by 10%.</w:t>
            </w:r>
          </w:p>
        </w:tc>
      </w:tr>
      <w:tr w:rsidR="00674BF5" w:rsidRPr="00661595" w:rsidTr="00674BF5">
        <w:tc>
          <w:tcPr>
            <w:tcW w:w="1474" w:type="dxa"/>
          </w:tcPr>
          <w:p w:rsidR="00674BF5" w:rsidRPr="00661595" w:rsidRDefault="004F1DDB" w:rsidP="00487A02">
            <w:pPr>
              <w:pStyle w:val="InstructionsText"/>
            </w:pPr>
            <w:r w:rsidRPr="00661595">
              <w:t>0</w:t>
            </w:r>
            <w:r w:rsidR="00674BF5" w:rsidRPr="00661595">
              <w:t>210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10</w:t>
            </w:r>
            <w:r w:rsidRPr="00661595">
              <w:rPr>
                <w:rStyle w:val="InstructionsTabelleberschrift"/>
                <w:rFonts w:ascii="Times New Roman" w:hAnsi="Times New Roman"/>
                <w:sz w:val="24"/>
              </w:rPr>
              <w:tab/>
              <w:t xml:space="preserve">17.65% CET1 threshold </w:t>
            </w:r>
          </w:p>
          <w:p w:rsidR="00674BF5" w:rsidRPr="00661595" w:rsidRDefault="00674BF5" w:rsidP="00487A02">
            <w:pPr>
              <w:pStyle w:val="InstructionsText"/>
            </w:pPr>
            <w:r w:rsidRPr="00661595">
              <w:t>Article 48(1) CRR</w:t>
            </w:r>
          </w:p>
          <w:p w:rsidR="00674BF5" w:rsidRPr="00661595" w:rsidRDefault="00674BF5" w:rsidP="00487A02">
            <w:pPr>
              <w:pStyle w:val="InstructionsText"/>
            </w:pPr>
            <w:r w:rsidRPr="00661595">
              <w:t>This item contains the 17.65% threshold for holdings in financial sector entities where an institution has a significant investment, and for deferred tax assets that are dependent on future profitability and arise from temporary differences, to be applied after the 10% threshold.</w:t>
            </w:r>
          </w:p>
          <w:p w:rsidR="00674BF5" w:rsidRPr="00661595" w:rsidRDefault="00674BF5" w:rsidP="00487A02">
            <w:pPr>
              <w:pStyle w:val="InstructionsText"/>
            </w:pPr>
            <w:r w:rsidRPr="00661595">
              <w:t>The threshold is to be calculated in such a way that the amount of the two items that is recognised does not exceed 15% of the final Common Equity Tier 1 capital, i.e. the CET1 capital calculated after all deductions, not including any adjustment due to transitional provisions.</w:t>
            </w:r>
          </w:p>
        </w:tc>
      </w:tr>
      <w:tr w:rsidR="00674BF5" w:rsidRPr="00661595" w:rsidTr="00674BF5">
        <w:tc>
          <w:tcPr>
            <w:tcW w:w="1474" w:type="dxa"/>
          </w:tcPr>
          <w:p w:rsidR="00674BF5" w:rsidRPr="00661595" w:rsidRDefault="004F1DDB" w:rsidP="00487A02">
            <w:pPr>
              <w:pStyle w:val="InstructionsText"/>
            </w:pPr>
            <w:r w:rsidRPr="00661595">
              <w:t>0</w:t>
            </w:r>
            <w:r w:rsidR="00674BF5" w:rsidRPr="00661595">
              <w:t>225</w:t>
            </w:r>
          </w:p>
        </w:tc>
        <w:tc>
          <w:tcPr>
            <w:tcW w:w="7049" w:type="dxa"/>
          </w:tcPr>
          <w:p w:rsidR="00674BF5" w:rsidRPr="00661595" w:rsidRDefault="00674BF5"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11</w:t>
            </w:r>
            <w:r w:rsidRPr="00661595">
              <w:rPr>
                <w:rStyle w:val="InstructionsTabelleberschrift"/>
                <w:rFonts w:ascii="Times New Roman" w:hAnsi="Times New Roman"/>
                <w:sz w:val="24"/>
              </w:rPr>
              <w:tab/>
              <w:t>Eligible capital for the purposes of qualifying holdings outside the financial sector</w:t>
            </w:r>
          </w:p>
          <w:p w:rsidR="00674BF5" w:rsidRPr="00661595" w:rsidRDefault="00674BF5"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b w:val="0"/>
                <w:sz w:val="24"/>
                <w:u w:val="none"/>
              </w:rPr>
              <w:t>Point (a) of point (71) of Article 4(1) CRR</w:t>
            </w:r>
          </w:p>
        </w:tc>
      </w:tr>
      <w:tr w:rsidR="00674BF5" w:rsidRPr="00661595" w:rsidTr="00674BF5">
        <w:tc>
          <w:tcPr>
            <w:tcW w:w="1474" w:type="dxa"/>
          </w:tcPr>
          <w:p w:rsidR="00674BF5" w:rsidRPr="00661595" w:rsidRDefault="004F1DDB" w:rsidP="00487A02">
            <w:pPr>
              <w:pStyle w:val="InstructionsText"/>
            </w:pPr>
            <w:r w:rsidRPr="00661595">
              <w:t>0</w:t>
            </w:r>
            <w:r w:rsidR="00674BF5" w:rsidRPr="00661595">
              <w:t>230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12</w:t>
            </w:r>
            <w:r w:rsidRPr="00661595">
              <w:rPr>
                <w:rStyle w:val="InstructionsTabelleberschrift"/>
                <w:rFonts w:ascii="Times New Roman" w:hAnsi="Times New Roman"/>
                <w:sz w:val="24"/>
              </w:rPr>
              <w:tab/>
              <w:t>Holdings of CET1 capital of financial sector entities where the institution does not have a significant investment, net of short positions</w:t>
            </w:r>
          </w:p>
          <w:p w:rsidR="00674BF5" w:rsidRPr="00661595" w:rsidRDefault="00674BF5" w:rsidP="00487A02">
            <w:pPr>
              <w:pStyle w:val="InstructionsText"/>
            </w:pPr>
            <w:r w:rsidRPr="00661595">
              <w:t>Articles 44, 45, 46 and 49 CRR</w:t>
            </w:r>
          </w:p>
        </w:tc>
      </w:tr>
      <w:tr w:rsidR="00674BF5" w:rsidRPr="00661595" w:rsidTr="00674BF5">
        <w:tc>
          <w:tcPr>
            <w:tcW w:w="1474" w:type="dxa"/>
          </w:tcPr>
          <w:p w:rsidR="00674BF5" w:rsidRPr="00661595" w:rsidRDefault="004F1DDB" w:rsidP="00487A02">
            <w:pPr>
              <w:pStyle w:val="InstructionsText"/>
            </w:pPr>
            <w:r w:rsidRPr="00661595">
              <w:t>0</w:t>
            </w:r>
            <w:r w:rsidR="00674BF5" w:rsidRPr="00661595">
              <w:t>240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12.1</w:t>
            </w:r>
            <w:r w:rsidRPr="00661595">
              <w:rPr>
                <w:rStyle w:val="InstructionsTabelleberschrift"/>
                <w:rFonts w:ascii="Times New Roman" w:hAnsi="Times New Roman"/>
                <w:sz w:val="24"/>
              </w:rPr>
              <w:tab/>
              <w:t>Direct holdings of CET1 capital of financial sector entities where the institution does not have a significant investment</w:t>
            </w:r>
          </w:p>
          <w:p w:rsidR="00674BF5" w:rsidRPr="00661595" w:rsidRDefault="00674BF5" w:rsidP="00487A02">
            <w:pPr>
              <w:pStyle w:val="InstructionsText"/>
            </w:pPr>
            <w:r w:rsidRPr="00661595">
              <w:t>Articles 44, 45, 46 and 49 CRR</w:t>
            </w:r>
          </w:p>
        </w:tc>
      </w:tr>
      <w:tr w:rsidR="00674BF5" w:rsidRPr="00661595" w:rsidTr="00674BF5">
        <w:tc>
          <w:tcPr>
            <w:tcW w:w="1474" w:type="dxa"/>
          </w:tcPr>
          <w:p w:rsidR="00674BF5" w:rsidRPr="00661595" w:rsidRDefault="004F1DDB" w:rsidP="00487A02">
            <w:pPr>
              <w:pStyle w:val="InstructionsText"/>
            </w:pPr>
            <w:r w:rsidRPr="00661595">
              <w:t>0</w:t>
            </w:r>
            <w:r w:rsidR="00674BF5" w:rsidRPr="00661595">
              <w:t>250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12.1.1</w:t>
            </w:r>
            <w:r w:rsidRPr="00661595">
              <w:rPr>
                <w:rStyle w:val="InstructionsTabelleberschrift"/>
                <w:rFonts w:ascii="Times New Roman" w:hAnsi="Times New Roman"/>
                <w:sz w:val="24"/>
              </w:rPr>
              <w:tab/>
              <w:t>Gross direct holdings of CET1 capital of financial sector entities where the institution does not have a significant investment</w:t>
            </w:r>
          </w:p>
          <w:p w:rsidR="00674BF5" w:rsidRPr="00661595" w:rsidRDefault="00674BF5" w:rsidP="00487A02">
            <w:pPr>
              <w:pStyle w:val="InstructionsText"/>
            </w:pPr>
            <w:r w:rsidRPr="00661595">
              <w:t>Articles 44, 46 and 49 CRR</w:t>
            </w:r>
          </w:p>
          <w:p w:rsidR="00674BF5" w:rsidRPr="00661595" w:rsidRDefault="00674BF5" w:rsidP="00487A02">
            <w:pPr>
              <w:pStyle w:val="InstructionsText"/>
            </w:pPr>
            <w:r w:rsidRPr="00661595">
              <w:t>Direct holdings of CET1 capital of financial sector entities where the institution does not have a significant investment, excluding:</w:t>
            </w:r>
          </w:p>
          <w:p w:rsidR="00674BF5" w:rsidRPr="00661595" w:rsidRDefault="00674BF5" w:rsidP="00487A02">
            <w:pPr>
              <w:pStyle w:val="InstructionsText"/>
            </w:pPr>
            <w:r w:rsidRPr="00661595">
              <w:t>a)</w:t>
            </w:r>
            <w:r w:rsidRPr="00661595">
              <w:tab/>
              <w:t xml:space="preserve">Underwriting positions held for 5 working days or fewer; </w:t>
            </w:r>
          </w:p>
          <w:p w:rsidR="00674BF5" w:rsidRPr="00661595" w:rsidRDefault="00674BF5" w:rsidP="00487A02">
            <w:pPr>
              <w:pStyle w:val="InstructionsText"/>
            </w:pPr>
            <w:r w:rsidRPr="00661595">
              <w:t>b)</w:t>
            </w:r>
            <w:r w:rsidRPr="00661595">
              <w:tab/>
              <w:t xml:space="preserve">The amounts relating to the investments for which any alternative in Article 49 is applied; and </w:t>
            </w:r>
          </w:p>
          <w:p w:rsidR="00674BF5" w:rsidRPr="00661595" w:rsidRDefault="00674BF5" w:rsidP="00487A02">
            <w:pPr>
              <w:pStyle w:val="InstructionsText"/>
            </w:pPr>
            <w:r w:rsidRPr="00661595">
              <w:t>c)</w:t>
            </w:r>
            <w:r w:rsidRPr="00661595">
              <w:tab/>
              <w:t>Holdings which are treated as reciprocal cross holdings in accordance with point (g) of Article 36(1) CRR</w:t>
            </w:r>
          </w:p>
        </w:tc>
      </w:tr>
      <w:tr w:rsidR="00674BF5" w:rsidRPr="00661595" w:rsidTr="00674BF5">
        <w:tc>
          <w:tcPr>
            <w:tcW w:w="1474" w:type="dxa"/>
          </w:tcPr>
          <w:p w:rsidR="00674BF5" w:rsidRPr="00661595" w:rsidRDefault="00D5689B" w:rsidP="00487A02">
            <w:pPr>
              <w:pStyle w:val="InstructionsText"/>
            </w:pPr>
            <w:r w:rsidRPr="00661595">
              <w:t>0</w:t>
            </w:r>
            <w:r w:rsidR="00674BF5" w:rsidRPr="00661595">
              <w:t>260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12.1.2</w:t>
            </w:r>
            <w:r w:rsidRPr="00661595">
              <w:rPr>
                <w:rStyle w:val="InstructionsTabelleberschrift"/>
                <w:rFonts w:ascii="Times New Roman" w:hAnsi="Times New Roman"/>
                <w:sz w:val="24"/>
              </w:rPr>
              <w:tab/>
              <w:t>(-) Permitted offsetting short positions in relation to the direct gross holdings included above</w:t>
            </w:r>
          </w:p>
          <w:p w:rsidR="00674BF5" w:rsidRPr="00661595" w:rsidRDefault="00674BF5" w:rsidP="00487A02">
            <w:pPr>
              <w:pStyle w:val="InstructionsText"/>
            </w:pPr>
            <w:r w:rsidRPr="00661595">
              <w:t>Article 45 CRR</w:t>
            </w:r>
          </w:p>
          <w:p w:rsidR="00674BF5" w:rsidRPr="00661595" w:rsidRDefault="002D31E5" w:rsidP="00487A02">
            <w:pPr>
              <w:pStyle w:val="InstructionsText"/>
            </w:pPr>
            <w:r w:rsidRPr="00661595">
              <w:t xml:space="preserve">Point a of </w:t>
            </w:r>
            <w:r w:rsidR="00674BF5" w:rsidRPr="00661595">
              <w:t>Article 45 CRR allows offsetting short positions in the same underlying exposure provided the maturity</w:t>
            </w:r>
            <w:r w:rsidRPr="00661595">
              <w:t xml:space="preserve"> </w:t>
            </w:r>
            <w:r w:rsidR="00922F04" w:rsidRPr="00661595">
              <w:t>date of the short is either the same or later than the maturity date of the long position or the residual maturity of the short position is at least one year.</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270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12.2</w:t>
            </w:r>
            <w:r w:rsidRPr="00661595">
              <w:rPr>
                <w:rStyle w:val="InstructionsTabelleberschrift"/>
                <w:rFonts w:ascii="Times New Roman" w:hAnsi="Times New Roman"/>
                <w:sz w:val="24"/>
              </w:rPr>
              <w:tab/>
              <w:t>Indirect holdings of CET1 capital of financial sector entities where the institution does not have a significant investment</w:t>
            </w:r>
          </w:p>
          <w:p w:rsidR="00674BF5" w:rsidRPr="00661595" w:rsidRDefault="00674BF5" w:rsidP="00487A02">
            <w:pPr>
              <w:pStyle w:val="InstructionsText"/>
            </w:pPr>
            <w:r w:rsidRPr="00661595">
              <w:t>Point (114) of Article 4(1) and Articles 44 and 45 CRR</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280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12.2.1</w:t>
            </w:r>
            <w:r w:rsidRPr="00661595">
              <w:rPr>
                <w:rStyle w:val="InstructionsTabelleberschrift"/>
                <w:rFonts w:ascii="Times New Roman" w:hAnsi="Times New Roman"/>
                <w:sz w:val="24"/>
              </w:rPr>
              <w:tab/>
              <w:t>Gross indirect holdings of CET1 capital of financial sector entities where the institution does not have a significant investment</w:t>
            </w:r>
          </w:p>
          <w:p w:rsidR="00674BF5" w:rsidRPr="00661595" w:rsidRDefault="00674BF5" w:rsidP="00487A02">
            <w:pPr>
              <w:pStyle w:val="InstructionsText"/>
            </w:pPr>
            <w:r w:rsidRPr="00661595">
              <w:t>Point (114) of Article 4(1) and Articles 44 and 45 CRR</w:t>
            </w:r>
          </w:p>
          <w:p w:rsidR="00674BF5" w:rsidRPr="00661595" w:rsidRDefault="00674BF5" w:rsidP="00487A02">
            <w:pPr>
              <w:pStyle w:val="InstructionsText"/>
            </w:pPr>
            <w:r w:rsidRPr="00661595">
              <w:t>The amount to be reported is the indirect holdings in the trading book of the capital instruments of financial sector entities that take the form of holdings of index securities. It is obtained by calculating the underlying exposure to the capital instruments of the financial sector entities in the indices.</w:t>
            </w:r>
          </w:p>
          <w:p w:rsidR="00674BF5" w:rsidRPr="00661595" w:rsidRDefault="00674BF5" w:rsidP="00487A02">
            <w:pPr>
              <w:pStyle w:val="InstructionsText"/>
            </w:pPr>
            <w:r w:rsidRPr="00661595">
              <w:t>Holdings which are treated as reciprocal cross holdings in accordance with point (g) of Article 36(1) CRR shall not be included</w:t>
            </w:r>
          </w:p>
        </w:tc>
      </w:tr>
      <w:tr w:rsidR="00674BF5" w:rsidRPr="00661595" w:rsidTr="00674BF5">
        <w:trPr>
          <w:trHeight w:val="850"/>
        </w:trPr>
        <w:tc>
          <w:tcPr>
            <w:tcW w:w="1474" w:type="dxa"/>
          </w:tcPr>
          <w:p w:rsidR="00674BF5" w:rsidRPr="00661595" w:rsidRDefault="00754ADC" w:rsidP="00487A02">
            <w:pPr>
              <w:pStyle w:val="InstructionsText"/>
            </w:pPr>
            <w:r w:rsidRPr="00661595">
              <w:t>0</w:t>
            </w:r>
            <w:r w:rsidR="00674BF5" w:rsidRPr="00661595">
              <w:t>290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12.2.2</w:t>
            </w:r>
            <w:r w:rsidRPr="00661595">
              <w:rPr>
                <w:rStyle w:val="InstructionsTabelleberschrift"/>
                <w:rFonts w:ascii="Times New Roman" w:hAnsi="Times New Roman"/>
                <w:sz w:val="24"/>
              </w:rPr>
              <w:tab/>
              <w:t>(-) Permitted offsetting short positions in relation to the indirect gross holdings included above</w:t>
            </w:r>
          </w:p>
          <w:p w:rsidR="00674BF5" w:rsidRPr="00661595" w:rsidRDefault="00674BF5" w:rsidP="00487A02">
            <w:pPr>
              <w:pStyle w:val="InstructionsText"/>
            </w:pPr>
            <w:r w:rsidRPr="00661595">
              <w:t>Point (114) of Article 4(1) and Article 45 CRR</w:t>
            </w:r>
          </w:p>
          <w:p w:rsidR="00674BF5" w:rsidRPr="00661595" w:rsidRDefault="00674BF5" w:rsidP="00487A02">
            <w:pPr>
              <w:pStyle w:val="InstructionsText"/>
            </w:pPr>
            <w:r w:rsidRPr="00661595">
              <w:t xml:space="preserve">Point (a) of Article 45 CRR allows offsetting short positions in the same underlying exposure provided the maturity </w:t>
            </w:r>
            <w:r w:rsidR="00922F04" w:rsidRPr="00661595">
              <w:t>date of the short is either the same or later than the maturity date of the long position or the residual maturity of the short position is at least one year.</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291</w:t>
            </w:r>
          </w:p>
        </w:tc>
        <w:tc>
          <w:tcPr>
            <w:tcW w:w="7049" w:type="dxa"/>
            <w:vAlign w:val="center"/>
          </w:tcPr>
          <w:p w:rsidR="00674BF5" w:rsidRPr="00661595" w:rsidRDefault="00674BF5" w:rsidP="00487A02">
            <w:pPr>
              <w:pStyle w:val="InstructionsText"/>
              <w:rPr>
                <w:rStyle w:val="InstructionsTabelleberschrift"/>
                <w:rFonts w:ascii="Times New Roman" w:hAnsi="Times New Roman"/>
                <w:b w:val="0"/>
                <w:sz w:val="24"/>
                <w:u w:val="none"/>
              </w:rPr>
            </w:pPr>
            <w:r w:rsidRPr="00661595">
              <w:rPr>
                <w:rStyle w:val="InstructionsTabelleberschrift"/>
                <w:rFonts w:ascii="Times New Roman" w:hAnsi="Times New Roman"/>
                <w:sz w:val="24"/>
              </w:rPr>
              <w:t>12.3.1</w:t>
            </w:r>
            <w:r w:rsidRPr="00661595">
              <w:rPr>
                <w:rStyle w:val="InstructionsTabelleberschrift"/>
                <w:rFonts w:ascii="Times New Roman" w:hAnsi="Times New Roman"/>
                <w:sz w:val="24"/>
              </w:rPr>
              <w:tab/>
              <w:t>Synthetic holdings of CET1 capital of financial sector entities where the institution does not have a significant investment</w:t>
            </w:r>
          </w:p>
          <w:p w:rsidR="00674BF5" w:rsidRPr="00661595" w:rsidRDefault="00674BF5" w:rsidP="00487A02">
            <w:pPr>
              <w:pStyle w:val="InstructionsText"/>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Point (126) of Article 4(1) and Articles 44 and 45 CRR</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292</w:t>
            </w:r>
          </w:p>
        </w:tc>
        <w:tc>
          <w:tcPr>
            <w:tcW w:w="7049" w:type="dxa"/>
            <w:vAlign w:val="center"/>
          </w:tcPr>
          <w:p w:rsidR="00674BF5" w:rsidRPr="00661595" w:rsidRDefault="00674BF5" w:rsidP="00487A02">
            <w:pPr>
              <w:pStyle w:val="InstructionsText"/>
              <w:rPr>
                <w:rStyle w:val="InstructionsTabelleberschrift"/>
                <w:rFonts w:ascii="Times New Roman" w:hAnsi="Times New Roman"/>
                <w:b w:val="0"/>
                <w:sz w:val="24"/>
                <w:u w:val="none"/>
              </w:rPr>
            </w:pPr>
            <w:r w:rsidRPr="00661595">
              <w:rPr>
                <w:rStyle w:val="InstructionsTabelleberschrift"/>
                <w:rFonts w:ascii="Times New Roman" w:hAnsi="Times New Roman"/>
                <w:sz w:val="24"/>
              </w:rPr>
              <w:t>12.3.2</w:t>
            </w:r>
            <w:r w:rsidRPr="00661595">
              <w:rPr>
                <w:rStyle w:val="InstructionsTabelleberschrift"/>
                <w:rFonts w:ascii="Times New Roman" w:hAnsi="Times New Roman"/>
                <w:sz w:val="24"/>
              </w:rPr>
              <w:tab/>
              <w:t>Gross synthetic holdings of CET1 capital of financial sector entities where the institution does not have a significant investment</w:t>
            </w:r>
          </w:p>
          <w:p w:rsidR="00674BF5" w:rsidRPr="00661595" w:rsidRDefault="00674BF5" w:rsidP="00487A02">
            <w:pPr>
              <w:pStyle w:val="InstructionsText"/>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Point (126) of Article 4(1) and Articles 44 and 45 CRR</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293</w:t>
            </w:r>
          </w:p>
        </w:tc>
        <w:tc>
          <w:tcPr>
            <w:tcW w:w="7049" w:type="dxa"/>
            <w:vAlign w:val="center"/>
          </w:tcPr>
          <w:p w:rsidR="00674BF5" w:rsidRPr="00661595" w:rsidRDefault="00674BF5"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12.3.3</w:t>
            </w:r>
            <w:r w:rsidRPr="00661595">
              <w:rPr>
                <w:rStyle w:val="InstructionsTabelleberschrift"/>
                <w:rFonts w:ascii="Times New Roman" w:hAnsi="Times New Roman"/>
                <w:sz w:val="24"/>
              </w:rPr>
              <w:tab/>
              <w:t>(-) Permitted offsetting short positions in relation to the synthetic gross holdings included above</w:t>
            </w:r>
          </w:p>
          <w:p w:rsidR="00674BF5" w:rsidRPr="00661595" w:rsidRDefault="00674BF5" w:rsidP="00487A02">
            <w:pPr>
              <w:pStyle w:val="InstructionsText"/>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Point (126) of Article 4(1) and Article 45 CRR</w:t>
            </w:r>
            <w:r w:rsidR="002D31E5" w:rsidRPr="00661595">
              <w:rPr>
                <w:rStyle w:val="InstructionsTabelleberschrift"/>
                <w:rFonts w:ascii="Times New Roman" w:hAnsi="Times New Roman"/>
                <w:b w:val="0"/>
                <w:sz w:val="24"/>
                <w:u w:val="none"/>
              </w:rPr>
              <w:t>.</w:t>
            </w:r>
          </w:p>
          <w:p w:rsidR="002D31E5" w:rsidRPr="00661595" w:rsidRDefault="000D04B6" w:rsidP="00712F56">
            <w:pPr>
              <w:pStyle w:val="InstructionsText"/>
              <w:rPr>
                <w:rStyle w:val="InstructionsTabelleberschrift"/>
                <w:rFonts w:ascii="Times New Roman" w:hAnsi="Times New Roman"/>
                <w:b w:val="0"/>
                <w:sz w:val="24"/>
                <w:u w:val="none"/>
              </w:rPr>
            </w:pPr>
            <w:r>
              <w:t xml:space="preserve">Point (a) of </w:t>
            </w:r>
            <w:r w:rsidR="002D31E5" w:rsidRPr="00661595">
              <w:t>Article 45 CRR allows offsetting short positions in the same underlying exposure provided the maturity date of the short position is either the same or later than the maturity date of the long position or the residual maturity of the short position is at least one year.</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300</w:t>
            </w:r>
          </w:p>
        </w:tc>
        <w:tc>
          <w:tcPr>
            <w:tcW w:w="7049" w:type="dxa"/>
          </w:tcPr>
          <w:p w:rsidR="00674BF5" w:rsidRPr="00661595" w:rsidRDefault="00674BF5"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13</w:t>
            </w:r>
            <w:r w:rsidRPr="00661595">
              <w:rPr>
                <w:rStyle w:val="InstructionsTabelleberschrift"/>
                <w:rFonts w:ascii="Times New Roman" w:hAnsi="Times New Roman"/>
                <w:sz w:val="24"/>
              </w:rPr>
              <w:tab/>
              <w:t>Holdings of AT1 capital of financial sector entities where the institution does not have a significant investment, net of short positions</w:t>
            </w:r>
          </w:p>
          <w:p w:rsidR="00674BF5" w:rsidRPr="00661595" w:rsidRDefault="00674BF5" w:rsidP="00487A02">
            <w:pPr>
              <w:pStyle w:val="InstructionsText"/>
            </w:pPr>
            <w:r w:rsidRPr="00661595">
              <w:t>Articles 58, 59 and 60 CRR</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310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13.1</w:t>
            </w:r>
            <w:r w:rsidRPr="00661595">
              <w:rPr>
                <w:rStyle w:val="InstructionsTabelleberschrift"/>
                <w:rFonts w:ascii="Times New Roman" w:hAnsi="Times New Roman"/>
                <w:sz w:val="24"/>
              </w:rPr>
              <w:tab/>
              <w:t>Direct holdings of AT1 capital of financial sector entities where the institution does not have a significant investment</w:t>
            </w:r>
          </w:p>
          <w:p w:rsidR="00674BF5" w:rsidRPr="00661595" w:rsidRDefault="00674BF5" w:rsidP="00487A02">
            <w:pPr>
              <w:pStyle w:val="InstructionsText"/>
            </w:pPr>
            <w:r w:rsidRPr="00661595">
              <w:t>Articles 58, 59 and Article 60(2) CRR</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320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13.1.1</w:t>
            </w:r>
            <w:r w:rsidRPr="00661595">
              <w:rPr>
                <w:rStyle w:val="InstructionsTabelleberschrift"/>
                <w:rFonts w:ascii="Times New Roman" w:hAnsi="Times New Roman"/>
                <w:sz w:val="24"/>
              </w:rPr>
              <w:tab/>
              <w:t>Gross direct holdings of AT1 capital of financial sector entities where the institution does not have a significant investment</w:t>
            </w:r>
          </w:p>
          <w:p w:rsidR="00674BF5" w:rsidRPr="00661595" w:rsidRDefault="00674BF5" w:rsidP="00487A02">
            <w:pPr>
              <w:pStyle w:val="InstructionsText"/>
            </w:pPr>
            <w:r w:rsidRPr="00661595">
              <w:t>Article 58 and Article 60(2) CRR</w:t>
            </w:r>
          </w:p>
          <w:p w:rsidR="00674BF5" w:rsidRPr="00661595" w:rsidRDefault="00674BF5" w:rsidP="00487A02">
            <w:pPr>
              <w:pStyle w:val="InstructionsText"/>
            </w:pPr>
            <w:r w:rsidRPr="00661595">
              <w:t>Direct holdings of AT1 capital of financial sector entities where the institution does not have a significant investment, excluding:</w:t>
            </w:r>
          </w:p>
          <w:p w:rsidR="00674BF5" w:rsidRPr="00661595" w:rsidRDefault="00674BF5" w:rsidP="00487A02">
            <w:pPr>
              <w:pStyle w:val="InstructionsText"/>
            </w:pPr>
            <w:r w:rsidRPr="00661595">
              <w:t>a)</w:t>
            </w:r>
            <w:r w:rsidRPr="00661595">
              <w:tab/>
              <w:t xml:space="preserve">Underwriting positions held for 5 working days or fewer; and </w:t>
            </w:r>
          </w:p>
          <w:p w:rsidR="00674BF5" w:rsidRPr="00661595" w:rsidRDefault="00674BF5" w:rsidP="00487A02">
            <w:pPr>
              <w:pStyle w:val="InstructionsText"/>
            </w:pPr>
            <w:r w:rsidRPr="00661595">
              <w:t>b)</w:t>
            </w:r>
            <w:r w:rsidRPr="00661595">
              <w:tab/>
              <w:t>Holdings which are treated as reciprocal cross holdings in accordance with point (b) of Article 56 CRR</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330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13.1.2</w:t>
            </w:r>
            <w:r w:rsidRPr="00661595">
              <w:rPr>
                <w:rStyle w:val="InstructionsTabelleberschrift"/>
                <w:rFonts w:ascii="Times New Roman" w:hAnsi="Times New Roman"/>
                <w:sz w:val="24"/>
              </w:rPr>
              <w:tab/>
              <w:t>(-) Permitted offsetting short positions in relation to the direct gross holdings included above</w:t>
            </w:r>
          </w:p>
          <w:p w:rsidR="00674BF5" w:rsidRPr="00661595" w:rsidRDefault="00674BF5" w:rsidP="00487A02">
            <w:pPr>
              <w:pStyle w:val="InstructionsText"/>
            </w:pPr>
            <w:r w:rsidRPr="00661595">
              <w:t>Article 59 CRR</w:t>
            </w:r>
          </w:p>
          <w:p w:rsidR="00674BF5" w:rsidRPr="00661595" w:rsidRDefault="00674BF5" w:rsidP="00487A02">
            <w:pPr>
              <w:pStyle w:val="InstructionsText"/>
            </w:pPr>
            <w:r w:rsidRPr="00661595">
              <w:t xml:space="preserve">Point (a) of Article 59 CRR allows offsetting short positions in the same underlying exposure provided the maturity </w:t>
            </w:r>
            <w:r w:rsidR="00922F04" w:rsidRPr="00661595">
              <w:t>date of the short is either the same or later than the maturity date of the long position or the residual maturity of the short position is at least one year.</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340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13.2</w:t>
            </w:r>
            <w:r w:rsidRPr="00661595">
              <w:rPr>
                <w:rStyle w:val="InstructionsTabelleberschrift"/>
                <w:rFonts w:ascii="Times New Roman" w:hAnsi="Times New Roman"/>
                <w:sz w:val="24"/>
              </w:rPr>
              <w:tab/>
              <w:t>Indirect holdings of AT1 capital of financial sector entities where the institution does not have a significant investment</w:t>
            </w:r>
          </w:p>
          <w:p w:rsidR="00674BF5" w:rsidRPr="00661595" w:rsidRDefault="00674BF5" w:rsidP="00487A02">
            <w:pPr>
              <w:pStyle w:val="InstructionsText"/>
            </w:pPr>
            <w:r w:rsidRPr="00661595">
              <w:t>Point (114) of Article 4(1) and Articles 58 and 59 CRR</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350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13.2.1</w:t>
            </w:r>
            <w:r w:rsidRPr="00661595">
              <w:rPr>
                <w:rStyle w:val="InstructionsTabelleberschrift"/>
                <w:rFonts w:ascii="Times New Roman" w:hAnsi="Times New Roman"/>
                <w:sz w:val="24"/>
              </w:rPr>
              <w:tab/>
              <w:t>Gross indirect holdings of AT1 capital of financial sector entities where the institution does not have a significant investment</w:t>
            </w:r>
          </w:p>
          <w:p w:rsidR="00674BF5" w:rsidRPr="00661595" w:rsidRDefault="00674BF5" w:rsidP="00487A02">
            <w:pPr>
              <w:pStyle w:val="InstructionsText"/>
            </w:pPr>
            <w:r w:rsidRPr="00661595">
              <w:t>Point (114) of Article 4(1) and Articles 58 and 59 CRR</w:t>
            </w:r>
          </w:p>
          <w:p w:rsidR="00674BF5" w:rsidRPr="00661595" w:rsidRDefault="00674BF5" w:rsidP="00487A02">
            <w:pPr>
              <w:pStyle w:val="InstructionsText"/>
            </w:pPr>
            <w:r w:rsidRPr="00661595">
              <w:t>The amount to be reported is the indirect holdings in the trading book of the capital instruments of financial sector entities that take the form of holdings of index securities. It is obtained by calculating the underlying exposure to the capital instruments of the financial sector entities in the indices.</w:t>
            </w:r>
          </w:p>
          <w:p w:rsidR="00674BF5" w:rsidRPr="00661595" w:rsidRDefault="00674BF5" w:rsidP="00487A02">
            <w:pPr>
              <w:pStyle w:val="InstructionsText"/>
            </w:pPr>
            <w:r w:rsidRPr="00661595">
              <w:t>Holdings which are treated as reciprocal cross holdings according to point (b) of Article 56 CRR shall not be included.</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360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13.2.2</w:t>
            </w:r>
            <w:r w:rsidRPr="00661595">
              <w:rPr>
                <w:rStyle w:val="InstructionsTabelleberschrift"/>
                <w:rFonts w:ascii="Times New Roman" w:hAnsi="Times New Roman"/>
                <w:sz w:val="24"/>
              </w:rPr>
              <w:tab/>
              <w:t>(-) Permitted offsetting short positions in relation to the indirect gross holdings included above</w:t>
            </w:r>
          </w:p>
          <w:p w:rsidR="00674BF5" w:rsidRPr="00661595" w:rsidRDefault="00674BF5" w:rsidP="00487A02">
            <w:pPr>
              <w:pStyle w:val="InstructionsText"/>
            </w:pPr>
            <w:r w:rsidRPr="00661595">
              <w:t>Point (114) of Article 4(1) and Article 59 CRR</w:t>
            </w:r>
          </w:p>
          <w:p w:rsidR="00674BF5" w:rsidRPr="00661595" w:rsidRDefault="00674BF5" w:rsidP="00487A02">
            <w:pPr>
              <w:pStyle w:val="InstructionsText"/>
            </w:pPr>
            <w:r w:rsidRPr="00661595">
              <w:t xml:space="preserve">Point (a) of Article 59 CRR allows offsetting short positions in the same underlying exposure provided the maturity </w:t>
            </w:r>
            <w:r w:rsidR="00922F04" w:rsidRPr="00661595">
              <w:t>date of the short is either the same or later than the maturity date of the long position or the residual maturity of the short position is at least one year.</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361</w:t>
            </w:r>
          </w:p>
        </w:tc>
        <w:tc>
          <w:tcPr>
            <w:tcW w:w="7049" w:type="dxa"/>
            <w:vAlign w:val="center"/>
          </w:tcPr>
          <w:p w:rsidR="00674BF5" w:rsidRPr="00661595" w:rsidRDefault="00674BF5" w:rsidP="00487A02">
            <w:pPr>
              <w:pStyle w:val="InstructionsText"/>
            </w:pPr>
            <w:r w:rsidRPr="00661595">
              <w:rPr>
                <w:rStyle w:val="InstructionsTabelleberschrift"/>
                <w:rFonts w:ascii="Times New Roman" w:hAnsi="Times New Roman"/>
                <w:sz w:val="24"/>
              </w:rPr>
              <w:t>13.3</w:t>
            </w:r>
            <w:r w:rsidRPr="00661595">
              <w:rPr>
                <w:rStyle w:val="InstructionsTabelleberschrift"/>
                <w:rFonts w:ascii="Times New Roman" w:hAnsi="Times New Roman"/>
                <w:sz w:val="24"/>
              </w:rPr>
              <w:tab/>
              <w:t>Synthetic holdings of AT1 capital of financial sector entities where the institution does not have a significant investment</w:t>
            </w:r>
          </w:p>
          <w:p w:rsidR="00674BF5" w:rsidRPr="00661595" w:rsidRDefault="00674BF5" w:rsidP="00487A02">
            <w:pPr>
              <w:pStyle w:val="InstructionsText"/>
              <w:rPr>
                <w:rStyle w:val="InstructionsTabelleberschrift"/>
                <w:rFonts w:ascii="Times New Roman" w:hAnsi="Times New Roman"/>
                <w:b w:val="0"/>
                <w:bCs w:val="0"/>
                <w:sz w:val="24"/>
                <w:u w:val="none"/>
              </w:rPr>
            </w:pPr>
            <w:r w:rsidRPr="00661595">
              <w:t>Point (126) of Article 4(1) and Articles 58 and 59 CRR</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362</w:t>
            </w:r>
          </w:p>
        </w:tc>
        <w:tc>
          <w:tcPr>
            <w:tcW w:w="7049" w:type="dxa"/>
            <w:vAlign w:val="center"/>
          </w:tcPr>
          <w:p w:rsidR="00674BF5" w:rsidRPr="00661595" w:rsidRDefault="00674BF5" w:rsidP="00487A02">
            <w:pPr>
              <w:pStyle w:val="InstructionsText"/>
            </w:pPr>
            <w:r w:rsidRPr="00661595">
              <w:rPr>
                <w:rStyle w:val="InstructionsTabelleberschrift"/>
                <w:rFonts w:ascii="Times New Roman" w:hAnsi="Times New Roman"/>
                <w:sz w:val="24"/>
              </w:rPr>
              <w:t>13.3.1</w:t>
            </w:r>
            <w:r w:rsidRPr="00661595">
              <w:rPr>
                <w:rStyle w:val="InstructionsTabelleberschrift"/>
                <w:rFonts w:ascii="Times New Roman" w:hAnsi="Times New Roman"/>
                <w:sz w:val="24"/>
              </w:rPr>
              <w:tab/>
              <w:t>Gross synthetic holdings of AT1 capital of financial sector entities where the institution does not have a significant investment</w:t>
            </w:r>
          </w:p>
          <w:p w:rsidR="00674BF5" w:rsidRPr="00661595" w:rsidRDefault="00674BF5" w:rsidP="00487A02">
            <w:pPr>
              <w:pStyle w:val="InstructionsText"/>
              <w:rPr>
                <w:rStyle w:val="InstructionsTabelleberschrift"/>
                <w:rFonts w:ascii="Times New Roman" w:hAnsi="Times New Roman"/>
                <w:b w:val="0"/>
                <w:bCs w:val="0"/>
                <w:sz w:val="24"/>
                <w:u w:val="none"/>
              </w:rPr>
            </w:pPr>
            <w:r w:rsidRPr="00661595">
              <w:t>Point (126) of Article 4(1) and Articles 58 and 59 CRR</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363</w:t>
            </w:r>
          </w:p>
        </w:tc>
        <w:tc>
          <w:tcPr>
            <w:tcW w:w="7049" w:type="dxa"/>
            <w:vAlign w:val="center"/>
          </w:tcPr>
          <w:p w:rsidR="00674BF5" w:rsidRPr="00661595" w:rsidRDefault="00674BF5" w:rsidP="00487A02">
            <w:pPr>
              <w:pStyle w:val="InstructionsText"/>
            </w:pPr>
            <w:r w:rsidRPr="00661595">
              <w:rPr>
                <w:rStyle w:val="InstructionsTabelleberschrift"/>
                <w:rFonts w:ascii="Times New Roman" w:hAnsi="Times New Roman"/>
                <w:sz w:val="24"/>
              </w:rPr>
              <w:t>13.3.2</w:t>
            </w:r>
            <w:r w:rsidRPr="00661595">
              <w:rPr>
                <w:rStyle w:val="InstructionsTabelleberschrift"/>
                <w:rFonts w:ascii="Times New Roman" w:hAnsi="Times New Roman"/>
                <w:sz w:val="24"/>
              </w:rPr>
              <w:tab/>
              <w:t>(-) Permitted offsetting short positions in relation to the synthetic gross holdings included above</w:t>
            </w:r>
          </w:p>
          <w:p w:rsidR="00674BF5" w:rsidRPr="00661595" w:rsidRDefault="00674BF5" w:rsidP="00487A02">
            <w:pPr>
              <w:pStyle w:val="InstructionsText"/>
            </w:pPr>
            <w:r w:rsidRPr="00661595">
              <w:t>Point (126) of Article 4(1) and Article 59 CRR</w:t>
            </w:r>
            <w:r w:rsidR="002D31E5" w:rsidRPr="00661595">
              <w:t>.</w:t>
            </w:r>
          </w:p>
          <w:p w:rsidR="002D31E5" w:rsidRPr="00661595" w:rsidRDefault="000D04B6" w:rsidP="000D04B6">
            <w:pPr>
              <w:pStyle w:val="InstructionsText"/>
              <w:rPr>
                <w:rStyle w:val="InstructionsTabelleberschrift"/>
                <w:rFonts w:ascii="Times New Roman" w:hAnsi="Times New Roman"/>
                <w:b w:val="0"/>
                <w:bCs w:val="0"/>
                <w:sz w:val="24"/>
                <w:u w:val="none"/>
              </w:rPr>
            </w:pPr>
            <w:r>
              <w:t xml:space="preserve">Point (a) of </w:t>
            </w:r>
            <w:r w:rsidR="002D31E5" w:rsidRPr="00661595">
              <w:t>Article 59 CRR allows offsetting short positions in the same underlying exposure provided the maturity date of the short position is either the same or later than the maturity date of the long position or the residual maturity of the short position is at least one year.</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370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14.</w:t>
            </w:r>
            <w:r w:rsidRPr="00661595">
              <w:rPr>
                <w:rStyle w:val="InstructionsTabelleberschrift"/>
                <w:rFonts w:ascii="Times New Roman" w:hAnsi="Times New Roman"/>
                <w:sz w:val="24"/>
              </w:rPr>
              <w:tab/>
              <w:t>Holdings of T2 capital of financial sector entities where the institution does not have a significant investment, net of short positions</w:t>
            </w:r>
          </w:p>
          <w:p w:rsidR="00674BF5" w:rsidRPr="00661595" w:rsidRDefault="00674BF5" w:rsidP="00487A02">
            <w:pPr>
              <w:pStyle w:val="InstructionsText"/>
            </w:pPr>
            <w:r w:rsidRPr="00661595">
              <w:t>Articles 68, 69 and 70 CRR</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380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14.1</w:t>
            </w:r>
            <w:r w:rsidRPr="00661595">
              <w:rPr>
                <w:rStyle w:val="InstructionsTabelleberschrift"/>
                <w:rFonts w:ascii="Times New Roman" w:hAnsi="Times New Roman"/>
                <w:sz w:val="24"/>
              </w:rPr>
              <w:tab/>
              <w:t>Direct holdings of T2 capital of financial sector entities where the institution does not have a significant investment</w:t>
            </w:r>
          </w:p>
          <w:p w:rsidR="00674BF5" w:rsidRPr="00661595" w:rsidRDefault="00674BF5" w:rsidP="00487A02">
            <w:pPr>
              <w:pStyle w:val="InstructionsText"/>
            </w:pPr>
            <w:r w:rsidRPr="00661595">
              <w:t>Articles 68 and 69 and Article 70(2) CRR</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390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14.1.1</w:t>
            </w:r>
            <w:r w:rsidRPr="00661595">
              <w:rPr>
                <w:rStyle w:val="InstructionsTabelleberschrift"/>
                <w:rFonts w:ascii="Times New Roman" w:hAnsi="Times New Roman"/>
                <w:sz w:val="24"/>
              </w:rPr>
              <w:tab/>
              <w:t>Gross direct holdings of T2 capital of financial sector entities where the institution does not have a significant investment</w:t>
            </w:r>
          </w:p>
          <w:p w:rsidR="00674BF5" w:rsidRPr="00661595" w:rsidRDefault="00674BF5" w:rsidP="00487A02">
            <w:pPr>
              <w:pStyle w:val="InstructionsText"/>
            </w:pPr>
            <w:r w:rsidRPr="00661595">
              <w:t>Article 68 and Article 70(2) CRR</w:t>
            </w:r>
          </w:p>
          <w:p w:rsidR="00674BF5" w:rsidRPr="00661595" w:rsidRDefault="00674BF5" w:rsidP="00487A02">
            <w:pPr>
              <w:pStyle w:val="InstructionsText"/>
            </w:pPr>
            <w:r w:rsidRPr="00661595">
              <w:t>Direct holdings of T2 capital of financial sector entities where the institution does not have a significant investment, excluding:</w:t>
            </w:r>
          </w:p>
          <w:p w:rsidR="00674BF5" w:rsidRPr="00661595" w:rsidRDefault="00674BF5" w:rsidP="00487A02">
            <w:pPr>
              <w:pStyle w:val="InstructionsText"/>
            </w:pPr>
            <w:r w:rsidRPr="00661595">
              <w:t>a)</w:t>
            </w:r>
            <w:r w:rsidRPr="00661595">
              <w:tab/>
              <w:t xml:space="preserve">Underwriting positions held for 5 working days or fewer; and </w:t>
            </w:r>
          </w:p>
          <w:p w:rsidR="00674BF5" w:rsidRPr="00661595" w:rsidRDefault="00674BF5" w:rsidP="00487A02">
            <w:pPr>
              <w:pStyle w:val="InstructionsText"/>
            </w:pPr>
            <w:r w:rsidRPr="00661595">
              <w:t>b)</w:t>
            </w:r>
            <w:r w:rsidRPr="00661595">
              <w:tab/>
              <w:t>Holdings which are treated as reciprocal cross holdings in accordance with point (b) of Article 66 CRR</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400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14.1.2</w:t>
            </w:r>
            <w:r w:rsidRPr="00661595">
              <w:rPr>
                <w:rStyle w:val="InstructionsTabelleberschrift"/>
                <w:rFonts w:ascii="Times New Roman" w:hAnsi="Times New Roman"/>
                <w:sz w:val="24"/>
              </w:rPr>
              <w:tab/>
              <w:t>(-) Permitted offsetting short positions in relation to the direct gross holdings included above</w:t>
            </w:r>
          </w:p>
          <w:p w:rsidR="00674BF5" w:rsidRPr="00661595" w:rsidRDefault="00674BF5" w:rsidP="00487A02">
            <w:pPr>
              <w:pStyle w:val="InstructionsText"/>
            </w:pPr>
            <w:r w:rsidRPr="00661595">
              <w:t>Article 69 CRR</w:t>
            </w:r>
          </w:p>
          <w:p w:rsidR="00674BF5" w:rsidRPr="00661595" w:rsidRDefault="00674BF5" w:rsidP="00487A02">
            <w:pPr>
              <w:pStyle w:val="InstructionsText"/>
            </w:pPr>
            <w:r w:rsidRPr="00661595">
              <w:t xml:space="preserve">Point (a) of Article 69 CRR allows offsetting short positions in the same underlying exposure provided the maturity </w:t>
            </w:r>
            <w:r w:rsidR="00922F04" w:rsidRPr="00661595">
              <w:t>date of the short is either the same or later than the maturity date of the long position or the residual maturity of the short position is at least one year.</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410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14.2</w:t>
            </w:r>
            <w:r w:rsidRPr="00661595">
              <w:rPr>
                <w:rStyle w:val="InstructionsTabelleberschrift"/>
                <w:rFonts w:ascii="Times New Roman" w:hAnsi="Times New Roman"/>
                <w:sz w:val="24"/>
              </w:rPr>
              <w:tab/>
              <w:t>Indirect holdings of T2 capital of financial sector entities where the institution does not have a significant investment</w:t>
            </w:r>
          </w:p>
          <w:p w:rsidR="00674BF5" w:rsidRPr="00661595" w:rsidRDefault="00674BF5" w:rsidP="00487A02">
            <w:pPr>
              <w:pStyle w:val="InstructionsText"/>
            </w:pPr>
            <w:r w:rsidRPr="00661595">
              <w:t>Point (114) of Article 4(1) and Articles 68 and 69 CRR</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420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14.2.1</w:t>
            </w:r>
            <w:r w:rsidRPr="00661595">
              <w:rPr>
                <w:rStyle w:val="InstructionsTabelleberschrift"/>
                <w:rFonts w:ascii="Times New Roman" w:hAnsi="Times New Roman"/>
                <w:sz w:val="24"/>
              </w:rPr>
              <w:tab/>
              <w:t>Gross indirect holdings of T2 capital of financial sector entities where the institution does not have a significant investment</w:t>
            </w:r>
          </w:p>
          <w:p w:rsidR="00674BF5" w:rsidRPr="00661595" w:rsidRDefault="00674BF5" w:rsidP="00487A02">
            <w:pPr>
              <w:pStyle w:val="InstructionsText"/>
            </w:pPr>
            <w:r w:rsidRPr="00661595">
              <w:t>Point (114) of Article 4(1) and Articles 68 and 69 CRR</w:t>
            </w:r>
          </w:p>
          <w:p w:rsidR="00674BF5" w:rsidRPr="00661595" w:rsidRDefault="00674BF5" w:rsidP="00487A02">
            <w:pPr>
              <w:pStyle w:val="InstructionsText"/>
            </w:pPr>
            <w:r w:rsidRPr="00661595">
              <w:t>The amount to be reported is the indirect holdings in the trading book of the capital instruments of financial sector entities that take the form of holdings of index securities. It is obtained by calculating the underlying exposure to the capital instruments of the financial sector entities in the indices.</w:t>
            </w:r>
          </w:p>
          <w:p w:rsidR="00674BF5" w:rsidRPr="00661595" w:rsidRDefault="00674BF5" w:rsidP="00487A02">
            <w:pPr>
              <w:pStyle w:val="InstructionsText"/>
            </w:pPr>
            <w:r w:rsidRPr="00661595">
              <w:t>Holdings which are treated as reciprocal cross holdings in accordance with Article 66 point (b) CRR shall not be included</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430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14.2.2</w:t>
            </w:r>
            <w:r w:rsidRPr="00661595">
              <w:rPr>
                <w:rStyle w:val="InstructionsTabelleberschrift"/>
                <w:rFonts w:ascii="Times New Roman" w:hAnsi="Times New Roman"/>
                <w:sz w:val="24"/>
              </w:rPr>
              <w:tab/>
              <w:t>(-) Permitted offsetting short positions in relation to the indirect gross holdings included above</w:t>
            </w:r>
          </w:p>
          <w:p w:rsidR="00674BF5" w:rsidRPr="00661595" w:rsidRDefault="00674BF5" w:rsidP="00487A02">
            <w:pPr>
              <w:pStyle w:val="InstructionsText"/>
            </w:pPr>
            <w:r w:rsidRPr="00661595">
              <w:t>Point (114) of Article 4(1) and Article 69 CRR</w:t>
            </w:r>
          </w:p>
          <w:p w:rsidR="00674BF5" w:rsidRPr="00661595" w:rsidRDefault="00674BF5" w:rsidP="00487A02">
            <w:pPr>
              <w:pStyle w:val="InstructionsText"/>
            </w:pPr>
            <w:r w:rsidRPr="00661595">
              <w:t xml:space="preserve">Point (a) of Article 69 CRR allows offsetting short positions in the same underlying exposure provided the maturity </w:t>
            </w:r>
            <w:r w:rsidR="00922F04" w:rsidRPr="00661595">
              <w:t>date of the short is either the same or later than the maturity date of the long position or the residual maturity of the short position is at least one year.</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431</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14.3</w:t>
            </w:r>
            <w:r w:rsidRPr="00661595">
              <w:rPr>
                <w:rStyle w:val="InstructionsTabelleberschrift"/>
                <w:rFonts w:ascii="Times New Roman" w:hAnsi="Times New Roman"/>
                <w:sz w:val="24"/>
              </w:rPr>
              <w:tab/>
              <w:t>Synthetic holdings of T2 capital of financial sector entities where the institution does not have a significant investment</w:t>
            </w:r>
          </w:p>
          <w:p w:rsidR="00674BF5" w:rsidRPr="00661595" w:rsidRDefault="00674BF5" w:rsidP="00487A02">
            <w:pPr>
              <w:pStyle w:val="InstructionsText"/>
              <w:rPr>
                <w:rStyle w:val="InstructionsTabelleberschrift"/>
                <w:rFonts w:ascii="Times New Roman" w:hAnsi="Times New Roman"/>
                <w:sz w:val="24"/>
              </w:rPr>
            </w:pPr>
            <w:r w:rsidRPr="00661595">
              <w:t>Point (126) of Article 4(1) and Articles 68 and 69 CRR</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432</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14.3.1</w:t>
            </w:r>
            <w:r w:rsidRPr="00661595">
              <w:rPr>
                <w:rStyle w:val="InstructionsTabelleberschrift"/>
                <w:rFonts w:ascii="Times New Roman" w:hAnsi="Times New Roman"/>
                <w:sz w:val="24"/>
              </w:rPr>
              <w:tab/>
              <w:t>Gross synthetic holdings of T2 capital of financial sector entities where the institution does not have a significant investment</w:t>
            </w:r>
          </w:p>
          <w:p w:rsidR="00674BF5" w:rsidRPr="00661595" w:rsidRDefault="00674BF5" w:rsidP="00487A02">
            <w:pPr>
              <w:pStyle w:val="InstructionsText"/>
              <w:rPr>
                <w:rStyle w:val="InstructionsTabelleberschrift"/>
                <w:rFonts w:ascii="Times New Roman" w:hAnsi="Times New Roman"/>
                <w:b w:val="0"/>
                <w:bCs w:val="0"/>
                <w:sz w:val="24"/>
                <w:u w:val="none"/>
              </w:rPr>
            </w:pPr>
            <w:r w:rsidRPr="00661595">
              <w:t>Point (126) of Article 4(1) and Articles 68 and 69 CRR</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433</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14.3.2</w:t>
            </w:r>
            <w:r w:rsidRPr="00661595">
              <w:rPr>
                <w:rStyle w:val="InstructionsTabelleberschrift"/>
                <w:rFonts w:ascii="Times New Roman" w:hAnsi="Times New Roman"/>
                <w:sz w:val="24"/>
              </w:rPr>
              <w:tab/>
              <w:t>(-) Permitted offsetting short positions in relation to the synthetic gross holdings included above</w:t>
            </w:r>
          </w:p>
          <w:p w:rsidR="00674BF5" w:rsidRPr="00661595" w:rsidRDefault="00674BF5" w:rsidP="00487A02">
            <w:pPr>
              <w:pStyle w:val="InstructionsText"/>
            </w:pPr>
            <w:r w:rsidRPr="00661595">
              <w:t>Point (126) of Article 4(1) and Article 69 CRR</w:t>
            </w:r>
            <w:r w:rsidR="002D31E5" w:rsidRPr="00661595">
              <w:t>.</w:t>
            </w:r>
          </w:p>
          <w:p w:rsidR="002D31E5" w:rsidRPr="00661595" w:rsidRDefault="000D04B6" w:rsidP="000D04B6">
            <w:pPr>
              <w:pStyle w:val="InstructionsText"/>
              <w:rPr>
                <w:rStyle w:val="InstructionsTabelleberschrift"/>
                <w:rFonts w:ascii="Times New Roman" w:hAnsi="Times New Roman"/>
                <w:b w:val="0"/>
                <w:bCs w:val="0"/>
                <w:sz w:val="24"/>
                <w:u w:val="none"/>
              </w:rPr>
            </w:pPr>
            <w:r>
              <w:t xml:space="preserve">Point (a) of </w:t>
            </w:r>
            <w:r w:rsidR="002D31E5" w:rsidRPr="00661595">
              <w:t>Article 69 CRR allows offsetting short positions in the same underlying exposure provided the maturity date of the short position is either the same or later than the maturity date of the long position or the residual maturity of the short position is at least one year.</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440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15</w:t>
            </w:r>
            <w:r w:rsidRPr="00661595">
              <w:rPr>
                <w:rStyle w:val="InstructionsTabelleberschrift"/>
                <w:rFonts w:ascii="Times New Roman" w:hAnsi="Times New Roman"/>
                <w:sz w:val="24"/>
              </w:rPr>
              <w:tab/>
              <w:t>Holdings of CET1 capital of financial sector entities where the institution has a significant investment, net of short positions</w:t>
            </w:r>
          </w:p>
          <w:p w:rsidR="00674BF5" w:rsidRPr="00661595" w:rsidRDefault="00674BF5" w:rsidP="00487A02">
            <w:pPr>
              <w:pStyle w:val="InstructionsText"/>
            </w:pPr>
            <w:r w:rsidRPr="00661595">
              <w:t>Articles 44, 45, 47 and 49 CRR</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450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15.1</w:t>
            </w:r>
            <w:r w:rsidRPr="00661595">
              <w:rPr>
                <w:rStyle w:val="InstructionsTabelleberschrift"/>
                <w:rFonts w:ascii="Times New Roman" w:hAnsi="Times New Roman"/>
                <w:sz w:val="24"/>
              </w:rPr>
              <w:tab/>
              <w:t>Direct holdings of CET1 capital of financial sector entities where the institution has a significant investment</w:t>
            </w:r>
          </w:p>
          <w:p w:rsidR="00674BF5" w:rsidRPr="00661595" w:rsidRDefault="00674BF5" w:rsidP="00487A02">
            <w:pPr>
              <w:pStyle w:val="InstructionsText"/>
            </w:pPr>
            <w:r w:rsidRPr="00661595">
              <w:t>Articles 44, 45, 47 and 49 CRR</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460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15.1.1</w:t>
            </w:r>
            <w:r w:rsidRPr="00661595">
              <w:rPr>
                <w:rStyle w:val="InstructionsTabelleberschrift"/>
                <w:rFonts w:ascii="Times New Roman" w:hAnsi="Times New Roman"/>
                <w:sz w:val="24"/>
              </w:rPr>
              <w:tab/>
              <w:t>Gross direct holdings of CET1 capital of financial sector entities where the institution has a significant investment</w:t>
            </w:r>
          </w:p>
          <w:p w:rsidR="00674BF5" w:rsidRPr="00661595" w:rsidRDefault="00674BF5" w:rsidP="00487A02">
            <w:pPr>
              <w:pStyle w:val="InstructionsText"/>
            </w:pPr>
            <w:r w:rsidRPr="00661595">
              <w:t>Articles 44, 45, 47 and 49 CRR</w:t>
            </w:r>
          </w:p>
          <w:p w:rsidR="00674BF5" w:rsidRPr="00661595" w:rsidRDefault="00674BF5" w:rsidP="00487A02">
            <w:pPr>
              <w:pStyle w:val="InstructionsText"/>
            </w:pPr>
            <w:r w:rsidRPr="00661595">
              <w:t>Direct holdings of CET1 capital of financial sector entities where the institution has a significant investment, excluding:</w:t>
            </w:r>
          </w:p>
          <w:p w:rsidR="00674BF5" w:rsidRPr="00661595" w:rsidRDefault="00674BF5" w:rsidP="00487A02">
            <w:pPr>
              <w:pStyle w:val="InstructionsText"/>
            </w:pPr>
            <w:r w:rsidRPr="00661595">
              <w:t>a)</w:t>
            </w:r>
            <w:r w:rsidRPr="00661595">
              <w:tab/>
              <w:t xml:space="preserve">Underwriting positions held for 5 working days or fewer; </w:t>
            </w:r>
          </w:p>
          <w:p w:rsidR="00674BF5" w:rsidRPr="00661595" w:rsidRDefault="00674BF5" w:rsidP="00487A02">
            <w:pPr>
              <w:pStyle w:val="InstructionsText"/>
            </w:pPr>
            <w:r w:rsidRPr="00661595">
              <w:t>b)</w:t>
            </w:r>
            <w:r w:rsidRPr="00661595">
              <w:tab/>
              <w:t xml:space="preserve">The amounts relating to the investments for which any alternative in Article 49 is applied; and </w:t>
            </w:r>
          </w:p>
          <w:p w:rsidR="00674BF5" w:rsidRPr="00661595" w:rsidRDefault="00674BF5" w:rsidP="00487A02">
            <w:pPr>
              <w:pStyle w:val="InstructionsText"/>
            </w:pPr>
            <w:r w:rsidRPr="00661595">
              <w:t>c)</w:t>
            </w:r>
            <w:r w:rsidRPr="00661595">
              <w:tab/>
              <w:t>Holdings which are treated as reciprocal cross holdings in accordance with point (g) of Article 36(1) CRR</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470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15.1.2</w:t>
            </w:r>
            <w:r w:rsidRPr="00661595">
              <w:rPr>
                <w:rStyle w:val="InstructionsTabelleberschrift"/>
                <w:rFonts w:ascii="Times New Roman" w:hAnsi="Times New Roman"/>
                <w:sz w:val="24"/>
              </w:rPr>
              <w:tab/>
              <w:t>(-) Permitted offsetting short positions in relation to the direct gross holdings included above</w:t>
            </w:r>
          </w:p>
          <w:p w:rsidR="00674BF5" w:rsidRPr="00661595" w:rsidRDefault="00674BF5" w:rsidP="00487A02">
            <w:pPr>
              <w:pStyle w:val="InstructionsText"/>
            </w:pPr>
            <w:r w:rsidRPr="00661595">
              <w:t>Article 45 CRR</w:t>
            </w:r>
          </w:p>
          <w:p w:rsidR="00674BF5" w:rsidRPr="00661595" w:rsidRDefault="00674BF5" w:rsidP="00487A02">
            <w:pPr>
              <w:pStyle w:val="InstructionsText"/>
            </w:pPr>
            <w:r w:rsidRPr="00661595">
              <w:t xml:space="preserve">Point (a) of Article 45 CRR allows offsetting short positions in the same underlying exposure provided the maturity </w:t>
            </w:r>
            <w:r w:rsidR="00922F04" w:rsidRPr="00661595">
              <w:t>date of the short is either the same or later than the maturity date of the long position or the residual maturity of the short position is at least one year.</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480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15.2</w:t>
            </w:r>
            <w:r w:rsidRPr="00661595">
              <w:rPr>
                <w:rStyle w:val="InstructionsTabelleberschrift"/>
                <w:rFonts w:ascii="Times New Roman" w:hAnsi="Times New Roman"/>
                <w:sz w:val="24"/>
              </w:rPr>
              <w:tab/>
              <w:t>Indirect holdings of CET1 capital of financial sector entities where the institution has a significant investment</w:t>
            </w:r>
          </w:p>
          <w:p w:rsidR="00674BF5" w:rsidRPr="00661595" w:rsidRDefault="00674BF5" w:rsidP="00487A02">
            <w:pPr>
              <w:pStyle w:val="InstructionsText"/>
            </w:pPr>
            <w:r w:rsidRPr="00661595">
              <w:t>Point (114) of Article 4(1) and Articles 44 and 45 CRR</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490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15.2.1</w:t>
            </w:r>
            <w:r w:rsidRPr="00661595">
              <w:rPr>
                <w:rStyle w:val="InstructionsTabelleberschrift"/>
                <w:rFonts w:ascii="Times New Roman" w:hAnsi="Times New Roman"/>
                <w:sz w:val="24"/>
              </w:rPr>
              <w:tab/>
              <w:t>Gross indirect holdings of CET1 capital of financial sector entities where the institution has a significant investment</w:t>
            </w:r>
          </w:p>
          <w:p w:rsidR="00674BF5" w:rsidRPr="00661595" w:rsidRDefault="00674BF5" w:rsidP="00487A02">
            <w:pPr>
              <w:pStyle w:val="InstructionsText"/>
            </w:pPr>
            <w:r w:rsidRPr="00661595">
              <w:t>Point (114) of Article 4(1) and Articles 44 and 45 CRR</w:t>
            </w:r>
          </w:p>
          <w:p w:rsidR="00674BF5" w:rsidRPr="00661595" w:rsidRDefault="00674BF5" w:rsidP="00487A02">
            <w:pPr>
              <w:pStyle w:val="InstructionsText"/>
            </w:pPr>
            <w:r w:rsidRPr="00661595">
              <w:t>The amount to be reported shall be the indirect holdings in the trading book of the capital instruments of financial sector entities that take the form of holdings of index securities. It shall be obtained by calculating the underlying exposure to the capital instruments of the financial sector entities in the indices.</w:t>
            </w:r>
          </w:p>
          <w:p w:rsidR="00674BF5" w:rsidRPr="00661595" w:rsidRDefault="00674BF5" w:rsidP="00487A02">
            <w:pPr>
              <w:pStyle w:val="InstructionsText"/>
            </w:pPr>
            <w:r w:rsidRPr="00661595">
              <w:t>Holdings which are treated as reciprocal cross holdings in accordance with point (g) of Article 36(1) CRR shall not be included.</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500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15.2.2</w:t>
            </w:r>
            <w:r w:rsidRPr="00661595">
              <w:rPr>
                <w:rStyle w:val="InstructionsTabelleberschrift"/>
                <w:rFonts w:ascii="Times New Roman" w:hAnsi="Times New Roman"/>
                <w:sz w:val="24"/>
              </w:rPr>
              <w:tab/>
              <w:t>(-) Permitted offsetting short positions in relation to the indirect gross holdings included above</w:t>
            </w:r>
          </w:p>
          <w:p w:rsidR="00674BF5" w:rsidRPr="00661595" w:rsidRDefault="00674BF5" w:rsidP="00487A02">
            <w:pPr>
              <w:pStyle w:val="InstructionsText"/>
            </w:pPr>
            <w:r w:rsidRPr="00661595">
              <w:t>Point (114) of Article 4(1) and Article 45 CRR</w:t>
            </w:r>
          </w:p>
          <w:p w:rsidR="00674BF5" w:rsidRPr="00661595" w:rsidRDefault="00674BF5" w:rsidP="00487A02">
            <w:pPr>
              <w:pStyle w:val="InstructionsText"/>
            </w:pPr>
            <w:r w:rsidRPr="00661595">
              <w:t xml:space="preserve">Point (a) of Article 45 CRR allows offsetting short positions in the same underlying exposure provided the maturity </w:t>
            </w:r>
            <w:r w:rsidR="00922F04" w:rsidRPr="00661595">
              <w:t>date of the short is either the same or later than the maturity date of the long position or the residual maturity of the short position is at least one year.</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501</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15.3</w:t>
            </w:r>
            <w:r w:rsidRPr="00661595">
              <w:rPr>
                <w:rStyle w:val="InstructionsTabelleberschrift"/>
                <w:rFonts w:ascii="Times New Roman" w:hAnsi="Times New Roman"/>
                <w:sz w:val="24"/>
              </w:rPr>
              <w:tab/>
              <w:t>Synthetic holdings of CET1 capital of financial sector entities where the institution has a significant investment</w:t>
            </w:r>
          </w:p>
          <w:p w:rsidR="00674BF5" w:rsidRPr="00661595" w:rsidRDefault="00674BF5" w:rsidP="00487A02">
            <w:pPr>
              <w:pStyle w:val="InstructionsText"/>
            </w:pPr>
            <w:r w:rsidRPr="00661595">
              <w:t>Point (126) of Article 4(1) and Articles 44 and 45 CRR</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502</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15.3.1</w:t>
            </w:r>
            <w:r w:rsidRPr="00661595">
              <w:rPr>
                <w:rStyle w:val="InstructionsTabelleberschrift"/>
                <w:rFonts w:ascii="Times New Roman" w:hAnsi="Times New Roman"/>
                <w:sz w:val="24"/>
              </w:rPr>
              <w:tab/>
              <w:t>Gross synthetic holdings of CET1 capital of financial sector entities where the institution has a significant investment</w:t>
            </w:r>
          </w:p>
          <w:p w:rsidR="00674BF5" w:rsidRPr="00661595" w:rsidRDefault="00674BF5" w:rsidP="00487A02">
            <w:pPr>
              <w:pStyle w:val="InstructionsText"/>
            </w:pPr>
            <w:r w:rsidRPr="00661595">
              <w:t>Point (126) of Article 4(1) and Articles 44 and 45 CRR</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503</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15.3.2</w:t>
            </w:r>
            <w:r w:rsidRPr="00661595">
              <w:rPr>
                <w:rStyle w:val="InstructionsTabelleberschrift"/>
                <w:rFonts w:ascii="Times New Roman" w:hAnsi="Times New Roman"/>
                <w:sz w:val="24"/>
              </w:rPr>
              <w:tab/>
              <w:t>(-) Permitted offsetting short positions in relation to the synthetic gross holdings included above</w:t>
            </w:r>
          </w:p>
          <w:p w:rsidR="00674BF5" w:rsidRPr="00661595" w:rsidRDefault="00674BF5" w:rsidP="00487A02">
            <w:pPr>
              <w:pStyle w:val="InstructionsText"/>
            </w:pPr>
            <w:r w:rsidRPr="00661595">
              <w:t>Point (126) of Article 4(1) and Article 45 CRR</w:t>
            </w:r>
            <w:r w:rsidR="002D31E5" w:rsidRPr="00661595">
              <w:t>.</w:t>
            </w:r>
          </w:p>
          <w:p w:rsidR="002D31E5" w:rsidRPr="00661595" w:rsidRDefault="000D04B6" w:rsidP="000D04B6">
            <w:pPr>
              <w:pStyle w:val="InstructionsText"/>
            </w:pPr>
            <w:r>
              <w:t xml:space="preserve">Point (a) of </w:t>
            </w:r>
            <w:r w:rsidR="002D31E5" w:rsidRPr="00661595">
              <w:t>Article 45</w:t>
            </w:r>
            <w:r w:rsidR="00754ADC" w:rsidRPr="00661595">
              <w:t xml:space="preserve"> </w:t>
            </w:r>
            <w:r w:rsidR="002D31E5" w:rsidRPr="00661595">
              <w:t>CRR allows offsetting short positions in the same underlying exposure provided the maturity date of the short position is either the same or later than the maturity date of the long position or the residual maturity of the short position is at least one year.</w:t>
            </w:r>
          </w:p>
        </w:tc>
      </w:tr>
      <w:tr w:rsidR="00916197" w:rsidRPr="00661595" w:rsidTr="00674BF5">
        <w:tc>
          <w:tcPr>
            <w:tcW w:w="1474" w:type="dxa"/>
          </w:tcPr>
          <w:p w:rsidR="00916197" w:rsidRPr="00661595" w:rsidRDefault="00916197" w:rsidP="00487A02">
            <w:pPr>
              <w:pStyle w:val="InstructionsText"/>
            </w:pPr>
            <w:r w:rsidRPr="00661595">
              <w:t>0504</w:t>
            </w:r>
          </w:p>
        </w:tc>
        <w:tc>
          <w:tcPr>
            <w:tcW w:w="7049" w:type="dxa"/>
          </w:tcPr>
          <w:p w:rsidR="00916197" w:rsidRPr="00661595" w:rsidRDefault="00916197"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Investments in CET1 capital of financial sector entities where the institution has a significant investment - subject to a risk weight of 250%</w:t>
            </w:r>
          </w:p>
          <w:p w:rsidR="00916197" w:rsidRPr="00661595" w:rsidRDefault="00916197" w:rsidP="00487A02">
            <w:pPr>
              <w:pStyle w:val="InstructionsText"/>
            </w:pPr>
            <w:r w:rsidRPr="00661595">
              <w:t>Article 48(4) CRR</w:t>
            </w:r>
          </w:p>
          <w:p w:rsidR="00916197" w:rsidRPr="00661595" w:rsidRDefault="00916197" w:rsidP="00487A02">
            <w:pPr>
              <w:pStyle w:val="InstructionsText"/>
            </w:pPr>
            <w:r w:rsidRPr="00661595">
              <w:t>The amount of significant investments in CET1 capital of financial sector entities</w:t>
            </w:r>
            <w:r w:rsidR="00EB53AD" w:rsidRPr="00661595">
              <w:t xml:space="preserve"> that are not deducted pur</w:t>
            </w:r>
            <w:r w:rsidRPr="00661595">
              <w:t>suant to Article 48(1) CRR, but subject to a risk weight of 250% in accordance with Article 48(4) CRR.</w:t>
            </w:r>
          </w:p>
          <w:p w:rsidR="00916197" w:rsidRPr="00661595" w:rsidRDefault="00916197" w:rsidP="00487A02">
            <w:pPr>
              <w:pStyle w:val="InstructionsText"/>
              <w:rPr>
                <w:rStyle w:val="InstructionsTabelleberschrift"/>
                <w:rFonts w:ascii="Times New Roman" w:hAnsi="Times New Roman"/>
                <w:sz w:val="24"/>
              </w:rPr>
            </w:pPr>
            <w:r w:rsidRPr="00661595">
              <w:t>The amount reported shall be the amount of significant investments before the application of the risk weight.</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510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16 Holdings of AT1 capital of financial sector entities where the institution has a significant investment, net of short positions</w:t>
            </w:r>
          </w:p>
          <w:p w:rsidR="00674BF5" w:rsidRPr="00661595" w:rsidRDefault="00674BF5" w:rsidP="00487A02">
            <w:pPr>
              <w:pStyle w:val="InstructionsText"/>
            </w:pPr>
            <w:r w:rsidRPr="00661595">
              <w:t>Articles 58 and 59 CRR</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520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16.1</w:t>
            </w:r>
            <w:r w:rsidRPr="00661595">
              <w:rPr>
                <w:rStyle w:val="InstructionsTabelleberschrift"/>
                <w:rFonts w:ascii="Times New Roman" w:hAnsi="Times New Roman"/>
                <w:sz w:val="24"/>
              </w:rPr>
              <w:tab/>
              <w:t>Direct holdings of AT1 capital of financial sector entities where the institution has a significant investment</w:t>
            </w:r>
          </w:p>
          <w:p w:rsidR="00674BF5" w:rsidRPr="00661595" w:rsidRDefault="00674BF5" w:rsidP="00487A02">
            <w:pPr>
              <w:pStyle w:val="InstructionsText"/>
            </w:pPr>
            <w:r w:rsidRPr="00661595">
              <w:t>Articles 58 and 59 CRR</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530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16.1.1</w:t>
            </w:r>
            <w:r w:rsidRPr="00661595">
              <w:rPr>
                <w:rStyle w:val="InstructionsTabelleberschrift"/>
                <w:rFonts w:ascii="Times New Roman" w:hAnsi="Times New Roman"/>
                <w:sz w:val="24"/>
              </w:rPr>
              <w:tab/>
              <w:t>Gross direct holdings of AT1 capital of financial sector entities where the institution has a significant investment</w:t>
            </w:r>
          </w:p>
          <w:p w:rsidR="00674BF5" w:rsidRPr="00661595" w:rsidRDefault="00674BF5" w:rsidP="00487A02">
            <w:pPr>
              <w:pStyle w:val="InstructionsText"/>
            </w:pPr>
            <w:r w:rsidRPr="00661595">
              <w:t>Article 58 CRR</w:t>
            </w:r>
          </w:p>
          <w:p w:rsidR="00674BF5" w:rsidRPr="00661595" w:rsidRDefault="00674BF5" w:rsidP="00487A02">
            <w:pPr>
              <w:pStyle w:val="InstructionsText"/>
            </w:pPr>
            <w:r w:rsidRPr="00661595">
              <w:t>Direct holdings of AT1 capital of financial sector entities where the institution has a significant investment, excluding:</w:t>
            </w:r>
          </w:p>
          <w:p w:rsidR="00674BF5" w:rsidRPr="00661595" w:rsidRDefault="00674BF5" w:rsidP="00487A02">
            <w:pPr>
              <w:pStyle w:val="InstructionsText"/>
            </w:pPr>
            <w:r w:rsidRPr="00661595">
              <w:t>a)</w:t>
            </w:r>
            <w:r w:rsidRPr="00661595">
              <w:tab/>
              <w:t>Underwriting positions held for 5 working days or fewer (point (d) of Article 56 CRR); and</w:t>
            </w:r>
          </w:p>
          <w:p w:rsidR="00674BF5" w:rsidRPr="00661595" w:rsidRDefault="00674BF5" w:rsidP="00487A02">
            <w:pPr>
              <w:pStyle w:val="InstructionsText"/>
            </w:pPr>
            <w:r w:rsidRPr="00661595">
              <w:t>b)</w:t>
            </w:r>
            <w:r w:rsidRPr="00661595">
              <w:tab/>
              <w:t>Holdings which are treated as reciprocal cross holdings in accordance with point (b) of Article 56 CRR.</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540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16.1.2</w:t>
            </w:r>
            <w:r w:rsidRPr="00661595">
              <w:rPr>
                <w:rStyle w:val="InstructionsTabelleberschrift"/>
                <w:rFonts w:ascii="Times New Roman" w:hAnsi="Times New Roman"/>
                <w:sz w:val="24"/>
              </w:rPr>
              <w:tab/>
              <w:t>(-) Permitted offsetting short positions in relation to the direct gross holdings included above</w:t>
            </w:r>
          </w:p>
          <w:p w:rsidR="00674BF5" w:rsidRPr="00661595" w:rsidRDefault="00674BF5" w:rsidP="00487A02">
            <w:pPr>
              <w:pStyle w:val="InstructionsText"/>
            </w:pPr>
            <w:r w:rsidRPr="00661595">
              <w:t>Article 59 CRR</w:t>
            </w:r>
          </w:p>
          <w:p w:rsidR="00674BF5" w:rsidRPr="00661595" w:rsidRDefault="00674BF5" w:rsidP="00487A02">
            <w:pPr>
              <w:pStyle w:val="InstructionsText"/>
            </w:pPr>
            <w:r w:rsidRPr="00661595">
              <w:t xml:space="preserve">Point (a) of Article 59 CRR allows offsetting short positions in the same underlying exposure provided the maturity </w:t>
            </w:r>
            <w:r w:rsidR="00922F04" w:rsidRPr="00661595">
              <w:t>date of the short is either the same or later than the maturity date of the long position or the residual maturity of the short position is at least one year.</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550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16.2</w:t>
            </w:r>
            <w:r w:rsidRPr="00661595">
              <w:rPr>
                <w:rStyle w:val="InstructionsTabelleberschrift"/>
                <w:rFonts w:ascii="Times New Roman" w:hAnsi="Times New Roman"/>
                <w:sz w:val="24"/>
              </w:rPr>
              <w:tab/>
              <w:t>Indirect holdings of AT1 capital of financial sector entities where the institution has a significant investment</w:t>
            </w:r>
          </w:p>
          <w:p w:rsidR="00674BF5" w:rsidRPr="00661595" w:rsidRDefault="00674BF5" w:rsidP="00487A02">
            <w:pPr>
              <w:pStyle w:val="InstructionsText"/>
            </w:pPr>
            <w:r w:rsidRPr="00661595">
              <w:t>Point (114) of Article 4(1) and Articles 58 and 59 CRR</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560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16.2.1</w:t>
            </w:r>
            <w:r w:rsidRPr="00661595">
              <w:rPr>
                <w:rStyle w:val="InstructionsTabelleberschrift"/>
                <w:rFonts w:ascii="Times New Roman" w:hAnsi="Times New Roman"/>
                <w:sz w:val="24"/>
              </w:rPr>
              <w:tab/>
              <w:t>Gross indirect holdings of AT1 capital of financial sector</w:t>
            </w:r>
            <w:r w:rsidRPr="00661595" w:rsidDel="00D81C35">
              <w:rPr>
                <w:rStyle w:val="InstructionsTabelleberschrift"/>
                <w:rFonts w:ascii="Times New Roman" w:hAnsi="Times New Roman"/>
                <w:sz w:val="24"/>
              </w:rPr>
              <w:t xml:space="preserve"> </w:t>
            </w:r>
            <w:r w:rsidRPr="00661595">
              <w:rPr>
                <w:rStyle w:val="InstructionsTabelleberschrift"/>
                <w:rFonts w:ascii="Times New Roman" w:hAnsi="Times New Roman"/>
                <w:sz w:val="24"/>
              </w:rPr>
              <w:t>entities where the institution has a significant investment</w:t>
            </w:r>
          </w:p>
          <w:p w:rsidR="00674BF5" w:rsidRPr="00661595" w:rsidRDefault="00674BF5" w:rsidP="00487A02">
            <w:pPr>
              <w:pStyle w:val="InstructionsText"/>
            </w:pPr>
            <w:r w:rsidRPr="00661595">
              <w:t>Point (114) of Article 4(1) and Articles 58 and 59 CRR</w:t>
            </w:r>
          </w:p>
          <w:p w:rsidR="00674BF5" w:rsidRPr="00661595" w:rsidRDefault="00674BF5" w:rsidP="00487A02">
            <w:pPr>
              <w:pStyle w:val="InstructionsText"/>
            </w:pPr>
            <w:r w:rsidRPr="00661595">
              <w:t>The amount to be reported shall be the indirect holdings in the trading book of the capital instruments of financial sector entities that take the form of holdings of index securities. It shall be obtained by calculating the underlying exposure to the capital instruments of the financial sector entities in the indices.</w:t>
            </w:r>
          </w:p>
          <w:p w:rsidR="00674BF5" w:rsidRPr="00661595" w:rsidRDefault="00674BF5" w:rsidP="00487A02">
            <w:pPr>
              <w:pStyle w:val="InstructionsText"/>
            </w:pPr>
            <w:r w:rsidRPr="00661595">
              <w:t>Holdings which are treated as reciprocal cross holdings in accordance with point (b) of Article 56 CRR shall not be included.</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570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16.2.2</w:t>
            </w:r>
            <w:r w:rsidRPr="00661595">
              <w:rPr>
                <w:rStyle w:val="InstructionsTabelleberschrift"/>
                <w:rFonts w:ascii="Times New Roman" w:hAnsi="Times New Roman"/>
                <w:sz w:val="24"/>
              </w:rPr>
              <w:tab/>
              <w:t>(-) Permitted offsetting short positions in relation to the indirect gross holdings included above</w:t>
            </w:r>
          </w:p>
          <w:p w:rsidR="00674BF5" w:rsidRPr="00661595" w:rsidRDefault="00674BF5" w:rsidP="00487A02">
            <w:pPr>
              <w:pStyle w:val="InstructionsText"/>
            </w:pPr>
            <w:r w:rsidRPr="00661595">
              <w:t>Point (114) of Article 4(1) and Article 59 CRR</w:t>
            </w:r>
          </w:p>
          <w:p w:rsidR="00674BF5" w:rsidRPr="00661595" w:rsidRDefault="00674BF5" w:rsidP="00487A02">
            <w:pPr>
              <w:pStyle w:val="InstructionsText"/>
            </w:pPr>
            <w:r w:rsidRPr="00661595">
              <w:t xml:space="preserve">Point (a) of Article 59 CRR allows offsetting short positions in the same underlying exposure provided the maturity </w:t>
            </w:r>
            <w:r w:rsidR="00922F04" w:rsidRPr="00661595">
              <w:t>date of the short is either the same or later than the maturity date of the long position or the residual maturity of the short position is at least one year.</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571</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16.3</w:t>
            </w:r>
            <w:r w:rsidRPr="00661595">
              <w:rPr>
                <w:rStyle w:val="InstructionsTabelleberschrift"/>
                <w:rFonts w:ascii="Times New Roman" w:hAnsi="Times New Roman"/>
                <w:sz w:val="24"/>
              </w:rPr>
              <w:tab/>
              <w:t>Synthetic holdings of AT1 capital of financial sector entities where the institution has a significant investment</w:t>
            </w:r>
          </w:p>
          <w:p w:rsidR="00674BF5" w:rsidRPr="00661595" w:rsidRDefault="00674BF5" w:rsidP="00487A02">
            <w:pPr>
              <w:pStyle w:val="InstructionsText"/>
              <w:rPr>
                <w:rStyle w:val="InstructionsTabelleberschrift"/>
                <w:rFonts w:ascii="Times New Roman" w:hAnsi="Times New Roman"/>
                <w:b w:val="0"/>
                <w:bCs w:val="0"/>
                <w:sz w:val="24"/>
                <w:u w:val="none"/>
              </w:rPr>
            </w:pPr>
            <w:r w:rsidRPr="00661595">
              <w:t>Point (126) of Article 4(1) and Articles 58 and 59 CRR</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572</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16.3.1</w:t>
            </w:r>
            <w:r w:rsidRPr="00661595">
              <w:rPr>
                <w:rStyle w:val="InstructionsTabelleberschrift"/>
                <w:rFonts w:ascii="Times New Roman" w:hAnsi="Times New Roman"/>
                <w:sz w:val="24"/>
              </w:rPr>
              <w:tab/>
              <w:t>Gross synthetic holdings of AT1 capital of financial sector entities where the institution has a significant investment</w:t>
            </w:r>
          </w:p>
          <w:p w:rsidR="00674BF5" w:rsidRPr="00661595" w:rsidRDefault="00674BF5" w:rsidP="00487A02">
            <w:pPr>
              <w:pStyle w:val="InstructionsText"/>
              <w:rPr>
                <w:rStyle w:val="InstructionsTabelleberschrift"/>
                <w:rFonts w:ascii="Times New Roman" w:hAnsi="Times New Roman"/>
                <w:b w:val="0"/>
                <w:bCs w:val="0"/>
                <w:sz w:val="24"/>
                <w:u w:val="none"/>
              </w:rPr>
            </w:pPr>
            <w:r w:rsidRPr="00661595">
              <w:t>Point (126) of Article 4(1) and Articles 58 and 59 CRR</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573</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16.3.2</w:t>
            </w:r>
            <w:r w:rsidRPr="00661595">
              <w:rPr>
                <w:rStyle w:val="InstructionsTabelleberschrift"/>
                <w:rFonts w:ascii="Times New Roman" w:hAnsi="Times New Roman"/>
                <w:sz w:val="24"/>
              </w:rPr>
              <w:tab/>
              <w:t>(-) Permitted offsetting short positions in relation to the synthetic gross holdings included above</w:t>
            </w:r>
          </w:p>
          <w:p w:rsidR="00674BF5" w:rsidRPr="00661595" w:rsidRDefault="00674BF5" w:rsidP="00487A02">
            <w:pPr>
              <w:pStyle w:val="InstructionsText"/>
            </w:pPr>
            <w:r w:rsidRPr="00661595">
              <w:t>Point (126) of Article 4(1) and Article 59 CRR</w:t>
            </w:r>
            <w:r w:rsidR="002D31E5" w:rsidRPr="00661595">
              <w:t>.</w:t>
            </w:r>
          </w:p>
          <w:p w:rsidR="002D31E5" w:rsidRPr="00661595" w:rsidRDefault="000D04B6" w:rsidP="000D04B6">
            <w:pPr>
              <w:pStyle w:val="InstructionsText"/>
              <w:rPr>
                <w:rStyle w:val="InstructionsTabelleberschrift"/>
                <w:rFonts w:ascii="Times New Roman" w:hAnsi="Times New Roman"/>
                <w:b w:val="0"/>
                <w:bCs w:val="0"/>
                <w:sz w:val="24"/>
                <w:u w:val="none"/>
              </w:rPr>
            </w:pPr>
            <w:r>
              <w:rPr>
                <w:rStyle w:val="InstructionsTabelleberschrift"/>
                <w:rFonts w:ascii="Times New Roman" w:hAnsi="Times New Roman"/>
                <w:b w:val="0"/>
                <w:sz w:val="24"/>
                <w:u w:val="none"/>
              </w:rPr>
              <w:t xml:space="preserve">Point (a) of </w:t>
            </w:r>
            <w:r w:rsidR="002D31E5" w:rsidRPr="00661595">
              <w:rPr>
                <w:rStyle w:val="InstructionsTabelleberschrift"/>
                <w:rFonts w:ascii="Times New Roman" w:hAnsi="Times New Roman"/>
                <w:b w:val="0"/>
                <w:sz w:val="24"/>
                <w:u w:val="none"/>
              </w:rPr>
              <w:t>Article 59 CRR allows offsetting short positions in the same underlying exposure provided the maturity date of the short position is either the same or later than the maturity date of the long position or the residual maturity of the short position is at least one year.</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580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17 Holdings of T2 capital of financial sector</w:t>
            </w:r>
            <w:r w:rsidRPr="00661595" w:rsidDel="00D81C35">
              <w:rPr>
                <w:rStyle w:val="InstructionsTabelleberschrift"/>
                <w:rFonts w:ascii="Times New Roman" w:hAnsi="Times New Roman"/>
                <w:sz w:val="24"/>
              </w:rPr>
              <w:t xml:space="preserve"> </w:t>
            </w:r>
            <w:r w:rsidRPr="00661595">
              <w:rPr>
                <w:rStyle w:val="InstructionsTabelleberschrift"/>
                <w:rFonts w:ascii="Times New Roman" w:hAnsi="Times New Roman"/>
                <w:sz w:val="24"/>
              </w:rPr>
              <w:t>entities where the institution has a significant investment, net of short positions</w:t>
            </w:r>
          </w:p>
          <w:p w:rsidR="00674BF5" w:rsidRPr="00661595" w:rsidRDefault="00674BF5" w:rsidP="00487A02">
            <w:pPr>
              <w:pStyle w:val="InstructionsText"/>
            </w:pPr>
            <w:r w:rsidRPr="00661595">
              <w:t>Articles 68 and 69 CRR</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590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17.1</w:t>
            </w:r>
            <w:r w:rsidRPr="00661595">
              <w:rPr>
                <w:rStyle w:val="InstructionsTabelleberschrift"/>
                <w:rFonts w:ascii="Times New Roman" w:hAnsi="Times New Roman"/>
                <w:sz w:val="24"/>
              </w:rPr>
              <w:tab/>
              <w:t>Direct holdings of T2 capital of financial sector</w:t>
            </w:r>
            <w:r w:rsidRPr="00661595" w:rsidDel="00D81C35">
              <w:rPr>
                <w:rStyle w:val="InstructionsTabelleberschrift"/>
                <w:rFonts w:ascii="Times New Roman" w:hAnsi="Times New Roman"/>
                <w:sz w:val="24"/>
              </w:rPr>
              <w:t xml:space="preserve"> </w:t>
            </w:r>
            <w:r w:rsidRPr="00661595">
              <w:rPr>
                <w:rStyle w:val="InstructionsTabelleberschrift"/>
                <w:rFonts w:ascii="Times New Roman" w:hAnsi="Times New Roman"/>
                <w:sz w:val="24"/>
              </w:rPr>
              <w:t>entities where the institution has a significant investment</w:t>
            </w:r>
          </w:p>
          <w:p w:rsidR="00674BF5" w:rsidRPr="00661595" w:rsidRDefault="00674BF5" w:rsidP="00487A02">
            <w:pPr>
              <w:pStyle w:val="InstructionsText"/>
            </w:pPr>
            <w:r w:rsidRPr="00661595">
              <w:t>Articles 68 and 69 CRR</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600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17.1.1</w:t>
            </w:r>
            <w:r w:rsidRPr="00661595">
              <w:rPr>
                <w:rStyle w:val="InstructionsTabelleberschrift"/>
                <w:rFonts w:ascii="Times New Roman" w:hAnsi="Times New Roman"/>
                <w:sz w:val="24"/>
              </w:rPr>
              <w:tab/>
              <w:t>Gross direct holdings of T2 capital of financial sector</w:t>
            </w:r>
            <w:r w:rsidRPr="00661595" w:rsidDel="00D81C35">
              <w:rPr>
                <w:rStyle w:val="InstructionsTabelleberschrift"/>
                <w:rFonts w:ascii="Times New Roman" w:hAnsi="Times New Roman"/>
                <w:sz w:val="24"/>
              </w:rPr>
              <w:t xml:space="preserve"> </w:t>
            </w:r>
            <w:r w:rsidRPr="00661595">
              <w:rPr>
                <w:rStyle w:val="InstructionsTabelleberschrift"/>
                <w:rFonts w:ascii="Times New Roman" w:hAnsi="Times New Roman"/>
                <w:sz w:val="24"/>
              </w:rPr>
              <w:t>entities where the institution has a significant investment</w:t>
            </w:r>
          </w:p>
          <w:p w:rsidR="00674BF5" w:rsidRPr="00661595" w:rsidRDefault="00674BF5" w:rsidP="00487A02">
            <w:pPr>
              <w:pStyle w:val="InstructionsText"/>
            </w:pPr>
            <w:r w:rsidRPr="00661595">
              <w:t>Article 68 CRR</w:t>
            </w:r>
          </w:p>
          <w:p w:rsidR="00674BF5" w:rsidRPr="00661595" w:rsidRDefault="00674BF5" w:rsidP="00487A02">
            <w:pPr>
              <w:pStyle w:val="InstructionsText"/>
            </w:pPr>
            <w:r w:rsidRPr="00661595">
              <w:t>Direct holdings of T2 capital of financial sector entities where the institution has a significant investment, excluding:</w:t>
            </w:r>
          </w:p>
          <w:p w:rsidR="00674BF5" w:rsidRPr="00661595" w:rsidRDefault="00674BF5" w:rsidP="00487A02">
            <w:pPr>
              <w:pStyle w:val="InstructionsText"/>
            </w:pPr>
            <w:r w:rsidRPr="00661595">
              <w:t>a)</w:t>
            </w:r>
            <w:r w:rsidRPr="00661595">
              <w:tab/>
              <w:t xml:space="preserve">Underwriting positions held for 5 working days or fewer (point (d) of Article 66 CRR); and </w:t>
            </w:r>
          </w:p>
          <w:p w:rsidR="00674BF5" w:rsidRPr="00661595" w:rsidRDefault="00674BF5" w:rsidP="00487A02">
            <w:pPr>
              <w:pStyle w:val="InstructionsText"/>
            </w:pPr>
            <w:r w:rsidRPr="00661595">
              <w:t>b)</w:t>
            </w:r>
            <w:r w:rsidRPr="00661595">
              <w:tab/>
              <w:t>Holdings which are treated as reciprocal cross holdings in accordance with point (b) of Article 66 CRR</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610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17.1.2</w:t>
            </w:r>
            <w:r w:rsidRPr="00661595">
              <w:rPr>
                <w:rStyle w:val="InstructionsTabelleberschrift"/>
                <w:rFonts w:ascii="Times New Roman" w:hAnsi="Times New Roman"/>
                <w:sz w:val="24"/>
              </w:rPr>
              <w:tab/>
              <w:t>(-) Permitted offsetting short positions in relation to the direct gross holdings included above</w:t>
            </w:r>
          </w:p>
          <w:p w:rsidR="00674BF5" w:rsidRPr="00661595" w:rsidRDefault="00674BF5" w:rsidP="00487A02">
            <w:pPr>
              <w:pStyle w:val="InstructionsText"/>
            </w:pPr>
            <w:r w:rsidRPr="00661595">
              <w:t>Article 69 CRR</w:t>
            </w:r>
          </w:p>
          <w:p w:rsidR="00674BF5" w:rsidRPr="00661595" w:rsidRDefault="00674BF5" w:rsidP="00487A02">
            <w:pPr>
              <w:pStyle w:val="InstructionsText"/>
            </w:pPr>
            <w:r w:rsidRPr="00661595">
              <w:t xml:space="preserve">Point (a) of Article 69 CRR allows offsetting short positions in the same underlying exposure provided the maturity </w:t>
            </w:r>
            <w:r w:rsidR="00922F04" w:rsidRPr="00661595">
              <w:t>date of the short is either the same or later than the maturity date of the long position or the residual maturity of the short position is at least one year.</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620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17.2</w:t>
            </w:r>
            <w:r w:rsidRPr="00661595">
              <w:rPr>
                <w:rStyle w:val="InstructionsTabelleberschrift"/>
                <w:rFonts w:ascii="Times New Roman" w:hAnsi="Times New Roman"/>
                <w:sz w:val="24"/>
              </w:rPr>
              <w:tab/>
              <w:t>Indirect holdings of T2 capital of financial sector</w:t>
            </w:r>
            <w:r w:rsidRPr="00661595" w:rsidDel="00D81C35">
              <w:rPr>
                <w:rStyle w:val="InstructionsTabelleberschrift"/>
                <w:rFonts w:ascii="Times New Roman" w:hAnsi="Times New Roman"/>
                <w:sz w:val="24"/>
              </w:rPr>
              <w:t xml:space="preserve"> </w:t>
            </w:r>
            <w:r w:rsidRPr="00661595">
              <w:rPr>
                <w:rStyle w:val="InstructionsTabelleberschrift"/>
                <w:rFonts w:ascii="Times New Roman" w:hAnsi="Times New Roman"/>
                <w:sz w:val="24"/>
              </w:rPr>
              <w:t>entities where the institution has a significant investment</w:t>
            </w:r>
          </w:p>
          <w:p w:rsidR="00674BF5" w:rsidRPr="00661595" w:rsidRDefault="00674BF5" w:rsidP="00487A02">
            <w:pPr>
              <w:pStyle w:val="InstructionsText"/>
            </w:pPr>
            <w:r w:rsidRPr="00661595">
              <w:t>Point (114) of Article 4(1) and Articles 68 and 69 CRR</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630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17.2.1</w:t>
            </w:r>
            <w:r w:rsidRPr="00661595">
              <w:rPr>
                <w:rStyle w:val="InstructionsTabelleberschrift"/>
                <w:rFonts w:ascii="Times New Roman" w:hAnsi="Times New Roman"/>
                <w:sz w:val="24"/>
              </w:rPr>
              <w:tab/>
              <w:t>Gross indirect holdings of T2 capital of financial sector</w:t>
            </w:r>
            <w:r w:rsidRPr="00661595" w:rsidDel="00D81C35">
              <w:rPr>
                <w:rStyle w:val="InstructionsTabelleberschrift"/>
                <w:rFonts w:ascii="Times New Roman" w:hAnsi="Times New Roman"/>
                <w:sz w:val="24"/>
              </w:rPr>
              <w:t xml:space="preserve"> </w:t>
            </w:r>
            <w:r w:rsidRPr="00661595">
              <w:rPr>
                <w:rStyle w:val="InstructionsTabelleberschrift"/>
                <w:rFonts w:ascii="Times New Roman" w:hAnsi="Times New Roman"/>
                <w:sz w:val="24"/>
              </w:rPr>
              <w:t>entities where the institution has a significant investment</w:t>
            </w:r>
          </w:p>
          <w:p w:rsidR="00674BF5" w:rsidRPr="00661595" w:rsidRDefault="00674BF5" w:rsidP="00487A02">
            <w:pPr>
              <w:pStyle w:val="InstructionsText"/>
            </w:pPr>
            <w:r w:rsidRPr="00661595">
              <w:t>Point (114) of Article 4(1) and Articles 68 and 69 CRR</w:t>
            </w:r>
          </w:p>
          <w:p w:rsidR="00674BF5" w:rsidRPr="00661595" w:rsidRDefault="00674BF5" w:rsidP="00487A02">
            <w:pPr>
              <w:pStyle w:val="InstructionsText"/>
            </w:pPr>
            <w:r w:rsidRPr="00661595">
              <w:t>The amount to be reported shall be the indirect holdings in the trading book of the capital instruments of financial sector entities that take the form of holdings of index securities. It shall be obtained by calculating the underlying exposure to the capital instruments of the financial sector entities in the indices.</w:t>
            </w:r>
          </w:p>
          <w:p w:rsidR="00674BF5" w:rsidRPr="00661595" w:rsidRDefault="00674BF5" w:rsidP="00487A02">
            <w:pPr>
              <w:pStyle w:val="InstructionsText"/>
            </w:pPr>
            <w:r w:rsidRPr="00661595">
              <w:t>Holdings which are treated as reciprocal cross holdings in accordance with point (b) of Article 66 CRR shall not be included</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640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17.2.2</w:t>
            </w:r>
            <w:r w:rsidRPr="00661595">
              <w:rPr>
                <w:rStyle w:val="InstructionsTabelleberschrift"/>
                <w:rFonts w:ascii="Times New Roman" w:hAnsi="Times New Roman"/>
                <w:sz w:val="24"/>
              </w:rPr>
              <w:tab/>
              <w:t>(-) Permitted offsetting short positions in relation to the indirect gross holdings included above</w:t>
            </w:r>
          </w:p>
          <w:p w:rsidR="00674BF5" w:rsidRPr="00661595" w:rsidRDefault="00674BF5" w:rsidP="00487A02">
            <w:pPr>
              <w:pStyle w:val="InstructionsText"/>
            </w:pPr>
            <w:r w:rsidRPr="00661595">
              <w:t>Point (114) of Article 4(1) and Article 69 CRR</w:t>
            </w:r>
          </w:p>
          <w:p w:rsidR="00674BF5" w:rsidRPr="00661595" w:rsidRDefault="00674BF5" w:rsidP="00487A02">
            <w:pPr>
              <w:pStyle w:val="InstructionsText"/>
            </w:pPr>
            <w:r w:rsidRPr="00661595">
              <w:t xml:space="preserve">Point (a) of Article 69 CRR allows offsetting short positions in the same underlying exposure provided the maturity </w:t>
            </w:r>
            <w:r w:rsidR="00922F04" w:rsidRPr="00661595">
              <w:t>date of the short is either the same or later than the maturity date of the long position or the residual maturity of the short position is at least one year.</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641</w:t>
            </w:r>
          </w:p>
        </w:tc>
        <w:tc>
          <w:tcPr>
            <w:tcW w:w="7049" w:type="dxa"/>
            <w:vAlign w:val="center"/>
          </w:tcPr>
          <w:p w:rsidR="00674BF5" w:rsidRPr="00661595" w:rsidRDefault="00674BF5" w:rsidP="00487A02">
            <w:pPr>
              <w:pStyle w:val="InstructionsText"/>
            </w:pPr>
            <w:r w:rsidRPr="00661595">
              <w:rPr>
                <w:rStyle w:val="InstructionsTabelleberschrift"/>
                <w:rFonts w:ascii="Times New Roman" w:hAnsi="Times New Roman"/>
                <w:sz w:val="24"/>
              </w:rPr>
              <w:t>17.3</w:t>
            </w:r>
            <w:r w:rsidRPr="00661595">
              <w:rPr>
                <w:rStyle w:val="InstructionsTabelleberschrift"/>
                <w:rFonts w:ascii="Times New Roman" w:hAnsi="Times New Roman"/>
                <w:sz w:val="24"/>
              </w:rPr>
              <w:tab/>
              <w:t>Synthetic holdings of T2 capital of financial sector entities where the institution has a significant investment</w:t>
            </w:r>
          </w:p>
          <w:p w:rsidR="00674BF5" w:rsidRPr="00661595" w:rsidRDefault="00674BF5" w:rsidP="00487A02">
            <w:pPr>
              <w:pStyle w:val="InstructionsText"/>
              <w:rPr>
                <w:rStyle w:val="InstructionsTabelleberschrift"/>
                <w:rFonts w:ascii="Times New Roman" w:hAnsi="Times New Roman"/>
                <w:b w:val="0"/>
                <w:bCs w:val="0"/>
                <w:sz w:val="24"/>
                <w:u w:val="none"/>
              </w:rPr>
            </w:pPr>
            <w:r w:rsidRPr="00661595">
              <w:t>Point (126) of Article 4(1) and Articles 68 and 69 CRR</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642</w:t>
            </w:r>
          </w:p>
        </w:tc>
        <w:tc>
          <w:tcPr>
            <w:tcW w:w="7049" w:type="dxa"/>
            <w:vAlign w:val="center"/>
          </w:tcPr>
          <w:p w:rsidR="00674BF5" w:rsidRPr="00661595" w:rsidRDefault="00674BF5" w:rsidP="00487A02">
            <w:pPr>
              <w:pStyle w:val="InstructionsText"/>
            </w:pPr>
            <w:r w:rsidRPr="00661595">
              <w:rPr>
                <w:rStyle w:val="InstructionsTabelleberschrift"/>
                <w:rFonts w:ascii="Times New Roman" w:hAnsi="Times New Roman"/>
                <w:sz w:val="24"/>
              </w:rPr>
              <w:t>17.3.1</w:t>
            </w:r>
            <w:r w:rsidRPr="00661595">
              <w:rPr>
                <w:rStyle w:val="InstructionsTabelleberschrift"/>
                <w:rFonts w:ascii="Times New Roman" w:hAnsi="Times New Roman"/>
                <w:sz w:val="24"/>
              </w:rPr>
              <w:tab/>
              <w:t>Gross synthetic holdings of T2 capital of financial sector entities where the institution has a significant investment</w:t>
            </w:r>
          </w:p>
          <w:p w:rsidR="00674BF5" w:rsidRPr="00661595" w:rsidRDefault="00674BF5" w:rsidP="00487A02">
            <w:pPr>
              <w:pStyle w:val="InstructionsText"/>
              <w:rPr>
                <w:rStyle w:val="InstructionsTabelleberschrift"/>
                <w:rFonts w:ascii="Times New Roman" w:hAnsi="Times New Roman"/>
                <w:b w:val="0"/>
                <w:bCs w:val="0"/>
                <w:sz w:val="24"/>
                <w:u w:val="none"/>
              </w:rPr>
            </w:pPr>
            <w:r w:rsidRPr="00661595">
              <w:t>Point (126) of Article 4(1) and Articles 68 and 69 CRR</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643</w:t>
            </w:r>
          </w:p>
        </w:tc>
        <w:tc>
          <w:tcPr>
            <w:tcW w:w="7049" w:type="dxa"/>
            <w:vAlign w:val="center"/>
          </w:tcPr>
          <w:p w:rsidR="00674BF5" w:rsidRPr="00661595" w:rsidRDefault="00674BF5" w:rsidP="00487A02">
            <w:pPr>
              <w:pStyle w:val="InstructionsText"/>
            </w:pPr>
            <w:r w:rsidRPr="00661595">
              <w:rPr>
                <w:rStyle w:val="InstructionsTabelleberschrift"/>
                <w:rFonts w:ascii="Times New Roman" w:hAnsi="Times New Roman"/>
                <w:sz w:val="24"/>
              </w:rPr>
              <w:t>17.3.2</w:t>
            </w:r>
            <w:r w:rsidRPr="00661595">
              <w:rPr>
                <w:rStyle w:val="InstructionsTabelleberschrift"/>
                <w:rFonts w:ascii="Times New Roman" w:hAnsi="Times New Roman"/>
                <w:sz w:val="24"/>
              </w:rPr>
              <w:tab/>
              <w:t>(-) Permitted offsetting short positions in relation to the synthetic gross holdings included above</w:t>
            </w:r>
          </w:p>
          <w:p w:rsidR="00674BF5" w:rsidRPr="00661595" w:rsidRDefault="00674BF5" w:rsidP="00487A02">
            <w:pPr>
              <w:pStyle w:val="InstructionsText"/>
            </w:pPr>
            <w:r w:rsidRPr="00661595">
              <w:t>Point (126) of Article 4(1) and Article 69 CRR</w:t>
            </w:r>
            <w:r w:rsidR="002D31E5" w:rsidRPr="00661595">
              <w:t>.</w:t>
            </w:r>
          </w:p>
          <w:p w:rsidR="002D31E5" w:rsidRPr="00661595" w:rsidRDefault="000D04B6" w:rsidP="000D04B6">
            <w:pPr>
              <w:pStyle w:val="InstructionsText"/>
              <w:rPr>
                <w:rStyle w:val="InstructionsTabelleberschrift"/>
                <w:rFonts w:ascii="Times New Roman" w:hAnsi="Times New Roman"/>
                <w:b w:val="0"/>
                <w:bCs w:val="0"/>
                <w:sz w:val="24"/>
                <w:u w:val="none"/>
              </w:rPr>
            </w:pPr>
            <w:r>
              <w:rPr>
                <w:rStyle w:val="InstructionsTabelleberschrift"/>
                <w:rFonts w:ascii="Times New Roman" w:hAnsi="Times New Roman"/>
                <w:b w:val="0"/>
                <w:sz w:val="24"/>
                <w:u w:val="none"/>
              </w:rPr>
              <w:t xml:space="preserve">Point (a) of </w:t>
            </w:r>
            <w:r w:rsidR="002D31E5" w:rsidRPr="00661595">
              <w:rPr>
                <w:rStyle w:val="InstructionsTabelleberschrift"/>
                <w:rFonts w:ascii="Times New Roman" w:hAnsi="Times New Roman"/>
                <w:b w:val="0"/>
                <w:sz w:val="24"/>
                <w:u w:val="none"/>
              </w:rPr>
              <w:t>Article 69 CRR allows offsetting short positions in the same underlying exposure provided the maturity date of the short position is either the same or later than the maturity date of the long position or the residual maturity of the short position is at least one year.</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650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18 Risk weighted exposures of CET1 holdings in financial sector</w:t>
            </w:r>
            <w:r w:rsidRPr="00661595" w:rsidDel="00D81C35">
              <w:rPr>
                <w:rStyle w:val="InstructionsTabelleberschrift"/>
                <w:rFonts w:ascii="Times New Roman" w:hAnsi="Times New Roman"/>
                <w:sz w:val="24"/>
              </w:rPr>
              <w:t xml:space="preserve"> </w:t>
            </w:r>
            <w:r w:rsidRPr="00661595">
              <w:rPr>
                <w:rStyle w:val="InstructionsTabelleberschrift"/>
                <w:rFonts w:ascii="Times New Roman" w:hAnsi="Times New Roman"/>
                <w:sz w:val="24"/>
              </w:rPr>
              <w:t>entities which are not deducted from the institution's CET1 capital</w:t>
            </w:r>
          </w:p>
          <w:p w:rsidR="00674BF5" w:rsidRPr="00661595" w:rsidRDefault="00674BF5" w:rsidP="00487A02">
            <w:pPr>
              <w:pStyle w:val="InstructionsText"/>
            </w:pPr>
            <w:r w:rsidRPr="00661595">
              <w:t>Articles 46(4), 48(4) and 49(4) CRR</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660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19 Risk weighted exposures of AT1 holdings in financial sector</w:t>
            </w:r>
            <w:r w:rsidRPr="00661595" w:rsidDel="00D81C35">
              <w:rPr>
                <w:rStyle w:val="InstructionsTabelleberschrift"/>
                <w:rFonts w:ascii="Times New Roman" w:hAnsi="Times New Roman"/>
                <w:sz w:val="24"/>
              </w:rPr>
              <w:t xml:space="preserve"> </w:t>
            </w:r>
            <w:r w:rsidRPr="00661595">
              <w:rPr>
                <w:rStyle w:val="InstructionsTabelleberschrift"/>
                <w:rFonts w:ascii="Times New Roman" w:hAnsi="Times New Roman"/>
                <w:sz w:val="24"/>
              </w:rPr>
              <w:t>entities which are not deducted from the institution's AT1 capital</w:t>
            </w:r>
          </w:p>
          <w:p w:rsidR="00674BF5" w:rsidRPr="00661595" w:rsidRDefault="00674BF5" w:rsidP="00487A02">
            <w:pPr>
              <w:pStyle w:val="InstructionsText"/>
            </w:pPr>
            <w:r w:rsidRPr="00661595">
              <w:t>Article 60(4) CRR</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670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20 Risk weighted exposures of T2 holdings in financial sector</w:t>
            </w:r>
            <w:r w:rsidRPr="00661595" w:rsidDel="00D81C35">
              <w:rPr>
                <w:rStyle w:val="InstructionsTabelleberschrift"/>
                <w:rFonts w:ascii="Times New Roman" w:hAnsi="Times New Roman"/>
                <w:sz w:val="24"/>
              </w:rPr>
              <w:t xml:space="preserve"> </w:t>
            </w:r>
            <w:r w:rsidRPr="00661595">
              <w:rPr>
                <w:rStyle w:val="InstructionsTabelleberschrift"/>
                <w:rFonts w:ascii="Times New Roman" w:hAnsi="Times New Roman"/>
                <w:sz w:val="24"/>
              </w:rPr>
              <w:t>entities which are not deducted from the institution's T2 capital</w:t>
            </w:r>
          </w:p>
          <w:p w:rsidR="00674BF5" w:rsidRPr="00661595" w:rsidRDefault="00674BF5" w:rsidP="00487A02">
            <w:pPr>
              <w:pStyle w:val="InstructionsText"/>
            </w:pPr>
            <w:r w:rsidRPr="00661595">
              <w:t>Article 70(4) CRR</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680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21</w:t>
            </w:r>
            <w:r w:rsidRPr="00661595">
              <w:rPr>
                <w:rStyle w:val="InstructionsTabelleberschrift"/>
                <w:rFonts w:ascii="Times New Roman" w:hAnsi="Times New Roman"/>
                <w:sz w:val="24"/>
              </w:rPr>
              <w:tab/>
              <w:t>Holdings on CET1 Capital Instruments of financial sector</w:t>
            </w:r>
            <w:r w:rsidRPr="00661595" w:rsidDel="00D81C35">
              <w:rPr>
                <w:rStyle w:val="InstructionsTabelleberschrift"/>
                <w:rFonts w:ascii="Times New Roman" w:hAnsi="Times New Roman"/>
                <w:sz w:val="24"/>
              </w:rPr>
              <w:t xml:space="preserve"> </w:t>
            </w:r>
            <w:r w:rsidRPr="00661595">
              <w:rPr>
                <w:rStyle w:val="InstructionsTabelleberschrift"/>
                <w:rFonts w:ascii="Times New Roman" w:hAnsi="Times New Roman"/>
                <w:sz w:val="24"/>
              </w:rPr>
              <w:t>entities where the institution does not have a significant investment temporary waived</w:t>
            </w:r>
          </w:p>
          <w:p w:rsidR="00674BF5" w:rsidRPr="00661595" w:rsidRDefault="00674BF5" w:rsidP="00487A02">
            <w:pPr>
              <w:pStyle w:val="InstructionsText"/>
            </w:pPr>
            <w:r w:rsidRPr="00661595">
              <w:t>Article 79 CRR</w:t>
            </w:r>
          </w:p>
          <w:p w:rsidR="00674BF5" w:rsidRPr="00661595" w:rsidRDefault="00674BF5" w:rsidP="00487A02">
            <w:pPr>
              <w:pStyle w:val="InstructionsText"/>
            </w:pPr>
            <w:r w:rsidRPr="00661595">
              <w:t>A competent authority may waive on a temporary basis the provisions on deductions from CET1 due to holdings on instruments of a specific financial sector entity, where it deems those holdings to be for the purposes of a financial assistance operation designed to reorganise and save that entity.</w:t>
            </w:r>
          </w:p>
          <w:p w:rsidR="00674BF5" w:rsidRPr="00661595" w:rsidRDefault="00674BF5" w:rsidP="00487A02">
            <w:pPr>
              <w:pStyle w:val="InstructionsText"/>
            </w:pPr>
            <w:r w:rsidRPr="00661595">
              <w:t>Note that those instruments shall also be reported on item 12.1.</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690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22</w:t>
            </w:r>
            <w:r w:rsidRPr="00661595">
              <w:rPr>
                <w:rStyle w:val="InstructionsTabelleberschrift"/>
                <w:rFonts w:ascii="Times New Roman" w:hAnsi="Times New Roman"/>
                <w:sz w:val="24"/>
              </w:rPr>
              <w:tab/>
              <w:t>Holdings on CET1 Capital Instruments of financial sector</w:t>
            </w:r>
            <w:r w:rsidRPr="00661595" w:rsidDel="00D81C35">
              <w:rPr>
                <w:rStyle w:val="InstructionsTabelleberschrift"/>
                <w:rFonts w:ascii="Times New Roman" w:hAnsi="Times New Roman"/>
                <w:sz w:val="24"/>
              </w:rPr>
              <w:t xml:space="preserve"> </w:t>
            </w:r>
            <w:r w:rsidRPr="00661595">
              <w:rPr>
                <w:rStyle w:val="InstructionsTabelleberschrift"/>
                <w:rFonts w:ascii="Times New Roman" w:hAnsi="Times New Roman"/>
                <w:sz w:val="24"/>
              </w:rPr>
              <w:t>entities where the institution has a significant investment temporary waived</w:t>
            </w:r>
          </w:p>
          <w:p w:rsidR="00674BF5" w:rsidRPr="00661595" w:rsidRDefault="00674BF5" w:rsidP="00487A02">
            <w:pPr>
              <w:pStyle w:val="InstructionsText"/>
            </w:pPr>
            <w:r w:rsidRPr="00661595">
              <w:t>Article 79 CRR</w:t>
            </w:r>
          </w:p>
          <w:p w:rsidR="00674BF5" w:rsidRPr="00661595" w:rsidRDefault="00674BF5" w:rsidP="00487A02">
            <w:pPr>
              <w:pStyle w:val="InstructionsText"/>
            </w:pPr>
            <w:r w:rsidRPr="00661595">
              <w:t>A competent authority may waive the provisions on deductions from CET1 due to holdings on instruments of a specific financial sector entity, when it deems those holdings to be for the purposes of a financial assistance operation designed to reorganise and save that entity.</w:t>
            </w:r>
          </w:p>
          <w:p w:rsidR="00674BF5" w:rsidRPr="00661595" w:rsidRDefault="00674BF5" w:rsidP="00487A02">
            <w:pPr>
              <w:pStyle w:val="InstructionsText"/>
            </w:pPr>
            <w:r w:rsidRPr="00661595">
              <w:t>Note that those instruments shall also be reported on item 15.1.</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700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23</w:t>
            </w:r>
            <w:r w:rsidRPr="00661595">
              <w:rPr>
                <w:rStyle w:val="InstructionsTabelleberschrift"/>
                <w:rFonts w:ascii="Times New Roman" w:hAnsi="Times New Roman"/>
                <w:sz w:val="24"/>
              </w:rPr>
              <w:tab/>
              <w:t>Holdings on AT1 Capital Instruments of financial sector</w:t>
            </w:r>
            <w:r w:rsidRPr="00661595" w:rsidDel="00D81C35">
              <w:rPr>
                <w:rStyle w:val="InstructionsTabelleberschrift"/>
                <w:rFonts w:ascii="Times New Roman" w:hAnsi="Times New Roman"/>
                <w:sz w:val="24"/>
              </w:rPr>
              <w:t xml:space="preserve"> </w:t>
            </w:r>
            <w:r w:rsidRPr="00661595">
              <w:rPr>
                <w:rStyle w:val="InstructionsTabelleberschrift"/>
                <w:rFonts w:ascii="Times New Roman" w:hAnsi="Times New Roman"/>
                <w:sz w:val="24"/>
              </w:rPr>
              <w:t>entities where the institution does not have a significant investment temporary waived</w:t>
            </w:r>
          </w:p>
          <w:p w:rsidR="00674BF5" w:rsidRPr="00661595" w:rsidRDefault="00674BF5" w:rsidP="00487A02">
            <w:pPr>
              <w:pStyle w:val="InstructionsText"/>
            </w:pPr>
            <w:r w:rsidRPr="00661595">
              <w:t>Article 79 CRR</w:t>
            </w:r>
          </w:p>
          <w:p w:rsidR="00674BF5" w:rsidRPr="00661595" w:rsidRDefault="00674BF5" w:rsidP="00487A02">
            <w:pPr>
              <w:pStyle w:val="InstructionsText"/>
            </w:pPr>
            <w:r w:rsidRPr="00661595">
              <w:t>A competent authority may waive on a temporary basis the provisions on deductions from AT1 due to holdings on instruments of a specific financial sector entity, when it deems those holdings to be for the purposes of a financial assistance operation designed to reorganise and save that entity.</w:t>
            </w:r>
          </w:p>
          <w:p w:rsidR="00674BF5" w:rsidRPr="00661595" w:rsidRDefault="00674BF5" w:rsidP="00487A02">
            <w:pPr>
              <w:pStyle w:val="InstructionsText"/>
            </w:pPr>
            <w:r w:rsidRPr="00661595">
              <w:t>Note that these instruments shall also be reported on item 13.1.</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710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24</w:t>
            </w:r>
            <w:r w:rsidRPr="00661595">
              <w:rPr>
                <w:rStyle w:val="InstructionsTabelleberschrift"/>
                <w:rFonts w:ascii="Times New Roman" w:hAnsi="Times New Roman"/>
                <w:sz w:val="24"/>
              </w:rPr>
              <w:tab/>
              <w:t>Holdings on AT1 Capital Instruments of financial sector</w:t>
            </w:r>
            <w:r w:rsidRPr="00661595" w:rsidDel="00D81C35">
              <w:rPr>
                <w:rStyle w:val="InstructionsTabelleberschrift"/>
                <w:rFonts w:ascii="Times New Roman" w:hAnsi="Times New Roman"/>
                <w:sz w:val="24"/>
              </w:rPr>
              <w:t xml:space="preserve"> </w:t>
            </w:r>
            <w:r w:rsidRPr="00661595">
              <w:rPr>
                <w:rStyle w:val="InstructionsTabelleberschrift"/>
                <w:rFonts w:ascii="Times New Roman" w:hAnsi="Times New Roman"/>
                <w:sz w:val="24"/>
              </w:rPr>
              <w:t>entities where the institution has a significant investment temporary waived</w:t>
            </w:r>
          </w:p>
          <w:p w:rsidR="00674BF5" w:rsidRPr="00661595" w:rsidRDefault="00674BF5" w:rsidP="00487A02">
            <w:pPr>
              <w:pStyle w:val="InstructionsText"/>
            </w:pPr>
            <w:r w:rsidRPr="00661595">
              <w:t>Article 79 CRR</w:t>
            </w:r>
          </w:p>
          <w:p w:rsidR="00674BF5" w:rsidRPr="00661595" w:rsidRDefault="00674BF5" w:rsidP="00487A02">
            <w:pPr>
              <w:pStyle w:val="InstructionsText"/>
            </w:pPr>
            <w:r w:rsidRPr="00661595">
              <w:t>A competent authority may waive on a temporary basis the provisions on deductions from AT1 due to holdings on instruments of a specific financial sector entity, when it deems those holdings to be for the purposes of a financial assistance operation designed to reorganise and save that entity.</w:t>
            </w:r>
          </w:p>
          <w:p w:rsidR="00674BF5" w:rsidRPr="00661595" w:rsidRDefault="00674BF5" w:rsidP="00487A02">
            <w:pPr>
              <w:pStyle w:val="InstructionsText"/>
            </w:pPr>
            <w:r w:rsidRPr="00661595">
              <w:t>Note that these instruments shall also be reported on item 16.1.</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720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25</w:t>
            </w:r>
            <w:r w:rsidRPr="00661595">
              <w:rPr>
                <w:rStyle w:val="InstructionsTabelleberschrift"/>
                <w:rFonts w:ascii="Times New Roman" w:hAnsi="Times New Roman"/>
                <w:sz w:val="24"/>
              </w:rPr>
              <w:tab/>
              <w:t>Holdings on T2 Capital Instruments of financial sector</w:t>
            </w:r>
            <w:r w:rsidRPr="00661595" w:rsidDel="00D81C35">
              <w:rPr>
                <w:rStyle w:val="InstructionsTabelleberschrift"/>
                <w:rFonts w:ascii="Times New Roman" w:hAnsi="Times New Roman"/>
                <w:sz w:val="24"/>
              </w:rPr>
              <w:t xml:space="preserve"> </w:t>
            </w:r>
            <w:r w:rsidRPr="00661595">
              <w:rPr>
                <w:rStyle w:val="InstructionsTabelleberschrift"/>
                <w:rFonts w:ascii="Times New Roman" w:hAnsi="Times New Roman"/>
                <w:sz w:val="24"/>
              </w:rPr>
              <w:t>entities where the institution does not have a significant investment temporary waived</w:t>
            </w:r>
          </w:p>
          <w:p w:rsidR="00674BF5" w:rsidRPr="00661595" w:rsidRDefault="00674BF5" w:rsidP="00487A02">
            <w:pPr>
              <w:pStyle w:val="InstructionsText"/>
            </w:pPr>
            <w:r w:rsidRPr="00661595">
              <w:t>Article 79 CRR</w:t>
            </w:r>
          </w:p>
          <w:p w:rsidR="00674BF5" w:rsidRPr="00661595" w:rsidRDefault="00674BF5" w:rsidP="00487A02">
            <w:pPr>
              <w:pStyle w:val="InstructionsText"/>
            </w:pPr>
            <w:r w:rsidRPr="00661595">
              <w:t>A competent authority may waive the provisions on deductions from T2 due to holdings on instruments of a specific financial sector entity, when it deems those holdings to be for the purposes of a financial assistance operation designed to reorganise and save that entity.</w:t>
            </w:r>
          </w:p>
          <w:p w:rsidR="00674BF5" w:rsidRPr="00661595" w:rsidRDefault="00674BF5" w:rsidP="00487A02">
            <w:pPr>
              <w:pStyle w:val="InstructionsText"/>
            </w:pPr>
            <w:r w:rsidRPr="00661595">
              <w:t>Note that those instruments shall also be reported on item 14.1.</w:t>
            </w:r>
          </w:p>
        </w:tc>
      </w:tr>
      <w:tr w:rsidR="00674BF5" w:rsidRPr="00661595" w:rsidTr="00674BF5">
        <w:tc>
          <w:tcPr>
            <w:tcW w:w="1474" w:type="dxa"/>
          </w:tcPr>
          <w:p w:rsidR="00674BF5" w:rsidRPr="00661595" w:rsidRDefault="00754ADC" w:rsidP="00487A02">
            <w:pPr>
              <w:pStyle w:val="InstructionsText"/>
            </w:pPr>
            <w:r w:rsidRPr="00661595">
              <w:t>0</w:t>
            </w:r>
            <w:r w:rsidR="00674BF5" w:rsidRPr="00661595">
              <w:t>730</w:t>
            </w:r>
          </w:p>
        </w:tc>
        <w:tc>
          <w:tcPr>
            <w:tcW w:w="7049" w:type="dxa"/>
          </w:tcPr>
          <w:p w:rsidR="00674BF5" w:rsidRPr="00661595" w:rsidRDefault="00674BF5" w:rsidP="00487A02">
            <w:pPr>
              <w:pStyle w:val="InstructionsText"/>
            </w:pPr>
            <w:r w:rsidRPr="00661595">
              <w:rPr>
                <w:rStyle w:val="InstructionsTabelleberschrift"/>
                <w:rFonts w:ascii="Times New Roman" w:hAnsi="Times New Roman"/>
                <w:sz w:val="24"/>
              </w:rPr>
              <w:t>26</w:t>
            </w:r>
            <w:r w:rsidRPr="00661595">
              <w:rPr>
                <w:rStyle w:val="InstructionsTabelleberschrift"/>
                <w:rFonts w:ascii="Times New Roman" w:hAnsi="Times New Roman"/>
                <w:sz w:val="24"/>
              </w:rPr>
              <w:tab/>
              <w:t>Holdings on T2 Capital Instruments of financial sector</w:t>
            </w:r>
            <w:r w:rsidRPr="00661595" w:rsidDel="00D81C35">
              <w:rPr>
                <w:rStyle w:val="InstructionsTabelleberschrift"/>
                <w:rFonts w:ascii="Times New Roman" w:hAnsi="Times New Roman"/>
                <w:sz w:val="24"/>
              </w:rPr>
              <w:t xml:space="preserve"> </w:t>
            </w:r>
            <w:r w:rsidRPr="00661595">
              <w:rPr>
                <w:rStyle w:val="InstructionsTabelleberschrift"/>
                <w:rFonts w:ascii="Times New Roman" w:hAnsi="Times New Roman"/>
                <w:sz w:val="24"/>
              </w:rPr>
              <w:t>entities where the institution has a significant investment temporary waived</w:t>
            </w:r>
          </w:p>
          <w:p w:rsidR="00674BF5" w:rsidRPr="00661595" w:rsidRDefault="00674BF5" w:rsidP="00487A02">
            <w:pPr>
              <w:pStyle w:val="InstructionsText"/>
            </w:pPr>
            <w:r w:rsidRPr="00661595">
              <w:t>Article 79 CRR</w:t>
            </w:r>
          </w:p>
          <w:p w:rsidR="00674BF5" w:rsidRPr="00661595" w:rsidRDefault="00674BF5" w:rsidP="00487A02">
            <w:pPr>
              <w:pStyle w:val="InstructionsText"/>
            </w:pPr>
            <w:r w:rsidRPr="00661595">
              <w:t>A competent authority may waive the provisions on deductions from T2 due to holdings on instruments of a specific financial sector entity, when it deems those holdings to be for the purposes of a financial assistance operation designed to reorganise and save that entity.</w:t>
            </w:r>
          </w:p>
          <w:p w:rsidR="00674BF5" w:rsidRPr="00661595" w:rsidRDefault="00674BF5" w:rsidP="00487A02">
            <w:pPr>
              <w:pStyle w:val="InstructionsText"/>
            </w:pPr>
            <w:r w:rsidRPr="00661595">
              <w:t>Note that those instruments shall also be reported on item 17.1.</w:t>
            </w:r>
          </w:p>
        </w:tc>
      </w:tr>
      <w:tr w:rsidR="00674BF5" w:rsidRPr="00661595" w:rsidTr="00674BF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474" w:type="dxa"/>
            <w:tcBorders>
              <w:top w:val="single" w:sz="4" w:space="0" w:color="auto"/>
              <w:left w:val="single" w:sz="4" w:space="0" w:color="auto"/>
              <w:bottom w:val="single" w:sz="4" w:space="0" w:color="auto"/>
              <w:right w:val="single" w:sz="4" w:space="0" w:color="auto"/>
            </w:tcBorders>
          </w:tcPr>
          <w:p w:rsidR="00674BF5" w:rsidRPr="00661595" w:rsidRDefault="00754ADC" w:rsidP="00487A02">
            <w:pPr>
              <w:pStyle w:val="InstructionsText"/>
            </w:pPr>
            <w:r w:rsidRPr="00661595">
              <w:t>0</w:t>
            </w:r>
            <w:r w:rsidR="00674BF5" w:rsidRPr="00661595">
              <w:t>740</w:t>
            </w:r>
          </w:p>
        </w:tc>
        <w:tc>
          <w:tcPr>
            <w:tcW w:w="7049" w:type="dxa"/>
            <w:tcBorders>
              <w:top w:val="single" w:sz="4" w:space="0" w:color="auto"/>
              <w:left w:val="single" w:sz="4" w:space="0" w:color="auto"/>
              <w:bottom w:val="single" w:sz="4" w:space="0" w:color="auto"/>
              <w:right w:val="single" w:sz="4" w:space="0" w:color="auto"/>
            </w:tcBorders>
          </w:tcPr>
          <w:p w:rsidR="00674BF5" w:rsidRPr="00661595" w:rsidRDefault="00674BF5" w:rsidP="00487A02">
            <w:pPr>
              <w:pStyle w:val="InstructionsText"/>
            </w:pPr>
            <w:r w:rsidRPr="00661595">
              <w:rPr>
                <w:rStyle w:val="InstructionsTabelleberschrift"/>
                <w:rFonts w:ascii="Times New Roman" w:hAnsi="Times New Roman"/>
                <w:sz w:val="24"/>
              </w:rPr>
              <w:t>27</w:t>
            </w:r>
            <w:r w:rsidRPr="00661595">
              <w:rPr>
                <w:rStyle w:val="InstructionsTabelleberschrift"/>
                <w:rFonts w:ascii="Times New Roman" w:hAnsi="Times New Roman"/>
                <w:sz w:val="24"/>
              </w:rPr>
              <w:tab/>
              <w:t>Combined buffer requirement</w:t>
            </w:r>
          </w:p>
          <w:p w:rsidR="00674BF5" w:rsidRPr="00661595" w:rsidRDefault="00674BF5" w:rsidP="00487A02">
            <w:pPr>
              <w:pStyle w:val="InstructionsText"/>
            </w:pPr>
            <w:r w:rsidRPr="00661595">
              <w:t>Point (6) of Article 128 CRD</w:t>
            </w:r>
          </w:p>
        </w:tc>
      </w:tr>
      <w:tr w:rsidR="00674BF5" w:rsidRPr="00661595" w:rsidTr="00674BF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474" w:type="dxa"/>
            <w:tcBorders>
              <w:top w:val="single" w:sz="4" w:space="0" w:color="auto"/>
              <w:left w:val="single" w:sz="4" w:space="0" w:color="auto"/>
              <w:bottom w:val="single" w:sz="4" w:space="0" w:color="auto"/>
              <w:right w:val="single" w:sz="4" w:space="0" w:color="auto"/>
            </w:tcBorders>
          </w:tcPr>
          <w:p w:rsidR="00674BF5" w:rsidRPr="00661595" w:rsidRDefault="00754ADC" w:rsidP="00487A02">
            <w:pPr>
              <w:pStyle w:val="InstructionsText"/>
            </w:pPr>
            <w:r w:rsidRPr="00661595">
              <w:t>0</w:t>
            </w:r>
            <w:r w:rsidR="00674BF5" w:rsidRPr="00661595">
              <w:t>750</w:t>
            </w:r>
          </w:p>
        </w:tc>
        <w:tc>
          <w:tcPr>
            <w:tcW w:w="7049" w:type="dxa"/>
            <w:tcBorders>
              <w:top w:val="single" w:sz="4" w:space="0" w:color="auto"/>
              <w:left w:val="single" w:sz="4" w:space="0" w:color="auto"/>
              <w:bottom w:val="single" w:sz="4" w:space="0" w:color="auto"/>
              <w:right w:val="single" w:sz="4" w:space="0" w:color="auto"/>
            </w:tcBorders>
          </w:tcPr>
          <w:p w:rsidR="00674BF5" w:rsidRPr="00661595" w:rsidRDefault="00674BF5" w:rsidP="00487A02">
            <w:pPr>
              <w:pStyle w:val="InstructionsText"/>
            </w:pPr>
            <w:r w:rsidRPr="00661595">
              <w:rPr>
                <w:rStyle w:val="InstructionsTabelleberschrift"/>
                <w:rFonts w:ascii="Times New Roman" w:hAnsi="Times New Roman"/>
                <w:sz w:val="24"/>
              </w:rPr>
              <w:t>Capital conservation buffer</w:t>
            </w:r>
          </w:p>
          <w:p w:rsidR="00674BF5" w:rsidRPr="00661595" w:rsidRDefault="00674BF5" w:rsidP="00487A02">
            <w:pPr>
              <w:pStyle w:val="InstructionsText"/>
            </w:pPr>
            <w:r w:rsidRPr="00661595">
              <w:t xml:space="preserve">Point (1) of Article 128 and Article 129 CRD </w:t>
            </w:r>
          </w:p>
          <w:p w:rsidR="00674BF5" w:rsidRPr="00661595" w:rsidRDefault="00674BF5" w:rsidP="00487A02">
            <w:pPr>
              <w:pStyle w:val="InstructionsText"/>
            </w:pPr>
            <w:r w:rsidRPr="00661595">
              <w:t>In accordance with Article 129(1) CRD, the capital conservation buffer is an additional amount of Common Equity Tier 1 capital. Due to the fact that the capital conservation buffer rate of 2.5% is stable, an amount shall be reported in this row.</w:t>
            </w:r>
          </w:p>
        </w:tc>
      </w:tr>
      <w:tr w:rsidR="00674BF5" w:rsidRPr="00661595" w:rsidTr="00674BF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474" w:type="dxa"/>
            <w:tcBorders>
              <w:top w:val="single" w:sz="4" w:space="0" w:color="auto"/>
              <w:left w:val="single" w:sz="4" w:space="0" w:color="auto"/>
              <w:bottom w:val="single" w:sz="4" w:space="0" w:color="auto"/>
              <w:right w:val="single" w:sz="4" w:space="0" w:color="auto"/>
            </w:tcBorders>
          </w:tcPr>
          <w:p w:rsidR="00674BF5" w:rsidRPr="00661595" w:rsidRDefault="00754ADC" w:rsidP="00487A02">
            <w:pPr>
              <w:pStyle w:val="InstructionsText"/>
            </w:pPr>
            <w:r w:rsidRPr="00661595">
              <w:t>0</w:t>
            </w:r>
            <w:r w:rsidR="00674BF5" w:rsidRPr="00661595">
              <w:t>760</w:t>
            </w:r>
          </w:p>
        </w:tc>
        <w:tc>
          <w:tcPr>
            <w:tcW w:w="7049" w:type="dxa"/>
            <w:tcBorders>
              <w:top w:val="single" w:sz="4" w:space="0" w:color="auto"/>
              <w:left w:val="single" w:sz="4" w:space="0" w:color="auto"/>
              <w:bottom w:val="single" w:sz="4" w:space="0" w:color="auto"/>
              <w:right w:val="single" w:sz="4" w:space="0" w:color="auto"/>
            </w:tcBorders>
          </w:tcPr>
          <w:p w:rsidR="00674BF5" w:rsidRPr="00661595" w:rsidRDefault="00674BF5" w:rsidP="00487A02">
            <w:pPr>
              <w:pStyle w:val="InstructionsText"/>
            </w:pPr>
            <w:r w:rsidRPr="00661595">
              <w:rPr>
                <w:rStyle w:val="InstructionsTabelleberschrift"/>
                <w:rFonts w:ascii="Times New Roman" w:hAnsi="Times New Roman"/>
                <w:sz w:val="24"/>
              </w:rPr>
              <w:t xml:space="preserve">Conservation buffer due to macro-prudential or systemic risk identified at the level of a Member State </w:t>
            </w:r>
          </w:p>
          <w:p w:rsidR="00674BF5" w:rsidRPr="00661595" w:rsidRDefault="00674BF5" w:rsidP="00487A02">
            <w:pPr>
              <w:pStyle w:val="InstructionsText"/>
            </w:pPr>
            <w:r w:rsidRPr="00661595">
              <w:t>Point (d)(iv) of Article 458(2) CRR</w:t>
            </w:r>
          </w:p>
          <w:p w:rsidR="00674BF5" w:rsidRPr="00661595" w:rsidRDefault="00674BF5" w:rsidP="00487A02">
            <w:pPr>
              <w:pStyle w:val="InstructionsText"/>
            </w:pPr>
            <w:r w:rsidRPr="00661595">
              <w:t>In this row, the amount of the conservation buffer due to macro-prudential or systemic risk identified at the level of a Member State, which can be requested in accordance with Article 458 CRR in addition to the capital conservation buffer, shall be reported.</w:t>
            </w:r>
          </w:p>
          <w:p w:rsidR="00674BF5" w:rsidRPr="00661595" w:rsidRDefault="00674BF5" w:rsidP="00487A02">
            <w:pPr>
              <w:pStyle w:val="InstructionsText"/>
            </w:pPr>
            <w:r w:rsidRPr="00661595">
              <w:t>The amount reported shall represent the amount of own funds needed to fulfil the respective capital buffer requirements at the reporting date.</w:t>
            </w:r>
          </w:p>
        </w:tc>
      </w:tr>
      <w:tr w:rsidR="00674BF5" w:rsidRPr="00661595" w:rsidTr="00674BF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474" w:type="dxa"/>
            <w:tcBorders>
              <w:top w:val="single" w:sz="4" w:space="0" w:color="auto"/>
              <w:left w:val="single" w:sz="4" w:space="0" w:color="auto"/>
              <w:bottom w:val="single" w:sz="4" w:space="0" w:color="auto"/>
              <w:right w:val="single" w:sz="4" w:space="0" w:color="auto"/>
            </w:tcBorders>
          </w:tcPr>
          <w:p w:rsidR="00674BF5" w:rsidRPr="00661595" w:rsidRDefault="00754ADC" w:rsidP="00487A02">
            <w:pPr>
              <w:pStyle w:val="InstructionsText"/>
            </w:pPr>
            <w:r w:rsidRPr="00661595">
              <w:t>0</w:t>
            </w:r>
            <w:r w:rsidR="00674BF5" w:rsidRPr="00661595">
              <w:t>770</w:t>
            </w:r>
          </w:p>
        </w:tc>
        <w:tc>
          <w:tcPr>
            <w:tcW w:w="7049" w:type="dxa"/>
            <w:tcBorders>
              <w:top w:val="single" w:sz="4" w:space="0" w:color="auto"/>
              <w:left w:val="single" w:sz="4" w:space="0" w:color="auto"/>
              <w:bottom w:val="single" w:sz="4" w:space="0" w:color="auto"/>
              <w:right w:val="single" w:sz="4" w:space="0" w:color="auto"/>
            </w:tcBorders>
          </w:tcPr>
          <w:p w:rsidR="00674BF5" w:rsidRPr="00661595" w:rsidRDefault="00674BF5" w:rsidP="00487A02">
            <w:pPr>
              <w:pStyle w:val="InstructionsText"/>
            </w:pPr>
            <w:r w:rsidRPr="00661595">
              <w:rPr>
                <w:rStyle w:val="InstructionsTabelleberschrift"/>
                <w:rFonts w:ascii="Times New Roman" w:hAnsi="Times New Roman"/>
                <w:sz w:val="24"/>
              </w:rPr>
              <w:t xml:space="preserve">Institution specific countercyclical capital buffer </w:t>
            </w:r>
          </w:p>
          <w:p w:rsidR="00674BF5" w:rsidRPr="00661595" w:rsidRDefault="00674BF5" w:rsidP="00487A02">
            <w:pPr>
              <w:pStyle w:val="InstructionsText"/>
            </w:pPr>
            <w:r w:rsidRPr="00661595">
              <w:t xml:space="preserve">Point (2) of Article 128 and Articles 130, 135 to 140 CRD </w:t>
            </w:r>
          </w:p>
          <w:p w:rsidR="00674BF5" w:rsidRPr="00661595" w:rsidRDefault="00674BF5" w:rsidP="00487A02">
            <w:pPr>
              <w:pStyle w:val="InstructionsText"/>
            </w:pPr>
            <w:r w:rsidRPr="00661595">
              <w:t>The amount reported shall represent the amount of own funds needed to fulfil the respective capital buffer requirements at the reporting date.</w:t>
            </w:r>
          </w:p>
        </w:tc>
      </w:tr>
      <w:tr w:rsidR="00674BF5" w:rsidRPr="00661595" w:rsidTr="00674BF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474" w:type="dxa"/>
            <w:tcBorders>
              <w:top w:val="single" w:sz="4" w:space="0" w:color="auto"/>
              <w:left w:val="single" w:sz="4" w:space="0" w:color="auto"/>
              <w:bottom w:val="single" w:sz="4" w:space="0" w:color="auto"/>
              <w:right w:val="single" w:sz="4" w:space="0" w:color="auto"/>
            </w:tcBorders>
          </w:tcPr>
          <w:p w:rsidR="00674BF5" w:rsidRPr="00661595" w:rsidRDefault="005B76D3" w:rsidP="00487A02">
            <w:pPr>
              <w:pStyle w:val="InstructionsText"/>
            </w:pPr>
            <w:r w:rsidRPr="00661595">
              <w:t>0</w:t>
            </w:r>
            <w:r w:rsidR="00674BF5" w:rsidRPr="00661595">
              <w:t>780</w:t>
            </w:r>
          </w:p>
        </w:tc>
        <w:tc>
          <w:tcPr>
            <w:tcW w:w="7049" w:type="dxa"/>
            <w:tcBorders>
              <w:top w:val="single" w:sz="4" w:space="0" w:color="auto"/>
              <w:left w:val="single" w:sz="4" w:space="0" w:color="auto"/>
              <w:bottom w:val="single" w:sz="4" w:space="0" w:color="auto"/>
              <w:right w:val="single" w:sz="4" w:space="0" w:color="auto"/>
            </w:tcBorders>
          </w:tcPr>
          <w:p w:rsidR="00674BF5" w:rsidRPr="00661595" w:rsidRDefault="00674BF5" w:rsidP="00487A02">
            <w:pPr>
              <w:pStyle w:val="InstructionsText"/>
            </w:pPr>
            <w:r w:rsidRPr="00661595">
              <w:rPr>
                <w:rStyle w:val="InstructionsTabelleberschrift"/>
                <w:rFonts w:ascii="Times New Roman" w:hAnsi="Times New Roman"/>
                <w:sz w:val="24"/>
              </w:rPr>
              <w:t xml:space="preserve">Systemic risk buffer </w:t>
            </w:r>
          </w:p>
          <w:p w:rsidR="00674BF5" w:rsidRPr="00661595" w:rsidRDefault="00674BF5" w:rsidP="00487A02">
            <w:pPr>
              <w:pStyle w:val="InstructionsText"/>
            </w:pPr>
            <w:r w:rsidRPr="00661595">
              <w:t xml:space="preserve">Point (5) of Article 128, Articles 133 and 134 CRD </w:t>
            </w:r>
          </w:p>
          <w:p w:rsidR="00674BF5" w:rsidRPr="00661595" w:rsidRDefault="00674BF5" w:rsidP="00487A02">
            <w:pPr>
              <w:pStyle w:val="InstructionsText"/>
            </w:pPr>
            <w:r w:rsidRPr="00661595">
              <w:t>The amount reported shall represent the amount of own funds needed to fulfil the respective capital buffer requirements at the reporting date.</w:t>
            </w:r>
          </w:p>
        </w:tc>
      </w:tr>
      <w:tr w:rsidR="00674BF5" w:rsidRPr="00661595" w:rsidTr="00674BF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474" w:type="dxa"/>
            <w:tcBorders>
              <w:top w:val="single" w:sz="4" w:space="0" w:color="auto"/>
              <w:left w:val="single" w:sz="4" w:space="0" w:color="auto"/>
              <w:bottom w:val="single" w:sz="4" w:space="0" w:color="auto"/>
              <w:right w:val="single" w:sz="4" w:space="0" w:color="auto"/>
            </w:tcBorders>
          </w:tcPr>
          <w:p w:rsidR="00674BF5" w:rsidRPr="00661595" w:rsidRDefault="005B76D3" w:rsidP="00487A02">
            <w:pPr>
              <w:pStyle w:val="InstructionsText"/>
            </w:pPr>
            <w:r w:rsidRPr="00661595">
              <w:t>0</w:t>
            </w:r>
            <w:r w:rsidR="00674BF5" w:rsidRPr="00661595">
              <w:t>800</w:t>
            </w:r>
          </w:p>
        </w:tc>
        <w:tc>
          <w:tcPr>
            <w:tcW w:w="7049" w:type="dxa"/>
            <w:tcBorders>
              <w:top w:val="single" w:sz="4" w:space="0" w:color="auto"/>
              <w:left w:val="single" w:sz="4" w:space="0" w:color="auto"/>
              <w:bottom w:val="single" w:sz="4" w:space="0" w:color="auto"/>
              <w:right w:val="single" w:sz="4" w:space="0" w:color="auto"/>
            </w:tcBorders>
          </w:tcPr>
          <w:p w:rsidR="00674BF5" w:rsidRPr="00661595" w:rsidRDefault="00674BF5"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Global Systemically Important Institution buffer</w:t>
            </w:r>
          </w:p>
          <w:p w:rsidR="00674BF5" w:rsidRPr="00661595" w:rsidRDefault="00674BF5" w:rsidP="00487A02">
            <w:pPr>
              <w:pStyle w:val="InstructionsText"/>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Point (3) of Article 128 and Article 131 CRD</w:t>
            </w:r>
          </w:p>
          <w:p w:rsidR="00674BF5" w:rsidRPr="00661595" w:rsidRDefault="00674BF5" w:rsidP="00487A02">
            <w:pPr>
              <w:pStyle w:val="InstructionsText"/>
              <w:rPr>
                <w:rStyle w:val="InstructionsTabelleberschrift"/>
                <w:rFonts w:ascii="Times New Roman" w:hAnsi="Times New Roman"/>
                <w:b w:val="0"/>
                <w:bCs w:val="0"/>
                <w:sz w:val="24"/>
                <w:u w:val="none"/>
              </w:rPr>
            </w:pPr>
            <w:r w:rsidRPr="00661595">
              <w:t>The amount reported shall represent the amount of own funds needed to fulfil the respective capital buffer requirements at the reporting date.</w:t>
            </w:r>
          </w:p>
        </w:tc>
      </w:tr>
      <w:tr w:rsidR="00674BF5" w:rsidRPr="00661595" w:rsidTr="00674BF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474" w:type="dxa"/>
            <w:tcBorders>
              <w:top w:val="single" w:sz="4" w:space="0" w:color="auto"/>
              <w:left w:val="single" w:sz="4" w:space="0" w:color="auto"/>
              <w:bottom w:val="single" w:sz="4" w:space="0" w:color="auto"/>
              <w:right w:val="single" w:sz="4" w:space="0" w:color="auto"/>
            </w:tcBorders>
          </w:tcPr>
          <w:p w:rsidR="00674BF5" w:rsidRPr="00661595" w:rsidRDefault="005B76D3" w:rsidP="00487A02">
            <w:pPr>
              <w:pStyle w:val="InstructionsText"/>
            </w:pPr>
            <w:r w:rsidRPr="00661595">
              <w:t>0</w:t>
            </w:r>
            <w:r w:rsidR="00674BF5" w:rsidRPr="00661595">
              <w:t>810</w:t>
            </w:r>
          </w:p>
        </w:tc>
        <w:tc>
          <w:tcPr>
            <w:tcW w:w="7049" w:type="dxa"/>
            <w:tcBorders>
              <w:top w:val="single" w:sz="4" w:space="0" w:color="auto"/>
              <w:left w:val="single" w:sz="4" w:space="0" w:color="auto"/>
              <w:bottom w:val="single" w:sz="4" w:space="0" w:color="auto"/>
              <w:right w:val="single" w:sz="4" w:space="0" w:color="auto"/>
            </w:tcBorders>
          </w:tcPr>
          <w:p w:rsidR="00674BF5" w:rsidRPr="00661595" w:rsidRDefault="00674BF5"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 xml:space="preserve">Other Systemically Important Institution buffer </w:t>
            </w:r>
          </w:p>
          <w:p w:rsidR="00674BF5" w:rsidRPr="00661595" w:rsidRDefault="00674BF5" w:rsidP="00487A02">
            <w:pPr>
              <w:pStyle w:val="InstructionsText"/>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Point (4) Article 128 and Article 131 CRD</w:t>
            </w:r>
          </w:p>
          <w:p w:rsidR="00674BF5" w:rsidRPr="00661595" w:rsidRDefault="00674BF5" w:rsidP="00487A02">
            <w:pPr>
              <w:pStyle w:val="InstructionsText"/>
              <w:rPr>
                <w:rStyle w:val="InstructionsTabelleberschrift"/>
                <w:rFonts w:ascii="Times New Roman" w:hAnsi="Times New Roman"/>
                <w:b w:val="0"/>
                <w:bCs w:val="0"/>
                <w:sz w:val="24"/>
                <w:u w:val="none"/>
              </w:rPr>
            </w:pPr>
            <w:r w:rsidRPr="00661595">
              <w:t>The amount reported shall represent the amount of own funds needed to fulfil the respective capital buffer requirements at the reporting date.</w:t>
            </w:r>
          </w:p>
        </w:tc>
      </w:tr>
      <w:tr w:rsidR="00674BF5" w:rsidRPr="00661595" w:rsidTr="00674BF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474" w:type="dxa"/>
            <w:tcBorders>
              <w:top w:val="single" w:sz="4" w:space="0" w:color="auto"/>
              <w:left w:val="single" w:sz="4" w:space="0" w:color="auto"/>
              <w:bottom w:val="single" w:sz="4" w:space="0" w:color="auto"/>
              <w:right w:val="single" w:sz="4" w:space="0" w:color="auto"/>
            </w:tcBorders>
          </w:tcPr>
          <w:p w:rsidR="00674BF5" w:rsidRPr="00661595" w:rsidRDefault="005B76D3" w:rsidP="00487A02">
            <w:pPr>
              <w:pStyle w:val="InstructionsText"/>
            </w:pPr>
            <w:r w:rsidRPr="00661595">
              <w:t>0</w:t>
            </w:r>
            <w:r w:rsidR="00674BF5" w:rsidRPr="00661595">
              <w:t>820</w:t>
            </w:r>
          </w:p>
        </w:tc>
        <w:tc>
          <w:tcPr>
            <w:tcW w:w="7049" w:type="dxa"/>
            <w:tcBorders>
              <w:top w:val="single" w:sz="4" w:space="0" w:color="auto"/>
              <w:left w:val="single" w:sz="4" w:space="0" w:color="auto"/>
              <w:bottom w:val="single" w:sz="4" w:space="0" w:color="auto"/>
              <w:right w:val="single" w:sz="4" w:space="0" w:color="auto"/>
            </w:tcBorders>
          </w:tcPr>
          <w:p w:rsidR="00674BF5" w:rsidRPr="00661595" w:rsidRDefault="00674BF5"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28</w:t>
            </w:r>
            <w:r w:rsidRPr="00661595">
              <w:rPr>
                <w:rStyle w:val="InstructionsTabelleberschrift"/>
                <w:rFonts w:ascii="Times New Roman" w:hAnsi="Times New Roman"/>
                <w:sz w:val="24"/>
              </w:rPr>
              <w:tab/>
              <w:t>Own funds requirements related to Pillar II adjustments</w:t>
            </w:r>
          </w:p>
          <w:p w:rsidR="00674BF5" w:rsidRPr="00661595" w:rsidRDefault="00674BF5" w:rsidP="00487A02">
            <w:pPr>
              <w:pStyle w:val="InstructionsText"/>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Article 104</w:t>
            </w:r>
            <w:r w:rsidR="00BF0637" w:rsidRPr="00661595">
              <w:rPr>
                <w:rStyle w:val="InstructionsTabelleberschrift"/>
                <w:rFonts w:ascii="Times New Roman" w:hAnsi="Times New Roman"/>
                <w:b w:val="0"/>
                <w:sz w:val="24"/>
                <w:u w:val="none"/>
              </w:rPr>
              <w:t>a</w:t>
            </w:r>
            <w:r w:rsidRPr="00661595">
              <w:rPr>
                <w:rStyle w:val="InstructionsTabelleberschrift"/>
                <w:rFonts w:ascii="Times New Roman" w:hAnsi="Times New Roman"/>
                <w:b w:val="0"/>
                <w:sz w:val="24"/>
                <w:u w:val="none"/>
              </w:rPr>
              <w:t>(</w:t>
            </w:r>
            <w:r w:rsidR="00BF0637" w:rsidRPr="00661595">
              <w:rPr>
                <w:rStyle w:val="InstructionsTabelleberschrift"/>
                <w:rFonts w:ascii="Times New Roman" w:hAnsi="Times New Roman"/>
                <w:b w:val="0"/>
                <w:sz w:val="24"/>
                <w:u w:val="none"/>
              </w:rPr>
              <w:t>1</w:t>
            </w:r>
            <w:r w:rsidRPr="00661595">
              <w:rPr>
                <w:rStyle w:val="InstructionsTabelleberschrift"/>
                <w:rFonts w:ascii="Times New Roman" w:hAnsi="Times New Roman"/>
                <w:b w:val="0"/>
                <w:sz w:val="24"/>
                <w:u w:val="none"/>
              </w:rPr>
              <w:t xml:space="preserve">) CRD. </w:t>
            </w:r>
          </w:p>
          <w:p w:rsidR="00674BF5" w:rsidRPr="00661595" w:rsidRDefault="00674BF5" w:rsidP="00487A02">
            <w:pPr>
              <w:pStyle w:val="InstructionsText"/>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 xml:space="preserve">If a competent authority decides that an institution has to calculate additional own funds requirements for Pillar II reasons, those additional own funds requirements shall be reported in this row. </w:t>
            </w:r>
          </w:p>
        </w:tc>
      </w:tr>
      <w:tr w:rsidR="00674BF5" w:rsidRPr="00661595" w:rsidTr="00674BF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474" w:type="dxa"/>
            <w:tcBorders>
              <w:top w:val="single" w:sz="4" w:space="0" w:color="auto"/>
              <w:left w:val="single" w:sz="4" w:space="0" w:color="auto"/>
              <w:bottom w:val="single" w:sz="4" w:space="0" w:color="auto"/>
              <w:right w:val="single" w:sz="4" w:space="0" w:color="auto"/>
            </w:tcBorders>
          </w:tcPr>
          <w:p w:rsidR="00674BF5" w:rsidRPr="00661595" w:rsidRDefault="005B76D3" w:rsidP="00487A02">
            <w:pPr>
              <w:pStyle w:val="InstructionsText"/>
            </w:pPr>
            <w:r w:rsidRPr="00661595">
              <w:t>0</w:t>
            </w:r>
            <w:r w:rsidR="00674BF5" w:rsidRPr="00661595">
              <w:t>830</w:t>
            </w:r>
          </w:p>
        </w:tc>
        <w:tc>
          <w:tcPr>
            <w:tcW w:w="7049" w:type="dxa"/>
            <w:tcBorders>
              <w:top w:val="single" w:sz="4" w:space="0" w:color="auto"/>
              <w:left w:val="single" w:sz="4" w:space="0" w:color="auto"/>
              <w:bottom w:val="single" w:sz="4" w:space="0" w:color="auto"/>
              <w:right w:val="single" w:sz="4" w:space="0" w:color="auto"/>
            </w:tcBorders>
          </w:tcPr>
          <w:p w:rsidR="00674BF5" w:rsidRPr="00661595" w:rsidRDefault="00674BF5"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29</w:t>
            </w:r>
            <w:r w:rsidRPr="00661595">
              <w:rPr>
                <w:rStyle w:val="InstructionsTabelleberschrift"/>
                <w:rFonts w:ascii="Times New Roman" w:hAnsi="Times New Roman"/>
                <w:sz w:val="24"/>
              </w:rPr>
              <w:tab/>
              <w:t>Initial capital</w:t>
            </w:r>
          </w:p>
          <w:p w:rsidR="00674BF5" w:rsidRPr="00661595" w:rsidRDefault="00674BF5" w:rsidP="00487A02">
            <w:pPr>
              <w:pStyle w:val="InstructionsText"/>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Articles 12 and 28 to 31 CRD and Article 93 CRR</w:t>
            </w:r>
          </w:p>
        </w:tc>
      </w:tr>
      <w:tr w:rsidR="00674BF5" w:rsidRPr="00661595" w:rsidTr="00674BF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474" w:type="dxa"/>
            <w:tcBorders>
              <w:top w:val="single" w:sz="4" w:space="0" w:color="auto"/>
              <w:left w:val="single" w:sz="4" w:space="0" w:color="auto"/>
              <w:bottom w:val="single" w:sz="4" w:space="0" w:color="auto"/>
              <w:right w:val="single" w:sz="4" w:space="0" w:color="auto"/>
            </w:tcBorders>
          </w:tcPr>
          <w:p w:rsidR="00674BF5" w:rsidRPr="00661595" w:rsidRDefault="005B76D3" w:rsidP="00487A02">
            <w:pPr>
              <w:pStyle w:val="InstructionsText"/>
            </w:pPr>
            <w:r w:rsidRPr="00661595">
              <w:t>0</w:t>
            </w:r>
            <w:r w:rsidR="00674BF5" w:rsidRPr="00661595">
              <w:t>840</w:t>
            </w:r>
          </w:p>
        </w:tc>
        <w:tc>
          <w:tcPr>
            <w:tcW w:w="7049" w:type="dxa"/>
            <w:tcBorders>
              <w:top w:val="single" w:sz="4" w:space="0" w:color="auto"/>
              <w:left w:val="single" w:sz="4" w:space="0" w:color="auto"/>
              <w:bottom w:val="single" w:sz="4" w:space="0" w:color="auto"/>
              <w:right w:val="single" w:sz="4" w:space="0" w:color="auto"/>
            </w:tcBorders>
          </w:tcPr>
          <w:p w:rsidR="00674BF5" w:rsidRPr="00661595" w:rsidRDefault="00674BF5"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30</w:t>
            </w:r>
            <w:r w:rsidRPr="00661595">
              <w:rPr>
                <w:rStyle w:val="InstructionsTabelleberschrift"/>
                <w:rFonts w:ascii="Times New Roman" w:hAnsi="Times New Roman"/>
                <w:sz w:val="24"/>
              </w:rPr>
              <w:tab/>
              <w:t>Own funds based on Fixed Overheads</w:t>
            </w:r>
          </w:p>
          <w:p w:rsidR="00674BF5" w:rsidRPr="00661595" w:rsidRDefault="00674BF5" w:rsidP="00487A02">
            <w:pPr>
              <w:pStyle w:val="InstructionsText"/>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Point (b) of Article 96(2), Article 97 and point (a) of Article 98(1) CRR</w:t>
            </w:r>
          </w:p>
        </w:tc>
      </w:tr>
      <w:tr w:rsidR="00674BF5" w:rsidRPr="00661595" w:rsidTr="00674BF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474" w:type="dxa"/>
            <w:tcBorders>
              <w:top w:val="single" w:sz="4" w:space="0" w:color="auto"/>
              <w:left w:val="single" w:sz="4" w:space="0" w:color="auto"/>
              <w:bottom w:val="single" w:sz="4" w:space="0" w:color="auto"/>
              <w:right w:val="single" w:sz="4" w:space="0" w:color="auto"/>
            </w:tcBorders>
          </w:tcPr>
          <w:p w:rsidR="00674BF5" w:rsidRPr="00661595" w:rsidRDefault="005B76D3" w:rsidP="00487A02">
            <w:pPr>
              <w:pStyle w:val="InstructionsText"/>
            </w:pPr>
            <w:r w:rsidRPr="00661595">
              <w:t>0</w:t>
            </w:r>
            <w:r w:rsidR="00674BF5" w:rsidRPr="00661595">
              <w:t>850</w:t>
            </w:r>
          </w:p>
        </w:tc>
        <w:tc>
          <w:tcPr>
            <w:tcW w:w="7049" w:type="dxa"/>
            <w:tcBorders>
              <w:top w:val="single" w:sz="4" w:space="0" w:color="auto"/>
              <w:left w:val="single" w:sz="4" w:space="0" w:color="auto"/>
              <w:bottom w:val="single" w:sz="4" w:space="0" w:color="auto"/>
              <w:right w:val="single" w:sz="4" w:space="0" w:color="auto"/>
            </w:tcBorders>
          </w:tcPr>
          <w:p w:rsidR="00674BF5" w:rsidRPr="00661595" w:rsidRDefault="00674BF5"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31</w:t>
            </w:r>
            <w:r w:rsidRPr="00661595">
              <w:rPr>
                <w:rStyle w:val="InstructionsTabelleberschrift"/>
                <w:rFonts w:ascii="Times New Roman" w:hAnsi="Times New Roman"/>
                <w:sz w:val="24"/>
              </w:rPr>
              <w:tab/>
              <w:t>Non-domestic original exposures</w:t>
            </w:r>
          </w:p>
          <w:p w:rsidR="00674BF5" w:rsidRPr="00661595" w:rsidRDefault="00674BF5" w:rsidP="00487A02">
            <w:pPr>
              <w:pStyle w:val="InstructionsText"/>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Information necessary to calculate the threshold for reporting of the CR GB template i</w:t>
            </w:r>
            <w:r w:rsidRPr="00661595">
              <w:t xml:space="preserve">n accordance with </w:t>
            </w:r>
            <w:r w:rsidRPr="00661595">
              <w:rPr>
                <w:rStyle w:val="InstructionsTabelleberschrift"/>
                <w:rFonts w:ascii="Times New Roman" w:hAnsi="Times New Roman"/>
                <w:b w:val="0"/>
                <w:sz w:val="24"/>
                <w:u w:val="none"/>
              </w:rPr>
              <w:t>Article 5(</w:t>
            </w:r>
            <w:r w:rsidR="00CB3146" w:rsidRPr="00661595">
              <w:rPr>
                <w:rStyle w:val="InstructionsTabelleberschrift"/>
                <w:rFonts w:ascii="Times New Roman" w:hAnsi="Times New Roman"/>
                <w:b w:val="0"/>
                <w:sz w:val="24"/>
                <w:u w:val="none"/>
              </w:rPr>
              <w:t>5</w:t>
            </w:r>
            <w:r w:rsidRPr="00661595">
              <w:rPr>
                <w:rStyle w:val="InstructionsTabelleberschrift"/>
                <w:rFonts w:ascii="Times New Roman" w:hAnsi="Times New Roman"/>
                <w:b w:val="0"/>
                <w:sz w:val="24"/>
                <w:u w:val="none"/>
              </w:rPr>
              <w:t xml:space="preserve">) of this Implementing Regulation. The calculation of the threshold shall be done at the basis of the original exposure pre-conversion factor. </w:t>
            </w:r>
          </w:p>
          <w:p w:rsidR="00674BF5" w:rsidRPr="00661595" w:rsidRDefault="00674BF5"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b w:val="0"/>
                <w:sz w:val="24"/>
                <w:u w:val="none"/>
              </w:rPr>
              <w:t>Exposures shall be deemed to be domestic where they are exposures to counterparties located in the Member State where the institution is located.</w:t>
            </w:r>
          </w:p>
        </w:tc>
      </w:tr>
      <w:tr w:rsidR="00674BF5" w:rsidRPr="00661595" w:rsidTr="00674BF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474" w:type="dxa"/>
            <w:tcBorders>
              <w:top w:val="single" w:sz="4" w:space="0" w:color="auto"/>
              <w:left w:val="single" w:sz="4" w:space="0" w:color="auto"/>
              <w:bottom w:val="single" w:sz="4" w:space="0" w:color="auto"/>
              <w:right w:val="single" w:sz="4" w:space="0" w:color="auto"/>
            </w:tcBorders>
          </w:tcPr>
          <w:p w:rsidR="00674BF5" w:rsidRPr="00661595" w:rsidRDefault="005B76D3" w:rsidP="00487A02">
            <w:pPr>
              <w:pStyle w:val="InstructionsText"/>
            </w:pPr>
            <w:r w:rsidRPr="00661595">
              <w:t>0</w:t>
            </w:r>
            <w:r w:rsidR="00674BF5" w:rsidRPr="00661595">
              <w:t>860</w:t>
            </w:r>
          </w:p>
        </w:tc>
        <w:tc>
          <w:tcPr>
            <w:tcW w:w="7049" w:type="dxa"/>
            <w:tcBorders>
              <w:top w:val="single" w:sz="4" w:space="0" w:color="auto"/>
              <w:left w:val="single" w:sz="4" w:space="0" w:color="auto"/>
              <w:bottom w:val="single" w:sz="4" w:space="0" w:color="auto"/>
              <w:right w:val="single" w:sz="4" w:space="0" w:color="auto"/>
            </w:tcBorders>
          </w:tcPr>
          <w:p w:rsidR="00674BF5" w:rsidRPr="00661595" w:rsidRDefault="00674BF5"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32</w:t>
            </w:r>
            <w:r w:rsidRPr="00661595">
              <w:rPr>
                <w:rStyle w:val="InstructionsTabelleberschrift"/>
                <w:rFonts w:ascii="Times New Roman" w:hAnsi="Times New Roman"/>
                <w:sz w:val="24"/>
              </w:rPr>
              <w:tab/>
              <w:t>Total original exposures</w:t>
            </w:r>
          </w:p>
          <w:p w:rsidR="00674BF5" w:rsidRPr="00661595" w:rsidRDefault="00674BF5" w:rsidP="00487A02">
            <w:pPr>
              <w:pStyle w:val="InstructionsText"/>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 xml:space="preserve">Information necessary to calculate the threshold for reporting of the CR GB template </w:t>
            </w:r>
            <w:r w:rsidRPr="00661595">
              <w:t xml:space="preserve">in accordance with </w:t>
            </w:r>
            <w:r w:rsidRPr="00661595">
              <w:rPr>
                <w:rStyle w:val="InstructionsTabelleberschrift"/>
                <w:rFonts w:ascii="Times New Roman" w:hAnsi="Times New Roman"/>
                <w:b w:val="0"/>
                <w:sz w:val="24"/>
                <w:u w:val="none"/>
              </w:rPr>
              <w:t>Article 5(</w:t>
            </w:r>
            <w:r w:rsidR="007A3184" w:rsidRPr="00661595">
              <w:rPr>
                <w:rStyle w:val="InstructionsTabelleberschrift"/>
                <w:rFonts w:ascii="Times New Roman" w:hAnsi="Times New Roman"/>
                <w:b w:val="0"/>
                <w:sz w:val="24"/>
                <w:u w:val="none"/>
              </w:rPr>
              <w:t>5</w:t>
            </w:r>
            <w:r w:rsidRPr="00661595">
              <w:rPr>
                <w:rStyle w:val="InstructionsTabelleberschrift"/>
                <w:rFonts w:ascii="Times New Roman" w:hAnsi="Times New Roman"/>
                <w:b w:val="0"/>
                <w:sz w:val="24"/>
                <w:u w:val="none"/>
              </w:rPr>
              <w:t>)</w:t>
            </w:r>
            <w:r w:rsidR="00CB3146" w:rsidRPr="00661595">
              <w:rPr>
                <w:rStyle w:val="InstructionsTabelleberschrift"/>
                <w:rFonts w:ascii="Times New Roman" w:hAnsi="Times New Roman"/>
                <w:b w:val="0"/>
                <w:sz w:val="24"/>
                <w:u w:val="none"/>
              </w:rPr>
              <w:t xml:space="preserve"> </w:t>
            </w:r>
            <w:r w:rsidRPr="00661595">
              <w:rPr>
                <w:rStyle w:val="InstructionsTabelleberschrift"/>
                <w:rFonts w:ascii="Times New Roman" w:hAnsi="Times New Roman"/>
                <w:b w:val="0"/>
                <w:sz w:val="24"/>
                <w:u w:val="none"/>
              </w:rPr>
              <w:t>of this Implementing Regulation. The calculation of the threshold shall be done at the basis of the original exposure pre-conversion factor</w:t>
            </w:r>
          </w:p>
          <w:p w:rsidR="00674BF5" w:rsidRPr="00661595" w:rsidRDefault="00674BF5"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b w:val="0"/>
                <w:sz w:val="24"/>
                <w:u w:val="none"/>
              </w:rPr>
              <w:t>Exposures shall be deemed to be domestic where they are exposures to counterparties located in the Member State where the institution is located.</w:t>
            </w:r>
          </w:p>
        </w:tc>
      </w:tr>
    </w:tbl>
    <w:p w:rsidR="002648B0" w:rsidRPr="00661595" w:rsidRDefault="002648B0" w:rsidP="00487A02">
      <w:pPr>
        <w:pStyle w:val="InstructionsText"/>
      </w:pPr>
    </w:p>
    <w:p w:rsidR="002648B0" w:rsidRPr="00661595" w:rsidRDefault="00936DD1" w:rsidP="0023700C">
      <w:pPr>
        <w:pStyle w:val="Instructionsberschrift2"/>
        <w:numPr>
          <w:ilvl w:val="0"/>
          <w:numId w:val="0"/>
        </w:numPr>
        <w:ind w:left="357" w:hanging="357"/>
        <w:rPr>
          <w:rFonts w:ascii="Times New Roman" w:hAnsi="Times New Roman" w:cs="Times New Roman"/>
          <w:sz w:val="24"/>
          <w:lang w:val="en-GB"/>
        </w:rPr>
      </w:pPr>
      <w:bookmarkStart w:id="68" w:name="_Toc360188333"/>
      <w:bookmarkStart w:id="69" w:name="_Toc473560881"/>
      <w:bookmarkStart w:id="70" w:name="_Toc57831521"/>
      <w:bookmarkStart w:id="71" w:name="_Toc308175834"/>
      <w:r w:rsidRPr="00661595">
        <w:rPr>
          <w:rFonts w:ascii="Times New Roman" w:hAnsi="Times New Roman" w:cs="Times New Roman"/>
          <w:sz w:val="24"/>
          <w:lang w:val="en-GB"/>
        </w:rPr>
        <w:t>1.6</w:t>
      </w:r>
      <w:r w:rsidRPr="00661595">
        <w:rPr>
          <w:rFonts w:ascii="Times New Roman" w:hAnsi="Times New Roman" w:cs="Times New Roman"/>
          <w:sz w:val="24"/>
          <w:lang w:val="en-GB"/>
        </w:rPr>
        <w:tab/>
      </w:r>
      <w:r w:rsidR="00513822" w:rsidRPr="00661595">
        <w:rPr>
          <w:rFonts w:ascii="Times New Roman" w:hAnsi="Times New Roman" w:cs="Times New Roman"/>
          <w:sz w:val="24"/>
          <w:lang w:val="en-GB"/>
        </w:rPr>
        <w:t xml:space="preserve">TRANSITIONAL PROVISIONS </w:t>
      </w:r>
      <w:r w:rsidR="00DB0274" w:rsidRPr="00661595">
        <w:rPr>
          <w:rFonts w:ascii="Times New Roman" w:hAnsi="Times New Roman" w:cs="Times New Roman"/>
          <w:sz w:val="24"/>
          <w:lang w:val="en-GB"/>
        </w:rPr>
        <w:t>and GRANDFATHERED INSTRUMENTS: INSTRUMENTS NOT CONSTITU</w:t>
      </w:r>
      <w:r w:rsidR="00F56546" w:rsidRPr="00661595">
        <w:rPr>
          <w:rFonts w:ascii="Times New Roman" w:hAnsi="Times New Roman" w:cs="Times New Roman"/>
          <w:sz w:val="24"/>
          <w:lang w:val="en-GB"/>
        </w:rPr>
        <w:t>T</w:t>
      </w:r>
      <w:r w:rsidR="00DB0274" w:rsidRPr="00661595">
        <w:rPr>
          <w:rFonts w:ascii="Times New Roman" w:hAnsi="Times New Roman" w:cs="Times New Roman"/>
          <w:sz w:val="24"/>
          <w:lang w:val="en-GB"/>
        </w:rPr>
        <w:t xml:space="preserve">ING STATE AID </w:t>
      </w:r>
      <w:r w:rsidR="00407936" w:rsidRPr="00661595">
        <w:rPr>
          <w:rFonts w:ascii="Times New Roman" w:hAnsi="Times New Roman" w:cs="Times New Roman"/>
          <w:sz w:val="24"/>
          <w:lang w:val="en-GB"/>
        </w:rPr>
        <w:t>(CA5</w:t>
      </w:r>
      <w:bookmarkEnd w:id="68"/>
      <w:r w:rsidR="00407936" w:rsidRPr="00661595">
        <w:rPr>
          <w:rFonts w:ascii="Times New Roman" w:hAnsi="Times New Roman" w:cs="Times New Roman"/>
          <w:sz w:val="24"/>
          <w:lang w:val="en-GB"/>
        </w:rPr>
        <w:t>)</w:t>
      </w:r>
      <w:bookmarkEnd w:id="69"/>
      <w:bookmarkEnd w:id="70"/>
    </w:p>
    <w:p w:rsidR="002648B0" w:rsidRPr="00661595" w:rsidRDefault="00936DD1" w:rsidP="0023700C">
      <w:pPr>
        <w:pStyle w:val="Instructionsberschrift2"/>
        <w:numPr>
          <w:ilvl w:val="0"/>
          <w:numId w:val="0"/>
        </w:numPr>
        <w:ind w:left="357" w:hanging="357"/>
        <w:rPr>
          <w:rFonts w:ascii="Times New Roman" w:hAnsi="Times New Roman" w:cs="Times New Roman"/>
          <w:sz w:val="24"/>
          <w:lang w:val="en-GB"/>
        </w:rPr>
      </w:pPr>
      <w:bookmarkStart w:id="72" w:name="_Toc308175835"/>
      <w:bookmarkStart w:id="73" w:name="_Toc360188334"/>
      <w:bookmarkStart w:id="74" w:name="_Toc473560882"/>
      <w:bookmarkStart w:id="75" w:name="_Toc57831522"/>
      <w:bookmarkEnd w:id="71"/>
      <w:r w:rsidRPr="00661595">
        <w:rPr>
          <w:rFonts w:ascii="Times New Roman" w:hAnsi="Times New Roman" w:cs="Times New Roman"/>
          <w:sz w:val="24"/>
          <w:lang w:val="en-GB"/>
        </w:rPr>
        <w:t>1.6.1</w:t>
      </w:r>
      <w:r w:rsidRPr="00661595">
        <w:rPr>
          <w:rFonts w:ascii="Times New Roman" w:hAnsi="Times New Roman" w:cs="Times New Roman"/>
          <w:sz w:val="24"/>
          <w:lang w:val="en-GB"/>
        </w:rPr>
        <w:tab/>
      </w:r>
      <w:r w:rsidR="002648B0" w:rsidRPr="00661595">
        <w:rPr>
          <w:rFonts w:ascii="Times New Roman" w:hAnsi="Times New Roman" w:cs="Times New Roman"/>
          <w:sz w:val="24"/>
          <w:lang w:val="en-GB"/>
        </w:rPr>
        <w:t>General remarks</w:t>
      </w:r>
      <w:bookmarkEnd w:id="72"/>
      <w:bookmarkEnd w:id="73"/>
      <w:bookmarkEnd w:id="74"/>
      <w:bookmarkEnd w:id="75"/>
    </w:p>
    <w:p w:rsidR="00783881" w:rsidRPr="00661595" w:rsidRDefault="00D11E4C" w:rsidP="00487A02">
      <w:pPr>
        <w:pStyle w:val="InstructionsText2"/>
        <w:numPr>
          <w:ilvl w:val="0"/>
          <w:numId w:val="0"/>
        </w:numPr>
        <w:ind w:left="1353" w:hanging="360"/>
      </w:pPr>
      <w:fldSimple w:instr=" seq paragraphs ">
        <w:r w:rsidR="00771068">
          <w:rPr>
            <w:noProof/>
          </w:rPr>
          <w:t>16</w:t>
        </w:r>
      </w:fldSimple>
      <w:r w:rsidR="00B43C2A" w:rsidRPr="00661595">
        <w:t>.</w:t>
      </w:r>
      <w:r w:rsidR="00B43C2A" w:rsidRPr="00661595">
        <w:tab/>
      </w:r>
      <w:r w:rsidR="002648B0" w:rsidRPr="00661595">
        <w:t>CA5 summari</w:t>
      </w:r>
      <w:r w:rsidR="00C7103D" w:rsidRPr="00661595">
        <w:t>s</w:t>
      </w:r>
      <w:r w:rsidR="002648B0" w:rsidRPr="00661595">
        <w:t xml:space="preserve">es the calculation of own funds elements and deductions subject to the transitional provisions laid down in Articles </w:t>
      </w:r>
      <w:r w:rsidR="004C4478" w:rsidRPr="00661595">
        <w:t xml:space="preserve">465 </w:t>
      </w:r>
      <w:r w:rsidR="002648B0" w:rsidRPr="00661595">
        <w:t xml:space="preserve">to </w:t>
      </w:r>
      <w:r w:rsidR="00B542AB" w:rsidRPr="00661595">
        <w:t>491</w:t>
      </w:r>
      <w:r w:rsidR="00F834C3" w:rsidRPr="00661595">
        <w:t>, 494a and 494b</w:t>
      </w:r>
      <w:r w:rsidR="002648B0" w:rsidRPr="00661595">
        <w:t xml:space="preserve"> </w:t>
      </w:r>
      <w:r w:rsidR="00C7103D" w:rsidRPr="00661595">
        <w:t>CRR</w:t>
      </w:r>
      <w:r w:rsidR="002648B0" w:rsidRPr="00661595">
        <w:t xml:space="preserve">. </w:t>
      </w:r>
    </w:p>
    <w:p w:rsidR="00496C53" w:rsidRPr="00661595" w:rsidRDefault="00D11E4C" w:rsidP="00487A02">
      <w:pPr>
        <w:pStyle w:val="InstructionsText2"/>
        <w:numPr>
          <w:ilvl w:val="0"/>
          <w:numId w:val="0"/>
        </w:numPr>
        <w:ind w:left="1353" w:hanging="360"/>
      </w:pPr>
      <w:fldSimple w:instr=" seq paragraphs ">
        <w:r w:rsidR="00771068">
          <w:rPr>
            <w:noProof/>
          </w:rPr>
          <w:t>17</w:t>
        </w:r>
      </w:fldSimple>
      <w:r w:rsidR="00125707" w:rsidRPr="00661595">
        <w:t>.</w:t>
      </w:r>
      <w:r w:rsidR="00125707" w:rsidRPr="00661595">
        <w:tab/>
      </w:r>
      <w:r w:rsidR="002648B0" w:rsidRPr="00661595">
        <w:t>CA5 is structured as follows:</w:t>
      </w:r>
    </w:p>
    <w:p w:rsidR="002648B0" w:rsidRPr="00661595" w:rsidRDefault="00125707" w:rsidP="00487A02">
      <w:pPr>
        <w:pStyle w:val="InstructionsText2"/>
        <w:numPr>
          <w:ilvl w:val="0"/>
          <w:numId w:val="0"/>
        </w:numPr>
        <w:ind w:left="1353" w:hanging="360"/>
      </w:pPr>
      <w:r w:rsidRPr="00661595">
        <w:t>(a)</w:t>
      </w:r>
      <w:r w:rsidRPr="00661595">
        <w:tab/>
      </w:r>
      <w:r w:rsidR="00480A69" w:rsidRPr="00661595">
        <w:t>T</w:t>
      </w:r>
      <w:r w:rsidR="00ED66A4" w:rsidRPr="00661595">
        <w:t>emplate</w:t>
      </w:r>
      <w:r w:rsidR="002648B0" w:rsidRPr="00661595">
        <w:t xml:space="preserve"> </w:t>
      </w:r>
      <w:r w:rsidR="00F834C3" w:rsidRPr="00661595">
        <w:t>CA</w:t>
      </w:r>
      <w:r w:rsidR="002648B0" w:rsidRPr="00661595">
        <w:t>5.1 summari</w:t>
      </w:r>
      <w:r w:rsidR="00C7103D" w:rsidRPr="00661595">
        <w:t>s</w:t>
      </w:r>
      <w:r w:rsidR="002648B0" w:rsidRPr="00661595">
        <w:t xml:space="preserve">es the total adjustments which need to be made to the different components of own funds (reported in CA1 </w:t>
      </w:r>
      <w:r w:rsidR="00BB22D4" w:rsidRPr="00661595">
        <w:t>in accordance with</w:t>
      </w:r>
      <w:r w:rsidR="002648B0" w:rsidRPr="00661595">
        <w:t xml:space="preserve"> the final provisions) as a consequence of the application of the transitional provisions.</w:t>
      </w:r>
      <w:r w:rsidR="00730040" w:rsidRPr="00661595">
        <w:t xml:space="preserve"> </w:t>
      </w:r>
      <w:r w:rsidR="002648B0" w:rsidRPr="00661595">
        <w:t xml:space="preserve">The elements of this </w:t>
      </w:r>
      <w:r w:rsidR="00133396" w:rsidRPr="00661595">
        <w:t xml:space="preserve">template </w:t>
      </w:r>
      <w:r w:rsidR="002648B0" w:rsidRPr="00661595">
        <w:t>are presented as “adjustments” to the different capital components in CA1, in order to reflect in own funds components the effects of the transitional provisions.</w:t>
      </w:r>
    </w:p>
    <w:p w:rsidR="002648B0" w:rsidRPr="00661595" w:rsidRDefault="00125707" w:rsidP="00487A02">
      <w:pPr>
        <w:pStyle w:val="InstructionsText2"/>
        <w:numPr>
          <w:ilvl w:val="0"/>
          <w:numId w:val="0"/>
        </w:numPr>
        <w:ind w:left="1353" w:hanging="360"/>
      </w:pPr>
      <w:r w:rsidRPr="00661595">
        <w:t>(b)</w:t>
      </w:r>
      <w:r w:rsidRPr="00661595">
        <w:tab/>
      </w:r>
      <w:r w:rsidR="00480A69" w:rsidRPr="00661595">
        <w:t>T</w:t>
      </w:r>
      <w:r w:rsidR="00ED66A4" w:rsidRPr="00661595">
        <w:t>emplate</w:t>
      </w:r>
      <w:r w:rsidR="002648B0" w:rsidRPr="00661595">
        <w:t xml:space="preserve"> 5.2 provide</w:t>
      </w:r>
      <w:r w:rsidR="002A7C84" w:rsidRPr="00661595">
        <w:t>s</w:t>
      </w:r>
      <w:r w:rsidR="002648B0" w:rsidRPr="00661595">
        <w:t xml:space="preserve"> further details on the calculation of those grandfathered instruments which do not constitute state aid. </w:t>
      </w:r>
    </w:p>
    <w:bookmarkStart w:id="76" w:name="_Toc307386943"/>
    <w:p w:rsidR="005643EA" w:rsidRPr="00661595" w:rsidRDefault="0056002D" w:rsidP="00487A02">
      <w:pPr>
        <w:pStyle w:val="InstructionsText2"/>
        <w:numPr>
          <w:ilvl w:val="0"/>
          <w:numId w:val="0"/>
        </w:numPr>
        <w:ind w:left="1353" w:hanging="360"/>
      </w:pPr>
      <w:r>
        <w:fldChar w:fldCharType="begin"/>
      </w:r>
      <w:r>
        <w:instrText xml:space="preserve"> seq paragraphs </w:instrText>
      </w:r>
      <w:r>
        <w:fldChar w:fldCharType="separate"/>
      </w:r>
      <w:r w:rsidR="00771068">
        <w:rPr>
          <w:noProof/>
        </w:rPr>
        <w:t>18</w:t>
      </w:r>
      <w:r>
        <w:fldChar w:fldCharType="end"/>
      </w:r>
      <w:r w:rsidR="00125707" w:rsidRPr="00661595">
        <w:t>.</w:t>
      </w:r>
      <w:r w:rsidR="00125707" w:rsidRPr="00661595">
        <w:tab/>
      </w:r>
      <w:r w:rsidR="002A7C84" w:rsidRPr="00661595">
        <w:t>I</w:t>
      </w:r>
      <w:r w:rsidR="002648B0" w:rsidRPr="00661595">
        <w:t>nstitutions shall report in the first four columns the adjustments to Common Equity Tier 1 capital, Additional Tier 1 capital and</w:t>
      </w:r>
      <w:r w:rsidR="00730040" w:rsidRPr="00661595">
        <w:t xml:space="preserve"> </w:t>
      </w:r>
      <w:r w:rsidR="002648B0" w:rsidRPr="00661595">
        <w:t xml:space="preserve">Tier 2 capital as well as the amount to be treated as risk weighted assets. </w:t>
      </w:r>
      <w:r w:rsidR="002A7C84" w:rsidRPr="00661595">
        <w:t>In</w:t>
      </w:r>
      <w:r w:rsidR="002648B0" w:rsidRPr="00661595">
        <w:t xml:space="preserve">stitutions are </w:t>
      </w:r>
      <w:r w:rsidR="002A7C84" w:rsidRPr="00661595">
        <w:t xml:space="preserve">also </w:t>
      </w:r>
      <w:r w:rsidR="002648B0" w:rsidRPr="00661595">
        <w:t xml:space="preserve">required to report the applicable percentage in column </w:t>
      </w:r>
      <w:r w:rsidR="00F834C3" w:rsidRPr="00661595">
        <w:t>0</w:t>
      </w:r>
      <w:r w:rsidR="002648B0" w:rsidRPr="00661595">
        <w:t xml:space="preserve">050 and the eligible amount without the recognition of transitional provisions in column </w:t>
      </w:r>
      <w:r w:rsidR="00F834C3" w:rsidRPr="00661595">
        <w:t>0</w:t>
      </w:r>
      <w:r w:rsidR="002648B0" w:rsidRPr="00661595">
        <w:t>060.</w:t>
      </w:r>
    </w:p>
    <w:p w:rsidR="005643EA" w:rsidRPr="00661595" w:rsidRDefault="00D11E4C" w:rsidP="00487A02">
      <w:pPr>
        <w:pStyle w:val="InstructionsText2"/>
        <w:numPr>
          <w:ilvl w:val="0"/>
          <w:numId w:val="0"/>
        </w:numPr>
        <w:ind w:left="1353" w:hanging="360"/>
      </w:pPr>
      <w:fldSimple w:instr=" seq paragraphs ">
        <w:r w:rsidR="00771068">
          <w:rPr>
            <w:noProof/>
          </w:rPr>
          <w:t>19</w:t>
        </w:r>
      </w:fldSimple>
      <w:r w:rsidR="00125707" w:rsidRPr="00661595">
        <w:t>.</w:t>
      </w:r>
      <w:r w:rsidR="00125707" w:rsidRPr="00661595">
        <w:tab/>
      </w:r>
      <w:r w:rsidR="002648B0" w:rsidRPr="00661595">
        <w:t xml:space="preserve">Institutions shall only report elements in CA5 during the period where transitional provisions </w:t>
      </w:r>
      <w:r w:rsidR="00167619" w:rsidRPr="00661595">
        <w:t xml:space="preserve">laid down in </w:t>
      </w:r>
      <w:r w:rsidR="002648B0" w:rsidRPr="00661595">
        <w:t xml:space="preserve">Part Ten </w:t>
      </w:r>
      <w:r w:rsidR="00C7103D" w:rsidRPr="00661595">
        <w:t>CRR</w:t>
      </w:r>
      <w:r w:rsidR="002648B0" w:rsidRPr="00661595">
        <w:t xml:space="preserve"> apply.</w:t>
      </w:r>
    </w:p>
    <w:p w:rsidR="005643EA" w:rsidRPr="00661595" w:rsidRDefault="00D11E4C" w:rsidP="00487A02">
      <w:pPr>
        <w:pStyle w:val="InstructionsText2"/>
        <w:numPr>
          <w:ilvl w:val="0"/>
          <w:numId w:val="0"/>
        </w:numPr>
        <w:ind w:left="1353" w:hanging="360"/>
      </w:pPr>
      <w:fldSimple w:instr=" seq paragraphs ">
        <w:r w:rsidR="00771068">
          <w:rPr>
            <w:noProof/>
          </w:rPr>
          <w:t>20</w:t>
        </w:r>
      </w:fldSimple>
      <w:r w:rsidR="00125707" w:rsidRPr="00661595">
        <w:t>.</w:t>
      </w:r>
      <w:r w:rsidR="00125707" w:rsidRPr="00661595">
        <w:tab/>
      </w:r>
      <w:r w:rsidR="002648B0" w:rsidRPr="00661595">
        <w:t xml:space="preserve">Some of the transitional provisions require a deduction from Tier 1. If this is the case the residual amount of a deduction or deductions is applied to Tier 1 and there is insufficient AT1 to absorb this amount then the excess </w:t>
      </w:r>
      <w:r w:rsidR="00C93697" w:rsidRPr="00661595">
        <w:t>shall</w:t>
      </w:r>
      <w:r w:rsidR="002648B0" w:rsidRPr="00661595">
        <w:t xml:space="preserve"> be deducted from CET1.</w:t>
      </w:r>
    </w:p>
    <w:p w:rsidR="002648B0" w:rsidRPr="009258A2" w:rsidRDefault="00125707" w:rsidP="009258A2">
      <w:pPr>
        <w:pStyle w:val="Instructionsberschrift2"/>
        <w:numPr>
          <w:ilvl w:val="0"/>
          <w:numId w:val="0"/>
        </w:numPr>
        <w:ind w:left="357" w:hanging="357"/>
        <w:rPr>
          <w:rFonts w:ascii="Times New Roman" w:hAnsi="Times New Roman" w:cs="Times New Roman"/>
          <w:sz w:val="24"/>
          <w:lang w:val="en-GB"/>
        </w:rPr>
      </w:pPr>
      <w:bookmarkStart w:id="77" w:name="_Toc473560883"/>
      <w:bookmarkStart w:id="78" w:name="_Toc57831523"/>
      <w:bookmarkStart w:id="79" w:name="_Toc360188335"/>
      <w:bookmarkStart w:id="80" w:name="_Toc308175836"/>
      <w:bookmarkEnd w:id="76"/>
      <w:r w:rsidRPr="009258A2">
        <w:rPr>
          <w:rFonts w:ascii="Times New Roman" w:hAnsi="Times New Roman" w:cs="Times New Roman"/>
          <w:sz w:val="24"/>
          <w:lang w:val="en-GB"/>
        </w:rPr>
        <w:t>1.6.2.</w:t>
      </w:r>
      <w:r w:rsidRPr="009258A2">
        <w:rPr>
          <w:rFonts w:ascii="Times New Roman" w:hAnsi="Times New Roman" w:cs="Times New Roman"/>
          <w:sz w:val="24"/>
          <w:lang w:val="en-GB"/>
        </w:rPr>
        <w:tab/>
      </w:r>
      <w:r w:rsidR="00513822" w:rsidRPr="009258A2">
        <w:rPr>
          <w:rFonts w:ascii="Times New Roman" w:hAnsi="Times New Roman" w:cs="Times New Roman"/>
          <w:sz w:val="24"/>
          <w:lang w:val="en-GB"/>
        </w:rPr>
        <w:t>C 05.01 - TRANSITIONAL PROVISIONS (CA5.1)</w:t>
      </w:r>
      <w:bookmarkEnd w:id="77"/>
      <w:bookmarkEnd w:id="78"/>
      <w:r w:rsidR="00513822" w:rsidRPr="009258A2">
        <w:rPr>
          <w:rFonts w:ascii="Times New Roman" w:hAnsi="Times New Roman" w:cs="Times New Roman"/>
          <w:sz w:val="24"/>
          <w:lang w:val="en-GB"/>
        </w:rPr>
        <w:t xml:space="preserve"> </w:t>
      </w:r>
      <w:bookmarkEnd w:id="79"/>
      <w:bookmarkEnd w:id="80"/>
    </w:p>
    <w:p w:rsidR="002648B0" w:rsidRPr="00661595" w:rsidRDefault="00D11E4C" w:rsidP="00487A02">
      <w:pPr>
        <w:pStyle w:val="InstructionsText2"/>
        <w:numPr>
          <w:ilvl w:val="0"/>
          <w:numId w:val="0"/>
        </w:numPr>
        <w:ind w:left="1353" w:hanging="360"/>
      </w:pPr>
      <w:fldSimple w:instr=" seq paragraphs ">
        <w:r w:rsidR="00771068">
          <w:rPr>
            <w:noProof/>
          </w:rPr>
          <w:t>21</w:t>
        </w:r>
      </w:fldSimple>
      <w:r w:rsidR="00125707" w:rsidRPr="00661595">
        <w:t>.</w:t>
      </w:r>
      <w:r w:rsidR="00125707" w:rsidRPr="00661595">
        <w:tab/>
      </w:r>
      <w:r w:rsidR="002648B0" w:rsidRPr="00661595">
        <w:t xml:space="preserve">Institutions shall report in </w:t>
      </w:r>
      <w:r w:rsidR="00133396" w:rsidRPr="00661595">
        <w:t>CA</w:t>
      </w:r>
      <w:r w:rsidR="002648B0" w:rsidRPr="00661595">
        <w:t>5.1</w:t>
      </w:r>
      <w:r w:rsidR="00133396" w:rsidRPr="00661595">
        <w:t xml:space="preserve"> template</w:t>
      </w:r>
      <w:r w:rsidR="002648B0" w:rsidRPr="00661595">
        <w:t xml:space="preserve"> the transitional provisions to own funds components as laid down in Articles </w:t>
      </w:r>
      <w:r w:rsidR="004C4478" w:rsidRPr="00661595">
        <w:t xml:space="preserve">465 </w:t>
      </w:r>
      <w:r w:rsidR="002648B0" w:rsidRPr="00661595">
        <w:t xml:space="preserve">to </w:t>
      </w:r>
      <w:r w:rsidR="00B542AB" w:rsidRPr="00661595">
        <w:t>491</w:t>
      </w:r>
      <w:r w:rsidR="0061382B" w:rsidRPr="00661595">
        <w:t>, 494a and 494b</w:t>
      </w:r>
      <w:r w:rsidR="002648B0" w:rsidRPr="00661595">
        <w:t xml:space="preserve"> </w:t>
      </w:r>
      <w:r w:rsidR="00C7103D" w:rsidRPr="00661595">
        <w:t>CRR</w:t>
      </w:r>
      <w:r w:rsidR="002648B0" w:rsidRPr="00661595">
        <w:t xml:space="preserve">, compared to applying the final provisions laid down in Title II of Part Two </w:t>
      </w:r>
      <w:r w:rsidR="00C7103D" w:rsidRPr="00661595">
        <w:t>CRR</w:t>
      </w:r>
      <w:r w:rsidR="002648B0" w:rsidRPr="00661595">
        <w:t xml:space="preserve">. </w:t>
      </w:r>
    </w:p>
    <w:p w:rsidR="00783881" w:rsidRPr="00661595" w:rsidRDefault="00D11E4C" w:rsidP="00487A02">
      <w:pPr>
        <w:pStyle w:val="InstructionsText2"/>
        <w:numPr>
          <w:ilvl w:val="0"/>
          <w:numId w:val="0"/>
        </w:numPr>
        <w:ind w:left="1353" w:hanging="360"/>
      </w:pPr>
      <w:fldSimple w:instr=" seq paragraphs ">
        <w:r w:rsidR="00771068">
          <w:rPr>
            <w:noProof/>
          </w:rPr>
          <w:t>22</w:t>
        </w:r>
      </w:fldSimple>
      <w:r w:rsidR="00125707" w:rsidRPr="00661595">
        <w:t>.</w:t>
      </w:r>
      <w:r w:rsidR="00125707" w:rsidRPr="00661595">
        <w:tab/>
      </w:r>
      <w:r w:rsidR="002648B0" w:rsidRPr="00661595">
        <w:t xml:space="preserve">Institutions shall report in </w:t>
      </w:r>
      <w:r w:rsidR="00B62635" w:rsidRPr="00661595">
        <w:t xml:space="preserve">rows </w:t>
      </w:r>
      <w:r w:rsidR="008A05EC" w:rsidRPr="00661595">
        <w:t>0</w:t>
      </w:r>
      <w:r w:rsidR="00B62635" w:rsidRPr="00661595">
        <w:t>060</w:t>
      </w:r>
      <w:r w:rsidR="00ED66A4" w:rsidRPr="00661595">
        <w:t xml:space="preserve"> </w:t>
      </w:r>
      <w:r w:rsidR="00BA1BF6" w:rsidRPr="00661595">
        <w:t xml:space="preserve">to 0065 </w:t>
      </w:r>
      <w:r w:rsidR="002648B0" w:rsidRPr="00661595">
        <w:t xml:space="preserve">information </w:t>
      </w:r>
      <w:r w:rsidR="00BB22D4" w:rsidRPr="00661595">
        <w:t>about</w:t>
      </w:r>
      <w:r w:rsidR="002648B0" w:rsidRPr="00661595">
        <w:t xml:space="preserve"> the transitional provisions of grandfathered instruments.</w:t>
      </w:r>
      <w:r w:rsidR="006A20A0" w:rsidRPr="00661595">
        <w:t xml:space="preserve"> </w:t>
      </w:r>
      <w:r w:rsidR="002648B0" w:rsidRPr="00661595">
        <w:t xml:space="preserve">The figures to be reported in </w:t>
      </w:r>
      <w:r w:rsidR="00B62635" w:rsidRPr="00661595">
        <w:t xml:space="preserve">row </w:t>
      </w:r>
      <w:r w:rsidR="008A05EC" w:rsidRPr="00661595">
        <w:t>0</w:t>
      </w:r>
      <w:r w:rsidR="00B62635" w:rsidRPr="00661595">
        <w:t>060</w:t>
      </w:r>
      <w:r w:rsidR="002648B0" w:rsidRPr="00661595">
        <w:t xml:space="preserve"> of CA5.1 </w:t>
      </w:r>
      <w:r w:rsidR="00BA1BF6" w:rsidRPr="00661595">
        <w:t xml:space="preserve">reflect the transitional provisions included in the CRR </w:t>
      </w:r>
      <w:r w:rsidR="0061382B" w:rsidRPr="00661595">
        <w:t>in the version applicable until</w:t>
      </w:r>
      <w:r w:rsidR="00BA1BF6" w:rsidRPr="00661595">
        <w:t xml:space="preserve"> 26 June 2019</w:t>
      </w:r>
      <w:r w:rsidR="00E92EE4" w:rsidRPr="00661595">
        <w:t xml:space="preserve"> and </w:t>
      </w:r>
      <w:r w:rsidR="002648B0" w:rsidRPr="00661595">
        <w:t>can be derived from the respective sections of CA5.2.</w:t>
      </w:r>
      <w:r w:rsidR="008A05EC" w:rsidRPr="00661595">
        <w:t xml:space="preserve"> Rows 0061 to 0065 capture the effect of the transitional provisions </w:t>
      </w:r>
      <w:r w:rsidR="0061382B" w:rsidRPr="00661595">
        <w:t>of Articles 494a and 494b CRR</w:t>
      </w:r>
      <w:r w:rsidR="008A05EC" w:rsidRPr="00661595">
        <w:t>.</w:t>
      </w:r>
    </w:p>
    <w:p w:rsidR="00496C53" w:rsidRPr="00661595" w:rsidRDefault="00D11E4C" w:rsidP="00487A02">
      <w:pPr>
        <w:pStyle w:val="InstructionsText2"/>
        <w:numPr>
          <w:ilvl w:val="0"/>
          <w:numId w:val="0"/>
        </w:numPr>
        <w:ind w:left="1353" w:hanging="360"/>
      </w:pPr>
      <w:fldSimple w:instr=" seq paragraphs ">
        <w:r w:rsidR="00771068">
          <w:rPr>
            <w:noProof/>
          </w:rPr>
          <w:t>23</w:t>
        </w:r>
      </w:fldSimple>
      <w:r w:rsidR="00125707" w:rsidRPr="00661595">
        <w:t>.</w:t>
      </w:r>
      <w:r w:rsidR="00125707" w:rsidRPr="00661595">
        <w:tab/>
      </w:r>
      <w:r w:rsidR="002648B0" w:rsidRPr="00661595">
        <w:t xml:space="preserve">Institutions shall report in </w:t>
      </w:r>
      <w:r w:rsidR="00EA050A" w:rsidRPr="00661595">
        <w:t xml:space="preserve">rows </w:t>
      </w:r>
      <w:r w:rsidR="008A05EC" w:rsidRPr="00661595">
        <w:t>0</w:t>
      </w:r>
      <w:r w:rsidR="00ED66A4" w:rsidRPr="00661595">
        <w:t xml:space="preserve">070 to </w:t>
      </w:r>
      <w:r w:rsidR="008A05EC" w:rsidRPr="00661595">
        <w:t>0</w:t>
      </w:r>
      <w:r w:rsidR="00ED66A4" w:rsidRPr="00661595">
        <w:t>092</w:t>
      </w:r>
      <w:r w:rsidR="002648B0" w:rsidRPr="00661595">
        <w:t xml:space="preserve"> information </w:t>
      </w:r>
      <w:r w:rsidR="00BB22D4" w:rsidRPr="00661595">
        <w:t>about</w:t>
      </w:r>
      <w:r w:rsidR="002648B0" w:rsidRPr="00661595">
        <w:t xml:space="preserve"> the transitional provisions of minority interests and additional Tier 1 and Tier 2 instruments issued by subsidiaries (in accordance with Articles </w:t>
      </w:r>
      <w:r w:rsidR="00B542AB" w:rsidRPr="00661595">
        <w:t>479</w:t>
      </w:r>
      <w:r w:rsidR="002648B0" w:rsidRPr="00661595">
        <w:t xml:space="preserve"> and </w:t>
      </w:r>
      <w:r w:rsidR="00B542AB" w:rsidRPr="00661595">
        <w:t>480</w:t>
      </w:r>
      <w:r w:rsidR="002648B0" w:rsidRPr="00661595">
        <w:t xml:space="preserve"> </w:t>
      </w:r>
      <w:r w:rsidR="00C7103D" w:rsidRPr="00661595">
        <w:t>CRR</w:t>
      </w:r>
      <w:r w:rsidR="002648B0" w:rsidRPr="00661595">
        <w:t>).</w:t>
      </w:r>
    </w:p>
    <w:p w:rsidR="00783881" w:rsidRPr="00661595" w:rsidRDefault="00D11E4C" w:rsidP="00487A02">
      <w:pPr>
        <w:pStyle w:val="InstructionsText2"/>
        <w:numPr>
          <w:ilvl w:val="0"/>
          <w:numId w:val="0"/>
        </w:numPr>
        <w:ind w:left="1353" w:hanging="360"/>
      </w:pPr>
      <w:fldSimple w:instr=" seq paragraphs ">
        <w:r w:rsidR="00771068">
          <w:rPr>
            <w:noProof/>
          </w:rPr>
          <w:t>24</w:t>
        </w:r>
      </w:fldSimple>
      <w:r w:rsidR="00125707" w:rsidRPr="00661595">
        <w:t>.</w:t>
      </w:r>
      <w:r w:rsidR="00125707" w:rsidRPr="00661595">
        <w:tab/>
      </w:r>
      <w:r w:rsidR="00C34837" w:rsidRPr="00661595">
        <w:t xml:space="preserve">In </w:t>
      </w:r>
      <w:r w:rsidR="00EA050A" w:rsidRPr="00661595">
        <w:t>rows</w:t>
      </w:r>
      <w:r w:rsidR="00C34837" w:rsidRPr="00661595">
        <w:t xml:space="preserve"> </w:t>
      </w:r>
      <w:r w:rsidR="008A05EC" w:rsidRPr="00661595">
        <w:t>0</w:t>
      </w:r>
      <w:r w:rsidR="00C34837" w:rsidRPr="00661595">
        <w:t>100 onwards</w:t>
      </w:r>
      <w:r w:rsidR="002648B0" w:rsidRPr="00661595">
        <w:t xml:space="preserve"> institutions shall report information </w:t>
      </w:r>
      <w:r w:rsidR="00BB22D4" w:rsidRPr="00661595">
        <w:t>about</w:t>
      </w:r>
      <w:r w:rsidR="002A7C84" w:rsidRPr="00661595">
        <w:t xml:space="preserve"> the</w:t>
      </w:r>
      <w:r w:rsidR="008A05EC" w:rsidRPr="00661595">
        <w:t xml:space="preserve"> effect of the</w:t>
      </w:r>
      <w:r w:rsidR="002A7C84" w:rsidRPr="00661595">
        <w:t xml:space="preserve"> transitional provisions </w:t>
      </w:r>
      <w:r w:rsidR="008A05EC" w:rsidRPr="00661595">
        <w:t>regarding</w:t>
      </w:r>
      <w:r w:rsidR="002A7C84" w:rsidRPr="00661595">
        <w:t xml:space="preserve"> u</w:t>
      </w:r>
      <w:r w:rsidR="002648B0" w:rsidRPr="00661595">
        <w:t>nreali</w:t>
      </w:r>
      <w:r w:rsidR="00C7103D" w:rsidRPr="00661595">
        <w:t>s</w:t>
      </w:r>
      <w:r w:rsidR="002648B0" w:rsidRPr="00661595">
        <w:t xml:space="preserve">ed gains and losses, </w:t>
      </w:r>
      <w:r w:rsidR="002A7C84" w:rsidRPr="00661595">
        <w:t>d</w:t>
      </w:r>
      <w:r w:rsidR="002648B0" w:rsidRPr="00661595">
        <w:t>eductions</w:t>
      </w:r>
      <w:r w:rsidR="008A05EC" w:rsidRPr="00661595">
        <w:t xml:space="preserve">, </w:t>
      </w:r>
      <w:r w:rsidR="002A7C84" w:rsidRPr="00661595">
        <w:t>a</w:t>
      </w:r>
      <w:r w:rsidR="002648B0" w:rsidRPr="00661595">
        <w:t>dditional filters and deductions</w:t>
      </w:r>
      <w:r w:rsidR="008A05EC" w:rsidRPr="00661595">
        <w:t xml:space="preserve"> and IFRS 9</w:t>
      </w:r>
      <w:r w:rsidR="002648B0" w:rsidRPr="00661595">
        <w:t>.</w:t>
      </w:r>
    </w:p>
    <w:p w:rsidR="005643EA" w:rsidRPr="00661595" w:rsidRDefault="00D11E4C" w:rsidP="00487A02">
      <w:pPr>
        <w:pStyle w:val="InstructionsText2"/>
        <w:numPr>
          <w:ilvl w:val="0"/>
          <w:numId w:val="0"/>
        </w:numPr>
        <w:ind w:left="1353" w:hanging="360"/>
      </w:pPr>
      <w:fldSimple w:instr=" seq paragraphs ">
        <w:r w:rsidR="00771068">
          <w:rPr>
            <w:noProof/>
          </w:rPr>
          <w:t>25</w:t>
        </w:r>
      </w:fldSimple>
      <w:r w:rsidR="00125707" w:rsidRPr="00661595">
        <w:t>.</w:t>
      </w:r>
      <w:r w:rsidR="00125707" w:rsidRPr="00661595">
        <w:tab/>
      </w:r>
      <w:r w:rsidR="00B8560C" w:rsidRPr="00661595">
        <w:t>The</w:t>
      </w:r>
      <w:r w:rsidR="000359E1" w:rsidRPr="00661595">
        <w:t>re</w:t>
      </w:r>
      <w:r w:rsidR="00B8560C" w:rsidRPr="00661595">
        <w:t xml:space="preserve"> might be cases where </w:t>
      </w:r>
      <w:r w:rsidR="00D459F5" w:rsidRPr="00661595">
        <w:t xml:space="preserve">the </w:t>
      </w:r>
      <w:r w:rsidR="00B8560C" w:rsidRPr="00661595">
        <w:t xml:space="preserve">transitional </w:t>
      </w:r>
      <w:r w:rsidR="00D459F5" w:rsidRPr="00661595">
        <w:t xml:space="preserve">deductions of CET1, AT1 or T2 capital exceed the CET1, AT1 </w:t>
      </w:r>
      <w:r w:rsidR="00C34837" w:rsidRPr="00661595">
        <w:t>or T2 capital of an institution.</w:t>
      </w:r>
      <w:r w:rsidR="00D459F5" w:rsidRPr="00661595">
        <w:t xml:space="preserve"> </w:t>
      </w:r>
      <w:r w:rsidR="00B8560C" w:rsidRPr="00661595">
        <w:t>Th</w:t>
      </w:r>
      <w:r w:rsidR="00BB22D4" w:rsidRPr="00661595">
        <w:t>a</w:t>
      </w:r>
      <w:r w:rsidR="0088587E" w:rsidRPr="00661595">
        <w:t>t</w:t>
      </w:r>
      <w:r w:rsidR="00B8560C" w:rsidRPr="00661595">
        <w:t xml:space="preserve"> effect – if it results from transitional provisions – </w:t>
      </w:r>
      <w:r w:rsidR="00C34837" w:rsidRPr="00661595">
        <w:t>shall</w:t>
      </w:r>
      <w:r w:rsidR="00B8560C" w:rsidRPr="00661595">
        <w:t xml:space="preserve"> be shown in the CA1 template using the respective cells. As a consequence</w:t>
      </w:r>
      <w:r w:rsidR="00C34837" w:rsidRPr="00661595">
        <w:t>,</w:t>
      </w:r>
      <w:r w:rsidR="00B8560C" w:rsidRPr="00661595">
        <w:t xml:space="preserve"> the adjustments in the columns of the CA5 template </w:t>
      </w:r>
      <w:r w:rsidR="00BB22D4" w:rsidRPr="00661595">
        <w:t xml:space="preserve">shall </w:t>
      </w:r>
      <w:r w:rsidR="00B8560C" w:rsidRPr="00661595">
        <w:t>not include any spill-over</w:t>
      </w:r>
      <w:r w:rsidR="00480A69" w:rsidRPr="00661595">
        <w:t xml:space="preserve"> </w:t>
      </w:r>
      <w:r w:rsidR="00B8560C" w:rsidRPr="00661595">
        <w:t xml:space="preserve">effects in the case of insufficient capital available. </w:t>
      </w:r>
    </w:p>
    <w:p w:rsidR="002648B0"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81" w:name="_Toc360188336"/>
      <w:bookmarkStart w:id="82" w:name="_Toc473560884"/>
      <w:bookmarkStart w:id="83" w:name="_Toc57831524"/>
      <w:r w:rsidRPr="00661595">
        <w:rPr>
          <w:rFonts w:ascii="Times New Roman" w:hAnsi="Times New Roman" w:cs="Times New Roman"/>
          <w:sz w:val="24"/>
          <w:lang w:val="en-GB"/>
        </w:rPr>
        <w:t>1.6.2</w:t>
      </w:r>
      <w:r w:rsidR="009258A2">
        <w:rPr>
          <w:rFonts w:ascii="Times New Roman" w:hAnsi="Times New Roman" w:cs="Times New Roman"/>
          <w:sz w:val="24"/>
          <w:lang w:val="en-GB"/>
        </w:rPr>
        <w:t>.1</w:t>
      </w:r>
      <w:r w:rsidRPr="00661595">
        <w:rPr>
          <w:rFonts w:ascii="Times New Roman" w:hAnsi="Times New Roman" w:cs="Times New Roman"/>
          <w:sz w:val="24"/>
          <w:lang w:val="en-GB"/>
        </w:rPr>
        <w:tab/>
      </w:r>
      <w:r w:rsidR="002648B0" w:rsidRPr="00661595">
        <w:rPr>
          <w:rFonts w:ascii="Times New Roman" w:hAnsi="Times New Roman" w:cs="Times New Roman"/>
          <w:sz w:val="24"/>
          <w:lang w:val="en-GB"/>
        </w:rPr>
        <w:t xml:space="preserve">Instructions concerning specific </w:t>
      </w:r>
      <w:r w:rsidR="002B5403" w:rsidRPr="00661595">
        <w:rPr>
          <w:rFonts w:ascii="Times New Roman" w:hAnsi="Times New Roman" w:cs="Times New Roman"/>
          <w:sz w:val="24"/>
          <w:lang w:val="en-GB"/>
        </w:rPr>
        <w:t>positions</w:t>
      </w:r>
      <w:bookmarkEnd w:id="81"/>
      <w:bookmarkEnd w:id="82"/>
      <w:bookmarkEnd w:id="83"/>
    </w:p>
    <w:p w:rsidR="002648B0" w:rsidRPr="00661595" w:rsidRDefault="002648B0" w:rsidP="009F1084">
      <w:pPr>
        <w:spacing w:after="0"/>
        <w:rPr>
          <w:rFonts w:ascii="Times New Roman" w:hAnsi="Times New Roman"/>
          <w:sz w:val="24"/>
        </w:rPr>
      </w:pPr>
    </w:p>
    <w:tbl>
      <w:tblPr>
        <w:tblW w:w="0" w:type="auto"/>
        <w:tblInd w:w="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94"/>
        <w:gridCol w:w="7478"/>
      </w:tblGrid>
      <w:tr w:rsidR="002648B0" w:rsidRPr="00661595" w:rsidTr="00672D2A">
        <w:tc>
          <w:tcPr>
            <w:tcW w:w="8372" w:type="dxa"/>
            <w:gridSpan w:val="2"/>
            <w:shd w:val="clear" w:color="auto" w:fill="D9D9D9"/>
          </w:tcPr>
          <w:p w:rsidR="00783881" w:rsidRPr="00661595" w:rsidRDefault="002648B0" w:rsidP="00487A02">
            <w:pPr>
              <w:pStyle w:val="InstructionsText"/>
            </w:pPr>
            <w:r w:rsidRPr="00661595">
              <w:t>Columns</w:t>
            </w:r>
          </w:p>
        </w:tc>
      </w:tr>
      <w:tr w:rsidR="002648B0" w:rsidRPr="00661595" w:rsidTr="00672D2A">
        <w:tc>
          <w:tcPr>
            <w:tcW w:w="894" w:type="dxa"/>
          </w:tcPr>
          <w:p w:rsidR="002648B0" w:rsidRPr="00661595" w:rsidRDefault="008A05EC" w:rsidP="00487A02">
            <w:pPr>
              <w:pStyle w:val="InstructionsText"/>
              <w:rPr>
                <w:rStyle w:val="InstructionsTabelleText"/>
                <w:rFonts w:ascii="Times New Roman" w:hAnsi="Times New Roman"/>
                <w:sz w:val="24"/>
                <w:lang w:eastAsia="en-US"/>
              </w:rPr>
            </w:pPr>
            <w:r w:rsidRPr="00661595">
              <w:rPr>
                <w:rStyle w:val="InstructionsTabelleText"/>
                <w:rFonts w:ascii="Times New Roman" w:hAnsi="Times New Roman"/>
                <w:sz w:val="24"/>
              </w:rPr>
              <w:t>0</w:t>
            </w:r>
            <w:r w:rsidR="002648B0" w:rsidRPr="00661595">
              <w:rPr>
                <w:rStyle w:val="InstructionsTabelleText"/>
                <w:rFonts w:ascii="Times New Roman" w:hAnsi="Times New Roman"/>
                <w:sz w:val="24"/>
              </w:rPr>
              <w:t>010</w:t>
            </w:r>
          </w:p>
        </w:tc>
        <w:tc>
          <w:tcPr>
            <w:tcW w:w="7478" w:type="dxa"/>
          </w:tcPr>
          <w:p w:rsidR="005643EA" w:rsidRPr="00661595" w:rsidRDefault="002648B0"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Adjustments to CET1</w:t>
            </w:r>
          </w:p>
        </w:tc>
      </w:tr>
      <w:tr w:rsidR="002648B0" w:rsidRPr="00661595" w:rsidTr="00672D2A">
        <w:tc>
          <w:tcPr>
            <w:tcW w:w="894" w:type="dxa"/>
          </w:tcPr>
          <w:p w:rsidR="002648B0" w:rsidRPr="00661595" w:rsidRDefault="008A05EC" w:rsidP="00487A02">
            <w:pPr>
              <w:pStyle w:val="InstructionsText"/>
              <w:rPr>
                <w:rStyle w:val="InstructionsTabelleText"/>
                <w:rFonts w:ascii="Times New Roman" w:hAnsi="Times New Roman"/>
                <w:sz w:val="24"/>
                <w:lang w:eastAsia="en-US"/>
              </w:rPr>
            </w:pPr>
            <w:r w:rsidRPr="00661595">
              <w:rPr>
                <w:rStyle w:val="InstructionsTabelleText"/>
                <w:rFonts w:ascii="Times New Roman" w:hAnsi="Times New Roman"/>
                <w:sz w:val="24"/>
              </w:rPr>
              <w:t>0</w:t>
            </w:r>
            <w:r w:rsidR="002648B0" w:rsidRPr="00661595">
              <w:rPr>
                <w:rStyle w:val="InstructionsTabelleText"/>
                <w:rFonts w:ascii="Times New Roman" w:hAnsi="Times New Roman"/>
                <w:sz w:val="24"/>
              </w:rPr>
              <w:t>020</w:t>
            </w:r>
          </w:p>
        </w:tc>
        <w:tc>
          <w:tcPr>
            <w:tcW w:w="7478" w:type="dxa"/>
          </w:tcPr>
          <w:p w:rsidR="005643EA" w:rsidRPr="00661595" w:rsidRDefault="002648B0"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Adjustments to AT1</w:t>
            </w:r>
          </w:p>
        </w:tc>
      </w:tr>
      <w:tr w:rsidR="002648B0" w:rsidRPr="00661595" w:rsidTr="00672D2A">
        <w:tc>
          <w:tcPr>
            <w:tcW w:w="894" w:type="dxa"/>
          </w:tcPr>
          <w:p w:rsidR="002648B0" w:rsidRPr="00661595" w:rsidRDefault="008A05EC" w:rsidP="00487A02">
            <w:pPr>
              <w:pStyle w:val="InstructionsText"/>
              <w:rPr>
                <w:rStyle w:val="InstructionsTabelleText"/>
                <w:rFonts w:ascii="Times New Roman" w:hAnsi="Times New Roman"/>
                <w:sz w:val="24"/>
                <w:lang w:eastAsia="en-US"/>
              </w:rPr>
            </w:pPr>
            <w:r w:rsidRPr="00661595">
              <w:rPr>
                <w:rStyle w:val="InstructionsTabelleText"/>
                <w:rFonts w:ascii="Times New Roman" w:hAnsi="Times New Roman"/>
                <w:sz w:val="24"/>
              </w:rPr>
              <w:t>0</w:t>
            </w:r>
            <w:r w:rsidR="002648B0" w:rsidRPr="00661595">
              <w:rPr>
                <w:rStyle w:val="InstructionsTabelleText"/>
                <w:rFonts w:ascii="Times New Roman" w:hAnsi="Times New Roman"/>
                <w:sz w:val="24"/>
              </w:rPr>
              <w:t>030</w:t>
            </w:r>
          </w:p>
        </w:tc>
        <w:tc>
          <w:tcPr>
            <w:tcW w:w="7478" w:type="dxa"/>
          </w:tcPr>
          <w:p w:rsidR="005643EA" w:rsidRPr="00661595" w:rsidRDefault="002648B0"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Adjustments to T2</w:t>
            </w:r>
          </w:p>
        </w:tc>
      </w:tr>
      <w:tr w:rsidR="002648B0" w:rsidRPr="00661595" w:rsidTr="00672D2A">
        <w:tc>
          <w:tcPr>
            <w:tcW w:w="894" w:type="dxa"/>
          </w:tcPr>
          <w:p w:rsidR="002648B0" w:rsidRPr="00661595" w:rsidRDefault="008A05EC" w:rsidP="00487A02">
            <w:pPr>
              <w:pStyle w:val="InstructionsText"/>
              <w:rPr>
                <w:rStyle w:val="InstructionsTabelleText"/>
                <w:rFonts w:ascii="Times New Roman" w:hAnsi="Times New Roman"/>
                <w:sz w:val="24"/>
                <w:lang w:eastAsia="en-US"/>
              </w:rPr>
            </w:pPr>
            <w:r w:rsidRPr="00661595">
              <w:rPr>
                <w:rStyle w:val="InstructionsTabelleText"/>
                <w:rFonts w:ascii="Times New Roman" w:hAnsi="Times New Roman"/>
                <w:sz w:val="24"/>
              </w:rPr>
              <w:t>0</w:t>
            </w:r>
            <w:r w:rsidR="002648B0" w:rsidRPr="00661595">
              <w:rPr>
                <w:rStyle w:val="InstructionsTabelleText"/>
                <w:rFonts w:ascii="Times New Roman" w:hAnsi="Times New Roman"/>
                <w:sz w:val="24"/>
              </w:rPr>
              <w:t>040</w:t>
            </w:r>
          </w:p>
        </w:tc>
        <w:tc>
          <w:tcPr>
            <w:tcW w:w="7478" w:type="dxa"/>
          </w:tcPr>
          <w:p w:rsidR="005643EA" w:rsidRPr="00661595" w:rsidRDefault="002648B0"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Adjustments included in RWAs</w:t>
            </w:r>
          </w:p>
          <w:p w:rsidR="005643EA" w:rsidRPr="00661595" w:rsidRDefault="002648B0" w:rsidP="00487A02">
            <w:pPr>
              <w:pStyle w:val="InstructionsText"/>
              <w:rPr>
                <w:rStyle w:val="InstructionsTabelleText"/>
                <w:rFonts w:ascii="Times New Roman" w:hAnsi="Times New Roman"/>
                <w:sz w:val="24"/>
              </w:rPr>
            </w:pPr>
            <w:r w:rsidRPr="00661595">
              <w:rPr>
                <w:rStyle w:val="InstructionsTabelleText"/>
                <w:rFonts w:ascii="Times New Roman" w:hAnsi="Times New Roman"/>
                <w:sz w:val="24"/>
              </w:rPr>
              <w:t xml:space="preserve">Column </w:t>
            </w:r>
            <w:r w:rsidR="008A05EC" w:rsidRPr="00661595">
              <w:rPr>
                <w:rStyle w:val="InstructionsTabelleText"/>
                <w:rFonts w:ascii="Times New Roman" w:hAnsi="Times New Roman"/>
                <w:sz w:val="24"/>
              </w:rPr>
              <w:t>0</w:t>
            </w:r>
            <w:r w:rsidRPr="00661595">
              <w:rPr>
                <w:rStyle w:val="InstructionsTabelleText"/>
                <w:rFonts w:ascii="Times New Roman" w:hAnsi="Times New Roman"/>
                <w:sz w:val="24"/>
              </w:rPr>
              <w:t>0</w:t>
            </w:r>
            <w:r w:rsidR="00576215" w:rsidRPr="00661595">
              <w:rPr>
                <w:rStyle w:val="InstructionsTabelleText"/>
                <w:rFonts w:ascii="Times New Roman" w:hAnsi="Times New Roman"/>
                <w:sz w:val="24"/>
              </w:rPr>
              <w:t>4</w:t>
            </w:r>
            <w:r w:rsidRPr="00661595">
              <w:rPr>
                <w:rStyle w:val="InstructionsTabelleText"/>
                <w:rFonts w:ascii="Times New Roman" w:hAnsi="Times New Roman"/>
                <w:sz w:val="24"/>
              </w:rPr>
              <w:t xml:space="preserve">0 includes the relevant </w:t>
            </w:r>
            <w:r w:rsidR="00646D1B" w:rsidRPr="00661595">
              <w:rPr>
                <w:rStyle w:val="InstructionsTabelleText"/>
                <w:rFonts w:ascii="Times New Roman" w:hAnsi="Times New Roman"/>
                <w:sz w:val="24"/>
              </w:rPr>
              <w:t xml:space="preserve">amounts adjusting the total risk exposure amount of Article 92(3) </w:t>
            </w:r>
            <w:r w:rsidR="00C7103D" w:rsidRPr="00661595">
              <w:rPr>
                <w:rStyle w:val="InstructionsTabelleText"/>
                <w:rFonts w:ascii="Times New Roman" w:hAnsi="Times New Roman"/>
                <w:sz w:val="24"/>
              </w:rPr>
              <w:t>CRR</w:t>
            </w:r>
            <w:r w:rsidR="00646D1B" w:rsidRPr="00661595">
              <w:rPr>
                <w:rStyle w:val="InstructionsTabelleText"/>
                <w:rFonts w:ascii="Times New Roman" w:hAnsi="Times New Roman"/>
                <w:sz w:val="24"/>
              </w:rPr>
              <w:t xml:space="preserve"> due to transitional provisions. The amounts reported shall consider </w:t>
            </w:r>
            <w:r w:rsidRPr="00661595">
              <w:rPr>
                <w:rStyle w:val="InstructionsTabelleText"/>
                <w:rFonts w:ascii="Times New Roman" w:hAnsi="Times New Roman"/>
                <w:sz w:val="24"/>
              </w:rPr>
              <w:t xml:space="preserve">the application of provisions of Chapter 2 or 3 of </w:t>
            </w:r>
            <w:r w:rsidR="00936BB3" w:rsidRPr="00661595">
              <w:rPr>
                <w:rStyle w:val="InstructionsTabelleText"/>
                <w:rFonts w:ascii="Times New Roman" w:hAnsi="Times New Roman"/>
                <w:sz w:val="24"/>
              </w:rPr>
              <w:t xml:space="preserve">Title II </w:t>
            </w:r>
            <w:r w:rsidRPr="00661595">
              <w:rPr>
                <w:rStyle w:val="InstructionsTabelleText"/>
                <w:rFonts w:ascii="Times New Roman" w:hAnsi="Times New Roman"/>
                <w:sz w:val="24"/>
              </w:rPr>
              <w:t xml:space="preserve">of Part </w:t>
            </w:r>
            <w:r w:rsidR="00544DA4" w:rsidRPr="00661595">
              <w:rPr>
                <w:rStyle w:val="InstructionsTabelleText"/>
                <w:rFonts w:ascii="Times New Roman" w:hAnsi="Times New Roman"/>
                <w:sz w:val="24"/>
              </w:rPr>
              <w:t>Three</w:t>
            </w:r>
            <w:r w:rsidRPr="00661595">
              <w:rPr>
                <w:rStyle w:val="InstructionsTabelleText"/>
                <w:rFonts w:ascii="Times New Roman" w:hAnsi="Times New Roman"/>
                <w:sz w:val="24"/>
              </w:rPr>
              <w:t xml:space="preserve"> </w:t>
            </w:r>
            <w:r w:rsidR="00646D1B" w:rsidRPr="00661595">
              <w:rPr>
                <w:rStyle w:val="InstructionsTabelleText"/>
                <w:rFonts w:ascii="Times New Roman" w:hAnsi="Times New Roman"/>
                <w:sz w:val="24"/>
              </w:rPr>
              <w:t>or of Title IV of Part Three in accordance with Art</w:t>
            </w:r>
            <w:r w:rsidR="00DE223B" w:rsidRPr="00661595">
              <w:rPr>
                <w:rStyle w:val="InstructionsTabelleText"/>
                <w:rFonts w:ascii="Times New Roman" w:hAnsi="Times New Roman"/>
                <w:sz w:val="24"/>
              </w:rPr>
              <w:t>icle</w:t>
            </w:r>
            <w:r w:rsidR="00646D1B" w:rsidRPr="00661595">
              <w:rPr>
                <w:rStyle w:val="InstructionsTabelleText"/>
                <w:rFonts w:ascii="Times New Roman" w:hAnsi="Times New Roman"/>
                <w:sz w:val="24"/>
              </w:rPr>
              <w:t xml:space="preserve"> 92(4) </w:t>
            </w:r>
            <w:r w:rsidR="00C7103D" w:rsidRPr="00661595">
              <w:rPr>
                <w:rStyle w:val="InstructionsTabelleText"/>
                <w:rFonts w:ascii="Times New Roman" w:hAnsi="Times New Roman"/>
                <w:sz w:val="24"/>
              </w:rPr>
              <w:t>CRR</w:t>
            </w:r>
            <w:r w:rsidRPr="00661595">
              <w:rPr>
                <w:rStyle w:val="InstructionsTabelleText"/>
                <w:rFonts w:ascii="Times New Roman" w:hAnsi="Times New Roman"/>
                <w:sz w:val="24"/>
              </w:rPr>
              <w:t>.</w:t>
            </w:r>
            <w:r w:rsidR="00646D1B" w:rsidRPr="00661595">
              <w:rPr>
                <w:rStyle w:val="InstructionsTabelleText"/>
                <w:rFonts w:ascii="Times New Roman" w:hAnsi="Times New Roman"/>
                <w:sz w:val="24"/>
              </w:rPr>
              <w:t xml:space="preserve"> Th</w:t>
            </w:r>
            <w:r w:rsidR="00BB22D4" w:rsidRPr="00661595">
              <w:rPr>
                <w:rStyle w:val="InstructionsTabelleText"/>
                <w:rFonts w:ascii="Times New Roman" w:hAnsi="Times New Roman"/>
                <w:sz w:val="24"/>
              </w:rPr>
              <w:t>at</w:t>
            </w:r>
            <w:r w:rsidR="00646D1B" w:rsidRPr="00661595">
              <w:rPr>
                <w:rStyle w:val="InstructionsTabelleText"/>
                <w:rFonts w:ascii="Times New Roman" w:hAnsi="Times New Roman"/>
                <w:sz w:val="24"/>
              </w:rPr>
              <w:t xml:space="preserve"> means that transitional amounts subject to Chapter 2 or 3 of Title II of Part Three</w:t>
            </w:r>
            <w:r w:rsidR="00087E1A" w:rsidRPr="00661595">
              <w:rPr>
                <w:rStyle w:val="InstructionsTabelleText"/>
                <w:rFonts w:ascii="Times New Roman" w:hAnsi="Times New Roman"/>
                <w:sz w:val="24"/>
              </w:rPr>
              <w:t xml:space="preserve"> shall</w:t>
            </w:r>
            <w:r w:rsidR="00DC09EA" w:rsidRPr="00661595">
              <w:rPr>
                <w:rStyle w:val="InstructionsTabelleText"/>
                <w:rFonts w:ascii="Times New Roman" w:hAnsi="Times New Roman"/>
                <w:sz w:val="24"/>
              </w:rPr>
              <w:t xml:space="preserve"> </w:t>
            </w:r>
            <w:r w:rsidR="00646D1B" w:rsidRPr="00661595">
              <w:rPr>
                <w:rStyle w:val="InstructionsTabelleText"/>
                <w:rFonts w:ascii="Times New Roman" w:hAnsi="Times New Roman"/>
                <w:sz w:val="24"/>
              </w:rPr>
              <w:t>be reported as risk weighted exposure amounts, whereas transitional amounts subject to Title IV of Part Three</w:t>
            </w:r>
            <w:r w:rsidR="00087E1A" w:rsidRPr="00661595">
              <w:rPr>
                <w:rStyle w:val="InstructionsTabelleText"/>
                <w:rFonts w:ascii="Times New Roman" w:hAnsi="Times New Roman"/>
                <w:sz w:val="24"/>
              </w:rPr>
              <w:t xml:space="preserve"> shall </w:t>
            </w:r>
            <w:r w:rsidR="00646D1B" w:rsidRPr="00661595">
              <w:rPr>
                <w:rStyle w:val="InstructionsTabelleText"/>
                <w:rFonts w:ascii="Times New Roman" w:hAnsi="Times New Roman"/>
                <w:sz w:val="24"/>
              </w:rPr>
              <w:t>represent the own funds r</w:t>
            </w:r>
            <w:r w:rsidR="00201704" w:rsidRPr="00661595">
              <w:rPr>
                <w:rStyle w:val="InstructionsTabelleText"/>
                <w:rFonts w:ascii="Times New Roman" w:hAnsi="Times New Roman"/>
                <w:sz w:val="24"/>
              </w:rPr>
              <w:t>equirements multiplied by 12</w:t>
            </w:r>
            <w:r w:rsidR="00167619" w:rsidRPr="00661595">
              <w:rPr>
                <w:rStyle w:val="InstructionsTabelleText"/>
                <w:rFonts w:ascii="Times New Roman" w:hAnsi="Times New Roman"/>
                <w:sz w:val="24"/>
              </w:rPr>
              <w:t>,</w:t>
            </w:r>
            <w:r w:rsidR="00201704" w:rsidRPr="00661595">
              <w:rPr>
                <w:rStyle w:val="InstructionsTabelleText"/>
                <w:rFonts w:ascii="Times New Roman" w:hAnsi="Times New Roman"/>
                <w:sz w:val="24"/>
              </w:rPr>
              <w:t>5.</w:t>
            </w:r>
          </w:p>
          <w:p w:rsidR="005643EA" w:rsidRPr="00661595" w:rsidRDefault="00B4177D" w:rsidP="00487A02">
            <w:pPr>
              <w:pStyle w:val="InstructionsText"/>
              <w:rPr>
                <w:rStyle w:val="InstructionsTabelleberschrift"/>
                <w:rFonts w:ascii="Times New Roman" w:hAnsi="Times New Roman"/>
                <w:b w:val="0"/>
                <w:bCs w:val="0"/>
                <w:sz w:val="24"/>
                <w:u w:val="none"/>
              </w:rPr>
            </w:pPr>
            <w:r w:rsidRPr="00661595">
              <w:rPr>
                <w:rStyle w:val="InstructionsTabelleText"/>
                <w:rFonts w:ascii="Times New Roman" w:hAnsi="Times New Roman"/>
                <w:sz w:val="24"/>
              </w:rPr>
              <w:t xml:space="preserve">Whereas columns </w:t>
            </w:r>
            <w:r w:rsidR="008A05EC" w:rsidRPr="00661595">
              <w:rPr>
                <w:rStyle w:val="InstructionsTabelleText"/>
                <w:rFonts w:ascii="Times New Roman" w:hAnsi="Times New Roman"/>
                <w:sz w:val="24"/>
              </w:rPr>
              <w:t>0</w:t>
            </w:r>
            <w:r w:rsidRPr="00661595">
              <w:rPr>
                <w:rStyle w:val="InstructionsTabelleText"/>
                <w:rFonts w:ascii="Times New Roman" w:hAnsi="Times New Roman"/>
                <w:sz w:val="24"/>
              </w:rPr>
              <w:t xml:space="preserve">010 to </w:t>
            </w:r>
            <w:r w:rsidR="008A05EC" w:rsidRPr="00661595">
              <w:rPr>
                <w:rStyle w:val="InstructionsTabelleText"/>
                <w:rFonts w:ascii="Times New Roman" w:hAnsi="Times New Roman"/>
                <w:sz w:val="24"/>
              </w:rPr>
              <w:t>0</w:t>
            </w:r>
            <w:r w:rsidRPr="00661595">
              <w:rPr>
                <w:rStyle w:val="InstructionsTabelleText"/>
                <w:rFonts w:ascii="Times New Roman" w:hAnsi="Times New Roman"/>
                <w:sz w:val="24"/>
              </w:rPr>
              <w:t xml:space="preserve">030 have a direct link to the CA1 </w:t>
            </w:r>
            <w:r w:rsidR="00480A69" w:rsidRPr="00661595">
              <w:rPr>
                <w:rStyle w:val="InstructionsTabelleText"/>
                <w:rFonts w:ascii="Times New Roman" w:hAnsi="Times New Roman"/>
                <w:sz w:val="24"/>
              </w:rPr>
              <w:t>template</w:t>
            </w:r>
            <w:r w:rsidRPr="00661595">
              <w:rPr>
                <w:rStyle w:val="InstructionsTabelleText"/>
                <w:rFonts w:ascii="Times New Roman" w:hAnsi="Times New Roman"/>
                <w:sz w:val="24"/>
              </w:rPr>
              <w:t xml:space="preserve">, the adjustments </w:t>
            </w:r>
            <w:r w:rsidR="00646D1B" w:rsidRPr="00661595">
              <w:rPr>
                <w:rStyle w:val="InstructionsTabelleText"/>
                <w:rFonts w:ascii="Times New Roman" w:hAnsi="Times New Roman"/>
                <w:sz w:val="24"/>
              </w:rPr>
              <w:t xml:space="preserve">to the total risk exposure amount </w:t>
            </w:r>
            <w:r w:rsidRPr="00661595">
              <w:rPr>
                <w:rStyle w:val="InstructionsTabelleText"/>
                <w:rFonts w:ascii="Times New Roman" w:hAnsi="Times New Roman"/>
                <w:sz w:val="24"/>
              </w:rPr>
              <w:t xml:space="preserve">do not have a direct link to the relevant templates for credit risk. If there are adjustments stemming from the transitional provisions to the </w:t>
            </w:r>
            <w:r w:rsidR="00646D1B" w:rsidRPr="00661595">
              <w:rPr>
                <w:rStyle w:val="InstructionsTabelleText"/>
                <w:rFonts w:ascii="Times New Roman" w:hAnsi="Times New Roman"/>
                <w:sz w:val="24"/>
              </w:rPr>
              <w:t>total risk exposure amount</w:t>
            </w:r>
            <w:r w:rsidRPr="00661595">
              <w:rPr>
                <w:rStyle w:val="InstructionsTabelleText"/>
                <w:rFonts w:ascii="Times New Roman" w:hAnsi="Times New Roman"/>
                <w:sz w:val="24"/>
              </w:rPr>
              <w:t xml:space="preserve">, those adjustments </w:t>
            </w:r>
            <w:r w:rsidR="00C93697" w:rsidRPr="00661595">
              <w:rPr>
                <w:rStyle w:val="InstructionsTabelleText"/>
                <w:rFonts w:ascii="Times New Roman" w:hAnsi="Times New Roman"/>
                <w:sz w:val="24"/>
              </w:rPr>
              <w:t>shall</w:t>
            </w:r>
            <w:r w:rsidRPr="00661595">
              <w:rPr>
                <w:rStyle w:val="InstructionsTabelleText"/>
                <w:rFonts w:ascii="Times New Roman" w:hAnsi="Times New Roman"/>
                <w:sz w:val="24"/>
              </w:rPr>
              <w:t xml:space="preserve"> be included directly in the CR SA, CR IRB</w:t>
            </w:r>
            <w:r w:rsidR="00646D1B" w:rsidRPr="00661595">
              <w:rPr>
                <w:rStyle w:val="InstructionsTabelleText"/>
                <w:rFonts w:ascii="Times New Roman" w:hAnsi="Times New Roman"/>
                <w:sz w:val="24"/>
              </w:rPr>
              <w:t xml:space="preserve">, </w:t>
            </w:r>
            <w:r w:rsidRPr="00661595">
              <w:rPr>
                <w:rStyle w:val="InstructionsTabelleText"/>
                <w:rFonts w:ascii="Times New Roman" w:hAnsi="Times New Roman"/>
                <w:sz w:val="24"/>
              </w:rPr>
              <w:t>CR EQU IRB</w:t>
            </w:r>
            <w:r w:rsidR="00646D1B" w:rsidRPr="00661595">
              <w:rPr>
                <w:rStyle w:val="InstructionsTabelleText"/>
                <w:rFonts w:ascii="Times New Roman" w:hAnsi="Times New Roman"/>
                <w:sz w:val="24"/>
              </w:rPr>
              <w:t>, MKR SA TDI, MKR SA EQU or MKR IM</w:t>
            </w:r>
            <w:r w:rsidRPr="00661595">
              <w:rPr>
                <w:rStyle w:val="InstructionsTabelleText"/>
                <w:rFonts w:ascii="Times New Roman" w:hAnsi="Times New Roman"/>
                <w:sz w:val="24"/>
              </w:rPr>
              <w:t xml:space="preserve">. Additionally, those effects </w:t>
            </w:r>
            <w:r w:rsidR="00C93697" w:rsidRPr="00661595">
              <w:rPr>
                <w:rStyle w:val="InstructionsTabelleText"/>
                <w:rFonts w:ascii="Times New Roman" w:hAnsi="Times New Roman"/>
                <w:sz w:val="24"/>
              </w:rPr>
              <w:t>shall</w:t>
            </w:r>
            <w:r w:rsidRPr="00661595">
              <w:rPr>
                <w:rStyle w:val="InstructionsTabelleText"/>
                <w:rFonts w:ascii="Times New Roman" w:hAnsi="Times New Roman"/>
                <w:sz w:val="24"/>
              </w:rPr>
              <w:t xml:space="preserve"> be reported in column </w:t>
            </w:r>
            <w:r w:rsidR="008A05EC" w:rsidRPr="00661595">
              <w:rPr>
                <w:rStyle w:val="InstructionsTabelleText"/>
                <w:rFonts w:ascii="Times New Roman" w:hAnsi="Times New Roman"/>
                <w:sz w:val="24"/>
              </w:rPr>
              <w:t>0</w:t>
            </w:r>
            <w:r w:rsidRPr="00661595">
              <w:rPr>
                <w:rStyle w:val="InstructionsTabelleText"/>
                <w:rFonts w:ascii="Times New Roman" w:hAnsi="Times New Roman"/>
                <w:sz w:val="24"/>
              </w:rPr>
              <w:t xml:space="preserve">040 of CA5.1. As a consequence, those amounts </w:t>
            </w:r>
            <w:r w:rsidR="00BB22D4" w:rsidRPr="00661595">
              <w:rPr>
                <w:rStyle w:val="InstructionsTabelleText"/>
                <w:rFonts w:ascii="Times New Roman" w:hAnsi="Times New Roman"/>
                <w:sz w:val="24"/>
              </w:rPr>
              <w:t>shall be</w:t>
            </w:r>
            <w:r w:rsidRPr="00661595">
              <w:rPr>
                <w:rStyle w:val="InstructionsTabelleText"/>
                <w:rFonts w:ascii="Times New Roman" w:hAnsi="Times New Roman"/>
                <w:sz w:val="24"/>
              </w:rPr>
              <w:t xml:space="preserve"> memorandum items</w:t>
            </w:r>
            <w:r w:rsidR="00BB22D4" w:rsidRPr="00661595">
              <w:rPr>
                <w:rStyle w:val="InstructionsTabelleText"/>
                <w:rFonts w:ascii="Times New Roman" w:hAnsi="Times New Roman"/>
                <w:sz w:val="24"/>
              </w:rPr>
              <w:t xml:space="preserve"> only</w:t>
            </w:r>
            <w:r w:rsidRPr="00661595">
              <w:rPr>
                <w:rStyle w:val="InstructionsTabelleText"/>
                <w:rFonts w:ascii="Times New Roman" w:hAnsi="Times New Roman"/>
                <w:sz w:val="24"/>
              </w:rPr>
              <w:t xml:space="preserve">. </w:t>
            </w:r>
          </w:p>
        </w:tc>
      </w:tr>
      <w:tr w:rsidR="002648B0" w:rsidRPr="00661595" w:rsidTr="00672D2A">
        <w:tc>
          <w:tcPr>
            <w:tcW w:w="894" w:type="dxa"/>
          </w:tcPr>
          <w:p w:rsidR="002648B0" w:rsidRPr="00661595" w:rsidRDefault="008A05EC" w:rsidP="00487A02">
            <w:pPr>
              <w:pStyle w:val="InstructionsText"/>
              <w:rPr>
                <w:rStyle w:val="InstructionsTabelleText"/>
                <w:rFonts w:ascii="Times New Roman" w:hAnsi="Times New Roman"/>
                <w:sz w:val="24"/>
                <w:lang w:eastAsia="en-US"/>
              </w:rPr>
            </w:pPr>
            <w:r w:rsidRPr="00661595">
              <w:rPr>
                <w:rStyle w:val="InstructionsTabelleText"/>
                <w:rFonts w:ascii="Times New Roman" w:hAnsi="Times New Roman"/>
                <w:sz w:val="24"/>
              </w:rPr>
              <w:t>0</w:t>
            </w:r>
            <w:r w:rsidR="002648B0" w:rsidRPr="00661595">
              <w:rPr>
                <w:rStyle w:val="InstructionsTabelleText"/>
                <w:rFonts w:ascii="Times New Roman" w:hAnsi="Times New Roman"/>
                <w:sz w:val="24"/>
              </w:rPr>
              <w:t>050</w:t>
            </w:r>
          </w:p>
        </w:tc>
        <w:tc>
          <w:tcPr>
            <w:tcW w:w="7478" w:type="dxa"/>
          </w:tcPr>
          <w:p w:rsidR="005643EA" w:rsidRPr="00661595" w:rsidRDefault="002648B0"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Applicable percentage</w:t>
            </w:r>
          </w:p>
        </w:tc>
      </w:tr>
      <w:tr w:rsidR="002648B0" w:rsidRPr="00661595" w:rsidTr="00672D2A">
        <w:tc>
          <w:tcPr>
            <w:tcW w:w="894" w:type="dxa"/>
          </w:tcPr>
          <w:p w:rsidR="002648B0" w:rsidRPr="00661595" w:rsidRDefault="008A05EC" w:rsidP="00487A02">
            <w:pPr>
              <w:pStyle w:val="InstructionsText"/>
              <w:rPr>
                <w:rStyle w:val="InstructionsTabelleText"/>
                <w:rFonts w:ascii="Times New Roman" w:hAnsi="Times New Roman"/>
                <w:sz w:val="24"/>
                <w:lang w:eastAsia="en-US"/>
              </w:rPr>
            </w:pPr>
            <w:r w:rsidRPr="00661595">
              <w:rPr>
                <w:rStyle w:val="InstructionsTabelleText"/>
                <w:rFonts w:ascii="Times New Roman" w:hAnsi="Times New Roman"/>
                <w:sz w:val="24"/>
              </w:rPr>
              <w:t>0</w:t>
            </w:r>
            <w:r w:rsidR="002648B0" w:rsidRPr="00661595">
              <w:rPr>
                <w:rStyle w:val="InstructionsTabelleText"/>
                <w:rFonts w:ascii="Times New Roman" w:hAnsi="Times New Roman"/>
                <w:sz w:val="24"/>
              </w:rPr>
              <w:t>060</w:t>
            </w:r>
          </w:p>
        </w:tc>
        <w:tc>
          <w:tcPr>
            <w:tcW w:w="7478" w:type="dxa"/>
          </w:tcPr>
          <w:p w:rsidR="005643EA" w:rsidRPr="00661595" w:rsidRDefault="002648B0"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Eligible amount without transitional provisions</w:t>
            </w:r>
          </w:p>
          <w:p w:rsidR="005643EA" w:rsidRPr="00661595" w:rsidRDefault="008A05EC" w:rsidP="00487A02">
            <w:pPr>
              <w:pStyle w:val="InstructionsText"/>
              <w:rPr>
                <w:rStyle w:val="InstructionsTabelleText"/>
                <w:rFonts w:ascii="Times New Roman" w:hAnsi="Times New Roman"/>
                <w:sz w:val="24"/>
              </w:rPr>
            </w:pPr>
            <w:r w:rsidRPr="00661595">
              <w:rPr>
                <w:rStyle w:val="InstructionsTabelleText"/>
                <w:rFonts w:ascii="Times New Roman" w:hAnsi="Times New Roman"/>
                <w:sz w:val="24"/>
              </w:rPr>
              <w:t>This c</w:t>
            </w:r>
            <w:r w:rsidR="002648B0" w:rsidRPr="00661595">
              <w:rPr>
                <w:rStyle w:val="InstructionsTabelleText"/>
                <w:rFonts w:ascii="Times New Roman" w:hAnsi="Times New Roman"/>
                <w:sz w:val="24"/>
              </w:rPr>
              <w:t>olumn includes the amount of each instrument prior the application of transitional provisions</w:t>
            </w:r>
            <w:r w:rsidR="00BB22D4" w:rsidRPr="00661595">
              <w:rPr>
                <w:rStyle w:val="InstructionsTabelleText"/>
                <w:rFonts w:ascii="Times New Roman" w:hAnsi="Times New Roman"/>
                <w:sz w:val="24"/>
              </w:rPr>
              <w:t>,</w:t>
            </w:r>
            <w:r w:rsidR="002648B0" w:rsidRPr="00661595">
              <w:rPr>
                <w:rStyle w:val="InstructionsTabelleText"/>
                <w:rFonts w:ascii="Times New Roman" w:hAnsi="Times New Roman"/>
                <w:sz w:val="24"/>
              </w:rPr>
              <w:t xml:space="preserve"> </w:t>
            </w:r>
            <w:r w:rsidR="00BB22D4" w:rsidRPr="00661595">
              <w:rPr>
                <w:rStyle w:val="InstructionsTabelleText"/>
                <w:rFonts w:ascii="Times New Roman" w:hAnsi="Times New Roman"/>
                <w:sz w:val="24"/>
              </w:rPr>
              <w:t>i</w:t>
            </w:r>
            <w:r w:rsidR="007C3B71" w:rsidRPr="00661595">
              <w:rPr>
                <w:rStyle w:val="InstructionsTabelleText"/>
                <w:rFonts w:ascii="Times New Roman" w:hAnsi="Times New Roman"/>
                <w:sz w:val="24"/>
              </w:rPr>
              <w:t>.e.</w:t>
            </w:r>
            <w:r w:rsidR="002648B0" w:rsidRPr="00661595">
              <w:rPr>
                <w:rStyle w:val="InstructionsTabelleText"/>
                <w:rFonts w:ascii="Times New Roman" w:hAnsi="Times New Roman"/>
                <w:sz w:val="24"/>
              </w:rPr>
              <w:t xml:space="preserve"> the basis amount relevant to calculate the adjustments.</w:t>
            </w:r>
          </w:p>
        </w:tc>
      </w:tr>
    </w:tbl>
    <w:p w:rsidR="002648B0" w:rsidRPr="00661595" w:rsidRDefault="002648B0" w:rsidP="009F1084">
      <w:pPr>
        <w:spacing w:after="0"/>
        <w:rPr>
          <w:rFonts w:ascii="Times New Roman" w:hAnsi="Times New Roman"/>
          <w:b/>
          <w:sz w:val="24"/>
        </w:rPr>
      </w:pPr>
    </w:p>
    <w:tbl>
      <w:tblPr>
        <w:tblW w:w="0" w:type="auto"/>
        <w:tblInd w:w="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2"/>
        <w:gridCol w:w="7478"/>
      </w:tblGrid>
      <w:tr w:rsidR="002648B0" w:rsidRPr="00661595" w:rsidTr="00672D2A">
        <w:tc>
          <w:tcPr>
            <w:tcW w:w="8490" w:type="dxa"/>
            <w:gridSpan w:val="2"/>
            <w:shd w:val="clear" w:color="auto" w:fill="D9D9D9"/>
          </w:tcPr>
          <w:p w:rsidR="002648B0" w:rsidRPr="00661595" w:rsidRDefault="002648B0" w:rsidP="00487A02">
            <w:pPr>
              <w:pStyle w:val="InstructionsText"/>
            </w:pPr>
            <w:r w:rsidRPr="00661595">
              <w:t>Rows</w:t>
            </w:r>
          </w:p>
        </w:tc>
      </w:tr>
      <w:tr w:rsidR="002648B0" w:rsidRPr="00661595" w:rsidTr="00672D2A">
        <w:tc>
          <w:tcPr>
            <w:tcW w:w="1012" w:type="dxa"/>
          </w:tcPr>
          <w:p w:rsidR="002648B0" w:rsidRPr="00661595" w:rsidRDefault="008A05EC" w:rsidP="00487A02">
            <w:pPr>
              <w:pStyle w:val="InstructionsText"/>
              <w:rPr>
                <w:rStyle w:val="InstructionsTabelleText"/>
                <w:rFonts w:ascii="Times New Roman" w:hAnsi="Times New Roman"/>
                <w:sz w:val="24"/>
                <w:lang w:eastAsia="en-US"/>
              </w:rPr>
            </w:pPr>
            <w:r w:rsidRPr="00661595">
              <w:rPr>
                <w:rStyle w:val="InstructionsTabelleText"/>
                <w:rFonts w:ascii="Times New Roman" w:hAnsi="Times New Roman"/>
                <w:sz w:val="24"/>
              </w:rPr>
              <w:t>0</w:t>
            </w:r>
            <w:r w:rsidR="002648B0" w:rsidRPr="00661595">
              <w:rPr>
                <w:rStyle w:val="InstructionsTabelleText"/>
                <w:rFonts w:ascii="Times New Roman" w:hAnsi="Times New Roman"/>
                <w:sz w:val="24"/>
              </w:rPr>
              <w:t>010</w:t>
            </w:r>
          </w:p>
        </w:tc>
        <w:tc>
          <w:tcPr>
            <w:tcW w:w="7478" w:type="dxa"/>
          </w:tcPr>
          <w:p w:rsidR="005643EA" w:rsidRPr="00661595" w:rsidRDefault="00C66473" w:rsidP="00487A02">
            <w:pPr>
              <w:pStyle w:val="InstructionsText"/>
              <w:rPr>
                <w:rStyle w:val="FormatvorlageInstructionsTabelleText"/>
                <w:rFonts w:ascii="Times New Roman" w:hAnsi="Times New Roman"/>
                <w:b/>
                <w:sz w:val="24"/>
                <w:u w:val="single"/>
              </w:rPr>
            </w:pPr>
            <w:r w:rsidRPr="00661595">
              <w:rPr>
                <w:rStyle w:val="InstructionsTabelleberschrift"/>
                <w:rFonts w:ascii="Times New Roman" w:hAnsi="Times New Roman"/>
                <w:sz w:val="24"/>
              </w:rPr>
              <w:t>1.</w:t>
            </w:r>
            <w:r w:rsidRPr="00661595">
              <w:rPr>
                <w:rStyle w:val="InstructionsTabelleberschrift"/>
                <w:rFonts w:ascii="Times New Roman" w:hAnsi="Times New Roman"/>
                <w:sz w:val="24"/>
              </w:rPr>
              <w:tab/>
            </w:r>
            <w:r w:rsidR="002648B0" w:rsidRPr="00661595">
              <w:rPr>
                <w:rStyle w:val="InstructionsTabelleberschrift"/>
                <w:rFonts w:ascii="Times New Roman" w:hAnsi="Times New Roman"/>
                <w:sz w:val="24"/>
              </w:rPr>
              <w:t>Total adjustments</w:t>
            </w:r>
          </w:p>
          <w:p w:rsidR="002648B0" w:rsidRPr="00661595" w:rsidRDefault="002648B0" w:rsidP="00BB22D4">
            <w:pPr>
              <w:spacing w:before="0"/>
              <w:rPr>
                <w:rStyle w:val="FormatvorlageInstructionsTabelleText"/>
                <w:rFonts w:ascii="Times New Roman" w:hAnsi="Times New Roman"/>
                <w:bCs w:val="0"/>
                <w:sz w:val="24"/>
              </w:rPr>
            </w:pPr>
            <w:r w:rsidRPr="00661595">
              <w:rPr>
                <w:rStyle w:val="InstructionsTabelleText"/>
                <w:rFonts w:ascii="Times New Roman" w:hAnsi="Times New Roman"/>
                <w:sz w:val="24"/>
              </w:rPr>
              <w:t>This row reflects the overall effect of transitional adjustments in the different types of capital, plus the risk weighted amounts arising from th</w:t>
            </w:r>
            <w:r w:rsidR="00BB22D4" w:rsidRPr="00661595">
              <w:rPr>
                <w:rStyle w:val="InstructionsTabelleText"/>
                <w:rFonts w:ascii="Times New Roman" w:hAnsi="Times New Roman"/>
                <w:sz w:val="24"/>
              </w:rPr>
              <w:t>o</w:t>
            </w:r>
            <w:r w:rsidRPr="00661595">
              <w:rPr>
                <w:rStyle w:val="InstructionsTabelleText"/>
                <w:rFonts w:ascii="Times New Roman" w:hAnsi="Times New Roman"/>
                <w:sz w:val="24"/>
              </w:rPr>
              <w:t>se ad</w:t>
            </w:r>
            <w:r w:rsidR="00201704" w:rsidRPr="00661595">
              <w:rPr>
                <w:rStyle w:val="InstructionsTabelleText"/>
                <w:rFonts w:ascii="Times New Roman" w:hAnsi="Times New Roman"/>
                <w:sz w:val="24"/>
              </w:rPr>
              <w:t>justments</w:t>
            </w:r>
          </w:p>
        </w:tc>
      </w:tr>
      <w:tr w:rsidR="002648B0" w:rsidRPr="00661595" w:rsidTr="00672D2A">
        <w:tc>
          <w:tcPr>
            <w:tcW w:w="1012" w:type="dxa"/>
          </w:tcPr>
          <w:p w:rsidR="002648B0" w:rsidRPr="00661595" w:rsidRDefault="008A05EC" w:rsidP="00487A02">
            <w:pPr>
              <w:pStyle w:val="InstructionsText"/>
              <w:rPr>
                <w:rStyle w:val="InstructionsTabelleText"/>
                <w:rFonts w:ascii="Times New Roman" w:hAnsi="Times New Roman"/>
                <w:sz w:val="24"/>
                <w:lang w:eastAsia="en-US"/>
              </w:rPr>
            </w:pPr>
            <w:r w:rsidRPr="00661595">
              <w:rPr>
                <w:rStyle w:val="InstructionsTabelleText"/>
                <w:rFonts w:ascii="Times New Roman" w:hAnsi="Times New Roman"/>
                <w:sz w:val="24"/>
              </w:rPr>
              <w:t>0</w:t>
            </w:r>
            <w:r w:rsidR="002648B0" w:rsidRPr="00661595">
              <w:rPr>
                <w:rStyle w:val="InstructionsTabelleText"/>
                <w:rFonts w:ascii="Times New Roman" w:hAnsi="Times New Roman"/>
                <w:sz w:val="24"/>
              </w:rPr>
              <w:t xml:space="preserve">020 </w:t>
            </w:r>
          </w:p>
        </w:tc>
        <w:tc>
          <w:tcPr>
            <w:tcW w:w="7478" w:type="dxa"/>
          </w:tcPr>
          <w:p w:rsidR="005643EA" w:rsidRPr="00661595" w:rsidRDefault="002648B0" w:rsidP="00487A02">
            <w:pPr>
              <w:pStyle w:val="InstructionsText"/>
              <w:rPr>
                <w:rStyle w:val="InstructionsTabelleText"/>
                <w:rFonts w:ascii="Times New Roman" w:hAnsi="Times New Roman"/>
                <w:b/>
                <w:bCs/>
                <w:sz w:val="24"/>
                <w:u w:val="single"/>
              </w:rPr>
            </w:pPr>
            <w:r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ab/>
            </w:r>
            <w:r w:rsidRPr="00661595">
              <w:rPr>
                <w:rStyle w:val="InstructionsTabelleberschrift"/>
                <w:rFonts w:ascii="Times New Roman" w:hAnsi="Times New Roman"/>
                <w:sz w:val="24"/>
              </w:rPr>
              <w:t>Grandfathered instruments</w:t>
            </w:r>
          </w:p>
          <w:p w:rsidR="002648B0" w:rsidRPr="00661595" w:rsidRDefault="002648B0" w:rsidP="007106FB">
            <w:pPr>
              <w:spacing w:before="0"/>
              <w:rPr>
                <w:rStyle w:val="InstructionsTabelleText"/>
                <w:rFonts w:ascii="Times New Roman" w:hAnsi="Times New Roman"/>
                <w:sz w:val="24"/>
              </w:rPr>
            </w:pPr>
            <w:r w:rsidRPr="00661595">
              <w:rPr>
                <w:rStyle w:val="InstructionsTabelleText"/>
                <w:rFonts w:ascii="Times New Roman" w:hAnsi="Times New Roman"/>
                <w:sz w:val="24"/>
              </w:rPr>
              <w:t xml:space="preserve">Articles </w:t>
            </w:r>
            <w:r w:rsidR="00B542AB" w:rsidRPr="00661595">
              <w:rPr>
                <w:rStyle w:val="InstructionsTabelleText"/>
                <w:rFonts w:ascii="Times New Roman" w:hAnsi="Times New Roman"/>
                <w:sz w:val="24"/>
              </w:rPr>
              <w:t>483</w:t>
            </w:r>
            <w:r w:rsidRPr="00661595">
              <w:rPr>
                <w:rStyle w:val="InstructionsTabelleText"/>
                <w:rFonts w:ascii="Times New Roman" w:hAnsi="Times New Roman"/>
                <w:sz w:val="24"/>
              </w:rPr>
              <w:t xml:space="preserve"> to </w:t>
            </w:r>
            <w:r w:rsidR="00B542AB" w:rsidRPr="00661595">
              <w:rPr>
                <w:rStyle w:val="InstructionsTabelleText"/>
                <w:rFonts w:ascii="Times New Roman" w:hAnsi="Times New Roman"/>
                <w:sz w:val="24"/>
              </w:rPr>
              <w:t>491</w:t>
            </w:r>
            <w:r w:rsidR="00201704" w:rsidRPr="00661595">
              <w:rPr>
                <w:rStyle w:val="InstructionsTabelleText"/>
                <w:rFonts w:ascii="Times New Roman" w:hAnsi="Times New Roman"/>
                <w:sz w:val="24"/>
              </w:rPr>
              <w:t xml:space="preserve"> </w:t>
            </w:r>
            <w:r w:rsidR="00C7103D" w:rsidRPr="00661595">
              <w:rPr>
                <w:rStyle w:val="InstructionsTabelleText"/>
                <w:rFonts w:ascii="Times New Roman" w:hAnsi="Times New Roman"/>
                <w:sz w:val="24"/>
              </w:rPr>
              <w:t>CRR</w:t>
            </w:r>
          </w:p>
          <w:p w:rsidR="002648B0" w:rsidRPr="00661595" w:rsidRDefault="002648B0" w:rsidP="007106FB">
            <w:pPr>
              <w:spacing w:before="0"/>
              <w:rPr>
                <w:rStyle w:val="FormatvorlageInstructionsTabelleText"/>
                <w:rFonts w:ascii="Times New Roman" w:hAnsi="Times New Roman"/>
                <w:sz w:val="24"/>
              </w:rPr>
            </w:pPr>
            <w:r w:rsidRPr="00661595">
              <w:rPr>
                <w:rStyle w:val="InstructionsTabelleText"/>
                <w:rFonts w:ascii="Times New Roman" w:hAnsi="Times New Roman"/>
                <w:sz w:val="24"/>
              </w:rPr>
              <w:t>This row reflects the overall effect of instruments transitionally grandfathered in the different types of capital.</w:t>
            </w:r>
          </w:p>
        </w:tc>
      </w:tr>
      <w:tr w:rsidR="002648B0" w:rsidRPr="00661595" w:rsidTr="00672D2A">
        <w:tc>
          <w:tcPr>
            <w:tcW w:w="1012" w:type="dxa"/>
          </w:tcPr>
          <w:p w:rsidR="002648B0" w:rsidRPr="00661595" w:rsidRDefault="008A05EC" w:rsidP="00487A02">
            <w:pPr>
              <w:pStyle w:val="InstructionsText"/>
              <w:rPr>
                <w:rStyle w:val="InstructionsTabelleText"/>
                <w:rFonts w:ascii="Times New Roman" w:hAnsi="Times New Roman"/>
                <w:sz w:val="24"/>
                <w:lang w:eastAsia="en-US"/>
              </w:rPr>
            </w:pPr>
            <w:r w:rsidRPr="00661595">
              <w:rPr>
                <w:rStyle w:val="InstructionsTabelleText"/>
                <w:rFonts w:ascii="Times New Roman" w:hAnsi="Times New Roman"/>
                <w:sz w:val="24"/>
              </w:rPr>
              <w:t>0</w:t>
            </w:r>
            <w:r w:rsidR="002648B0" w:rsidRPr="00661595">
              <w:rPr>
                <w:rStyle w:val="InstructionsTabelleText"/>
                <w:rFonts w:ascii="Times New Roman" w:hAnsi="Times New Roman"/>
                <w:sz w:val="24"/>
              </w:rPr>
              <w:t>060</w:t>
            </w:r>
          </w:p>
        </w:tc>
        <w:tc>
          <w:tcPr>
            <w:tcW w:w="7478" w:type="dxa"/>
          </w:tcPr>
          <w:p w:rsidR="002648B0" w:rsidRPr="00661595" w:rsidRDefault="002648B0" w:rsidP="007106FB">
            <w:pPr>
              <w:spacing w:before="0"/>
              <w:rPr>
                <w:rStyle w:val="InstructionsTabelleText"/>
                <w:rFonts w:ascii="Times New Roman" w:hAnsi="Times New Roman"/>
                <w:b/>
                <w:bCs/>
                <w:sz w:val="24"/>
                <w:u w:val="single"/>
              </w:rPr>
            </w:pPr>
            <w:r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.1.2</w:t>
            </w:r>
            <w:r w:rsidR="000D194E" w:rsidRPr="00661595">
              <w:rPr>
                <w:rStyle w:val="InstructionsTabelleberschrift"/>
                <w:rFonts w:ascii="Times New Roman" w:hAnsi="Times New Roman"/>
                <w:sz w:val="24"/>
              </w:rPr>
              <w:tab/>
            </w:r>
            <w:r w:rsidRPr="00661595">
              <w:rPr>
                <w:rStyle w:val="InstructionsTabelleberschrift"/>
                <w:rFonts w:ascii="Times New Roman" w:hAnsi="Times New Roman"/>
                <w:sz w:val="24"/>
              </w:rPr>
              <w:t>Instrum</w:t>
            </w:r>
            <w:r w:rsidR="00201704" w:rsidRPr="00661595">
              <w:rPr>
                <w:rStyle w:val="InstructionsTabelleberschrift"/>
                <w:rFonts w:ascii="Times New Roman" w:hAnsi="Times New Roman"/>
                <w:sz w:val="24"/>
              </w:rPr>
              <w:t>ents not constituting state aid</w:t>
            </w:r>
          </w:p>
          <w:p w:rsidR="002648B0" w:rsidRPr="00661595" w:rsidRDefault="002648B0" w:rsidP="00F834C3">
            <w:pPr>
              <w:spacing w:before="0"/>
              <w:rPr>
                <w:rFonts w:ascii="Times New Roman" w:hAnsi="Times New Roman"/>
                <w:b/>
                <w:bCs/>
                <w:sz w:val="24"/>
              </w:rPr>
            </w:pPr>
            <w:r w:rsidRPr="00661595">
              <w:rPr>
                <w:rStyle w:val="InstructionsTabelleText"/>
                <w:rFonts w:ascii="Times New Roman" w:hAnsi="Times New Roman"/>
                <w:sz w:val="24"/>
              </w:rPr>
              <w:t xml:space="preserve">The amounts to be reported </w:t>
            </w:r>
            <w:r w:rsidR="00FC1030" w:rsidRPr="00661595">
              <w:rPr>
                <w:rStyle w:val="InstructionsTabelleText"/>
                <w:rFonts w:ascii="Times New Roman" w:hAnsi="Times New Roman"/>
                <w:sz w:val="24"/>
              </w:rPr>
              <w:t xml:space="preserve">shall be </w:t>
            </w:r>
            <w:r w:rsidRPr="00661595">
              <w:rPr>
                <w:rStyle w:val="InstructionsTabelleText"/>
                <w:rFonts w:ascii="Times New Roman" w:hAnsi="Times New Roman"/>
                <w:sz w:val="24"/>
              </w:rPr>
              <w:t>obtained from column 060 of  CA5.2</w:t>
            </w:r>
            <w:r w:rsidR="00133396" w:rsidRPr="00661595">
              <w:rPr>
                <w:rStyle w:val="InstructionsTabelleText"/>
                <w:rFonts w:ascii="Times New Roman" w:hAnsi="Times New Roman"/>
                <w:sz w:val="24"/>
              </w:rPr>
              <w:t xml:space="preserve"> template</w:t>
            </w:r>
          </w:p>
        </w:tc>
      </w:tr>
      <w:tr w:rsidR="00BF0637" w:rsidRPr="00661595" w:rsidTr="00672D2A">
        <w:tc>
          <w:tcPr>
            <w:tcW w:w="1012" w:type="dxa"/>
          </w:tcPr>
          <w:p w:rsidR="00BF0637" w:rsidRPr="00661595" w:rsidRDefault="008A05EC" w:rsidP="00487A02">
            <w:pPr>
              <w:pStyle w:val="InstructionsText"/>
              <w:rPr>
                <w:rStyle w:val="InstructionsTabelleText"/>
                <w:rFonts w:ascii="Times New Roman" w:hAnsi="Times New Roman"/>
                <w:sz w:val="24"/>
                <w:lang w:eastAsia="en-US"/>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061</w:t>
            </w:r>
          </w:p>
        </w:tc>
        <w:tc>
          <w:tcPr>
            <w:tcW w:w="7478" w:type="dxa"/>
          </w:tcPr>
          <w:p w:rsidR="00BF0637" w:rsidRPr="00661595" w:rsidRDefault="00BF0637" w:rsidP="00BF0637">
            <w:pPr>
              <w:spacing w:before="0"/>
              <w:rPr>
                <w:rStyle w:val="InstructionsTabelleberschrift"/>
                <w:rFonts w:ascii="Times New Roman" w:hAnsi="Times New Roman"/>
                <w:sz w:val="24"/>
              </w:rPr>
            </w:pPr>
            <w:r w:rsidRPr="00661595">
              <w:rPr>
                <w:rStyle w:val="InstructionsTabelleberschrift"/>
                <w:rFonts w:ascii="Times New Roman" w:hAnsi="Times New Roman"/>
                <w:sz w:val="24"/>
              </w:rPr>
              <w:t>1.1.3</w:t>
            </w:r>
            <w:r w:rsidRPr="00661595">
              <w:rPr>
                <w:rStyle w:val="InstructionsTabelleberschrift"/>
                <w:rFonts w:ascii="Times New Roman" w:hAnsi="Times New Roman"/>
                <w:sz w:val="24"/>
              </w:rPr>
              <w:tab/>
              <w:t>Instruments issued through special purpose vehicles</w:t>
            </w:r>
          </w:p>
          <w:p w:rsidR="00BF0637" w:rsidRPr="00661595" w:rsidRDefault="00BF0637" w:rsidP="00BF0637">
            <w:pPr>
              <w:spacing w:before="0"/>
              <w:rPr>
                <w:rStyle w:val="InstructionsTabelleberschrift"/>
                <w:rFonts w:ascii="Times New Roman" w:hAnsi="Times New Roman"/>
                <w:sz w:val="24"/>
              </w:rPr>
            </w:pPr>
            <w:r w:rsidRPr="00661595">
              <w:rPr>
                <w:rStyle w:val="InstructionsTabelleberschrift"/>
                <w:rFonts w:ascii="Times New Roman" w:hAnsi="Times New Roman"/>
                <w:b w:val="0"/>
                <w:sz w:val="24"/>
                <w:u w:val="none"/>
              </w:rPr>
              <w:t>Article 494a CRR</w:t>
            </w:r>
          </w:p>
        </w:tc>
      </w:tr>
      <w:tr w:rsidR="00BF0637" w:rsidRPr="00661595" w:rsidTr="00672D2A">
        <w:tc>
          <w:tcPr>
            <w:tcW w:w="1012" w:type="dxa"/>
          </w:tcPr>
          <w:p w:rsidR="00BF0637" w:rsidRPr="00661595" w:rsidRDefault="008A05EC" w:rsidP="00487A02">
            <w:pPr>
              <w:pStyle w:val="InstructionsText"/>
              <w:rPr>
                <w:rStyle w:val="InstructionsTabelleText"/>
                <w:rFonts w:ascii="Times New Roman" w:hAnsi="Times New Roman"/>
                <w:sz w:val="24"/>
                <w:lang w:eastAsia="en-US"/>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062</w:t>
            </w:r>
          </w:p>
        </w:tc>
        <w:tc>
          <w:tcPr>
            <w:tcW w:w="7478" w:type="dxa"/>
          </w:tcPr>
          <w:p w:rsidR="00BF0637" w:rsidRPr="00661595" w:rsidRDefault="00BF0637" w:rsidP="00BF0637">
            <w:pPr>
              <w:spacing w:before="0"/>
              <w:rPr>
                <w:rStyle w:val="InstructionsTabelleberschrift"/>
                <w:rFonts w:ascii="Times New Roman" w:hAnsi="Times New Roman"/>
                <w:sz w:val="24"/>
              </w:rPr>
            </w:pPr>
            <w:r w:rsidRPr="00661595">
              <w:rPr>
                <w:rStyle w:val="InstructionsTabelleberschrift"/>
                <w:rFonts w:ascii="Times New Roman" w:hAnsi="Times New Roman"/>
                <w:sz w:val="24"/>
              </w:rPr>
              <w:t>1.1.4</w:t>
            </w:r>
            <w:r w:rsidRPr="00661595">
              <w:rPr>
                <w:rStyle w:val="InstructionsTabelleberschrift"/>
                <w:rFonts w:ascii="Times New Roman" w:hAnsi="Times New Roman"/>
                <w:sz w:val="24"/>
              </w:rPr>
              <w:tab/>
              <w:t>Instruments issued before 27 June 2019 that do not meet the eligibility criteria related to write-down and conversion powers pursuant to Article 59 BRRD</w:t>
            </w:r>
            <w:r w:rsidR="00CF206F" w:rsidRPr="00661595">
              <w:rPr>
                <w:rStyle w:val="InstructionsTabelleberschrift"/>
                <w:rFonts w:ascii="Times New Roman" w:hAnsi="Times New Roman"/>
                <w:sz w:val="24"/>
              </w:rPr>
              <w:t xml:space="preserve"> or are subject to set-off or netting arrangements</w:t>
            </w:r>
          </w:p>
          <w:p w:rsidR="00BF0637" w:rsidRPr="00661595" w:rsidRDefault="00BF0637" w:rsidP="00BF0637">
            <w:pPr>
              <w:spacing w:before="0"/>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Article 494b CRR</w:t>
            </w:r>
          </w:p>
          <w:p w:rsidR="00BF0637" w:rsidRPr="00661595" w:rsidRDefault="00BF0637" w:rsidP="00BF0637">
            <w:pPr>
              <w:spacing w:before="0"/>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Institutions shall report the amount of instruments within t</w:t>
            </w:r>
            <w:r w:rsidR="0044539D" w:rsidRPr="00661595">
              <w:rPr>
                <w:rStyle w:val="InstructionsTabelleberschrift"/>
                <w:rFonts w:ascii="Times New Roman" w:hAnsi="Times New Roman"/>
                <w:b w:val="0"/>
                <w:sz w:val="24"/>
                <w:u w:val="none"/>
              </w:rPr>
              <w:t xml:space="preserve">he scope of Article 494b </w:t>
            </w:r>
            <w:r w:rsidRPr="00661595">
              <w:rPr>
                <w:rStyle w:val="InstructionsTabelleberschrift"/>
                <w:rFonts w:ascii="Times New Roman" w:hAnsi="Times New Roman"/>
                <w:b w:val="0"/>
                <w:sz w:val="24"/>
                <w:u w:val="none"/>
              </w:rPr>
              <w:t xml:space="preserve">CRR that do not meet one or several eligibility criteria of </w:t>
            </w:r>
            <w:r w:rsidR="0044539D" w:rsidRPr="00661595">
              <w:rPr>
                <w:rStyle w:val="InstructionsTabelleberschrift"/>
                <w:rFonts w:ascii="Times New Roman" w:hAnsi="Times New Roman"/>
                <w:b w:val="0"/>
                <w:sz w:val="24"/>
                <w:u w:val="none"/>
              </w:rPr>
              <w:t>points (p), (q) and (r) of Article 52</w:t>
            </w:r>
            <w:r w:rsidRPr="00661595">
              <w:rPr>
                <w:rStyle w:val="InstructionsTabelleberschrift"/>
                <w:rFonts w:ascii="Times New Roman" w:hAnsi="Times New Roman"/>
                <w:b w:val="0"/>
                <w:sz w:val="24"/>
                <w:u w:val="none"/>
              </w:rPr>
              <w:t xml:space="preserve">(1) CRR or </w:t>
            </w:r>
            <w:r w:rsidR="0044539D" w:rsidRPr="00661595">
              <w:rPr>
                <w:rStyle w:val="InstructionsTabelleberschrift"/>
                <w:rFonts w:ascii="Times New Roman" w:hAnsi="Times New Roman"/>
                <w:b w:val="0"/>
                <w:sz w:val="24"/>
                <w:u w:val="none"/>
              </w:rPr>
              <w:t xml:space="preserve">points (n), (o) and (p) of </w:t>
            </w:r>
            <w:r w:rsidRPr="00661595">
              <w:rPr>
                <w:rStyle w:val="InstructionsTabelleberschrift"/>
                <w:rFonts w:ascii="Times New Roman" w:hAnsi="Times New Roman"/>
                <w:b w:val="0"/>
                <w:sz w:val="24"/>
                <w:u w:val="none"/>
              </w:rPr>
              <w:t>Article 63 CRR, as applicable.</w:t>
            </w:r>
          </w:p>
          <w:p w:rsidR="00BF0637" w:rsidRPr="00661595" w:rsidRDefault="00BF0637" w:rsidP="00EA1F5A">
            <w:pPr>
              <w:spacing w:before="0"/>
              <w:rPr>
                <w:rStyle w:val="InstructionsTabelleberschrift"/>
                <w:rFonts w:ascii="Times New Roman" w:hAnsi="Times New Roman"/>
                <w:sz w:val="24"/>
              </w:rPr>
            </w:pPr>
            <w:r w:rsidRPr="00661595">
              <w:rPr>
                <w:rStyle w:val="InstructionsTabelleberschrift"/>
                <w:rFonts w:ascii="Times New Roman" w:hAnsi="Times New Roman"/>
                <w:b w:val="0"/>
                <w:sz w:val="24"/>
                <w:u w:val="none"/>
              </w:rPr>
              <w:t>In case of Tier 2 instruments eli</w:t>
            </w:r>
            <w:r w:rsidR="0044539D" w:rsidRPr="00661595">
              <w:rPr>
                <w:rStyle w:val="InstructionsTabelleberschrift"/>
                <w:rFonts w:ascii="Times New Roman" w:hAnsi="Times New Roman"/>
                <w:b w:val="0"/>
                <w:sz w:val="24"/>
                <w:u w:val="none"/>
              </w:rPr>
              <w:t xml:space="preserve">gible </w:t>
            </w:r>
            <w:r w:rsidR="00EA1F5A" w:rsidRPr="00661595">
              <w:rPr>
                <w:rStyle w:val="InstructionsTabelleberschrift"/>
                <w:rFonts w:ascii="Times New Roman" w:hAnsi="Times New Roman"/>
                <w:b w:val="0"/>
                <w:sz w:val="24"/>
                <w:u w:val="none"/>
              </w:rPr>
              <w:t>in accordance with</w:t>
            </w:r>
            <w:r w:rsidR="0044539D" w:rsidRPr="00661595">
              <w:rPr>
                <w:rStyle w:val="InstructionsTabelleberschrift"/>
                <w:rFonts w:ascii="Times New Roman" w:hAnsi="Times New Roman"/>
                <w:b w:val="0"/>
                <w:sz w:val="24"/>
                <w:u w:val="none"/>
              </w:rPr>
              <w:t xml:space="preserve"> Article 494b</w:t>
            </w:r>
            <w:r w:rsidRPr="00661595">
              <w:rPr>
                <w:rStyle w:val="InstructionsTabelleberschrift"/>
                <w:rFonts w:ascii="Times New Roman" w:hAnsi="Times New Roman"/>
                <w:b w:val="0"/>
                <w:sz w:val="24"/>
                <w:u w:val="none"/>
              </w:rPr>
              <w:t>(2) CRR, the amortisation provisions of Article 64 CRR shall be observed.</w:t>
            </w:r>
          </w:p>
        </w:tc>
      </w:tr>
      <w:tr w:rsidR="00BF0637" w:rsidRPr="00661595" w:rsidTr="00672D2A">
        <w:tc>
          <w:tcPr>
            <w:tcW w:w="1012" w:type="dxa"/>
          </w:tcPr>
          <w:p w:rsidR="00BF0637" w:rsidRPr="00661595" w:rsidRDefault="00BF0637" w:rsidP="00487A02">
            <w:pPr>
              <w:pStyle w:val="InstructionsText"/>
              <w:rPr>
                <w:rStyle w:val="InstructionsTabelleText"/>
                <w:rFonts w:ascii="Times New Roman" w:hAnsi="Times New Roman"/>
                <w:sz w:val="24"/>
                <w:lang w:eastAsia="en-US"/>
              </w:rPr>
            </w:pPr>
            <w:r w:rsidRPr="00661595">
              <w:rPr>
                <w:rStyle w:val="InstructionsTabelleText"/>
                <w:rFonts w:ascii="Times New Roman" w:hAnsi="Times New Roman"/>
                <w:sz w:val="24"/>
              </w:rPr>
              <w:t>0</w:t>
            </w:r>
            <w:r w:rsidR="00BA1BF6" w:rsidRPr="00661595">
              <w:rPr>
                <w:rStyle w:val="InstructionsTabelleText"/>
                <w:rFonts w:ascii="Times New Roman" w:hAnsi="Times New Roman"/>
                <w:sz w:val="24"/>
              </w:rPr>
              <w:t>0</w:t>
            </w:r>
            <w:r w:rsidRPr="00661595">
              <w:rPr>
                <w:rStyle w:val="InstructionsTabelleText"/>
                <w:rFonts w:ascii="Times New Roman" w:hAnsi="Times New Roman"/>
                <w:sz w:val="24"/>
              </w:rPr>
              <w:t>63</w:t>
            </w:r>
          </w:p>
        </w:tc>
        <w:tc>
          <w:tcPr>
            <w:tcW w:w="7478" w:type="dxa"/>
          </w:tcPr>
          <w:p w:rsidR="00BF0637" w:rsidRPr="00661595" w:rsidRDefault="00BF0637" w:rsidP="00BF0637">
            <w:pPr>
              <w:spacing w:before="0"/>
              <w:rPr>
                <w:rStyle w:val="InstructionsTabelleberschrift"/>
                <w:rFonts w:ascii="Times New Roman" w:hAnsi="Times New Roman"/>
                <w:sz w:val="24"/>
              </w:rPr>
            </w:pPr>
            <w:r w:rsidRPr="00661595">
              <w:rPr>
                <w:rStyle w:val="InstructionsTabelleberschrift"/>
                <w:rFonts w:ascii="Times New Roman" w:hAnsi="Times New Roman"/>
                <w:sz w:val="24"/>
              </w:rPr>
              <w:t>1.1.4.1*</w:t>
            </w:r>
            <w:r w:rsidRPr="00661595">
              <w:rPr>
                <w:rStyle w:val="InstructionsTabelleberschrift"/>
                <w:rFonts w:ascii="Times New Roman" w:hAnsi="Times New Roman"/>
                <w:sz w:val="24"/>
              </w:rPr>
              <w:tab/>
              <w:t>of which: Instruments without legally or contractually mandatory write-down or conversion upon exercise of Article 59 BRRD powers</w:t>
            </w:r>
          </w:p>
          <w:p w:rsidR="00BF0637" w:rsidRPr="00661595" w:rsidRDefault="0044539D" w:rsidP="00BF0637">
            <w:pPr>
              <w:spacing w:before="0"/>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Article</w:t>
            </w:r>
            <w:r w:rsidR="00BF0637" w:rsidRPr="00661595">
              <w:rPr>
                <w:rStyle w:val="InstructionsTabelleberschrift"/>
                <w:rFonts w:ascii="Times New Roman" w:hAnsi="Times New Roman"/>
                <w:b w:val="0"/>
                <w:sz w:val="24"/>
                <w:u w:val="none"/>
              </w:rPr>
              <w:t xml:space="preserve"> 494b, </w:t>
            </w:r>
            <w:r w:rsidRPr="00661595">
              <w:rPr>
                <w:rStyle w:val="InstructionsTabelleberschrift"/>
                <w:rFonts w:ascii="Times New Roman" w:hAnsi="Times New Roman"/>
                <w:b w:val="0"/>
                <w:sz w:val="24"/>
                <w:u w:val="none"/>
              </w:rPr>
              <w:t>point (p) of Article 52</w:t>
            </w:r>
            <w:r w:rsidR="00BF0637" w:rsidRPr="00661595">
              <w:rPr>
                <w:rStyle w:val="InstructionsTabelleberschrift"/>
                <w:rFonts w:ascii="Times New Roman" w:hAnsi="Times New Roman"/>
                <w:b w:val="0"/>
                <w:sz w:val="24"/>
                <w:u w:val="none"/>
              </w:rPr>
              <w:t>(1)</w:t>
            </w:r>
            <w:r w:rsidRPr="00661595">
              <w:rPr>
                <w:rStyle w:val="InstructionsTabelleberschrift"/>
                <w:rFonts w:ascii="Times New Roman" w:hAnsi="Times New Roman"/>
                <w:b w:val="0"/>
                <w:sz w:val="24"/>
                <w:u w:val="none"/>
              </w:rPr>
              <w:t xml:space="preserve"> and </w:t>
            </w:r>
            <w:r w:rsidR="00DE7C81">
              <w:rPr>
                <w:rStyle w:val="InstructionsTabelleberschrift"/>
                <w:rFonts w:ascii="Times New Roman" w:hAnsi="Times New Roman"/>
                <w:b w:val="0"/>
                <w:sz w:val="24"/>
                <w:u w:val="none"/>
              </w:rPr>
              <w:t xml:space="preserve">point (n) of </w:t>
            </w:r>
            <w:r w:rsidRPr="00661595">
              <w:rPr>
                <w:rStyle w:val="InstructionsTabelleberschrift"/>
                <w:rFonts w:ascii="Times New Roman" w:hAnsi="Times New Roman"/>
                <w:b w:val="0"/>
                <w:sz w:val="24"/>
                <w:u w:val="none"/>
              </w:rPr>
              <w:t>Article</w:t>
            </w:r>
            <w:r w:rsidR="00BF0637" w:rsidRPr="00661595">
              <w:rPr>
                <w:rStyle w:val="InstructionsTabelleberschrift"/>
                <w:rFonts w:ascii="Times New Roman" w:hAnsi="Times New Roman"/>
                <w:b w:val="0"/>
                <w:sz w:val="24"/>
                <w:u w:val="none"/>
              </w:rPr>
              <w:t xml:space="preserve"> 63</w:t>
            </w:r>
            <w:r w:rsidR="00BA1BF6" w:rsidRPr="00661595">
              <w:rPr>
                <w:rStyle w:val="InstructionsTabelleberschrift"/>
                <w:rFonts w:ascii="Times New Roman" w:hAnsi="Times New Roman"/>
                <w:b w:val="0"/>
                <w:sz w:val="24"/>
                <w:u w:val="none"/>
              </w:rPr>
              <w:t xml:space="preserve"> </w:t>
            </w:r>
            <w:r w:rsidR="00BF0637" w:rsidRPr="00661595">
              <w:rPr>
                <w:rStyle w:val="InstructionsTabelleberschrift"/>
                <w:rFonts w:ascii="Times New Roman" w:hAnsi="Times New Roman"/>
                <w:b w:val="0"/>
                <w:sz w:val="24"/>
                <w:u w:val="none"/>
              </w:rPr>
              <w:t>CRR</w:t>
            </w:r>
          </w:p>
          <w:p w:rsidR="00BF0637" w:rsidRPr="00661595" w:rsidRDefault="00BF0637" w:rsidP="00BF0637">
            <w:pPr>
              <w:spacing w:before="0"/>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 xml:space="preserve">Institutions shall report the amount of instruments within the scope of Article 494b CRR that do not meet the eligibility criteria of </w:t>
            </w:r>
            <w:r w:rsidR="0044539D" w:rsidRPr="00661595">
              <w:rPr>
                <w:rStyle w:val="InstructionsTabelleberschrift"/>
                <w:rFonts w:ascii="Times New Roman" w:hAnsi="Times New Roman"/>
                <w:b w:val="0"/>
                <w:sz w:val="24"/>
                <w:u w:val="none"/>
              </w:rPr>
              <w:t>point (p) of Article 52</w:t>
            </w:r>
            <w:r w:rsidRPr="00661595">
              <w:rPr>
                <w:rStyle w:val="InstructionsTabelleberschrift"/>
                <w:rFonts w:ascii="Times New Roman" w:hAnsi="Times New Roman"/>
                <w:b w:val="0"/>
                <w:sz w:val="24"/>
                <w:u w:val="none"/>
              </w:rPr>
              <w:t xml:space="preserve">(1) or </w:t>
            </w:r>
            <w:r w:rsidR="0044539D" w:rsidRPr="00661595">
              <w:rPr>
                <w:rStyle w:val="InstructionsTabelleberschrift"/>
                <w:rFonts w:ascii="Times New Roman" w:hAnsi="Times New Roman"/>
                <w:b w:val="0"/>
                <w:sz w:val="24"/>
                <w:u w:val="none"/>
              </w:rPr>
              <w:t xml:space="preserve">point (n) of </w:t>
            </w:r>
            <w:r w:rsidRPr="00661595">
              <w:rPr>
                <w:rStyle w:val="InstructionsTabelleberschrift"/>
                <w:rFonts w:ascii="Times New Roman" w:hAnsi="Times New Roman"/>
                <w:b w:val="0"/>
                <w:sz w:val="24"/>
                <w:u w:val="none"/>
              </w:rPr>
              <w:t>Article 63 CRR, as applicable.</w:t>
            </w:r>
          </w:p>
          <w:p w:rsidR="00BF0637" w:rsidRPr="00661595" w:rsidRDefault="00BF0637" w:rsidP="0044539D">
            <w:pPr>
              <w:spacing w:before="0"/>
              <w:rPr>
                <w:rStyle w:val="InstructionsTabelleberschrift"/>
                <w:rFonts w:ascii="Times New Roman" w:hAnsi="Times New Roman"/>
                <w:sz w:val="24"/>
              </w:rPr>
            </w:pPr>
            <w:r w:rsidRPr="00661595">
              <w:rPr>
                <w:rStyle w:val="InstructionsTabelleberschrift"/>
                <w:rFonts w:ascii="Times New Roman" w:hAnsi="Times New Roman"/>
                <w:b w:val="0"/>
                <w:sz w:val="24"/>
                <w:u w:val="none"/>
              </w:rPr>
              <w:t xml:space="preserve">This shall also include instruments that additionally do not meet the eligibility criteria of </w:t>
            </w:r>
            <w:r w:rsidR="0044539D" w:rsidRPr="00661595">
              <w:rPr>
                <w:rStyle w:val="InstructionsTabelleberschrift"/>
                <w:rFonts w:ascii="Times New Roman" w:hAnsi="Times New Roman"/>
                <w:b w:val="0"/>
                <w:sz w:val="24"/>
                <w:u w:val="none"/>
              </w:rPr>
              <w:t xml:space="preserve">points (q) or (r) of </w:t>
            </w:r>
            <w:r w:rsidRPr="00661595">
              <w:rPr>
                <w:rStyle w:val="InstructionsTabelleberschrift"/>
                <w:rFonts w:ascii="Times New Roman" w:hAnsi="Times New Roman"/>
                <w:b w:val="0"/>
                <w:sz w:val="24"/>
                <w:u w:val="none"/>
              </w:rPr>
              <w:t xml:space="preserve">Article 52(1) CRR or </w:t>
            </w:r>
            <w:r w:rsidR="0044539D" w:rsidRPr="00661595">
              <w:rPr>
                <w:rStyle w:val="InstructionsTabelleberschrift"/>
                <w:rFonts w:ascii="Times New Roman" w:hAnsi="Times New Roman"/>
                <w:b w:val="0"/>
                <w:sz w:val="24"/>
                <w:u w:val="none"/>
              </w:rPr>
              <w:t xml:space="preserve">points (o) or (p) of </w:t>
            </w:r>
            <w:r w:rsidRPr="00661595">
              <w:rPr>
                <w:rStyle w:val="InstructionsTabelleberschrift"/>
                <w:rFonts w:ascii="Times New Roman" w:hAnsi="Times New Roman"/>
                <w:b w:val="0"/>
                <w:sz w:val="24"/>
                <w:u w:val="none"/>
              </w:rPr>
              <w:t>Article 63 CRR, as applicable.</w:t>
            </w:r>
          </w:p>
        </w:tc>
      </w:tr>
      <w:tr w:rsidR="00BF0637" w:rsidRPr="00661595" w:rsidTr="00672D2A">
        <w:tc>
          <w:tcPr>
            <w:tcW w:w="1012" w:type="dxa"/>
          </w:tcPr>
          <w:p w:rsidR="00BF0637" w:rsidRPr="00661595" w:rsidRDefault="00BF0637" w:rsidP="00487A02">
            <w:pPr>
              <w:pStyle w:val="InstructionsText"/>
              <w:rPr>
                <w:rStyle w:val="InstructionsTabelleText"/>
                <w:rFonts w:ascii="Times New Roman" w:hAnsi="Times New Roman"/>
                <w:sz w:val="24"/>
                <w:lang w:eastAsia="en-US"/>
              </w:rPr>
            </w:pPr>
            <w:r w:rsidRPr="00661595">
              <w:rPr>
                <w:rStyle w:val="InstructionsTabelleText"/>
                <w:rFonts w:ascii="Times New Roman" w:hAnsi="Times New Roman"/>
                <w:sz w:val="24"/>
              </w:rPr>
              <w:t>0</w:t>
            </w:r>
            <w:r w:rsidR="00BA1BF6" w:rsidRPr="00661595">
              <w:rPr>
                <w:rStyle w:val="InstructionsTabelleText"/>
                <w:rFonts w:ascii="Times New Roman" w:hAnsi="Times New Roman"/>
                <w:sz w:val="24"/>
              </w:rPr>
              <w:t>0</w:t>
            </w:r>
            <w:r w:rsidRPr="00661595">
              <w:rPr>
                <w:rStyle w:val="InstructionsTabelleText"/>
                <w:rFonts w:ascii="Times New Roman" w:hAnsi="Times New Roman"/>
                <w:sz w:val="24"/>
              </w:rPr>
              <w:t>64</w:t>
            </w:r>
          </w:p>
        </w:tc>
        <w:tc>
          <w:tcPr>
            <w:tcW w:w="7478" w:type="dxa"/>
          </w:tcPr>
          <w:p w:rsidR="00BF0637" w:rsidRPr="00661595" w:rsidRDefault="00BF0637" w:rsidP="00BF0637">
            <w:pPr>
              <w:spacing w:before="0"/>
              <w:rPr>
                <w:rStyle w:val="InstructionsTabelleberschrift"/>
                <w:rFonts w:ascii="Times New Roman" w:hAnsi="Times New Roman"/>
                <w:sz w:val="24"/>
              </w:rPr>
            </w:pPr>
            <w:r w:rsidRPr="00661595">
              <w:rPr>
                <w:rStyle w:val="InstructionsTabelleberschrift"/>
                <w:rFonts w:ascii="Times New Roman" w:hAnsi="Times New Roman"/>
                <w:sz w:val="24"/>
              </w:rPr>
              <w:t>1.1.4.2*</w:t>
            </w:r>
            <w:r w:rsidRPr="00661595">
              <w:rPr>
                <w:rStyle w:val="InstructionsTabelleberschrift"/>
                <w:rFonts w:ascii="Times New Roman" w:hAnsi="Times New Roman"/>
                <w:sz w:val="24"/>
              </w:rPr>
              <w:tab/>
              <w:t>of which: Instruments governed by third-country law without effective and enforceable exercise of Article 59 BRRD powers</w:t>
            </w:r>
          </w:p>
          <w:p w:rsidR="00BF0637" w:rsidRPr="00661595" w:rsidRDefault="00BF0637" w:rsidP="00BF0637">
            <w:pPr>
              <w:spacing w:before="0"/>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 xml:space="preserve">Article 494b, </w:t>
            </w:r>
            <w:r w:rsidR="00533D84" w:rsidRPr="00661595">
              <w:rPr>
                <w:rStyle w:val="InstructionsTabelleberschrift"/>
                <w:rFonts w:ascii="Times New Roman" w:hAnsi="Times New Roman"/>
                <w:b w:val="0"/>
                <w:sz w:val="24"/>
                <w:u w:val="none"/>
              </w:rPr>
              <w:t>point (q) of Article 52</w:t>
            </w:r>
            <w:r w:rsidRPr="00661595">
              <w:rPr>
                <w:rStyle w:val="InstructionsTabelleberschrift"/>
                <w:rFonts w:ascii="Times New Roman" w:hAnsi="Times New Roman"/>
                <w:b w:val="0"/>
                <w:sz w:val="24"/>
                <w:u w:val="none"/>
              </w:rPr>
              <w:t>(1)</w:t>
            </w:r>
            <w:r w:rsidR="00533D84" w:rsidRPr="00661595">
              <w:rPr>
                <w:rStyle w:val="InstructionsTabelleberschrift"/>
                <w:rFonts w:ascii="Times New Roman" w:hAnsi="Times New Roman"/>
                <w:b w:val="0"/>
                <w:sz w:val="24"/>
                <w:u w:val="none"/>
              </w:rPr>
              <w:t xml:space="preserve"> and </w:t>
            </w:r>
            <w:r w:rsidR="00DE7C81">
              <w:rPr>
                <w:rStyle w:val="InstructionsTabelleberschrift"/>
                <w:rFonts w:ascii="Times New Roman" w:hAnsi="Times New Roman"/>
                <w:b w:val="0"/>
                <w:sz w:val="24"/>
                <w:u w:val="none"/>
              </w:rPr>
              <w:t xml:space="preserve">point (o) of </w:t>
            </w:r>
            <w:r w:rsidR="00533D84" w:rsidRPr="00661595">
              <w:rPr>
                <w:rStyle w:val="InstructionsTabelleberschrift"/>
                <w:rFonts w:ascii="Times New Roman" w:hAnsi="Times New Roman"/>
                <w:b w:val="0"/>
                <w:sz w:val="24"/>
                <w:u w:val="none"/>
              </w:rPr>
              <w:t>Article</w:t>
            </w:r>
            <w:r w:rsidRPr="00661595">
              <w:rPr>
                <w:rStyle w:val="InstructionsTabelleberschrift"/>
                <w:rFonts w:ascii="Times New Roman" w:hAnsi="Times New Roman"/>
                <w:b w:val="0"/>
                <w:sz w:val="24"/>
                <w:u w:val="none"/>
              </w:rPr>
              <w:t xml:space="preserve"> 63 CRR</w:t>
            </w:r>
          </w:p>
          <w:p w:rsidR="00BF0637" w:rsidRPr="00661595" w:rsidRDefault="00BF0637" w:rsidP="00BF0637">
            <w:pPr>
              <w:spacing w:before="0"/>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 xml:space="preserve">Institutions shall report the amount of instruments within the scope of Article 494b CRR that do not meet the eligibility criteria of </w:t>
            </w:r>
            <w:r w:rsidR="00533D84" w:rsidRPr="00661595">
              <w:rPr>
                <w:rStyle w:val="InstructionsTabelleberschrift"/>
                <w:rFonts w:ascii="Times New Roman" w:hAnsi="Times New Roman"/>
                <w:b w:val="0"/>
                <w:sz w:val="24"/>
                <w:u w:val="none"/>
              </w:rPr>
              <w:t>point (q) of</w:t>
            </w:r>
            <w:r w:rsidR="00DE7C81">
              <w:rPr>
                <w:rStyle w:val="InstructionsTabelleberschrift"/>
                <w:rFonts w:ascii="Times New Roman" w:hAnsi="Times New Roman"/>
                <w:b w:val="0"/>
                <w:sz w:val="24"/>
                <w:u w:val="none"/>
              </w:rPr>
              <w:t xml:space="preserve"> </w:t>
            </w:r>
            <w:r w:rsidR="00533D84" w:rsidRPr="00661595">
              <w:rPr>
                <w:rStyle w:val="InstructionsTabelleberschrift"/>
                <w:rFonts w:ascii="Times New Roman" w:hAnsi="Times New Roman"/>
                <w:b w:val="0"/>
                <w:sz w:val="24"/>
                <w:u w:val="none"/>
              </w:rPr>
              <w:t>Article 52</w:t>
            </w:r>
            <w:r w:rsidRPr="00661595">
              <w:rPr>
                <w:rStyle w:val="InstructionsTabelleberschrift"/>
                <w:rFonts w:ascii="Times New Roman" w:hAnsi="Times New Roman"/>
                <w:b w:val="0"/>
                <w:sz w:val="24"/>
                <w:u w:val="none"/>
              </w:rPr>
              <w:t xml:space="preserve">(1) or </w:t>
            </w:r>
            <w:r w:rsidR="00DE7C81">
              <w:rPr>
                <w:rStyle w:val="InstructionsTabelleberschrift"/>
                <w:rFonts w:ascii="Times New Roman" w:hAnsi="Times New Roman"/>
                <w:b w:val="0"/>
                <w:sz w:val="24"/>
                <w:u w:val="none"/>
              </w:rPr>
              <w:t xml:space="preserve">point (o) of </w:t>
            </w:r>
            <w:r w:rsidRPr="00661595">
              <w:rPr>
                <w:rStyle w:val="InstructionsTabelleberschrift"/>
                <w:rFonts w:ascii="Times New Roman" w:hAnsi="Times New Roman"/>
                <w:b w:val="0"/>
                <w:sz w:val="24"/>
                <w:u w:val="none"/>
              </w:rPr>
              <w:t>Article 63</w:t>
            </w:r>
            <w:r w:rsidR="00BA1BF6" w:rsidRPr="00661595">
              <w:rPr>
                <w:rStyle w:val="InstructionsTabelleberschrift"/>
                <w:rFonts w:ascii="Times New Roman" w:hAnsi="Times New Roman"/>
                <w:b w:val="0"/>
                <w:sz w:val="24"/>
                <w:u w:val="none"/>
              </w:rPr>
              <w:t xml:space="preserve"> </w:t>
            </w:r>
            <w:r w:rsidRPr="00661595">
              <w:rPr>
                <w:rStyle w:val="InstructionsTabelleberschrift"/>
                <w:rFonts w:ascii="Times New Roman" w:hAnsi="Times New Roman"/>
                <w:b w:val="0"/>
                <w:sz w:val="24"/>
                <w:u w:val="none"/>
              </w:rPr>
              <w:t>CRR, as applicable.</w:t>
            </w:r>
          </w:p>
          <w:p w:rsidR="00BF0637" w:rsidRPr="00661595" w:rsidRDefault="00BF0637" w:rsidP="00533D84">
            <w:pPr>
              <w:spacing w:before="0"/>
              <w:rPr>
                <w:rStyle w:val="InstructionsTabelleberschrift"/>
                <w:rFonts w:ascii="Times New Roman" w:hAnsi="Times New Roman"/>
                <w:sz w:val="24"/>
              </w:rPr>
            </w:pPr>
            <w:r w:rsidRPr="00661595">
              <w:rPr>
                <w:rStyle w:val="InstructionsTabelleberschrift"/>
                <w:rFonts w:ascii="Times New Roman" w:hAnsi="Times New Roman"/>
                <w:b w:val="0"/>
                <w:sz w:val="24"/>
                <w:u w:val="none"/>
              </w:rPr>
              <w:t xml:space="preserve">This shall include also instruments that additionally do not meet the eligibility criteria of </w:t>
            </w:r>
            <w:r w:rsidR="00533D84" w:rsidRPr="00661595">
              <w:rPr>
                <w:rStyle w:val="InstructionsTabelleberschrift"/>
                <w:rFonts w:ascii="Times New Roman" w:hAnsi="Times New Roman"/>
                <w:b w:val="0"/>
                <w:sz w:val="24"/>
                <w:u w:val="none"/>
              </w:rPr>
              <w:t>points (p) or (r) of Article 52</w:t>
            </w:r>
            <w:r w:rsidRPr="00661595">
              <w:rPr>
                <w:rStyle w:val="InstructionsTabelleberschrift"/>
                <w:rFonts w:ascii="Times New Roman" w:hAnsi="Times New Roman"/>
                <w:b w:val="0"/>
                <w:sz w:val="24"/>
                <w:u w:val="none"/>
              </w:rPr>
              <w:t xml:space="preserve">(1) CRR or </w:t>
            </w:r>
            <w:r w:rsidR="00533D84" w:rsidRPr="00661595">
              <w:rPr>
                <w:rStyle w:val="InstructionsTabelleberschrift"/>
                <w:rFonts w:ascii="Times New Roman" w:hAnsi="Times New Roman"/>
                <w:b w:val="0"/>
                <w:sz w:val="24"/>
                <w:u w:val="none"/>
              </w:rPr>
              <w:t xml:space="preserve">points (n) or (p) of </w:t>
            </w:r>
            <w:r w:rsidRPr="00661595">
              <w:rPr>
                <w:rStyle w:val="InstructionsTabelleberschrift"/>
                <w:rFonts w:ascii="Times New Roman" w:hAnsi="Times New Roman"/>
                <w:b w:val="0"/>
                <w:sz w:val="24"/>
                <w:u w:val="none"/>
              </w:rPr>
              <w:t>Article 63 CRR, as applicable.</w:t>
            </w:r>
          </w:p>
        </w:tc>
      </w:tr>
      <w:tr w:rsidR="00BF0637" w:rsidRPr="00661595" w:rsidTr="00672D2A">
        <w:tc>
          <w:tcPr>
            <w:tcW w:w="1012" w:type="dxa"/>
          </w:tcPr>
          <w:p w:rsidR="00BF0637" w:rsidRPr="00661595" w:rsidRDefault="00BA1BF6" w:rsidP="00487A02">
            <w:pPr>
              <w:pStyle w:val="InstructionsText"/>
              <w:rPr>
                <w:rStyle w:val="InstructionsTabelleText"/>
                <w:rFonts w:ascii="Times New Roman" w:hAnsi="Times New Roman"/>
                <w:sz w:val="24"/>
                <w:lang w:eastAsia="en-US"/>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065</w:t>
            </w:r>
          </w:p>
        </w:tc>
        <w:tc>
          <w:tcPr>
            <w:tcW w:w="7478" w:type="dxa"/>
          </w:tcPr>
          <w:p w:rsidR="00BF0637" w:rsidRPr="00661595" w:rsidRDefault="00BF0637" w:rsidP="00BF0637">
            <w:pPr>
              <w:spacing w:before="0"/>
              <w:rPr>
                <w:rStyle w:val="InstructionsTabelleberschrift"/>
                <w:rFonts w:ascii="Times New Roman" w:hAnsi="Times New Roman"/>
                <w:sz w:val="24"/>
              </w:rPr>
            </w:pPr>
            <w:r w:rsidRPr="00661595">
              <w:rPr>
                <w:rStyle w:val="InstructionsTabelleberschrift"/>
                <w:rFonts w:ascii="Times New Roman" w:hAnsi="Times New Roman"/>
                <w:sz w:val="24"/>
              </w:rPr>
              <w:t>1.1.4.3*</w:t>
            </w:r>
            <w:r w:rsidRPr="00661595">
              <w:rPr>
                <w:rStyle w:val="InstructionsTabelleberschrift"/>
                <w:rFonts w:ascii="Times New Roman" w:hAnsi="Times New Roman"/>
                <w:sz w:val="24"/>
              </w:rPr>
              <w:tab/>
              <w:t>of which: Instruments subject to set-off or netting arrangements</w:t>
            </w:r>
          </w:p>
          <w:p w:rsidR="00BF0637" w:rsidRPr="00661595" w:rsidRDefault="00533D84" w:rsidP="00BF0637">
            <w:pPr>
              <w:spacing w:before="0"/>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Article</w:t>
            </w:r>
            <w:r w:rsidR="00BF0637" w:rsidRPr="00661595">
              <w:rPr>
                <w:rStyle w:val="InstructionsTabelleberschrift"/>
                <w:rFonts w:ascii="Times New Roman" w:hAnsi="Times New Roman"/>
                <w:b w:val="0"/>
                <w:sz w:val="24"/>
                <w:u w:val="none"/>
              </w:rPr>
              <w:t xml:space="preserve"> 494b, </w:t>
            </w:r>
            <w:r w:rsidRPr="00661595">
              <w:rPr>
                <w:rStyle w:val="InstructionsTabelleberschrift"/>
                <w:rFonts w:ascii="Times New Roman" w:hAnsi="Times New Roman"/>
                <w:b w:val="0"/>
                <w:sz w:val="24"/>
                <w:u w:val="none"/>
              </w:rPr>
              <w:t>point (r) of Article 52</w:t>
            </w:r>
            <w:r w:rsidR="00BF0637" w:rsidRPr="00661595">
              <w:rPr>
                <w:rStyle w:val="InstructionsTabelleberschrift"/>
                <w:rFonts w:ascii="Times New Roman" w:hAnsi="Times New Roman"/>
                <w:b w:val="0"/>
                <w:sz w:val="24"/>
                <w:u w:val="none"/>
              </w:rPr>
              <w:t xml:space="preserve">(1) </w:t>
            </w:r>
            <w:r w:rsidRPr="00661595">
              <w:rPr>
                <w:rStyle w:val="InstructionsTabelleberschrift"/>
                <w:rFonts w:ascii="Times New Roman" w:hAnsi="Times New Roman"/>
                <w:b w:val="0"/>
                <w:sz w:val="24"/>
                <w:u w:val="none"/>
              </w:rPr>
              <w:t xml:space="preserve">and </w:t>
            </w:r>
            <w:r w:rsidR="00C3220C">
              <w:rPr>
                <w:rStyle w:val="InstructionsTabelleberschrift"/>
                <w:rFonts w:ascii="Times New Roman" w:hAnsi="Times New Roman"/>
                <w:b w:val="0"/>
                <w:sz w:val="24"/>
                <w:u w:val="none"/>
              </w:rPr>
              <w:t xml:space="preserve">point (p) of </w:t>
            </w:r>
            <w:r w:rsidRPr="00661595">
              <w:rPr>
                <w:rStyle w:val="InstructionsTabelleberschrift"/>
                <w:rFonts w:ascii="Times New Roman" w:hAnsi="Times New Roman"/>
                <w:b w:val="0"/>
                <w:sz w:val="24"/>
                <w:u w:val="none"/>
              </w:rPr>
              <w:t>Article</w:t>
            </w:r>
            <w:r w:rsidR="00BF0637" w:rsidRPr="00661595">
              <w:rPr>
                <w:rStyle w:val="InstructionsTabelleberschrift"/>
                <w:rFonts w:ascii="Times New Roman" w:hAnsi="Times New Roman"/>
                <w:b w:val="0"/>
                <w:sz w:val="24"/>
                <w:u w:val="none"/>
              </w:rPr>
              <w:t xml:space="preserve"> 63 CRR</w:t>
            </w:r>
          </w:p>
          <w:p w:rsidR="00BF0637" w:rsidRPr="00661595" w:rsidRDefault="00BF0637" w:rsidP="00BF0637">
            <w:pPr>
              <w:spacing w:before="0"/>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 xml:space="preserve">Institutions shall report the amount of instruments within the scope of Article 494b CRR that do not meet the eligibility criteria of </w:t>
            </w:r>
            <w:r w:rsidR="00533D84" w:rsidRPr="00661595">
              <w:rPr>
                <w:rStyle w:val="InstructionsTabelleberschrift"/>
                <w:rFonts w:ascii="Times New Roman" w:hAnsi="Times New Roman"/>
                <w:b w:val="0"/>
                <w:sz w:val="24"/>
                <w:u w:val="none"/>
              </w:rPr>
              <w:t>point (r) of Article 52(1)</w:t>
            </w:r>
            <w:r w:rsidR="004B584D">
              <w:rPr>
                <w:rStyle w:val="InstructionsTabelleberschrift"/>
                <w:rFonts w:ascii="Times New Roman" w:hAnsi="Times New Roman"/>
                <w:b w:val="0"/>
                <w:sz w:val="24"/>
                <w:u w:val="none"/>
              </w:rPr>
              <w:t xml:space="preserve"> CRR</w:t>
            </w:r>
            <w:r w:rsidRPr="00661595">
              <w:rPr>
                <w:rStyle w:val="InstructionsTabelleberschrift"/>
                <w:rFonts w:ascii="Times New Roman" w:hAnsi="Times New Roman"/>
                <w:b w:val="0"/>
                <w:sz w:val="24"/>
                <w:u w:val="none"/>
              </w:rPr>
              <w:t xml:space="preserve"> or </w:t>
            </w:r>
            <w:r w:rsidR="004B584D">
              <w:rPr>
                <w:rStyle w:val="InstructionsTabelleberschrift"/>
                <w:rFonts w:ascii="Times New Roman" w:hAnsi="Times New Roman"/>
                <w:b w:val="0"/>
                <w:sz w:val="24"/>
                <w:u w:val="none"/>
              </w:rPr>
              <w:t xml:space="preserve">point (p) of </w:t>
            </w:r>
            <w:r w:rsidRPr="00661595">
              <w:rPr>
                <w:rStyle w:val="InstructionsTabelleberschrift"/>
                <w:rFonts w:ascii="Times New Roman" w:hAnsi="Times New Roman"/>
                <w:b w:val="0"/>
                <w:sz w:val="24"/>
                <w:u w:val="none"/>
              </w:rPr>
              <w:t>Article 63</w:t>
            </w:r>
            <w:r w:rsidR="00BA1BF6" w:rsidRPr="00661595">
              <w:rPr>
                <w:rStyle w:val="InstructionsTabelleberschrift"/>
                <w:rFonts w:ascii="Times New Roman" w:hAnsi="Times New Roman"/>
                <w:b w:val="0"/>
                <w:sz w:val="24"/>
                <w:u w:val="none"/>
              </w:rPr>
              <w:t xml:space="preserve"> </w:t>
            </w:r>
            <w:r w:rsidRPr="00661595">
              <w:rPr>
                <w:rStyle w:val="InstructionsTabelleberschrift"/>
                <w:rFonts w:ascii="Times New Roman" w:hAnsi="Times New Roman"/>
                <w:b w:val="0"/>
                <w:sz w:val="24"/>
                <w:u w:val="none"/>
              </w:rPr>
              <w:t>CRR, as applicable.</w:t>
            </w:r>
          </w:p>
          <w:p w:rsidR="00BF0637" w:rsidRPr="00661595" w:rsidRDefault="00BF0637" w:rsidP="00533D84">
            <w:pPr>
              <w:spacing w:before="0"/>
              <w:rPr>
                <w:rStyle w:val="InstructionsTabelleberschrift"/>
                <w:rFonts w:ascii="Times New Roman" w:hAnsi="Times New Roman"/>
                <w:sz w:val="24"/>
              </w:rPr>
            </w:pPr>
            <w:r w:rsidRPr="00661595">
              <w:rPr>
                <w:rStyle w:val="InstructionsTabelleberschrift"/>
                <w:rFonts w:ascii="Times New Roman" w:hAnsi="Times New Roman"/>
                <w:b w:val="0"/>
                <w:sz w:val="24"/>
                <w:u w:val="none"/>
              </w:rPr>
              <w:t xml:space="preserve">This shall also include instruments that additionally do not meet the eligibility criteria of </w:t>
            </w:r>
            <w:r w:rsidR="00533D84" w:rsidRPr="00661595">
              <w:rPr>
                <w:rStyle w:val="InstructionsTabelleberschrift"/>
                <w:rFonts w:ascii="Times New Roman" w:hAnsi="Times New Roman"/>
                <w:b w:val="0"/>
                <w:sz w:val="24"/>
                <w:u w:val="none"/>
              </w:rPr>
              <w:t>point (p) or (q) of Article 52</w:t>
            </w:r>
            <w:r w:rsidRPr="00661595">
              <w:rPr>
                <w:rStyle w:val="InstructionsTabelleberschrift"/>
                <w:rFonts w:ascii="Times New Roman" w:hAnsi="Times New Roman"/>
                <w:b w:val="0"/>
                <w:sz w:val="24"/>
                <w:u w:val="none"/>
              </w:rPr>
              <w:t xml:space="preserve">(1) CRR or </w:t>
            </w:r>
            <w:r w:rsidR="00533D84" w:rsidRPr="00661595">
              <w:rPr>
                <w:rStyle w:val="InstructionsTabelleberschrift"/>
                <w:rFonts w:ascii="Times New Roman" w:hAnsi="Times New Roman"/>
                <w:b w:val="0"/>
                <w:sz w:val="24"/>
                <w:u w:val="none"/>
              </w:rPr>
              <w:t xml:space="preserve">points (n) or (o) of </w:t>
            </w:r>
            <w:r w:rsidRPr="00661595">
              <w:rPr>
                <w:rStyle w:val="InstructionsTabelleberschrift"/>
                <w:rFonts w:ascii="Times New Roman" w:hAnsi="Times New Roman"/>
                <w:b w:val="0"/>
                <w:sz w:val="24"/>
                <w:u w:val="none"/>
              </w:rPr>
              <w:t>Article 63 CRR, as applicable.</w:t>
            </w:r>
          </w:p>
        </w:tc>
      </w:tr>
      <w:tr w:rsidR="00BF0637" w:rsidRPr="00661595" w:rsidTr="00672D2A">
        <w:tc>
          <w:tcPr>
            <w:tcW w:w="1012" w:type="dxa"/>
          </w:tcPr>
          <w:p w:rsidR="00BF0637" w:rsidRPr="00661595" w:rsidRDefault="00BA1BF6" w:rsidP="00487A02">
            <w:pPr>
              <w:pStyle w:val="InstructionsText"/>
              <w:rPr>
                <w:rStyle w:val="InstructionsTabelleText"/>
                <w:rFonts w:ascii="Times New Roman" w:hAnsi="Times New Roman"/>
                <w:sz w:val="24"/>
                <w:lang w:eastAsia="en-US"/>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070</w:t>
            </w:r>
          </w:p>
        </w:tc>
        <w:tc>
          <w:tcPr>
            <w:tcW w:w="7478" w:type="dxa"/>
          </w:tcPr>
          <w:p w:rsidR="00BF0637" w:rsidRPr="00661595" w:rsidRDefault="00BF0637" w:rsidP="00487A02">
            <w:pPr>
              <w:pStyle w:val="InstructionsText"/>
              <w:rPr>
                <w:rStyle w:val="InstructionsTabelleText"/>
                <w:rFonts w:ascii="Times New Roman" w:hAnsi="Times New Roman"/>
                <w:b/>
                <w:sz w:val="24"/>
                <w:u w:val="single"/>
                <w:lang w:eastAsia="en-US"/>
              </w:rPr>
            </w:pPr>
            <w:r w:rsidRPr="00661595">
              <w:rPr>
                <w:rStyle w:val="InstructionsTabelleberschrift"/>
                <w:rFonts w:ascii="Times New Roman" w:hAnsi="Times New Roman"/>
                <w:sz w:val="24"/>
              </w:rPr>
              <w:t>1.2</w:t>
            </w:r>
            <w:r w:rsidRPr="00661595">
              <w:rPr>
                <w:rStyle w:val="InstructionsTabelleberschrift"/>
                <w:rFonts w:ascii="Times New Roman" w:hAnsi="Times New Roman"/>
                <w:sz w:val="24"/>
              </w:rPr>
              <w:tab/>
              <w:t>Minority interests and equivalents</w:t>
            </w:r>
          </w:p>
          <w:p w:rsidR="00BF0637" w:rsidRPr="00661595" w:rsidRDefault="00BF0637" w:rsidP="00BF0637">
            <w:pPr>
              <w:spacing w:before="0"/>
              <w:rPr>
                <w:rStyle w:val="InstructionsTabelleText"/>
                <w:rFonts w:ascii="Times New Roman" w:hAnsi="Times New Roman"/>
                <w:sz w:val="24"/>
              </w:rPr>
            </w:pPr>
            <w:r w:rsidRPr="00661595">
              <w:rPr>
                <w:rStyle w:val="InstructionsTabelleText"/>
                <w:rFonts w:ascii="Times New Roman" w:hAnsi="Times New Roman"/>
                <w:sz w:val="24"/>
              </w:rPr>
              <w:t>Articles 479 and 480 CRR</w:t>
            </w:r>
          </w:p>
          <w:p w:rsidR="00BF0637" w:rsidRPr="00661595" w:rsidRDefault="00BF0637" w:rsidP="00BF0637">
            <w:pPr>
              <w:spacing w:before="0"/>
              <w:rPr>
                <w:rStyle w:val="InstructionsTabelleText"/>
                <w:rFonts w:ascii="Times New Roman" w:hAnsi="Times New Roman"/>
                <w:sz w:val="24"/>
              </w:rPr>
            </w:pPr>
            <w:r w:rsidRPr="00661595">
              <w:rPr>
                <w:rStyle w:val="InstructionsTabelleText"/>
                <w:rFonts w:ascii="Times New Roman" w:hAnsi="Times New Roman"/>
                <w:sz w:val="24"/>
              </w:rPr>
              <w:t>This row reflects the effects of transitional provisions in the minority interests eligible as CET1; the qualifying T1 instruments eligible as consolidated AT1; and the qualifying own funds eligible as consolidated T2.</w:t>
            </w:r>
          </w:p>
        </w:tc>
      </w:tr>
      <w:tr w:rsidR="00BF0637" w:rsidRPr="00661595" w:rsidTr="00672D2A">
        <w:tc>
          <w:tcPr>
            <w:tcW w:w="1012" w:type="dxa"/>
          </w:tcPr>
          <w:p w:rsidR="00BF0637" w:rsidRPr="00661595" w:rsidRDefault="00BA1BF6" w:rsidP="00487A02">
            <w:pPr>
              <w:pStyle w:val="InstructionsText"/>
              <w:rPr>
                <w:rStyle w:val="InstructionsTabelleText"/>
                <w:rFonts w:ascii="Times New Roman" w:hAnsi="Times New Roman"/>
                <w:sz w:val="24"/>
                <w:lang w:eastAsia="en-US"/>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080</w:t>
            </w:r>
          </w:p>
        </w:tc>
        <w:tc>
          <w:tcPr>
            <w:tcW w:w="7478" w:type="dxa"/>
          </w:tcPr>
          <w:p w:rsidR="00BF0637" w:rsidRPr="00661595" w:rsidRDefault="00BF0637" w:rsidP="00487A02">
            <w:pPr>
              <w:pStyle w:val="InstructionsText"/>
              <w:rPr>
                <w:rStyle w:val="InstructionsTabelleberschrift"/>
                <w:rFonts w:ascii="Times New Roman" w:hAnsi="Times New Roman"/>
                <w:bCs w:val="0"/>
                <w:sz w:val="24"/>
                <w:lang w:eastAsia="en-US"/>
              </w:rPr>
            </w:pPr>
            <w:r w:rsidRPr="00661595">
              <w:rPr>
                <w:rStyle w:val="InstructionsTabelleberschrift"/>
                <w:rFonts w:ascii="Times New Roman" w:hAnsi="Times New Roman"/>
                <w:sz w:val="24"/>
              </w:rPr>
              <w:t>1.2.1</w:t>
            </w:r>
            <w:r w:rsidRPr="00661595">
              <w:rPr>
                <w:rStyle w:val="InstructionsTabelleberschrift"/>
                <w:rFonts w:ascii="Times New Roman" w:hAnsi="Times New Roman"/>
                <w:sz w:val="24"/>
              </w:rPr>
              <w:tab/>
              <w:t>Capital instruments and items that do not qualify as minority interests</w:t>
            </w:r>
          </w:p>
          <w:p w:rsidR="00BF0637" w:rsidRPr="00661595" w:rsidRDefault="00BF0637" w:rsidP="00487A02">
            <w:pPr>
              <w:pStyle w:val="InstructionsText"/>
              <w:rPr>
                <w:rStyle w:val="InstructionsTabelleText"/>
                <w:rFonts w:ascii="Times New Roman" w:hAnsi="Times New Roman"/>
                <w:bCs/>
                <w:sz w:val="24"/>
                <w:lang w:eastAsia="en-US"/>
              </w:rPr>
            </w:pPr>
            <w:r w:rsidRPr="00661595">
              <w:rPr>
                <w:rStyle w:val="InstructionsTabelleText"/>
                <w:rFonts w:ascii="Times New Roman" w:hAnsi="Times New Roman"/>
                <w:sz w:val="24"/>
              </w:rPr>
              <w:t>Articles 479 CRR</w:t>
            </w:r>
          </w:p>
          <w:p w:rsidR="00BF0637" w:rsidRPr="00661595" w:rsidRDefault="00BF0637" w:rsidP="00487A02">
            <w:pPr>
              <w:pStyle w:val="InstructionsText"/>
              <w:rPr>
                <w:rStyle w:val="InstructionsTabelleText"/>
                <w:rFonts w:ascii="Times New Roman" w:hAnsi="Times New Roman"/>
                <w:bCs/>
                <w:sz w:val="24"/>
                <w:lang w:eastAsia="en-US"/>
              </w:rPr>
            </w:pPr>
            <w:r w:rsidRPr="00661595">
              <w:rPr>
                <w:rStyle w:val="InstructionsTabelleText"/>
                <w:rFonts w:ascii="Times New Roman" w:hAnsi="Times New Roman"/>
                <w:sz w:val="24"/>
              </w:rPr>
              <w:t xml:space="preserve">The amount to be reported in column 060 of this row shall be the amount qualifying as consolidated reserves in accordance with prior regulation. </w:t>
            </w:r>
          </w:p>
        </w:tc>
      </w:tr>
      <w:tr w:rsidR="00BF0637" w:rsidRPr="00661595" w:rsidTr="00672D2A">
        <w:tc>
          <w:tcPr>
            <w:tcW w:w="1012" w:type="dxa"/>
          </w:tcPr>
          <w:p w:rsidR="00BF0637" w:rsidRPr="00661595" w:rsidRDefault="00BA1BF6" w:rsidP="00487A02">
            <w:pPr>
              <w:pStyle w:val="InstructionsText"/>
              <w:rPr>
                <w:rStyle w:val="InstructionsTabelleText"/>
                <w:rFonts w:ascii="Times New Roman" w:hAnsi="Times New Roman"/>
                <w:sz w:val="24"/>
                <w:lang w:eastAsia="en-US"/>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090</w:t>
            </w:r>
          </w:p>
        </w:tc>
        <w:tc>
          <w:tcPr>
            <w:tcW w:w="7478" w:type="dxa"/>
          </w:tcPr>
          <w:p w:rsidR="00BF0637" w:rsidRPr="00661595" w:rsidRDefault="00BF0637" w:rsidP="00487A02">
            <w:pPr>
              <w:pStyle w:val="InstructionsText"/>
              <w:rPr>
                <w:rStyle w:val="InstructionsTabelleText"/>
                <w:rFonts w:ascii="Times New Roman" w:hAnsi="Times New Roman"/>
                <w:b/>
                <w:bCs/>
                <w:sz w:val="24"/>
                <w:u w:val="single"/>
              </w:rPr>
            </w:pPr>
            <w:r w:rsidRPr="00661595">
              <w:rPr>
                <w:rStyle w:val="InstructionsTabelleberschrift"/>
                <w:rFonts w:ascii="Times New Roman" w:hAnsi="Times New Roman"/>
                <w:sz w:val="24"/>
              </w:rPr>
              <w:t>1.2.2</w:t>
            </w:r>
            <w:r w:rsidRPr="00661595">
              <w:rPr>
                <w:rStyle w:val="InstructionsTabelleberschrift"/>
                <w:rFonts w:ascii="Times New Roman" w:hAnsi="Times New Roman"/>
                <w:sz w:val="24"/>
              </w:rPr>
              <w:tab/>
              <w:t>Transitional recognition in consolidated own funds of minority interests</w:t>
            </w:r>
          </w:p>
          <w:p w:rsidR="00BF0637" w:rsidRPr="00661595" w:rsidRDefault="00BF0637" w:rsidP="00487A02">
            <w:pPr>
              <w:pStyle w:val="InstructionsText"/>
              <w:rPr>
                <w:rStyle w:val="InstructionsTabelleText"/>
                <w:rFonts w:ascii="Times New Roman" w:hAnsi="Times New Roman"/>
                <w:sz w:val="24"/>
              </w:rPr>
            </w:pPr>
            <w:r w:rsidRPr="00661595">
              <w:rPr>
                <w:rStyle w:val="InstructionsTabelleText"/>
                <w:rFonts w:ascii="Times New Roman" w:hAnsi="Times New Roman"/>
                <w:sz w:val="24"/>
              </w:rPr>
              <w:t>Articles 84 and 480 CRR</w:t>
            </w:r>
          </w:p>
          <w:p w:rsidR="00BF0637" w:rsidRPr="00661595" w:rsidRDefault="00BF0637" w:rsidP="00487A02">
            <w:pPr>
              <w:pStyle w:val="InstructionsText"/>
              <w:rPr>
                <w:rStyle w:val="InstructionsTabelleberschrift"/>
                <w:rFonts w:ascii="Times New Roman" w:hAnsi="Times New Roman"/>
                <w:b w:val="0"/>
                <w:bCs w:val="0"/>
                <w:sz w:val="24"/>
                <w:u w:val="none"/>
              </w:rPr>
            </w:pPr>
            <w:r w:rsidRPr="00661595">
              <w:rPr>
                <w:rStyle w:val="InstructionsTabelleText"/>
                <w:rFonts w:ascii="Times New Roman" w:hAnsi="Times New Roman"/>
                <w:sz w:val="24"/>
              </w:rPr>
              <w:t xml:space="preserve">The amount to be reported in column </w:t>
            </w:r>
            <w:r w:rsidR="00BA1BF6" w:rsidRPr="00661595">
              <w:rPr>
                <w:rStyle w:val="InstructionsTabelleText"/>
                <w:rFonts w:ascii="Times New Roman" w:hAnsi="Times New Roman"/>
                <w:sz w:val="24"/>
              </w:rPr>
              <w:t>0</w:t>
            </w:r>
            <w:r w:rsidRPr="00661595">
              <w:rPr>
                <w:rStyle w:val="InstructionsTabelleText"/>
                <w:rFonts w:ascii="Times New Roman" w:hAnsi="Times New Roman"/>
                <w:sz w:val="24"/>
              </w:rPr>
              <w:t>060 of this row shall be the eligible amount without transitional provisions.</w:t>
            </w:r>
          </w:p>
        </w:tc>
      </w:tr>
      <w:tr w:rsidR="00BF0637" w:rsidRPr="00661595" w:rsidTr="00672D2A">
        <w:tc>
          <w:tcPr>
            <w:tcW w:w="1012" w:type="dxa"/>
          </w:tcPr>
          <w:p w:rsidR="00BF0637" w:rsidRPr="00661595" w:rsidRDefault="00BA1BF6" w:rsidP="00487A02">
            <w:pPr>
              <w:pStyle w:val="InstructionsText"/>
              <w:rPr>
                <w:rStyle w:val="InstructionsTabelleText"/>
                <w:rFonts w:ascii="Times New Roman" w:hAnsi="Times New Roman"/>
                <w:sz w:val="24"/>
                <w:lang w:eastAsia="en-US"/>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091</w:t>
            </w:r>
          </w:p>
        </w:tc>
        <w:tc>
          <w:tcPr>
            <w:tcW w:w="7478" w:type="dxa"/>
          </w:tcPr>
          <w:p w:rsidR="00BF0637" w:rsidRPr="00661595" w:rsidRDefault="00BF0637"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1.2.3</w:t>
            </w:r>
            <w:r w:rsidRPr="00661595">
              <w:rPr>
                <w:rStyle w:val="InstructionsTabelleberschrift"/>
                <w:rFonts w:ascii="Times New Roman" w:hAnsi="Times New Roman"/>
                <w:sz w:val="24"/>
              </w:rPr>
              <w:tab/>
              <w:t>Transitional recognition in consolidated own funds of qualifying Additional Tier 1 capital</w:t>
            </w:r>
          </w:p>
          <w:p w:rsidR="00BF0637" w:rsidRPr="00661595" w:rsidRDefault="00BF0637" w:rsidP="00487A02">
            <w:pPr>
              <w:pStyle w:val="InstructionsText"/>
              <w:rPr>
                <w:rStyle w:val="InstructionsTabelleText"/>
                <w:rFonts w:ascii="Times New Roman" w:hAnsi="Times New Roman"/>
                <w:sz w:val="24"/>
              </w:rPr>
            </w:pPr>
            <w:r w:rsidRPr="00661595">
              <w:rPr>
                <w:rStyle w:val="InstructionsTabelleText"/>
                <w:rFonts w:ascii="Times New Roman" w:hAnsi="Times New Roman"/>
                <w:sz w:val="24"/>
              </w:rPr>
              <w:t>Articles 85 and 480 CRR</w:t>
            </w:r>
          </w:p>
          <w:p w:rsidR="00BF0637" w:rsidRPr="00661595" w:rsidRDefault="00BF0637" w:rsidP="00487A02">
            <w:pPr>
              <w:pStyle w:val="InstructionsText"/>
              <w:rPr>
                <w:rStyle w:val="InstructionsTabelleText"/>
                <w:rFonts w:ascii="Times New Roman" w:hAnsi="Times New Roman"/>
                <w:sz w:val="24"/>
              </w:rPr>
            </w:pPr>
            <w:r w:rsidRPr="00661595">
              <w:rPr>
                <w:rStyle w:val="InstructionsTabelleText"/>
                <w:rFonts w:ascii="Times New Roman" w:hAnsi="Times New Roman"/>
                <w:sz w:val="24"/>
              </w:rPr>
              <w:t xml:space="preserve">The amount to be reported in column </w:t>
            </w:r>
            <w:r w:rsidR="00BA1BF6" w:rsidRPr="00661595">
              <w:rPr>
                <w:rStyle w:val="InstructionsTabelleText"/>
                <w:rFonts w:ascii="Times New Roman" w:hAnsi="Times New Roman"/>
                <w:sz w:val="24"/>
              </w:rPr>
              <w:t>0</w:t>
            </w:r>
            <w:r w:rsidRPr="00661595">
              <w:rPr>
                <w:rStyle w:val="InstructionsTabelleText"/>
                <w:rFonts w:ascii="Times New Roman" w:hAnsi="Times New Roman"/>
                <w:sz w:val="24"/>
              </w:rPr>
              <w:t>060 of this row shall be the eligible amount without transitional provisions.</w:t>
            </w:r>
          </w:p>
        </w:tc>
      </w:tr>
      <w:tr w:rsidR="00BF0637" w:rsidRPr="00661595" w:rsidTr="00672D2A">
        <w:tc>
          <w:tcPr>
            <w:tcW w:w="1012" w:type="dxa"/>
          </w:tcPr>
          <w:p w:rsidR="00BF0637" w:rsidRPr="00661595" w:rsidRDefault="00BA1BF6" w:rsidP="00487A02">
            <w:pPr>
              <w:pStyle w:val="InstructionsText"/>
              <w:rPr>
                <w:rStyle w:val="InstructionsTabelleText"/>
                <w:rFonts w:ascii="Times New Roman" w:hAnsi="Times New Roman"/>
                <w:sz w:val="24"/>
                <w:lang w:eastAsia="en-US"/>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092</w:t>
            </w:r>
          </w:p>
        </w:tc>
        <w:tc>
          <w:tcPr>
            <w:tcW w:w="7478" w:type="dxa"/>
          </w:tcPr>
          <w:p w:rsidR="00BF0637" w:rsidRPr="00661595" w:rsidRDefault="00BF0637"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1.2.4</w:t>
            </w:r>
            <w:r w:rsidRPr="00661595">
              <w:rPr>
                <w:rStyle w:val="InstructionsTabelleberschrift"/>
                <w:rFonts w:ascii="Times New Roman" w:hAnsi="Times New Roman"/>
                <w:sz w:val="24"/>
              </w:rPr>
              <w:tab/>
              <w:t>Transitional recognition in consolidated own funds of qualifying Tier 2 capital</w:t>
            </w:r>
          </w:p>
          <w:p w:rsidR="00BF0637" w:rsidRPr="00661595" w:rsidRDefault="00BF0637" w:rsidP="00487A02">
            <w:pPr>
              <w:pStyle w:val="InstructionsText"/>
              <w:rPr>
                <w:rStyle w:val="InstructionsTabelleText"/>
                <w:rFonts w:ascii="Times New Roman" w:hAnsi="Times New Roman"/>
                <w:sz w:val="24"/>
              </w:rPr>
            </w:pPr>
            <w:r w:rsidRPr="00661595">
              <w:rPr>
                <w:rStyle w:val="InstructionsTabelleText"/>
                <w:rFonts w:ascii="Times New Roman" w:hAnsi="Times New Roman"/>
                <w:sz w:val="24"/>
              </w:rPr>
              <w:t>Articles 87 and 480 CRR</w:t>
            </w:r>
          </w:p>
          <w:p w:rsidR="00BF0637" w:rsidRPr="00661595" w:rsidRDefault="00BF0637" w:rsidP="00487A02">
            <w:pPr>
              <w:pStyle w:val="InstructionsText"/>
              <w:rPr>
                <w:rStyle w:val="InstructionsTabelleText"/>
                <w:rFonts w:ascii="Times New Roman" w:hAnsi="Times New Roman"/>
                <w:sz w:val="24"/>
              </w:rPr>
            </w:pPr>
            <w:r w:rsidRPr="00661595">
              <w:rPr>
                <w:rStyle w:val="InstructionsTabelleText"/>
                <w:rFonts w:ascii="Times New Roman" w:hAnsi="Times New Roman"/>
                <w:sz w:val="24"/>
              </w:rPr>
              <w:t xml:space="preserve">The amount to be reported in column </w:t>
            </w:r>
            <w:r w:rsidR="00BA1BF6" w:rsidRPr="00661595">
              <w:rPr>
                <w:rStyle w:val="InstructionsTabelleText"/>
                <w:rFonts w:ascii="Times New Roman" w:hAnsi="Times New Roman"/>
                <w:sz w:val="24"/>
              </w:rPr>
              <w:t>0</w:t>
            </w:r>
            <w:r w:rsidRPr="00661595">
              <w:rPr>
                <w:rStyle w:val="InstructionsTabelleText"/>
                <w:rFonts w:ascii="Times New Roman" w:hAnsi="Times New Roman"/>
                <w:sz w:val="24"/>
              </w:rPr>
              <w:t>060 of this row shall be the eligible amount without transitional provisions.</w:t>
            </w:r>
          </w:p>
        </w:tc>
      </w:tr>
      <w:tr w:rsidR="00BF0637" w:rsidRPr="00661595" w:rsidTr="00672D2A">
        <w:tc>
          <w:tcPr>
            <w:tcW w:w="1012" w:type="dxa"/>
          </w:tcPr>
          <w:p w:rsidR="00BF0637" w:rsidRPr="00661595" w:rsidRDefault="00BA1BF6" w:rsidP="00487A02">
            <w:pPr>
              <w:pStyle w:val="InstructionsText"/>
              <w:rPr>
                <w:rStyle w:val="InstructionsTabelleText"/>
                <w:rFonts w:ascii="Times New Roman" w:hAnsi="Times New Roman"/>
                <w:sz w:val="24"/>
                <w:lang w:eastAsia="en-US"/>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100</w:t>
            </w:r>
          </w:p>
        </w:tc>
        <w:tc>
          <w:tcPr>
            <w:tcW w:w="7478" w:type="dxa"/>
          </w:tcPr>
          <w:p w:rsidR="00BF0637" w:rsidRPr="00661595" w:rsidRDefault="00BF0637" w:rsidP="00487A02">
            <w:pPr>
              <w:pStyle w:val="InstructionsText"/>
              <w:rPr>
                <w:rStyle w:val="InstructionsTabelleText"/>
                <w:rFonts w:ascii="Times New Roman" w:hAnsi="Times New Roman"/>
                <w:b/>
                <w:bCs/>
                <w:sz w:val="24"/>
                <w:u w:val="single"/>
              </w:rPr>
            </w:pPr>
            <w:r w:rsidRPr="00661595">
              <w:rPr>
                <w:rStyle w:val="InstructionsTabelleberschrift"/>
                <w:rFonts w:ascii="Times New Roman" w:hAnsi="Times New Roman"/>
                <w:sz w:val="24"/>
              </w:rPr>
              <w:t>1.3</w:t>
            </w:r>
            <w:r w:rsidRPr="00661595">
              <w:rPr>
                <w:rStyle w:val="InstructionsTabelleberschrift"/>
                <w:rFonts w:ascii="Times New Roman" w:hAnsi="Times New Roman"/>
                <w:sz w:val="24"/>
              </w:rPr>
              <w:tab/>
              <w:t>Other transitional adjustments</w:t>
            </w:r>
          </w:p>
          <w:p w:rsidR="00BF0637" w:rsidRPr="00661595" w:rsidRDefault="00BF0637" w:rsidP="00BF0637">
            <w:pPr>
              <w:spacing w:before="0"/>
              <w:rPr>
                <w:rStyle w:val="InstructionsTabelleText"/>
                <w:rFonts w:ascii="Times New Roman" w:hAnsi="Times New Roman"/>
                <w:sz w:val="24"/>
              </w:rPr>
            </w:pPr>
            <w:r w:rsidRPr="00661595">
              <w:rPr>
                <w:rStyle w:val="InstructionsTabelleText"/>
                <w:rFonts w:ascii="Times New Roman" w:hAnsi="Times New Roman"/>
                <w:sz w:val="24"/>
              </w:rPr>
              <w:t>Articles 46</w:t>
            </w:r>
            <w:r w:rsidR="00E03E51">
              <w:rPr>
                <w:rStyle w:val="InstructionsTabelleText"/>
                <w:rFonts w:ascii="Times New Roman" w:hAnsi="Times New Roman"/>
                <w:sz w:val="24"/>
              </w:rPr>
              <w:t>8</w:t>
            </w:r>
            <w:r w:rsidRPr="00661595">
              <w:rPr>
                <w:rStyle w:val="InstructionsTabelleText"/>
                <w:rFonts w:ascii="Times New Roman" w:hAnsi="Times New Roman"/>
                <w:sz w:val="24"/>
              </w:rPr>
              <w:t xml:space="preserve"> to 478 and Article 481 CRR</w:t>
            </w:r>
          </w:p>
          <w:p w:rsidR="00BF0637" w:rsidRPr="00661595" w:rsidRDefault="00BF0637" w:rsidP="00BF0637">
            <w:pPr>
              <w:spacing w:before="0"/>
              <w:rPr>
                <w:rStyle w:val="InstructionsTabelleText"/>
                <w:rFonts w:ascii="Times New Roman" w:hAnsi="Times New Roman"/>
                <w:sz w:val="24"/>
              </w:rPr>
            </w:pPr>
            <w:r w:rsidRPr="00661595">
              <w:rPr>
                <w:rStyle w:val="InstructionsTabelleText"/>
                <w:rFonts w:ascii="Times New Roman" w:hAnsi="Times New Roman"/>
                <w:sz w:val="24"/>
              </w:rPr>
              <w:t>This row reflects the overall effect of transitional adjustments in the deduction to different types of capital, unrealised gains and losses, additional filters and deductions plus the risk weighted amounts arising from these adjustments.</w:t>
            </w:r>
          </w:p>
        </w:tc>
      </w:tr>
      <w:tr w:rsidR="00FA67D6" w:rsidRPr="00661595" w:rsidTr="00672D2A">
        <w:tc>
          <w:tcPr>
            <w:tcW w:w="1012" w:type="dxa"/>
          </w:tcPr>
          <w:p w:rsidR="00FA67D6" w:rsidRPr="00661595" w:rsidRDefault="00FA67D6" w:rsidP="00487A02">
            <w:pPr>
              <w:pStyle w:val="InstructionsText"/>
              <w:rPr>
                <w:rStyle w:val="InstructionsTabelleText"/>
                <w:rFonts w:ascii="Times New Roman" w:hAnsi="Times New Roman"/>
                <w:sz w:val="24"/>
              </w:rPr>
            </w:pPr>
            <w:r>
              <w:rPr>
                <w:rStyle w:val="InstructionsTabelleText"/>
                <w:rFonts w:ascii="Times New Roman" w:hAnsi="Times New Roman"/>
                <w:sz w:val="24"/>
              </w:rPr>
              <w:t>0111</w:t>
            </w:r>
          </w:p>
        </w:tc>
        <w:tc>
          <w:tcPr>
            <w:tcW w:w="7478" w:type="dxa"/>
          </w:tcPr>
          <w:p w:rsidR="00FA67D6" w:rsidRDefault="00FA67D6" w:rsidP="00487A02">
            <w:pPr>
              <w:pStyle w:val="InstructionsText"/>
              <w:rPr>
                <w:rStyle w:val="InstructionsTabelleberschrift"/>
                <w:rFonts w:ascii="Times New Roman" w:hAnsi="Times New Roman"/>
                <w:sz w:val="24"/>
              </w:rPr>
            </w:pPr>
            <w:r>
              <w:rPr>
                <w:rStyle w:val="InstructionsTabelleberschrift"/>
                <w:rFonts w:ascii="Times New Roman" w:hAnsi="Times New Roman"/>
                <w:sz w:val="24"/>
              </w:rPr>
              <w:t xml:space="preserve">1.3.1.6 </w:t>
            </w:r>
            <w:r w:rsidRPr="00345676">
              <w:rPr>
                <w:rStyle w:val="InstructionsTabelleberschrift"/>
                <w:rFonts w:ascii="Times New Roman" w:hAnsi="Times New Roman"/>
                <w:sz w:val="24"/>
              </w:rPr>
              <w:t xml:space="preserve">Unrealised gains </w:t>
            </w:r>
            <w:r w:rsidR="00342261">
              <w:rPr>
                <w:rStyle w:val="InstructionsTabelleberschrift"/>
                <w:rFonts w:ascii="Times New Roman" w:hAnsi="Times New Roman"/>
                <w:sz w:val="24"/>
              </w:rPr>
              <w:t>and</w:t>
            </w:r>
            <w:r w:rsidRPr="00345676">
              <w:rPr>
                <w:rStyle w:val="InstructionsTabelleberschrift"/>
                <w:rFonts w:ascii="Times New Roman" w:hAnsi="Times New Roman"/>
                <w:sz w:val="24"/>
              </w:rPr>
              <w:t xml:space="preserve"> losses from </w:t>
            </w:r>
            <w:r w:rsidR="00E03E51">
              <w:rPr>
                <w:rStyle w:val="InstructionsTabelleberschrift"/>
                <w:rFonts w:ascii="Times New Roman" w:hAnsi="Times New Roman"/>
                <w:sz w:val="24"/>
              </w:rPr>
              <w:t>certain</w:t>
            </w:r>
            <w:r w:rsidRPr="00345676">
              <w:rPr>
                <w:rStyle w:val="InstructionsTabelleberschrift"/>
                <w:rFonts w:ascii="Times New Roman" w:hAnsi="Times New Roman"/>
                <w:sz w:val="24"/>
              </w:rPr>
              <w:t xml:space="preserve"> debt exposures</w:t>
            </w:r>
            <w:r w:rsidR="00E03E51">
              <w:rPr>
                <w:rStyle w:val="InstructionsTabelleberschrift"/>
                <w:rFonts w:ascii="Times New Roman" w:hAnsi="Times New Roman"/>
                <w:sz w:val="24"/>
              </w:rPr>
              <w:t xml:space="preserve"> </w:t>
            </w:r>
            <w:r w:rsidR="00E03E51" w:rsidRPr="00E03E51">
              <w:rPr>
                <w:rStyle w:val="InstructionsTabelleberschrift"/>
                <w:rFonts w:ascii="Times New Roman" w:hAnsi="Times New Roman"/>
                <w:sz w:val="24"/>
              </w:rPr>
              <w:t>to central governments, regional governments, local authorities and PSEs</w:t>
            </w:r>
          </w:p>
          <w:p w:rsidR="00FA67D6" w:rsidRPr="00661595" w:rsidRDefault="00FA67D6" w:rsidP="00487A02">
            <w:pPr>
              <w:pStyle w:val="InstructionsText"/>
              <w:rPr>
                <w:rStyle w:val="InstructionsTabelleberschrift"/>
                <w:rFonts w:ascii="Times New Roman" w:hAnsi="Times New Roman"/>
                <w:sz w:val="24"/>
              </w:rPr>
            </w:pPr>
            <w:r w:rsidRPr="00487A02">
              <w:rPr>
                <w:rStyle w:val="InstructionsTabelleText"/>
                <w:rFonts w:ascii="Times New Roman" w:hAnsi="Times New Roman"/>
                <w:bCs/>
                <w:sz w:val="24"/>
                <w:lang w:eastAsia="en-US"/>
              </w:rPr>
              <w:t>Article 468 CRR</w:t>
            </w:r>
          </w:p>
        </w:tc>
      </w:tr>
      <w:tr w:rsidR="00FA67D6" w:rsidRPr="00661595" w:rsidTr="00672D2A">
        <w:tc>
          <w:tcPr>
            <w:tcW w:w="1012" w:type="dxa"/>
          </w:tcPr>
          <w:p w:rsidR="00FA67D6" w:rsidRPr="00661595" w:rsidRDefault="00FA67D6" w:rsidP="00487A02">
            <w:pPr>
              <w:pStyle w:val="InstructionsText"/>
              <w:rPr>
                <w:rStyle w:val="InstructionsTabelleText"/>
                <w:rFonts w:ascii="Times New Roman" w:hAnsi="Times New Roman"/>
                <w:sz w:val="24"/>
              </w:rPr>
            </w:pPr>
            <w:r>
              <w:rPr>
                <w:rStyle w:val="InstructionsTabelleText"/>
                <w:rFonts w:ascii="Times New Roman" w:hAnsi="Times New Roman"/>
                <w:sz w:val="24"/>
              </w:rPr>
              <w:t>0112</w:t>
            </w:r>
          </w:p>
        </w:tc>
        <w:tc>
          <w:tcPr>
            <w:tcW w:w="7478" w:type="dxa"/>
          </w:tcPr>
          <w:p w:rsidR="00FA67D6" w:rsidRDefault="00FA67D6" w:rsidP="00487A02">
            <w:pPr>
              <w:pStyle w:val="InstructionsText"/>
              <w:rPr>
                <w:rStyle w:val="InstructionsTabelleberschrift"/>
                <w:rFonts w:ascii="Times New Roman" w:hAnsi="Times New Roman"/>
                <w:sz w:val="24"/>
              </w:rPr>
            </w:pPr>
            <w:r>
              <w:rPr>
                <w:rStyle w:val="InstructionsTabelleberschrift"/>
                <w:rFonts w:ascii="Times New Roman" w:hAnsi="Times New Roman"/>
                <w:sz w:val="24"/>
              </w:rPr>
              <w:t>1.3.1.6.1 of which: amount A</w:t>
            </w:r>
          </w:p>
          <w:p w:rsidR="00FA67D6" w:rsidRPr="00487A02" w:rsidRDefault="00FA67D6" w:rsidP="00C3220C">
            <w:pPr>
              <w:pStyle w:val="InstructionsText"/>
              <w:rPr>
                <w:rStyle w:val="InstructionsTabelleberschrift"/>
                <w:rFonts w:ascii="Times New Roman" w:hAnsi="Times New Roman"/>
                <w:sz w:val="24"/>
                <w:u w:val="none"/>
              </w:rPr>
            </w:pPr>
            <w:r w:rsidRPr="00487A02">
              <w:rPr>
                <w:rStyle w:val="InstructionsTabelleberschrift"/>
                <w:rFonts w:ascii="Times New Roman" w:hAnsi="Times New Roman"/>
                <w:b w:val="0"/>
                <w:sz w:val="24"/>
                <w:u w:val="none"/>
              </w:rPr>
              <w:t xml:space="preserve">The amount A, as calculated in accordance with the formula </w:t>
            </w:r>
            <w:r w:rsidR="00C3220C">
              <w:rPr>
                <w:rStyle w:val="InstructionsTabelleberschrift"/>
                <w:rFonts w:ascii="Times New Roman" w:hAnsi="Times New Roman"/>
                <w:b w:val="0"/>
                <w:sz w:val="24"/>
                <w:u w:val="none"/>
              </w:rPr>
              <w:t xml:space="preserve">referred to </w:t>
            </w:r>
            <w:r w:rsidRPr="00487A02">
              <w:rPr>
                <w:rStyle w:val="InstructionsTabelleberschrift"/>
                <w:rFonts w:ascii="Times New Roman" w:hAnsi="Times New Roman"/>
                <w:b w:val="0"/>
                <w:sz w:val="24"/>
                <w:u w:val="none"/>
              </w:rPr>
              <w:t>in Article 468(1) CRR</w:t>
            </w:r>
          </w:p>
        </w:tc>
      </w:tr>
      <w:tr w:rsidR="00BF0637" w:rsidRPr="00661595" w:rsidTr="00672D2A">
        <w:tc>
          <w:tcPr>
            <w:tcW w:w="1012" w:type="dxa"/>
          </w:tcPr>
          <w:p w:rsidR="00BF0637" w:rsidRPr="00661595" w:rsidRDefault="00BA1BF6" w:rsidP="00487A02">
            <w:pPr>
              <w:pStyle w:val="InstructionsText"/>
              <w:rPr>
                <w:rStyle w:val="InstructionsTabelleText"/>
                <w:rFonts w:ascii="Times New Roman" w:hAnsi="Times New Roman"/>
                <w:sz w:val="24"/>
                <w:lang w:eastAsia="en-US"/>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140</w:t>
            </w:r>
          </w:p>
        </w:tc>
        <w:tc>
          <w:tcPr>
            <w:tcW w:w="7478" w:type="dxa"/>
          </w:tcPr>
          <w:p w:rsidR="00BF0637" w:rsidRPr="00661595" w:rsidRDefault="00BF0637" w:rsidP="00487A02">
            <w:pPr>
              <w:pStyle w:val="InstructionsText"/>
              <w:rPr>
                <w:rStyle w:val="InstructionsTabelleText"/>
                <w:rFonts w:ascii="Times New Roman" w:hAnsi="Times New Roman"/>
                <w:b/>
                <w:bCs/>
                <w:sz w:val="24"/>
                <w:u w:val="single"/>
              </w:rPr>
            </w:pPr>
            <w:r w:rsidRPr="00661595">
              <w:rPr>
                <w:rStyle w:val="InstructionsTabelleberschrift"/>
                <w:rFonts w:ascii="Times New Roman" w:hAnsi="Times New Roman"/>
                <w:sz w:val="24"/>
              </w:rPr>
              <w:t>1.3.2</w:t>
            </w:r>
            <w:r w:rsidRPr="00661595">
              <w:rPr>
                <w:rStyle w:val="InstructionsTabelleberschrift"/>
                <w:rFonts w:ascii="Times New Roman" w:hAnsi="Times New Roman"/>
                <w:sz w:val="24"/>
              </w:rPr>
              <w:tab/>
              <w:t>Deductions</w:t>
            </w:r>
          </w:p>
          <w:p w:rsidR="00BF0637" w:rsidRPr="00661595" w:rsidRDefault="00BF0637" w:rsidP="00BF0637">
            <w:pPr>
              <w:spacing w:before="0"/>
              <w:rPr>
                <w:rStyle w:val="InstructionsTabelleText"/>
                <w:rFonts w:ascii="Times New Roman" w:hAnsi="Times New Roman"/>
                <w:sz w:val="24"/>
              </w:rPr>
            </w:pPr>
            <w:r w:rsidRPr="00661595">
              <w:rPr>
                <w:rStyle w:val="InstructionsTabelleText"/>
                <w:rFonts w:ascii="Times New Roman" w:hAnsi="Times New Roman"/>
                <w:sz w:val="24"/>
              </w:rPr>
              <w:t>Article 36(1) and Articles 469 to 478 CRR</w:t>
            </w:r>
          </w:p>
          <w:p w:rsidR="00BF0637" w:rsidRPr="00661595" w:rsidRDefault="00BF0637" w:rsidP="00BF0637">
            <w:pPr>
              <w:spacing w:before="0"/>
              <w:rPr>
                <w:rStyle w:val="InstructionsTabelleText"/>
                <w:rFonts w:ascii="Times New Roman" w:hAnsi="Times New Roman"/>
                <w:sz w:val="24"/>
              </w:rPr>
            </w:pPr>
            <w:r w:rsidRPr="00661595">
              <w:rPr>
                <w:rStyle w:val="InstructionsTabelleText"/>
                <w:rFonts w:ascii="Times New Roman" w:hAnsi="Times New Roman"/>
                <w:sz w:val="24"/>
              </w:rPr>
              <w:t>This row reflects the overall effect of transitional provisions on deductions.</w:t>
            </w:r>
          </w:p>
        </w:tc>
      </w:tr>
      <w:tr w:rsidR="00BF0637" w:rsidRPr="00661595" w:rsidTr="00672D2A">
        <w:tc>
          <w:tcPr>
            <w:tcW w:w="1012" w:type="dxa"/>
          </w:tcPr>
          <w:p w:rsidR="00BF0637" w:rsidRPr="00661595" w:rsidRDefault="00BA1BF6" w:rsidP="00487A02">
            <w:pPr>
              <w:pStyle w:val="InstructionsText"/>
              <w:rPr>
                <w:rStyle w:val="InstructionsTabelleText"/>
                <w:rFonts w:ascii="Times New Roman" w:hAnsi="Times New Roman"/>
                <w:sz w:val="24"/>
                <w:lang w:eastAsia="en-US"/>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170</w:t>
            </w:r>
          </w:p>
        </w:tc>
        <w:tc>
          <w:tcPr>
            <w:tcW w:w="7478" w:type="dxa"/>
          </w:tcPr>
          <w:p w:rsidR="00BF0637" w:rsidRPr="00661595" w:rsidRDefault="00BF0637"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1.3.2.3.</w:t>
            </w:r>
            <w:r w:rsidRPr="00661595">
              <w:rPr>
                <w:rStyle w:val="InstructionsTabelleberschrift"/>
                <w:rFonts w:ascii="Times New Roman" w:hAnsi="Times New Roman"/>
                <w:sz w:val="24"/>
              </w:rPr>
              <w:tab/>
              <w:t>Deferred tax assets that rely on future profitability and do not arise from temporary differences</w:t>
            </w:r>
          </w:p>
          <w:p w:rsidR="00BF0637" w:rsidRPr="00661595" w:rsidRDefault="00BF0637" w:rsidP="00487A02">
            <w:pPr>
              <w:pStyle w:val="InstructionsText"/>
              <w:rPr>
                <w:rStyle w:val="InstructionsTabelleText"/>
                <w:rFonts w:ascii="Times New Roman" w:hAnsi="Times New Roman"/>
                <w:sz w:val="24"/>
              </w:rPr>
            </w:pPr>
            <w:r w:rsidRPr="00661595">
              <w:rPr>
                <w:rStyle w:val="InstructionsTabelleText"/>
                <w:rFonts w:ascii="Times New Roman" w:hAnsi="Times New Roman"/>
                <w:sz w:val="24"/>
              </w:rPr>
              <w:t>Point (c) of Article 36(1), Articles 469(1) and 472(5) and Article 478 CRR</w:t>
            </w:r>
          </w:p>
          <w:p w:rsidR="00BF0637" w:rsidRPr="00661595" w:rsidRDefault="00BF0637" w:rsidP="00487A02">
            <w:pPr>
              <w:pStyle w:val="InstructionsText"/>
              <w:rPr>
                <w:rStyle w:val="InstructionsTabelleText"/>
                <w:rFonts w:ascii="Times New Roman" w:hAnsi="Times New Roman"/>
                <w:sz w:val="24"/>
              </w:rPr>
            </w:pPr>
            <w:r w:rsidRPr="00661595">
              <w:rPr>
                <w:rStyle w:val="InstructionsTabelleText"/>
                <w:rFonts w:ascii="Times New Roman" w:hAnsi="Times New Roman"/>
                <w:sz w:val="24"/>
              </w:rPr>
              <w:t>When determining the amount of the above-mentioned deferred tax assets (DTA) to be deducted, institutions shall take into account the provisions of Article 38 CRR relating to the reduction of DTA by deferred tax liabilities.</w:t>
            </w:r>
          </w:p>
          <w:p w:rsidR="00BF0637" w:rsidRPr="00661595" w:rsidRDefault="00BF0637" w:rsidP="00487A02">
            <w:pPr>
              <w:pStyle w:val="InstructionsText"/>
              <w:rPr>
                <w:rStyle w:val="InstructionsTabelleText"/>
                <w:rFonts w:ascii="Times New Roman" w:hAnsi="Times New Roman"/>
                <w:sz w:val="24"/>
              </w:rPr>
            </w:pPr>
            <w:r w:rsidRPr="00661595">
              <w:rPr>
                <w:rStyle w:val="InstructionsTabelleText"/>
                <w:rFonts w:ascii="Times New Roman" w:hAnsi="Times New Roman"/>
                <w:sz w:val="24"/>
              </w:rPr>
              <w:t xml:space="preserve">The amount to be reported in column </w:t>
            </w:r>
            <w:r w:rsidR="00BA1BF6" w:rsidRPr="00661595">
              <w:rPr>
                <w:rStyle w:val="InstructionsTabelleText"/>
                <w:rFonts w:ascii="Times New Roman" w:hAnsi="Times New Roman"/>
                <w:sz w:val="24"/>
              </w:rPr>
              <w:t>0</w:t>
            </w:r>
            <w:r w:rsidRPr="00661595">
              <w:rPr>
                <w:rStyle w:val="InstructionsTabelleText"/>
                <w:rFonts w:ascii="Times New Roman" w:hAnsi="Times New Roman"/>
                <w:sz w:val="24"/>
              </w:rPr>
              <w:t>060 of this row: Total amount in accordance with Article 469(1) CRR.</w:t>
            </w:r>
          </w:p>
        </w:tc>
      </w:tr>
      <w:tr w:rsidR="00BF0637" w:rsidRPr="00661595" w:rsidTr="00672D2A">
        <w:tc>
          <w:tcPr>
            <w:tcW w:w="1012" w:type="dxa"/>
          </w:tcPr>
          <w:p w:rsidR="00BF0637" w:rsidRPr="00661595" w:rsidDel="00E41E4F" w:rsidRDefault="00BA1BF6" w:rsidP="00487A02">
            <w:pPr>
              <w:pStyle w:val="InstructionsText"/>
              <w:rPr>
                <w:rStyle w:val="InstructionsTabelleText"/>
                <w:rFonts w:ascii="Times New Roman" w:hAnsi="Times New Roman"/>
                <w:sz w:val="24"/>
                <w:lang w:eastAsia="en-US"/>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380</w:t>
            </w:r>
          </w:p>
        </w:tc>
        <w:tc>
          <w:tcPr>
            <w:tcW w:w="7478" w:type="dxa"/>
          </w:tcPr>
          <w:p w:rsidR="00BF0637" w:rsidRPr="00661595" w:rsidRDefault="00BF0637" w:rsidP="00487A02">
            <w:pPr>
              <w:pStyle w:val="InstructionsText"/>
              <w:rPr>
                <w:rStyle w:val="InstructionsTabelleText"/>
                <w:rFonts w:ascii="Times New Roman" w:hAnsi="Times New Roman"/>
                <w:b/>
                <w:bCs/>
                <w:sz w:val="24"/>
                <w:u w:val="single"/>
              </w:rPr>
            </w:pPr>
            <w:r w:rsidRPr="00661595">
              <w:rPr>
                <w:rStyle w:val="InstructionsTabelleberschrift"/>
                <w:rFonts w:ascii="Times New Roman" w:hAnsi="Times New Roman"/>
                <w:sz w:val="24"/>
              </w:rPr>
              <w:t>1.3.2.9</w:t>
            </w:r>
            <w:r w:rsidRPr="00661595">
              <w:rPr>
                <w:rStyle w:val="InstructionsTabelleberschrift"/>
                <w:rFonts w:ascii="Times New Roman" w:hAnsi="Times New Roman"/>
                <w:sz w:val="24"/>
              </w:rPr>
              <w:tab/>
              <w:t>Deferred tax assets that are dependent on future profitability and arise from temporary differences and CET1 instruments of financial sector entities where the institution has a significant investment</w:t>
            </w:r>
          </w:p>
          <w:p w:rsidR="00BF0637" w:rsidRPr="00661595" w:rsidRDefault="00BF0637" w:rsidP="00487A02">
            <w:pPr>
              <w:pStyle w:val="InstructionsText"/>
              <w:rPr>
                <w:rStyle w:val="InstructionsTabelleText"/>
                <w:rFonts w:ascii="Times New Roman" w:hAnsi="Times New Roman"/>
                <w:sz w:val="24"/>
              </w:rPr>
            </w:pPr>
            <w:r w:rsidRPr="00661595">
              <w:rPr>
                <w:rStyle w:val="InstructionsTabelleText"/>
                <w:rFonts w:ascii="Times New Roman" w:hAnsi="Times New Roman"/>
                <w:sz w:val="24"/>
              </w:rPr>
              <w:t>Paragraphs 2 and 3 of Article 470 CRR</w:t>
            </w:r>
          </w:p>
          <w:p w:rsidR="00BF0637" w:rsidRPr="00661595" w:rsidRDefault="00BF0637" w:rsidP="00487A02">
            <w:pPr>
              <w:pStyle w:val="InstructionsText"/>
              <w:rPr>
                <w:rStyle w:val="InstructionsTabelleText"/>
                <w:rFonts w:ascii="Times New Roman" w:hAnsi="Times New Roman"/>
                <w:sz w:val="24"/>
              </w:rPr>
            </w:pPr>
            <w:r w:rsidRPr="00661595">
              <w:rPr>
                <w:rStyle w:val="InstructionsTabelleText"/>
                <w:rFonts w:ascii="Times New Roman" w:hAnsi="Times New Roman"/>
                <w:sz w:val="24"/>
              </w:rPr>
              <w:t xml:space="preserve">The amount to be reported in column </w:t>
            </w:r>
            <w:r w:rsidR="00BA1BF6" w:rsidRPr="00661595">
              <w:rPr>
                <w:rStyle w:val="InstructionsTabelleText"/>
                <w:rFonts w:ascii="Times New Roman" w:hAnsi="Times New Roman"/>
                <w:sz w:val="24"/>
              </w:rPr>
              <w:t>0</w:t>
            </w:r>
            <w:r w:rsidRPr="00661595">
              <w:rPr>
                <w:rStyle w:val="InstructionsTabelleText"/>
                <w:rFonts w:ascii="Times New Roman" w:hAnsi="Times New Roman"/>
                <w:sz w:val="24"/>
              </w:rPr>
              <w:t>060 of this row: Article 470(1) CRR</w:t>
            </w:r>
          </w:p>
        </w:tc>
      </w:tr>
      <w:tr w:rsidR="00BF0637" w:rsidRPr="00661595" w:rsidTr="00672D2A">
        <w:tc>
          <w:tcPr>
            <w:tcW w:w="1012" w:type="dxa"/>
          </w:tcPr>
          <w:p w:rsidR="00BF0637" w:rsidRPr="00661595" w:rsidRDefault="00BA1BF6" w:rsidP="00487A02">
            <w:pPr>
              <w:pStyle w:val="InstructionsText"/>
              <w:rPr>
                <w:rStyle w:val="InstructionsTabelleText"/>
                <w:rFonts w:ascii="Times New Roman" w:hAnsi="Times New Roman"/>
                <w:sz w:val="24"/>
                <w:lang w:eastAsia="en-US"/>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385</w:t>
            </w:r>
          </w:p>
        </w:tc>
        <w:tc>
          <w:tcPr>
            <w:tcW w:w="7478" w:type="dxa"/>
          </w:tcPr>
          <w:p w:rsidR="00BF0637" w:rsidRPr="00661595" w:rsidRDefault="00BF0637" w:rsidP="00487A02">
            <w:pPr>
              <w:pStyle w:val="InstructionsText"/>
              <w:rPr>
                <w:rStyle w:val="InstructionsTabelleText"/>
                <w:rFonts w:ascii="Times New Roman" w:hAnsi="Times New Roman"/>
                <w:b/>
                <w:bCs/>
                <w:sz w:val="24"/>
                <w:u w:val="single"/>
              </w:rPr>
            </w:pPr>
            <w:r w:rsidRPr="00661595">
              <w:rPr>
                <w:rStyle w:val="InstructionsTabelleberschrift"/>
                <w:rFonts w:ascii="Times New Roman" w:hAnsi="Times New Roman"/>
                <w:sz w:val="24"/>
              </w:rPr>
              <w:t>Deferred tax assets that are dependent on future profitability and arise from temporary differences</w:t>
            </w:r>
          </w:p>
          <w:p w:rsidR="00BF0637" w:rsidRPr="00661595" w:rsidRDefault="00BF0637" w:rsidP="00487A02">
            <w:pPr>
              <w:pStyle w:val="InstructionsText"/>
              <w:rPr>
                <w:rStyle w:val="InstructionsTabelleText"/>
                <w:rFonts w:ascii="Times New Roman" w:hAnsi="Times New Roman"/>
                <w:bCs/>
                <w:sz w:val="24"/>
              </w:rPr>
            </w:pPr>
            <w:r w:rsidRPr="00661595">
              <w:rPr>
                <w:rStyle w:val="InstructionsTabelleText"/>
                <w:rFonts w:ascii="Times New Roman" w:hAnsi="Times New Roman"/>
                <w:bCs/>
                <w:sz w:val="24"/>
              </w:rPr>
              <w:t>Point (c) of Article 469(1), Article 472(5) and Article 478 CRR</w:t>
            </w:r>
          </w:p>
          <w:p w:rsidR="00BF0637" w:rsidRPr="00661595" w:rsidRDefault="00BF0637" w:rsidP="00487A02">
            <w:pPr>
              <w:pStyle w:val="InstructionsText"/>
              <w:rPr>
                <w:rStyle w:val="InstructionsTabelleberschrift"/>
                <w:rFonts w:ascii="Times New Roman" w:hAnsi="Times New Roman"/>
                <w:b w:val="0"/>
                <w:sz w:val="24"/>
                <w:u w:val="none"/>
              </w:rPr>
            </w:pPr>
            <w:r w:rsidRPr="00661595">
              <w:rPr>
                <w:rStyle w:val="InstructionsTabelleText"/>
                <w:rFonts w:ascii="Times New Roman" w:hAnsi="Times New Roman"/>
                <w:bCs/>
                <w:sz w:val="24"/>
              </w:rPr>
              <w:t>Part of deferred tax assets that rely in future profitability and arise from temporary differences which exceeds the 10% threshold in point (a) of Article 470(2) CRR.</w:t>
            </w:r>
          </w:p>
        </w:tc>
      </w:tr>
      <w:tr w:rsidR="00BF0637" w:rsidRPr="00661595" w:rsidTr="00672D2A">
        <w:tc>
          <w:tcPr>
            <w:tcW w:w="1012" w:type="dxa"/>
          </w:tcPr>
          <w:p w:rsidR="00BF0637" w:rsidRPr="00661595" w:rsidRDefault="00BA1BF6" w:rsidP="00487A02">
            <w:pPr>
              <w:pStyle w:val="InstructionsText"/>
              <w:rPr>
                <w:rStyle w:val="InstructionsTabelleText"/>
                <w:rFonts w:ascii="Times New Roman" w:hAnsi="Times New Roman"/>
                <w:sz w:val="24"/>
                <w:lang w:eastAsia="en-US"/>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425</w:t>
            </w:r>
          </w:p>
        </w:tc>
        <w:tc>
          <w:tcPr>
            <w:tcW w:w="7478" w:type="dxa"/>
          </w:tcPr>
          <w:p w:rsidR="00BF0637" w:rsidRPr="00661595" w:rsidRDefault="00BF0637"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1.3.2.11</w:t>
            </w:r>
            <w:r w:rsidRPr="00661595">
              <w:rPr>
                <w:rStyle w:val="InstructionsTabelleberschrift"/>
                <w:rFonts w:ascii="Times New Roman" w:hAnsi="Times New Roman"/>
                <w:sz w:val="24"/>
              </w:rPr>
              <w:tab/>
              <w:t>Exemption from deduction of Equity Holdings in Insurance Companies from CET 1 Items</w:t>
            </w:r>
          </w:p>
          <w:p w:rsidR="00BF0637" w:rsidRPr="00661595" w:rsidRDefault="00BF0637" w:rsidP="00487A02">
            <w:pPr>
              <w:pStyle w:val="InstructionsText"/>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Article 471 CRR</w:t>
            </w:r>
          </w:p>
        </w:tc>
      </w:tr>
      <w:tr w:rsidR="00BF0637" w:rsidRPr="00661595" w:rsidTr="00672D2A">
        <w:tc>
          <w:tcPr>
            <w:tcW w:w="1012" w:type="dxa"/>
          </w:tcPr>
          <w:p w:rsidR="00BF0637" w:rsidRPr="00661595" w:rsidRDefault="00BA1BF6" w:rsidP="00487A02">
            <w:pPr>
              <w:pStyle w:val="InstructionsText"/>
              <w:rPr>
                <w:rStyle w:val="InstructionsTabelleText"/>
                <w:rFonts w:ascii="Times New Roman" w:hAnsi="Times New Roman"/>
                <w:sz w:val="24"/>
                <w:lang w:eastAsia="en-US"/>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430</w:t>
            </w:r>
          </w:p>
        </w:tc>
        <w:tc>
          <w:tcPr>
            <w:tcW w:w="7478" w:type="dxa"/>
          </w:tcPr>
          <w:p w:rsidR="00BF0637" w:rsidRPr="00661595" w:rsidRDefault="00BF0637" w:rsidP="00487A02">
            <w:pPr>
              <w:pStyle w:val="InstructionsText"/>
              <w:rPr>
                <w:rStyle w:val="InstructionsTabelleText"/>
                <w:rFonts w:ascii="Times New Roman" w:hAnsi="Times New Roman"/>
                <w:b/>
                <w:bCs/>
                <w:sz w:val="24"/>
                <w:u w:val="single"/>
              </w:rPr>
            </w:pPr>
            <w:r w:rsidRPr="00661595">
              <w:rPr>
                <w:rStyle w:val="InstructionsTabelleberschrift"/>
                <w:rFonts w:ascii="Times New Roman" w:hAnsi="Times New Roman"/>
                <w:sz w:val="24"/>
              </w:rPr>
              <w:t>1.3.3</w:t>
            </w:r>
            <w:r w:rsidRPr="00661595">
              <w:rPr>
                <w:rStyle w:val="InstructionsTabelleberschrift"/>
                <w:rFonts w:ascii="Times New Roman" w:hAnsi="Times New Roman"/>
                <w:sz w:val="24"/>
              </w:rPr>
              <w:tab/>
              <w:t>Additional filters and deductions</w:t>
            </w:r>
          </w:p>
          <w:p w:rsidR="00BF0637" w:rsidRPr="00661595" w:rsidRDefault="00BF0637" w:rsidP="00BF0637">
            <w:pPr>
              <w:spacing w:before="0"/>
              <w:rPr>
                <w:rStyle w:val="InstructionsTabelleText"/>
                <w:rFonts w:ascii="Times New Roman" w:hAnsi="Times New Roman"/>
                <w:sz w:val="24"/>
              </w:rPr>
            </w:pPr>
            <w:r w:rsidRPr="00661595">
              <w:rPr>
                <w:rStyle w:val="InstructionsTabelleText"/>
                <w:rFonts w:ascii="Times New Roman" w:hAnsi="Times New Roman"/>
                <w:sz w:val="24"/>
              </w:rPr>
              <w:t>Article 481 CRR</w:t>
            </w:r>
          </w:p>
          <w:p w:rsidR="00BF0637" w:rsidRPr="00661595" w:rsidRDefault="00BF0637" w:rsidP="00487A02">
            <w:pPr>
              <w:pStyle w:val="InstructionsText"/>
              <w:rPr>
                <w:rStyle w:val="InstructionsTabelleText"/>
                <w:rFonts w:ascii="Times New Roman" w:hAnsi="Times New Roman"/>
                <w:sz w:val="24"/>
                <w:lang w:eastAsia="en-US"/>
              </w:rPr>
            </w:pPr>
            <w:r w:rsidRPr="00661595">
              <w:rPr>
                <w:rStyle w:val="InstructionsTabelleText"/>
                <w:rFonts w:ascii="Times New Roman" w:hAnsi="Times New Roman"/>
                <w:sz w:val="24"/>
              </w:rPr>
              <w:t>This row reflects the overall effect of transitional provisions on additional filters and deductions.</w:t>
            </w:r>
          </w:p>
          <w:p w:rsidR="00BF0637" w:rsidRPr="00661595" w:rsidRDefault="00BF0637" w:rsidP="00487A02">
            <w:pPr>
              <w:pStyle w:val="InstructionsText"/>
              <w:rPr>
                <w:rStyle w:val="InstructionsTabelleText"/>
                <w:rFonts w:ascii="Times New Roman" w:hAnsi="Times New Roman"/>
                <w:sz w:val="24"/>
              </w:rPr>
            </w:pPr>
            <w:r w:rsidRPr="00661595">
              <w:rPr>
                <w:rStyle w:val="InstructionsTabelleText"/>
                <w:rFonts w:ascii="Times New Roman" w:hAnsi="Times New Roman"/>
                <w:sz w:val="24"/>
              </w:rPr>
              <w:t xml:space="preserve">In accordance with Article 481 CRR, institutions shall report in item 1.3.3 information relating to the filters and deductions required under the national transposition measures for Articles 57 and 66 of Directive 2006/48/EC and for Articles 13 and 16 of Directive 2006/49/EC, and which are not required in accordance with Part Two. </w:t>
            </w:r>
          </w:p>
        </w:tc>
      </w:tr>
      <w:tr w:rsidR="00BF0637" w:rsidRPr="00661595" w:rsidTr="00672D2A">
        <w:tc>
          <w:tcPr>
            <w:tcW w:w="1012" w:type="dxa"/>
          </w:tcPr>
          <w:p w:rsidR="00BF0637" w:rsidRPr="00661595" w:rsidRDefault="00BA1BF6" w:rsidP="00487A02">
            <w:pPr>
              <w:pStyle w:val="InstructionsText"/>
              <w:rPr>
                <w:rStyle w:val="InstructionsTabelleText"/>
                <w:rFonts w:ascii="Times New Roman" w:hAnsi="Times New Roman"/>
                <w:sz w:val="24"/>
                <w:lang w:eastAsia="en-US"/>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440</w:t>
            </w:r>
          </w:p>
        </w:tc>
        <w:tc>
          <w:tcPr>
            <w:tcW w:w="7478" w:type="dxa"/>
          </w:tcPr>
          <w:p w:rsidR="00BF0637" w:rsidRPr="00661595" w:rsidRDefault="00BF0637"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1.3.4</w:t>
            </w:r>
            <w:r w:rsidRPr="00661595">
              <w:rPr>
                <w:rStyle w:val="InstructionsTabelleberschrift"/>
                <w:rFonts w:ascii="Times New Roman" w:hAnsi="Times New Roman"/>
                <w:sz w:val="24"/>
              </w:rPr>
              <w:tab/>
              <w:t>Adjustments due to IFRS 9 transitional arrangements</w:t>
            </w:r>
          </w:p>
          <w:p w:rsidR="00BF0637" w:rsidRPr="00661595" w:rsidRDefault="00BF0637" w:rsidP="00487A02">
            <w:pPr>
              <w:pStyle w:val="InstructionsText"/>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Art</w:t>
            </w:r>
            <w:r w:rsidR="00FA67D6">
              <w:rPr>
                <w:rStyle w:val="InstructionsTabelleberschrift"/>
                <w:rFonts w:ascii="Times New Roman" w:hAnsi="Times New Roman"/>
                <w:b w:val="0"/>
                <w:sz w:val="24"/>
                <w:u w:val="none"/>
              </w:rPr>
              <w:t>icle</w:t>
            </w:r>
            <w:r w:rsidRPr="00661595">
              <w:rPr>
                <w:rStyle w:val="InstructionsTabelleberschrift"/>
                <w:rFonts w:ascii="Times New Roman" w:hAnsi="Times New Roman"/>
                <w:b w:val="0"/>
                <w:sz w:val="24"/>
                <w:u w:val="none"/>
              </w:rPr>
              <w:t xml:space="preserve"> 473a CRR</w:t>
            </w:r>
          </w:p>
          <w:p w:rsidR="00BF0637" w:rsidRPr="00661595" w:rsidRDefault="00BF0637" w:rsidP="00487A02">
            <w:pPr>
              <w:pStyle w:val="InstructionsText"/>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Institutions shall report information in relation with the transitional arrangements due to IFRS 9 in accordance with the applicable legal provisions.</w:t>
            </w:r>
          </w:p>
        </w:tc>
      </w:tr>
      <w:tr w:rsidR="0022311E" w:rsidRPr="00661595" w:rsidTr="001F1B80">
        <w:tc>
          <w:tcPr>
            <w:tcW w:w="1012" w:type="dxa"/>
          </w:tcPr>
          <w:p w:rsidR="0022311E" w:rsidRPr="00661595" w:rsidRDefault="0022311E" w:rsidP="001F1B80">
            <w:pPr>
              <w:pStyle w:val="InstructionsText"/>
              <w:rPr>
                <w:rStyle w:val="InstructionsTabelleText"/>
                <w:rFonts w:ascii="Times New Roman" w:hAnsi="Times New Roman"/>
                <w:sz w:val="24"/>
              </w:rPr>
            </w:pPr>
            <w:r>
              <w:rPr>
                <w:rStyle w:val="InstructionsTabelleText"/>
                <w:rFonts w:ascii="Times New Roman" w:hAnsi="Times New Roman"/>
                <w:sz w:val="24"/>
              </w:rPr>
              <w:t>0441</w:t>
            </w:r>
          </w:p>
        </w:tc>
        <w:tc>
          <w:tcPr>
            <w:tcW w:w="7478" w:type="dxa"/>
          </w:tcPr>
          <w:p w:rsidR="0022311E" w:rsidRPr="00D633B1" w:rsidRDefault="0022311E" w:rsidP="001F1B80">
            <w:pPr>
              <w:pStyle w:val="InstructionsText"/>
              <w:rPr>
                <w:rStyle w:val="InstructionsTabelleberschrift"/>
                <w:rFonts w:ascii="Times New Roman" w:hAnsi="Times New Roman"/>
                <w:sz w:val="24"/>
              </w:rPr>
            </w:pPr>
            <w:r w:rsidRPr="00D633B1">
              <w:rPr>
                <w:rStyle w:val="InstructionsTabelleberschrift"/>
                <w:rFonts w:ascii="Times New Roman" w:hAnsi="Times New Roman"/>
                <w:sz w:val="24"/>
              </w:rPr>
              <w:t>Memorandum item: ECL impact of the static component</w:t>
            </w:r>
          </w:p>
          <w:p w:rsidR="0022311E" w:rsidRDefault="0022311E" w:rsidP="001F1B80">
            <w:pPr>
              <w:pStyle w:val="InstructionsText"/>
              <w:rPr>
                <w:rStyle w:val="InstructionsTabelleberschrift"/>
                <w:rFonts w:ascii="Times New Roman" w:hAnsi="Times New Roman"/>
                <w:b w:val="0"/>
                <w:sz w:val="24"/>
                <w:u w:val="none"/>
              </w:rPr>
            </w:pPr>
            <w:r w:rsidRPr="00D633B1">
              <w:rPr>
                <w:rStyle w:val="InstructionsTabelleberschrift"/>
                <w:rFonts w:ascii="Times New Roman" w:hAnsi="Times New Roman"/>
                <w:b w:val="0"/>
                <w:sz w:val="24"/>
                <w:u w:val="none"/>
              </w:rPr>
              <w:t>The sum of A</w:t>
            </w:r>
            <w:r w:rsidRPr="00D633B1">
              <w:rPr>
                <w:rStyle w:val="InstructionsTabelleberschrift"/>
                <w:rFonts w:ascii="Times New Roman" w:hAnsi="Times New Roman"/>
                <w:b w:val="0"/>
                <w:sz w:val="24"/>
                <w:u w:val="none"/>
                <w:vertAlign w:val="subscript"/>
              </w:rPr>
              <w:t>2,SA</w:t>
            </w:r>
            <w:r w:rsidRPr="00D633B1">
              <w:rPr>
                <w:rStyle w:val="InstructionsTabelleberschrift"/>
                <w:rFonts w:ascii="Times New Roman" w:hAnsi="Times New Roman"/>
                <w:b w:val="0"/>
                <w:sz w:val="24"/>
                <w:u w:val="none"/>
              </w:rPr>
              <w:t xml:space="preserve"> and A</w:t>
            </w:r>
            <w:r w:rsidRPr="00D633B1">
              <w:rPr>
                <w:rStyle w:val="InstructionsTabelleberschrift"/>
                <w:rFonts w:ascii="Times New Roman" w:hAnsi="Times New Roman"/>
                <w:b w:val="0"/>
                <w:sz w:val="24"/>
                <w:u w:val="none"/>
                <w:vertAlign w:val="subscript"/>
              </w:rPr>
              <w:t>2, IRB</w:t>
            </w:r>
            <w:r w:rsidRPr="00D633B1">
              <w:rPr>
                <w:rStyle w:val="InstructionsTabelleberschrift"/>
                <w:rFonts w:ascii="Times New Roman" w:hAnsi="Times New Roman"/>
                <w:b w:val="0"/>
                <w:sz w:val="24"/>
                <w:u w:val="none"/>
              </w:rPr>
              <w:t xml:space="preserve"> a</w:t>
            </w:r>
            <w:r>
              <w:rPr>
                <w:rStyle w:val="InstructionsTabelleberschrift"/>
                <w:rFonts w:ascii="Times New Roman" w:hAnsi="Times New Roman"/>
                <w:b w:val="0"/>
                <w:sz w:val="24"/>
                <w:u w:val="none"/>
              </w:rPr>
              <w:t>s referred to in Article 473a(1) CRR</w:t>
            </w:r>
          </w:p>
          <w:p w:rsidR="0022311E" w:rsidRPr="00D633B1" w:rsidRDefault="0022311E" w:rsidP="00695A63">
            <w:pPr>
              <w:pStyle w:val="InstructionsText"/>
              <w:rPr>
                <w:rStyle w:val="InstructionsTabelleberschrift"/>
                <w:rFonts w:ascii="Times New Roman" w:hAnsi="Times New Roman"/>
                <w:b w:val="0"/>
                <w:sz w:val="24"/>
                <w:u w:val="none"/>
              </w:rPr>
            </w:pPr>
            <w:r>
              <w:rPr>
                <w:rStyle w:val="InstructionsTabelleberschrift"/>
                <w:rFonts w:ascii="Times New Roman" w:hAnsi="Times New Roman"/>
                <w:b w:val="0"/>
                <w:sz w:val="24"/>
                <w:u w:val="none"/>
              </w:rPr>
              <w:t xml:space="preserve">In case of </w:t>
            </w:r>
            <w:r w:rsidRPr="00D633B1">
              <w:rPr>
                <w:rStyle w:val="InstructionsTabelleberschrift"/>
                <w:rFonts w:ascii="Times New Roman" w:hAnsi="Times New Roman"/>
                <w:b w:val="0"/>
                <w:sz w:val="24"/>
                <w:u w:val="none"/>
              </w:rPr>
              <w:t>A</w:t>
            </w:r>
            <w:r w:rsidRPr="00D633B1">
              <w:rPr>
                <w:rStyle w:val="InstructionsTabelleberschrift"/>
                <w:rFonts w:ascii="Times New Roman" w:hAnsi="Times New Roman"/>
                <w:b w:val="0"/>
                <w:sz w:val="24"/>
                <w:u w:val="none"/>
                <w:vertAlign w:val="subscript"/>
              </w:rPr>
              <w:t>2, IRB</w:t>
            </w:r>
            <w:r>
              <w:rPr>
                <w:rStyle w:val="InstructionsTabelleberschrift"/>
                <w:rFonts w:ascii="Times New Roman" w:hAnsi="Times New Roman"/>
                <w:b w:val="0"/>
                <w:sz w:val="24"/>
                <w:u w:val="none"/>
              </w:rPr>
              <w:t xml:space="preserve"> the amount reported is the amount net of expected lossess as required by point (a) of Article 473a(5) CRR.</w:t>
            </w:r>
          </w:p>
        </w:tc>
      </w:tr>
      <w:tr w:rsidR="0022311E" w:rsidRPr="00661595" w:rsidTr="001F1B80">
        <w:tc>
          <w:tcPr>
            <w:tcW w:w="1012" w:type="dxa"/>
          </w:tcPr>
          <w:p w:rsidR="0022311E" w:rsidRDefault="0022311E" w:rsidP="001F1B80">
            <w:pPr>
              <w:pStyle w:val="InstructionsText"/>
              <w:rPr>
                <w:rStyle w:val="InstructionsTabelleText"/>
                <w:rFonts w:ascii="Times New Roman" w:hAnsi="Times New Roman"/>
                <w:sz w:val="24"/>
              </w:rPr>
            </w:pPr>
            <w:r>
              <w:rPr>
                <w:rStyle w:val="InstructionsTabelleText"/>
                <w:rFonts w:ascii="Times New Roman" w:hAnsi="Times New Roman"/>
                <w:sz w:val="24"/>
              </w:rPr>
              <w:t>0442</w:t>
            </w:r>
          </w:p>
        </w:tc>
        <w:tc>
          <w:tcPr>
            <w:tcW w:w="7478" w:type="dxa"/>
          </w:tcPr>
          <w:p w:rsidR="0022311E" w:rsidRPr="00D633B1" w:rsidRDefault="0022311E" w:rsidP="001F1B80">
            <w:pPr>
              <w:pStyle w:val="InstructionsText"/>
              <w:rPr>
                <w:rStyle w:val="InstructionsTabelleberschrift"/>
                <w:rFonts w:ascii="Times New Roman" w:hAnsi="Times New Roman"/>
                <w:sz w:val="24"/>
              </w:rPr>
            </w:pPr>
            <w:r w:rsidRPr="00D633B1">
              <w:rPr>
                <w:rStyle w:val="InstructionsTabelleberschrift"/>
                <w:rFonts w:ascii="Times New Roman" w:hAnsi="Times New Roman"/>
                <w:sz w:val="24"/>
              </w:rPr>
              <w:t>Memorandum item: ECL impact of the dynamic</w:t>
            </w:r>
            <w:r>
              <w:rPr>
                <w:rStyle w:val="InstructionsTabelleberschrift"/>
                <w:rFonts w:ascii="Times New Roman" w:hAnsi="Times New Roman"/>
                <w:sz w:val="24"/>
              </w:rPr>
              <w:t xml:space="preserve"> </w:t>
            </w:r>
            <w:r w:rsidRPr="00D633B1">
              <w:rPr>
                <w:rStyle w:val="InstructionsTabelleberschrift"/>
                <w:rFonts w:ascii="Times New Roman" w:hAnsi="Times New Roman"/>
                <w:sz w:val="24"/>
              </w:rPr>
              <w:t>component</w:t>
            </w:r>
            <w:r>
              <w:rPr>
                <w:rStyle w:val="InstructionsTabelleberschrift"/>
                <w:rFonts w:ascii="Times New Roman" w:hAnsi="Times New Roman"/>
                <w:sz w:val="24"/>
              </w:rPr>
              <w:t xml:space="preserve"> for the period 01/01/2018 – 31/12/2019</w:t>
            </w:r>
          </w:p>
          <w:p w:rsidR="0022311E" w:rsidRPr="00661595" w:rsidRDefault="0022311E" w:rsidP="00695A63">
            <w:pPr>
              <w:pStyle w:val="InstructionsText"/>
              <w:rPr>
                <w:rStyle w:val="InstructionsTabelleberschrift"/>
                <w:rFonts w:ascii="Times New Roman" w:hAnsi="Times New Roman"/>
                <w:sz w:val="24"/>
              </w:rPr>
            </w:pPr>
            <w:r w:rsidRPr="00B16BDA">
              <w:rPr>
                <w:rStyle w:val="InstructionsTabelleberschrift"/>
                <w:rFonts w:ascii="Times New Roman" w:hAnsi="Times New Roman"/>
                <w:b w:val="0"/>
                <w:sz w:val="24"/>
                <w:u w:val="none"/>
              </w:rPr>
              <w:t xml:space="preserve">The sum of </w:t>
            </w:r>
            <m:oMath>
              <m:sSubSup>
                <m:sSubSupPr>
                  <m:ctrlPr>
                    <w:rPr>
                      <w:rStyle w:val="InstructionsTabelleberschrift"/>
                      <w:rFonts w:ascii="Cambria Math" w:hAnsi="Cambria Math"/>
                      <w:b w:val="0"/>
                      <w:bCs w:val="0"/>
                      <w:i/>
                      <w:sz w:val="24"/>
                      <w:u w:val="none"/>
                    </w:rPr>
                  </m:ctrlPr>
                </m:sSubSupPr>
                <m:e>
                  <m:r>
                    <w:rPr>
                      <w:rStyle w:val="InstructionsTabelleberschrift"/>
                      <w:rFonts w:ascii="Cambria Math" w:hAnsi="Cambria Math"/>
                      <w:sz w:val="24"/>
                      <w:u w:val="none"/>
                    </w:rPr>
                    <m:t>A</m:t>
                  </m:r>
                </m:e>
                <m:sub>
                  <m:r>
                    <w:rPr>
                      <w:rStyle w:val="InstructionsTabelleberschrift"/>
                      <w:rFonts w:ascii="Cambria Math" w:hAnsi="Cambria Math"/>
                      <w:sz w:val="24"/>
                      <w:u w:val="none"/>
                    </w:rPr>
                    <m:t>SA</m:t>
                  </m:r>
                </m:sub>
                <m:sup>
                  <m:r>
                    <w:rPr>
                      <w:rStyle w:val="InstructionsTabelleberschrift"/>
                      <w:rFonts w:ascii="Cambria Math" w:hAnsi="Cambria Math"/>
                      <w:sz w:val="24"/>
                      <w:u w:val="none"/>
                    </w:rPr>
                    <m:t>old</m:t>
                  </m:r>
                </m:sup>
              </m:sSubSup>
            </m:oMath>
            <w:r w:rsidRPr="00B16BDA">
              <w:rPr>
                <w:rStyle w:val="InstructionsTabelleberschrift"/>
                <w:rFonts w:ascii="Times New Roman" w:hAnsi="Times New Roman"/>
                <w:b w:val="0"/>
                <w:sz w:val="24"/>
                <w:u w:val="none"/>
              </w:rPr>
              <w:t xml:space="preserve">  and </w:t>
            </w:r>
            <m:oMath>
              <m:sSubSup>
                <m:sSubSupPr>
                  <m:ctrlPr>
                    <w:rPr>
                      <w:rStyle w:val="InstructionsTabelleberschrift"/>
                      <w:rFonts w:ascii="Cambria Math" w:hAnsi="Cambria Math"/>
                      <w:b w:val="0"/>
                      <w:bCs w:val="0"/>
                      <w:i/>
                      <w:sz w:val="24"/>
                      <w:u w:val="none"/>
                    </w:rPr>
                  </m:ctrlPr>
                </m:sSubSupPr>
                <m:e>
                  <m:r>
                    <w:rPr>
                      <w:rStyle w:val="InstructionsTabelleberschrift"/>
                      <w:rFonts w:ascii="Cambria Math" w:hAnsi="Cambria Math"/>
                      <w:sz w:val="24"/>
                      <w:u w:val="none"/>
                    </w:rPr>
                    <m:t>A</m:t>
                  </m:r>
                </m:e>
                <m:sub>
                  <m:r>
                    <w:rPr>
                      <w:rStyle w:val="InstructionsTabelleberschrift"/>
                      <w:rFonts w:ascii="Cambria Math" w:hAnsi="Cambria Math"/>
                      <w:sz w:val="24"/>
                      <w:u w:val="none"/>
                    </w:rPr>
                    <m:t>IRB</m:t>
                  </m:r>
                </m:sub>
                <m:sup>
                  <m:r>
                    <w:rPr>
                      <w:rStyle w:val="InstructionsTabelleberschrift"/>
                      <w:rFonts w:ascii="Cambria Math" w:hAnsi="Cambria Math"/>
                      <w:sz w:val="24"/>
                      <w:u w:val="none"/>
                    </w:rPr>
                    <m:t>old</m:t>
                  </m:r>
                </m:sup>
              </m:sSubSup>
            </m:oMath>
            <w:r w:rsidRPr="00B16BDA">
              <w:rPr>
                <w:rStyle w:val="InstructionsTabelleberschrift"/>
                <w:rFonts w:ascii="Times New Roman" w:hAnsi="Times New Roman"/>
                <w:b w:val="0"/>
                <w:sz w:val="24"/>
                <w:u w:val="none"/>
              </w:rPr>
              <w:t>a</w:t>
            </w:r>
            <w:r>
              <w:rPr>
                <w:rStyle w:val="InstructionsTabelleberschrift"/>
                <w:rFonts w:ascii="Times New Roman" w:hAnsi="Times New Roman"/>
                <w:b w:val="0"/>
                <w:sz w:val="24"/>
                <w:u w:val="none"/>
              </w:rPr>
              <w:t xml:space="preserve">s referred to in Article 473a(1) CRR </w:t>
            </w:r>
          </w:p>
        </w:tc>
      </w:tr>
      <w:tr w:rsidR="0022311E" w:rsidRPr="00661595" w:rsidTr="001F1B80">
        <w:tc>
          <w:tcPr>
            <w:tcW w:w="1012" w:type="dxa"/>
          </w:tcPr>
          <w:p w:rsidR="0022311E" w:rsidRDefault="0022311E" w:rsidP="001F1B80">
            <w:pPr>
              <w:pStyle w:val="InstructionsText"/>
              <w:rPr>
                <w:rStyle w:val="InstructionsTabelleText"/>
                <w:rFonts w:ascii="Times New Roman" w:hAnsi="Times New Roman"/>
                <w:sz w:val="24"/>
              </w:rPr>
            </w:pPr>
            <w:r>
              <w:rPr>
                <w:rStyle w:val="InstructionsTabelleText"/>
                <w:rFonts w:ascii="Times New Roman" w:hAnsi="Times New Roman"/>
                <w:sz w:val="24"/>
              </w:rPr>
              <w:t>0443</w:t>
            </w:r>
          </w:p>
        </w:tc>
        <w:tc>
          <w:tcPr>
            <w:tcW w:w="7478" w:type="dxa"/>
          </w:tcPr>
          <w:p w:rsidR="0022311E" w:rsidRPr="00D633B1" w:rsidRDefault="0022311E" w:rsidP="001F1B80">
            <w:pPr>
              <w:pStyle w:val="InstructionsText"/>
              <w:rPr>
                <w:rStyle w:val="InstructionsTabelleberschrift"/>
                <w:rFonts w:ascii="Times New Roman" w:hAnsi="Times New Roman"/>
                <w:sz w:val="24"/>
              </w:rPr>
            </w:pPr>
            <w:r w:rsidRPr="00D633B1">
              <w:rPr>
                <w:rStyle w:val="InstructionsTabelleberschrift"/>
                <w:rFonts w:ascii="Times New Roman" w:hAnsi="Times New Roman"/>
                <w:sz w:val="24"/>
              </w:rPr>
              <w:t>Memorandum item: ECL impact of the dynamic</w:t>
            </w:r>
            <w:r>
              <w:rPr>
                <w:rStyle w:val="InstructionsTabelleberschrift"/>
                <w:rFonts w:ascii="Times New Roman" w:hAnsi="Times New Roman"/>
                <w:sz w:val="24"/>
              </w:rPr>
              <w:t xml:space="preserve"> component for the period starting on 01/01/2020</w:t>
            </w:r>
          </w:p>
          <w:p w:rsidR="0022311E" w:rsidRDefault="0022311E" w:rsidP="001F1B80">
            <w:pPr>
              <w:pStyle w:val="InstructionsText"/>
              <w:rPr>
                <w:rStyle w:val="InstructionsTabelleberschrift"/>
                <w:rFonts w:ascii="Times New Roman" w:hAnsi="Times New Roman"/>
                <w:b w:val="0"/>
                <w:sz w:val="24"/>
                <w:u w:val="none"/>
              </w:rPr>
            </w:pPr>
            <w:r w:rsidRPr="00B16BDA">
              <w:rPr>
                <w:rStyle w:val="InstructionsTabelleberschrift"/>
                <w:rFonts w:ascii="Times New Roman" w:hAnsi="Times New Roman"/>
                <w:b w:val="0"/>
                <w:sz w:val="24"/>
                <w:u w:val="none"/>
              </w:rPr>
              <w:t>The sum of A</w:t>
            </w:r>
            <w:r w:rsidRPr="00D633B1">
              <w:rPr>
                <w:rStyle w:val="InstructionsTabelleberschrift"/>
                <w:rFonts w:ascii="Times New Roman" w:hAnsi="Times New Roman"/>
                <w:b w:val="0"/>
                <w:sz w:val="24"/>
                <w:u w:val="none"/>
                <w:vertAlign w:val="subscript"/>
              </w:rPr>
              <w:t>4</w:t>
            </w:r>
            <w:r w:rsidRPr="00B16BDA">
              <w:rPr>
                <w:rStyle w:val="InstructionsTabelleberschrift"/>
                <w:rFonts w:ascii="Times New Roman" w:hAnsi="Times New Roman"/>
                <w:b w:val="0"/>
                <w:sz w:val="24"/>
                <w:u w:val="none"/>
                <w:vertAlign w:val="subscript"/>
              </w:rPr>
              <w:t>,SA</w:t>
            </w:r>
            <w:r w:rsidRPr="00B16BDA">
              <w:rPr>
                <w:rStyle w:val="InstructionsTabelleberschrift"/>
                <w:rFonts w:ascii="Times New Roman" w:hAnsi="Times New Roman"/>
                <w:b w:val="0"/>
                <w:sz w:val="24"/>
                <w:u w:val="none"/>
              </w:rPr>
              <w:t xml:space="preserve"> and A</w:t>
            </w:r>
            <w:r>
              <w:rPr>
                <w:rStyle w:val="InstructionsTabelleberschrift"/>
                <w:rFonts w:ascii="Times New Roman" w:hAnsi="Times New Roman"/>
                <w:b w:val="0"/>
                <w:sz w:val="24"/>
                <w:u w:val="none"/>
                <w:vertAlign w:val="subscript"/>
              </w:rPr>
              <w:t>4</w:t>
            </w:r>
            <w:r w:rsidRPr="00B16BDA">
              <w:rPr>
                <w:rStyle w:val="InstructionsTabelleberschrift"/>
                <w:rFonts w:ascii="Times New Roman" w:hAnsi="Times New Roman"/>
                <w:b w:val="0"/>
                <w:sz w:val="24"/>
                <w:u w:val="none"/>
                <w:vertAlign w:val="subscript"/>
              </w:rPr>
              <w:t>, IRB</w:t>
            </w:r>
            <w:r w:rsidRPr="00B16BDA">
              <w:rPr>
                <w:rStyle w:val="InstructionsTabelleberschrift"/>
                <w:rFonts w:ascii="Times New Roman" w:hAnsi="Times New Roman"/>
                <w:b w:val="0"/>
                <w:sz w:val="24"/>
                <w:u w:val="none"/>
              </w:rPr>
              <w:t xml:space="preserve"> a</w:t>
            </w:r>
            <w:r>
              <w:rPr>
                <w:rStyle w:val="InstructionsTabelleberschrift"/>
                <w:rFonts w:ascii="Times New Roman" w:hAnsi="Times New Roman"/>
                <w:b w:val="0"/>
                <w:sz w:val="24"/>
                <w:u w:val="none"/>
              </w:rPr>
              <w:t>s referred to in Article 473a(1) CRR</w:t>
            </w:r>
          </w:p>
          <w:p w:rsidR="0022311E" w:rsidRPr="00661595" w:rsidRDefault="0022311E" w:rsidP="00E03E51">
            <w:pPr>
              <w:pStyle w:val="InstructionsText"/>
              <w:rPr>
                <w:rStyle w:val="InstructionsTabelleberschrift"/>
                <w:rFonts w:ascii="Times New Roman" w:hAnsi="Times New Roman"/>
                <w:sz w:val="24"/>
              </w:rPr>
            </w:pPr>
            <w:r>
              <w:rPr>
                <w:rStyle w:val="InstructionsTabelleberschrift"/>
                <w:rFonts w:ascii="Times New Roman" w:hAnsi="Times New Roman"/>
                <w:b w:val="0"/>
                <w:sz w:val="24"/>
                <w:u w:val="none"/>
              </w:rPr>
              <w:t xml:space="preserve">In case of </w:t>
            </w:r>
            <w:r w:rsidRPr="00D633B1">
              <w:rPr>
                <w:rStyle w:val="InstructionsTabelleberschrift"/>
                <w:rFonts w:ascii="Times New Roman" w:hAnsi="Times New Roman"/>
                <w:b w:val="0"/>
                <w:sz w:val="24"/>
                <w:u w:val="none"/>
              </w:rPr>
              <w:t>A</w:t>
            </w:r>
            <w:r w:rsidRPr="00F75F78">
              <w:rPr>
                <w:rStyle w:val="InstructionsTabelleberschrift"/>
                <w:rFonts w:ascii="Times New Roman" w:hAnsi="Times New Roman"/>
                <w:b w:val="0"/>
                <w:sz w:val="24"/>
                <w:u w:val="none"/>
                <w:vertAlign w:val="subscript"/>
              </w:rPr>
              <w:t>4</w:t>
            </w:r>
            <w:r w:rsidRPr="00D633B1">
              <w:rPr>
                <w:rStyle w:val="InstructionsTabelleberschrift"/>
                <w:rFonts w:ascii="Times New Roman" w:hAnsi="Times New Roman"/>
                <w:b w:val="0"/>
                <w:sz w:val="24"/>
                <w:u w:val="none"/>
                <w:vertAlign w:val="subscript"/>
              </w:rPr>
              <w:t>, IRB</w:t>
            </w:r>
            <w:r>
              <w:rPr>
                <w:rStyle w:val="InstructionsTabelleberschrift"/>
                <w:rFonts w:ascii="Times New Roman" w:hAnsi="Times New Roman"/>
                <w:b w:val="0"/>
                <w:sz w:val="24"/>
                <w:u w:val="none"/>
              </w:rPr>
              <w:t xml:space="preserve"> the amount reported is the amount net of expected losses as required by points (b) and (c) of Article 473a (5) CRR.</w:t>
            </w:r>
          </w:p>
        </w:tc>
      </w:tr>
    </w:tbl>
    <w:p w:rsidR="002648B0" w:rsidRPr="00661595" w:rsidRDefault="002648B0" w:rsidP="00D946DB">
      <w:pPr>
        <w:spacing w:after="0"/>
        <w:rPr>
          <w:rFonts w:ascii="Times New Roman" w:hAnsi="Times New Roman"/>
          <w:sz w:val="24"/>
        </w:rPr>
      </w:pPr>
    </w:p>
    <w:p w:rsidR="002648B0" w:rsidRPr="000A46E0" w:rsidRDefault="00125707" w:rsidP="000A46E0">
      <w:pPr>
        <w:pStyle w:val="Instructionsberschrift2"/>
        <w:numPr>
          <w:ilvl w:val="0"/>
          <w:numId w:val="0"/>
        </w:numPr>
        <w:ind w:left="357" w:hanging="357"/>
        <w:rPr>
          <w:rFonts w:ascii="Times New Roman" w:hAnsi="Times New Roman" w:cs="Times New Roman"/>
          <w:sz w:val="24"/>
          <w:u w:val="none"/>
          <w:lang w:val="en-GB"/>
        </w:rPr>
      </w:pPr>
      <w:bookmarkStart w:id="84" w:name="_Toc361666252"/>
      <w:bookmarkStart w:id="85" w:name="_Toc308175839"/>
      <w:bookmarkStart w:id="86" w:name="_Toc473560885"/>
      <w:bookmarkStart w:id="87" w:name="_Toc57831525"/>
      <w:bookmarkStart w:id="88" w:name="_Toc360188337"/>
      <w:bookmarkEnd w:id="84"/>
      <w:r w:rsidRPr="000A46E0">
        <w:rPr>
          <w:rFonts w:ascii="Times New Roman" w:hAnsi="Times New Roman" w:cs="Times New Roman"/>
          <w:sz w:val="24"/>
          <w:u w:val="none"/>
          <w:lang w:val="en-GB"/>
        </w:rPr>
        <w:t>1.6.3</w:t>
      </w:r>
      <w:r w:rsidRPr="000A46E0">
        <w:rPr>
          <w:rFonts w:ascii="Times New Roman" w:hAnsi="Times New Roman" w:cs="Times New Roman"/>
          <w:sz w:val="24"/>
          <w:u w:val="none"/>
          <w:lang w:val="en-GB"/>
        </w:rPr>
        <w:tab/>
      </w:r>
      <w:r w:rsidR="00513822" w:rsidRPr="000A46E0">
        <w:rPr>
          <w:rFonts w:ascii="Times New Roman" w:hAnsi="Times New Roman" w:cs="Times New Roman"/>
          <w:sz w:val="24"/>
          <w:lang w:val="en-GB"/>
        </w:rPr>
        <w:t>C 05.02 - GRANDFATHERED INSTRUMENTS: INSTRUMENTS NOT CONSTITUING STATE AID (CA5.2)</w:t>
      </w:r>
      <w:bookmarkEnd w:id="85"/>
      <w:bookmarkEnd w:id="86"/>
      <w:bookmarkEnd w:id="87"/>
      <w:r w:rsidR="00513822" w:rsidRPr="000A46E0">
        <w:rPr>
          <w:rFonts w:ascii="Times New Roman" w:hAnsi="Times New Roman" w:cs="Times New Roman"/>
          <w:sz w:val="24"/>
          <w:u w:val="none"/>
          <w:lang w:val="en-GB"/>
        </w:rPr>
        <w:t xml:space="preserve"> </w:t>
      </w:r>
      <w:bookmarkEnd w:id="88"/>
    </w:p>
    <w:p w:rsidR="00783881" w:rsidRPr="00661595" w:rsidRDefault="00D11E4C" w:rsidP="00487A02">
      <w:pPr>
        <w:pStyle w:val="InstructionsText2"/>
        <w:numPr>
          <w:ilvl w:val="0"/>
          <w:numId w:val="0"/>
        </w:numPr>
        <w:ind w:left="1353" w:hanging="360"/>
      </w:pPr>
      <w:fldSimple w:instr=" seq paragraphs ">
        <w:r w:rsidR="00771068">
          <w:rPr>
            <w:noProof/>
          </w:rPr>
          <w:t>26</w:t>
        </w:r>
      </w:fldSimple>
      <w:r w:rsidR="00125707" w:rsidRPr="00661595">
        <w:t>.</w:t>
      </w:r>
      <w:r w:rsidR="00125707" w:rsidRPr="00661595">
        <w:tab/>
      </w:r>
      <w:r w:rsidR="002648B0" w:rsidRPr="00661595">
        <w:t>Institutions shall report information in relation with the transitional provisions of grandfathered instruments not constituting state aid (Article</w:t>
      </w:r>
      <w:r w:rsidR="009F1550" w:rsidRPr="00661595">
        <w:t>s</w:t>
      </w:r>
      <w:r w:rsidR="002648B0" w:rsidRPr="00661595">
        <w:t xml:space="preserve"> </w:t>
      </w:r>
      <w:r w:rsidR="00B542AB" w:rsidRPr="00661595">
        <w:t>484</w:t>
      </w:r>
      <w:r w:rsidR="002648B0" w:rsidRPr="00661595">
        <w:t xml:space="preserve"> to </w:t>
      </w:r>
      <w:r w:rsidR="00B542AB" w:rsidRPr="00661595">
        <w:t>491</w:t>
      </w:r>
      <w:r w:rsidR="002648B0" w:rsidRPr="00661595">
        <w:t xml:space="preserve"> </w:t>
      </w:r>
      <w:r w:rsidR="00C7103D" w:rsidRPr="00661595">
        <w:t>CRR</w:t>
      </w:r>
      <w:r w:rsidR="002648B0" w:rsidRPr="00661595">
        <w:t>).</w:t>
      </w:r>
    </w:p>
    <w:p w:rsidR="002648B0" w:rsidRPr="000A46E0" w:rsidRDefault="00125707" w:rsidP="000A46E0">
      <w:pPr>
        <w:pStyle w:val="Instructionsberschrift2"/>
        <w:numPr>
          <w:ilvl w:val="0"/>
          <w:numId w:val="0"/>
        </w:numPr>
        <w:ind w:left="357" w:hanging="357"/>
        <w:rPr>
          <w:rFonts w:ascii="Times New Roman" w:hAnsi="Times New Roman" w:cs="Times New Roman"/>
          <w:sz w:val="24"/>
          <w:u w:val="none"/>
          <w:lang w:val="en-GB"/>
        </w:rPr>
      </w:pPr>
      <w:bookmarkStart w:id="89" w:name="_Toc360188338"/>
      <w:bookmarkStart w:id="90" w:name="_Toc473560886"/>
      <w:bookmarkStart w:id="91" w:name="_Toc57831526"/>
      <w:r w:rsidRPr="000A46E0">
        <w:rPr>
          <w:rFonts w:ascii="Times New Roman" w:hAnsi="Times New Roman" w:cs="Times New Roman"/>
          <w:sz w:val="24"/>
          <w:u w:val="none"/>
          <w:lang w:val="en-GB"/>
        </w:rPr>
        <w:t>1.6.3.1</w:t>
      </w:r>
      <w:r w:rsidRPr="000A46E0">
        <w:rPr>
          <w:rFonts w:ascii="Times New Roman" w:hAnsi="Times New Roman" w:cs="Times New Roman"/>
          <w:sz w:val="24"/>
          <w:u w:val="none"/>
          <w:lang w:val="en-GB"/>
        </w:rPr>
        <w:tab/>
      </w:r>
      <w:r w:rsidR="002648B0" w:rsidRPr="000A46E0">
        <w:rPr>
          <w:rFonts w:ascii="Times New Roman" w:hAnsi="Times New Roman" w:cs="Times New Roman"/>
          <w:sz w:val="24"/>
          <w:lang w:val="en-GB"/>
        </w:rPr>
        <w:t xml:space="preserve">Instructions concerning specific </w:t>
      </w:r>
      <w:r w:rsidR="002B5403" w:rsidRPr="000A46E0">
        <w:rPr>
          <w:rFonts w:ascii="Times New Roman" w:hAnsi="Times New Roman" w:cs="Times New Roman"/>
          <w:sz w:val="24"/>
          <w:lang w:val="en-GB"/>
        </w:rPr>
        <w:t>positions</w:t>
      </w:r>
      <w:bookmarkEnd w:id="89"/>
      <w:bookmarkEnd w:id="90"/>
      <w:bookmarkEnd w:id="91"/>
    </w:p>
    <w:tbl>
      <w:tblPr>
        <w:tblW w:w="0" w:type="auto"/>
        <w:tblInd w:w="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3"/>
        <w:gridCol w:w="7478"/>
      </w:tblGrid>
      <w:tr w:rsidR="002648B0" w:rsidRPr="00661595" w:rsidTr="00672D2A">
        <w:tc>
          <w:tcPr>
            <w:tcW w:w="8181" w:type="dxa"/>
            <w:gridSpan w:val="2"/>
            <w:shd w:val="clear" w:color="auto" w:fill="D9D9D9"/>
          </w:tcPr>
          <w:p w:rsidR="005643EA" w:rsidRPr="00661595" w:rsidRDefault="002648B0" w:rsidP="00EE6F6C">
            <w:pPr>
              <w:pStyle w:val="body"/>
              <w:rPr>
                <w:rStyle w:val="InstructionsTabelleText"/>
                <w:rFonts w:ascii="Times New Roman" w:hAnsi="Times New Roman"/>
                <w:sz w:val="24"/>
              </w:rPr>
            </w:pPr>
            <w:r w:rsidRPr="00661595">
              <w:rPr>
                <w:rStyle w:val="InstructionsTabelleText"/>
                <w:rFonts w:ascii="Times New Roman" w:hAnsi="Times New Roman"/>
                <w:sz w:val="24"/>
              </w:rPr>
              <w:t>Columns</w:t>
            </w:r>
          </w:p>
        </w:tc>
      </w:tr>
      <w:tr w:rsidR="002648B0" w:rsidRPr="00661595" w:rsidTr="00672D2A">
        <w:tc>
          <w:tcPr>
            <w:tcW w:w="703" w:type="dxa"/>
          </w:tcPr>
          <w:p w:rsidR="002648B0" w:rsidRPr="00661595" w:rsidRDefault="00606735" w:rsidP="00EE6F6C">
            <w:pPr>
              <w:pStyle w:val="body"/>
              <w:rPr>
                <w:rStyle w:val="InstructionsTabelleText"/>
                <w:rFonts w:ascii="Times New Roman" w:hAnsi="Times New Roman"/>
                <w:sz w:val="24"/>
              </w:rPr>
            </w:pPr>
            <w:r w:rsidRPr="00661595">
              <w:rPr>
                <w:rStyle w:val="InstructionsTabelleText"/>
                <w:rFonts w:ascii="Times New Roman" w:hAnsi="Times New Roman"/>
                <w:sz w:val="24"/>
              </w:rPr>
              <w:t>0</w:t>
            </w:r>
            <w:r w:rsidR="002648B0" w:rsidRPr="00661595">
              <w:rPr>
                <w:rStyle w:val="InstructionsTabelleText"/>
                <w:rFonts w:ascii="Times New Roman" w:hAnsi="Times New Roman"/>
                <w:sz w:val="24"/>
              </w:rPr>
              <w:t>010</w:t>
            </w:r>
          </w:p>
        </w:tc>
        <w:tc>
          <w:tcPr>
            <w:tcW w:w="7478" w:type="dxa"/>
          </w:tcPr>
          <w:p w:rsidR="002648B0" w:rsidRPr="00661595" w:rsidRDefault="002648B0" w:rsidP="00EE6F6C">
            <w:pPr>
              <w:pStyle w:val="body"/>
              <w:rPr>
                <w:rStyle w:val="InstructionsTabelleberschrift"/>
                <w:rFonts w:ascii="Times New Roman" w:hAnsi="Times New Roman"/>
                <w:sz w:val="24"/>
                <w:lang w:eastAsia="de-DE"/>
              </w:rPr>
            </w:pPr>
            <w:r w:rsidRPr="00661595">
              <w:rPr>
                <w:rStyle w:val="InstructionsTabelleberschrift"/>
                <w:rFonts w:ascii="Times New Roman" w:hAnsi="Times New Roman"/>
                <w:sz w:val="24"/>
              </w:rPr>
              <w:t>Amount of instruments plus related share premium</w:t>
            </w:r>
          </w:p>
          <w:p w:rsidR="002648B0" w:rsidRPr="00661595" w:rsidRDefault="00167619" w:rsidP="00EE6F6C">
            <w:pPr>
              <w:pStyle w:val="body"/>
              <w:rPr>
                <w:rStyle w:val="InstructionsTabelleText"/>
                <w:rFonts w:ascii="Times New Roman" w:hAnsi="Times New Roman"/>
                <w:sz w:val="24"/>
              </w:rPr>
            </w:pPr>
            <w:r w:rsidRPr="00661595">
              <w:rPr>
                <w:rStyle w:val="InstructionsTabelleText"/>
                <w:rFonts w:ascii="Times New Roman" w:hAnsi="Times New Roman"/>
                <w:sz w:val="24"/>
              </w:rPr>
              <w:t xml:space="preserve">Paragraphs 3, 4 and 5 of </w:t>
            </w:r>
            <w:r w:rsidR="002648B0" w:rsidRPr="00661595">
              <w:rPr>
                <w:rStyle w:val="InstructionsTabelleText"/>
                <w:rFonts w:ascii="Times New Roman" w:hAnsi="Times New Roman"/>
                <w:sz w:val="24"/>
              </w:rPr>
              <w:t xml:space="preserve">Article </w:t>
            </w:r>
            <w:r w:rsidR="00B542AB" w:rsidRPr="00661595">
              <w:rPr>
                <w:rStyle w:val="InstructionsTabelleText"/>
                <w:rFonts w:ascii="Times New Roman" w:hAnsi="Times New Roman"/>
                <w:sz w:val="24"/>
              </w:rPr>
              <w:t>484</w:t>
            </w:r>
            <w:r w:rsidR="000F1CEA" w:rsidRPr="00661595">
              <w:rPr>
                <w:rStyle w:val="InstructionsTabelleText"/>
                <w:rFonts w:ascii="Times New Roman" w:hAnsi="Times New Roman"/>
                <w:sz w:val="24"/>
              </w:rPr>
              <w:t xml:space="preserve"> </w:t>
            </w:r>
            <w:r w:rsidR="00C7103D" w:rsidRPr="00661595">
              <w:rPr>
                <w:rStyle w:val="InstructionsTabelleText"/>
                <w:rFonts w:ascii="Times New Roman" w:hAnsi="Times New Roman"/>
                <w:sz w:val="24"/>
              </w:rPr>
              <w:t>CRR</w:t>
            </w:r>
          </w:p>
          <w:p w:rsidR="002648B0" w:rsidRPr="00661595" w:rsidRDefault="002648B0" w:rsidP="00EE6F6C">
            <w:pPr>
              <w:pStyle w:val="body"/>
              <w:rPr>
                <w:rStyle w:val="InstructionsTabelleText"/>
                <w:rFonts w:ascii="Times New Roman" w:hAnsi="Times New Roman"/>
                <w:sz w:val="24"/>
              </w:rPr>
            </w:pPr>
            <w:r w:rsidRPr="00661595">
              <w:rPr>
                <w:rStyle w:val="InstructionsTabelleText"/>
                <w:rFonts w:ascii="Times New Roman" w:hAnsi="Times New Roman"/>
                <w:sz w:val="24"/>
              </w:rPr>
              <w:t>Instruments which are eligible for each respective row, including their related share premiums.</w:t>
            </w:r>
          </w:p>
        </w:tc>
      </w:tr>
      <w:tr w:rsidR="002648B0" w:rsidRPr="00661595" w:rsidTr="00672D2A">
        <w:tc>
          <w:tcPr>
            <w:tcW w:w="703" w:type="dxa"/>
          </w:tcPr>
          <w:p w:rsidR="002648B0" w:rsidRPr="00661595" w:rsidRDefault="00606735" w:rsidP="00EE6F6C">
            <w:pPr>
              <w:pStyle w:val="body"/>
              <w:rPr>
                <w:rStyle w:val="InstructionsTabelleText"/>
                <w:rFonts w:ascii="Times New Roman" w:hAnsi="Times New Roman"/>
                <w:sz w:val="24"/>
              </w:rPr>
            </w:pPr>
            <w:r w:rsidRPr="00661595">
              <w:rPr>
                <w:rStyle w:val="InstructionsTabelleText"/>
                <w:rFonts w:ascii="Times New Roman" w:hAnsi="Times New Roman"/>
                <w:sz w:val="24"/>
              </w:rPr>
              <w:t>0</w:t>
            </w:r>
            <w:r w:rsidR="002648B0" w:rsidRPr="00661595">
              <w:rPr>
                <w:rStyle w:val="InstructionsTabelleText"/>
                <w:rFonts w:ascii="Times New Roman" w:hAnsi="Times New Roman"/>
                <w:sz w:val="24"/>
              </w:rPr>
              <w:t>020</w:t>
            </w:r>
          </w:p>
        </w:tc>
        <w:tc>
          <w:tcPr>
            <w:tcW w:w="7478" w:type="dxa"/>
          </w:tcPr>
          <w:p w:rsidR="002648B0" w:rsidRPr="00661595" w:rsidRDefault="002648B0" w:rsidP="00EE6F6C">
            <w:pPr>
              <w:pStyle w:val="body"/>
              <w:rPr>
                <w:rStyle w:val="InstructionsTabelleberschrift"/>
                <w:rFonts w:ascii="Times New Roman" w:hAnsi="Times New Roman"/>
                <w:sz w:val="24"/>
                <w:lang w:eastAsia="de-DE"/>
              </w:rPr>
            </w:pPr>
            <w:r w:rsidRPr="00661595">
              <w:rPr>
                <w:rStyle w:val="InstructionsTabelleberschrift"/>
                <w:rFonts w:ascii="Times New Roman" w:hAnsi="Times New Roman"/>
                <w:sz w:val="24"/>
              </w:rPr>
              <w:t>Base for calculating the limit</w:t>
            </w:r>
          </w:p>
          <w:p w:rsidR="002648B0" w:rsidRPr="00661595" w:rsidRDefault="00167619" w:rsidP="00EE6F6C">
            <w:pPr>
              <w:pStyle w:val="body"/>
              <w:rPr>
                <w:rStyle w:val="InstructionsTabelleText"/>
                <w:rFonts w:ascii="Times New Roman" w:hAnsi="Times New Roman"/>
                <w:sz w:val="24"/>
              </w:rPr>
            </w:pPr>
            <w:r w:rsidRPr="00661595">
              <w:rPr>
                <w:rStyle w:val="InstructionsTabelleText"/>
                <w:rFonts w:ascii="Times New Roman" w:hAnsi="Times New Roman"/>
                <w:sz w:val="24"/>
              </w:rPr>
              <w:t xml:space="preserve">Paragraphs 2, 3 and 4 of </w:t>
            </w:r>
            <w:r w:rsidR="002648B0" w:rsidRPr="00661595">
              <w:rPr>
                <w:rStyle w:val="InstructionsTabelleText"/>
                <w:rFonts w:ascii="Times New Roman" w:hAnsi="Times New Roman"/>
                <w:sz w:val="24"/>
              </w:rPr>
              <w:t xml:space="preserve">Article </w:t>
            </w:r>
            <w:r w:rsidR="00B542AB" w:rsidRPr="00661595">
              <w:rPr>
                <w:rStyle w:val="InstructionsTabelleText"/>
                <w:rFonts w:ascii="Times New Roman" w:hAnsi="Times New Roman"/>
                <w:sz w:val="24"/>
              </w:rPr>
              <w:t>486</w:t>
            </w:r>
            <w:r w:rsidR="002648B0" w:rsidRPr="00661595">
              <w:rPr>
                <w:rStyle w:val="InstructionsTabelleText"/>
                <w:rFonts w:ascii="Times New Roman" w:hAnsi="Times New Roman"/>
                <w:sz w:val="24"/>
              </w:rPr>
              <w:t xml:space="preserve"> </w:t>
            </w:r>
            <w:r w:rsidR="00C7103D" w:rsidRPr="00661595">
              <w:rPr>
                <w:rStyle w:val="InstructionsTabelleText"/>
                <w:rFonts w:ascii="Times New Roman" w:hAnsi="Times New Roman"/>
                <w:sz w:val="24"/>
              </w:rPr>
              <w:t>CRR</w:t>
            </w:r>
          </w:p>
        </w:tc>
      </w:tr>
      <w:tr w:rsidR="002648B0" w:rsidRPr="00661595" w:rsidTr="00672D2A">
        <w:tc>
          <w:tcPr>
            <w:tcW w:w="703" w:type="dxa"/>
          </w:tcPr>
          <w:p w:rsidR="002648B0" w:rsidRPr="00661595" w:rsidRDefault="00606735" w:rsidP="00EE6F6C">
            <w:pPr>
              <w:pStyle w:val="body"/>
              <w:rPr>
                <w:rStyle w:val="InstructionsTabelleText"/>
                <w:rFonts w:ascii="Times New Roman" w:hAnsi="Times New Roman"/>
                <w:sz w:val="24"/>
              </w:rPr>
            </w:pPr>
            <w:r w:rsidRPr="00661595">
              <w:rPr>
                <w:rStyle w:val="InstructionsTabelleText"/>
                <w:rFonts w:ascii="Times New Roman" w:hAnsi="Times New Roman"/>
                <w:sz w:val="24"/>
              </w:rPr>
              <w:t>0</w:t>
            </w:r>
            <w:r w:rsidR="002648B0" w:rsidRPr="00661595">
              <w:rPr>
                <w:rStyle w:val="InstructionsTabelleText"/>
                <w:rFonts w:ascii="Times New Roman" w:hAnsi="Times New Roman"/>
                <w:sz w:val="24"/>
              </w:rPr>
              <w:t>030</w:t>
            </w:r>
          </w:p>
        </w:tc>
        <w:tc>
          <w:tcPr>
            <w:tcW w:w="7478" w:type="dxa"/>
          </w:tcPr>
          <w:p w:rsidR="002648B0" w:rsidRPr="00661595" w:rsidRDefault="002648B0" w:rsidP="00EE6F6C">
            <w:pPr>
              <w:pStyle w:val="body"/>
              <w:rPr>
                <w:rStyle w:val="InstructionsTabelleberschrift"/>
                <w:rFonts w:ascii="Times New Roman" w:hAnsi="Times New Roman"/>
                <w:sz w:val="24"/>
                <w:lang w:eastAsia="de-DE"/>
              </w:rPr>
            </w:pPr>
            <w:r w:rsidRPr="00661595">
              <w:rPr>
                <w:rStyle w:val="InstructionsTabelleberschrift"/>
                <w:rFonts w:ascii="Times New Roman" w:hAnsi="Times New Roman"/>
                <w:sz w:val="24"/>
              </w:rPr>
              <w:t>Applicable percentage</w:t>
            </w:r>
          </w:p>
          <w:p w:rsidR="002648B0" w:rsidRPr="00661595" w:rsidRDefault="002648B0" w:rsidP="00EE6F6C">
            <w:pPr>
              <w:pStyle w:val="body"/>
              <w:rPr>
                <w:rStyle w:val="InstructionsTabelleText"/>
                <w:rFonts w:ascii="Times New Roman" w:hAnsi="Times New Roman"/>
                <w:sz w:val="24"/>
              </w:rPr>
            </w:pPr>
            <w:r w:rsidRPr="00661595">
              <w:rPr>
                <w:rStyle w:val="InstructionsTabelleText"/>
                <w:rFonts w:ascii="Times New Roman" w:hAnsi="Times New Roman"/>
                <w:sz w:val="24"/>
              </w:rPr>
              <w:t xml:space="preserve">Article </w:t>
            </w:r>
            <w:r w:rsidR="00B542AB" w:rsidRPr="00661595">
              <w:rPr>
                <w:rStyle w:val="InstructionsTabelleText"/>
                <w:rFonts w:ascii="Times New Roman" w:hAnsi="Times New Roman"/>
                <w:sz w:val="24"/>
              </w:rPr>
              <w:t>486</w:t>
            </w:r>
            <w:r w:rsidRPr="00661595">
              <w:rPr>
                <w:rStyle w:val="InstructionsTabelleText"/>
                <w:rFonts w:ascii="Times New Roman" w:hAnsi="Times New Roman"/>
                <w:sz w:val="24"/>
              </w:rPr>
              <w:t xml:space="preserve">(5) </w:t>
            </w:r>
            <w:r w:rsidR="00C7103D" w:rsidRPr="00661595">
              <w:rPr>
                <w:rStyle w:val="InstructionsTabelleText"/>
                <w:rFonts w:ascii="Times New Roman" w:hAnsi="Times New Roman"/>
                <w:sz w:val="24"/>
              </w:rPr>
              <w:t>CRR</w:t>
            </w:r>
          </w:p>
        </w:tc>
      </w:tr>
      <w:tr w:rsidR="002648B0" w:rsidRPr="00661595" w:rsidTr="00672D2A">
        <w:tc>
          <w:tcPr>
            <w:tcW w:w="703" w:type="dxa"/>
          </w:tcPr>
          <w:p w:rsidR="002648B0" w:rsidRPr="00661595" w:rsidRDefault="00606735" w:rsidP="00EE6F6C">
            <w:pPr>
              <w:pStyle w:val="body"/>
              <w:rPr>
                <w:rStyle w:val="InstructionsTabelleText"/>
                <w:rFonts w:ascii="Times New Roman" w:hAnsi="Times New Roman"/>
                <w:sz w:val="24"/>
              </w:rPr>
            </w:pPr>
            <w:r w:rsidRPr="00661595">
              <w:rPr>
                <w:rStyle w:val="InstructionsTabelleText"/>
                <w:rFonts w:ascii="Times New Roman" w:hAnsi="Times New Roman"/>
                <w:sz w:val="24"/>
              </w:rPr>
              <w:t>0</w:t>
            </w:r>
            <w:r w:rsidR="002648B0" w:rsidRPr="00661595">
              <w:rPr>
                <w:rStyle w:val="InstructionsTabelleText"/>
                <w:rFonts w:ascii="Times New Roman" w:hAnsi="Times New Roman"/>
                <w:sz w:val="24"/>
              </w:rPr>
              <w:t>040</w:t>
            </w:r>
          </w:p>
        </w:tc>
        <w:tc>
          <w:tcPr>
            <w:tcW w:w="7478" w:type="dxa"/>
          </w:tcPr>
          <w:p w:rsidR="002648B0" w:rsidRPr="00661595" w:rsidRDefault="002648B0" w:rsidP="00EE6F6C">
            <w:pPr>
              <w:pStyle w:val="body"/>
              <w:rPr>
                <w:rStyle w:val="InstructionsTabelleberschrift"/>
                <w:rFonts w:ascii="Times New Roman" w:hAnsi="Times New Roman"/>
                <w:sz w:val="24"/>
                <w:lang w:eastAsia="de-DE"/>
              </w:rPr>
            </w:pPr>
            <w:r w:rsidRPr="00661595">
              <w:rPr>
                <w:rStyle w:val="InstructionsTabelleberschrift"/>
                <w:rFonts w:ascii="Times New Roman" w:hAnsi="Times New Roman"/>
                <w:sz w:val="24"/>
              </w:rPr>
              <w:t>Limit</w:t>
            </w:r>
          </w:p>
          <w:p w:rsidR="002648B0" w:rsidRPr="00661595" w:rsidRDefault="00167619" w:rsidP="00EE6F6C">
            <w:pPr>
              <w:pStyle w:val="body"/>
              <w:rPr>
                <w:rStyle w:val="InstructionsTabelleText"/>
                <w:rFonts w:ascii="Times New Roman" w:hAnsi="Times New Roman"/>
                <w:sz w:val="24"/>
              </w:rPr>
            </w:pPr>
            <w:r w:rsidRPr="00661595">
              <w:rPr>
                <w:rStyle w:val="InstructionsTabelleText"/>
                <w:rFonts w:ascii="Times New Roman" w:hAnsi="Times New Roman"/>
                <w:sz w:val="24"/>
              </w:rPr>
              <w:t xml:space="preserve">Paragraphs 2 to 5 of </w:t>
            </w:r>
            <w:r w:rsidR="002648B0" w:rsidRPr="00661595">
              <w:rPr>
                <w:rStyle w:val="InstructionsTabelleText"/>
                <w:rFonts w:ascii="Times New Roman" w:hAnsi="Times New Roman"/>
                <w:sz w:val="24"/>
              </w:rPr>
              <w:t xml:space="preserve">Article </w:t>
            </w:r>
            <w:r w:rsidR="00B542AB" w:rsidRPr="00661595">
              <w:rPr>
                <w:rStyle w:val="InstructionsTabelleText"/>
                <w:rFonts w:ascii="Times New Roman" w:hAnsi="Times New Roman"/>
                <w:sz w:val="24"/>
              </w:rPr>
              <w:t>486</w:t>
            </w:r>
            <w:r w:rsidR="002648B0" w:rsidRPr="00661595">
              <w:rPr>
                <w:rStyle w:val="InstructionsTabelleText"/>
                <w:rFonts w:ascii="Times New Roman" w:hAnsi="Times New Roman"/>
                <w:sz w:val="24"/>
              </w:rPr>
              <w:t xml:space="preserve"> </w:t>
            </w:r>
            <w:r w:rsidR="00C7103D" w:rsidRPr="00661595">
              <w:rPr>
                <w:rStyle w:val="InstructionsTabelleText"/>
                <w:rFonts w:ascii="Times New Roman" w:hAnsi="Times New Roman"/>
                <w:sz w:val="24"/>
              </w:rPr>
              <w:t>CRR</w:t>
            </w:r>
          </w:p>
        </w:tc>
      </w:tr>
      <w:tr w:rsidR="002648B0" w:rsidRPr="00661595" w:rsidTr="00672D2A">
        <w:tc>
          <w:tcPr>
            <w:tcW w:w="703" w:type="dxa"/>
          </w:tcPr>
          <w:p w:rsidR="002648B0" w:rsidRPr="00661595" w:rsidRDefault="00606735" w:rsidP="00EE6F6C">
            <w:pPr>
              <w:pStyle w:val="body"/>
              <w:rPr>
                <w:rStyle w:val="InstructionsTabelleText"/>
                <w:rFonts w:ascii="Times New Roman" w:hAnsi="Times New Roman"/>
                <w:sz w:val="24"/>
              </w:rPr>
            </w:pPr>
            <w:r w:rsidRPr="00661595">
              <w:rPr>
                <w:rStyle w:val="InstructionsTabelleText"/>
                <w:rFonts w:ascii="Times New Roman" w:hAnsi="Times New Roman"/>
                <w:sz w:val="24"/>
              </w:rPr>
              <w:t>0</w:t>
            </w:r>
            <w:r w:rsidR="002648B0" w:rsidRPr="00661595">
              <w:rPr>
                <w:rStyle w:val="InstructionsTabelleText"/>
                <w:rFonts w:ascii="Times New Roman" w:hAnsi="Times New Roman"/>
                <w:sz w:val="24"/>
              </w:rPr>
              <w:t>050</w:t>
            </w:r>
          </w:p>
        </w:tc>
        <w:tc>
          <w:tcPr>
            <w:tcW w:w="7478" w:type="dxa"/>
          </w:tcPr>
          <w:p w:rsidR="002648B0" w:rsidRPr="00661595" w:rsidRDefault="002648B0" w:rsidP="00EE6F6C">
            <w:pPr>
              <w:pStyle w:val="body"/>
              <w:rPr>
                <w:rStyle w:val="InstructionsTabelleberschrift"/>
                <w:rFonts w:ascii="Times New Roman" w:hAnsi="Times New Roman"/>
                <w:sz w:val="24"/>
                <w:lang w:eastAsia="de-DE"/>
              </w:rPr>
            </w:pPr>
            <w:r w:rsidRPr="00661595">
              <w:rPr>
                <w:rStyle w:val="InstructionsTabelleberschrift"/>
                <w:rFonts w:ascii="Times New Roman" w:hAnsi="Times New Roman"/>
                <w:sz w:val="24"/>
              </w:rPr>
              <w:t>(-) Amount that exceeds the limits for grandfathering</w:t>
            </w:r>
          </w:p>
          <w:p w:rsidR="002648B0" w:rsidRPr="00661595" w:rsidRDefault="00167619" w:rsidP="00EE6F6C">
            <w:pPr>
              <w:pStyle w:val="body"/>
              <w:rPr>
                <w:rStyle w:val="InstructionsTabelleText"/>
                <w:rFonts w:ascii="Times New Roman" w:hAnsi="Times New Roman"/>
                <w:sz w:val="24"/>
              </w:rPr>
            </w:pPr>
            <w:r w:rsidRPr="00661595">
              <w:rPr>
                <w:rStyle w:val="InstructionsTabelleText"/>
                <w:rFonts w:ascii="Times New Roman" w:hAnsi="Times New Roman"/>
                <w:sz w:val="24"/>
              </w:rPr>
              <w:t xml:space="preserve">Paragraphs 2 to 5 of </w:t>
            </w:r>
            <w:r w:rsidR="002648B0" w:rsidRPr="00661595">
              <w:rPr>
                <w:rStyle w:val="InstructionsTabelleText"/>
                <w:rFonts w:ascii="Times New Roman" w:hAnsi="Times New Roman"/>
                <w:sz w:val="24"/>
              </w:rPr>
              <w:t xml:space="preserve">Article </w:t>
            </w:r>
            <w:r w:rsidR="00B542AB" w:rsidRPr="00661595">
              <w:rPr>
                <w:rStyle w:val="InstructionsTabelleText"/>
                <w:rFonts w:ascii="Times New Roman" w:hAnsi="Times New Roman"/>
                <w:sz w:val="24"/>
              </w:rPr>
              <w:t>486</w:t>
            </w:r>
            <w:r w:rsidR="004A1D97" w:rsidRPr="00661595">
              <w:rPr>
                <w:rStyle w:val="InstructionsTabelleText"/>
                <w:rFonts w:ascii="Times New Roman" w:hAnsi="Times New Roman"/>
                <w:sz w:val="24"/>
              </w:rPr>
              <w:t xml:space="preserve"> </w:t>
            </w:r>
            <w:r w:rsidR="00C7103D" w:rsidRPr="00661595">
              <w:rPr>
                <w:rStyle w:val="InstructionsTabelleText"/>
                <w:rFonts w:ascii="Times New Roman" w:hAnsi="Times New Roman"/>
                <w:sz w:val="24"/>
              </w:rPr>
              <w:t>CRR</w:t>
            </w:r>
          </w:p>
        </w:tc>
      </w:tr>
      <w:tr w:rsidR="002648B0" w:rsidRPr="00661595" w:rsidTr="00672D2A">
        <w:tc>
          <w:tcPr>
            <w:tcW w:w="703" w:type="dxa"/>
          </w:tcPr>
          <w:p w:rsidR="002648B0" w:rsidRPr="00661595" w:rsidRDefault="00606735" w:rsidP="00EE6F6C">
            <w:pPr>
              <w:pStyle w:val="body"/>
              <w:rPr>
                <w:rStyle w:val="InstructionsTabelleText"/>
                <w:rFonts w:ascii="Times New Roman" w:hAnsi="Times New Roman"/>
                <w:sz w:val="24"/>
              </w:rPr>
            </w:pPr>
            <w:r w:rsidRPr="00661595">
              <w:rPr>
                <w:rStyle w:val="InstructionsTabelleText"/>
                <w:rFonts w:ascii="Times New Roman" w:hAnsi="Times New Roman"/>
                <w:sz w:val="24"/>
              </w:rPr>
              <w:t>0</w:t>
            </w:r>
            <w:r w:rsidR="002648B0" w:rsidRPr="00661595">
              <w:rPr>
                <w:rStyle w:val="InstructionsTabelleText"/>
                <w:rFonts w:ascii="Times New Roman" w:hAnsi="Times New Roman"/>
                <w:sz w:val="24"/>
              </w:rPr>
              <w:t>060</w:t>
            </w:r>
          </w:p>
        </w:tc>
        <w:tc>
          <w:tcPr>
            <w:tcW w:w="7478" w:type="dxa"/>
          </w:tcPr>
          <w:p w:rsidR="002648B0" w:rsidRPr="00661595" w:rsidRDefault="002648B0" w:rsidP="00EE6F6C">
            <w:pPr>
              <w:pStyle w:val="body"/>
              <w:rPr>
                <w:rStyle w:val="InstructionsTabelleberschrift"/>
                <w:rFonts w:ascii="Times New Roman" w:hAnsi="Times New Roman"/>
                <w:sz w:val="24"/>
                <w:lang w:eastAsia="de-DE"/>
              </w:rPr>
            </w:pPr>
            <w:r w:rsidRPr="00661595">
              <w:rPr>
                <w:rStyle w:val="InstructionsTabelleberschrift"/>
                <w:rFonts w:ascii="Times New Roman" w:hAnsi="Times New Roman"/>
                <w:sz w:val="24"/>
              </w:rPr>
              <w:t>Total grandfathered amount</w:t>
            </w:r>
          </w:p>
          <w:p w:rsidR="002648B0" w:rsidRPr="00661595" w:rsidRDefault="002648B0" w:rsidP="00EE6F6C">
            <w:pPr>
              <w:pStyle w:val="body"/>
              <w:rPr>
                <w:rStyle w:val="InstructionsTabelleText"/>
                <w:rFonts w:ascii="Times New Roman" w:hAnsi="Times New Roman"/>
                <w:sz w:val="24"/>
              </w:rPr>
            </w:pPr>
            <w:r w:rsidRPr="00661595">
              <w:rPr>
                <w:rStyle w:val="InstructionsTabelleText"/>
                <w:rFonts w:ascii="Times New Roman" w:hAnsi="Times New Roman"/>
                <w:sz w:val="24"/>
              </w:rPr>
              <w:t>The amount to be reported shall be equal to the amounts reported in the respective columns in row 060 of CA5.1.</w:t>
            </w:r>
          </w:p>
        </w:tc>
      </w:tr>
    </w:tbl>
    <w:p w:rsidR="002648B0" w:rsidRPr="00661595" w:rsidRDefault="002648B0" w:rsidP="000911FE">
      <w:pPr>
        <w:pStyle w:val="body"/>
      </w:pPr>
    </w:p>
    <w:tbl>
      <w:tblPr>
        <w:tblW w:w="0" w:type="auto"/>
        <w:tblInd w:w="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3"/>
        <w:gridCol w:w="7478"/>
      </w:tblGrid>
      <w:tr w:rsidR="002648B0" w:rsidRPr="00661595" w:rsidTr="00672D2A">
        <w:tc>
          <w:tcPr>
            <w:tcW w:w="8181" w:type="dxa"/>
            <w:gridSpan w:val="2"/>
            <w:shd w:val="clear" w:color="auto" w:fill="D9D9D9"/>
          </w:tcPr>
          <w:p w:rsidR="005643EA" w:rsidRPr="00661595" w:rsidRDefault="002648B0" w:rsidP="00EE6F6C">
            <w:pPr>
              <w:pStyle w:val="body"/>
            </w:pPr>
            <w:r w:rsidRPr="00661595">
              <w:t>Rows</w:t>
            </w:r>
          </w:p>
        </w:tc>
      </w:tr>
      <w:tr w:rsidR="002648B0" w:rsidRPr="00661595" w:rsidTr="00672D2A">
        <w:tc>
          <w:tcPr>
            <w:tcW w:w="703" w:type="dxa"/>
          </w:tcPr>
          <w:p w:rsidR="002648B0" w:rsidRPr="00661595" w:rsidRDefault="00606735" w:rsidP="00EE6F6C">
            <w:pPr>
              <w:pStyle w:val="body"/>
              <w:rPr>
                <w:rStyle w:val="InstructionsTabelleText"/>
                <w:rFonts w:ascii="Times New Roman" w:hAnsi="Times New Roman"/>
                <w:sz w:val="24"/>
              </w:rPr>
            </w:pPr>
            <w:r w:rsidRPr="00661595">
              <w:rPr>
                <w:rStyle w:val="InstructionsTabelleText"/>
                <w:rFonts w:ascii="Times New Roman" w:hAnsi="Times New Roman"/>
                <w:sz w:val="24"/>
              </w:rPr>
              <w:t>0</w:t>
            </w:r>
            <w:r w:rsidR="002648B0" w:rsidRPr="00661595">
              <w:rPr>
                <w:rStyle w:val="InstructionsTabelleText"/>
                <w:rFonts w:ascii="Times New Roman" w:hAnsi="Times New Roman"/>
                <w:sz w:val="24"/>
              </w:rPr>
              <w:t>010</w:t>
            </w:r>
          </w:p>
        </w:tc>
        <w:tc>
          <w:tcPr>
            <w:tcW w:w="7478" w:type="dxa"/>
          </w:tcPr>
          <w:p w:rsidR="005643EA" w:rsidRPr="00661595" w:rsidRDefault="00C66473" w:rsidP="00EE6F6C">
            <w:pPr>
              <w:pStyle w:val="body"/>
              <w:rPr>
                <w:rStyle w:val="InstructionsTabelleberschrift"/>
                <w:rFonts w:ascii="Times New Roman" w:hAnsi="Times New Roman"/>
                <w:sz w:val="24"/>
              </w:rPr>
            </w:pPr>
            <w:r w:rsidRPr="00661595">
              <w:rPr>
                <w:rStyle w:val="InstructionsTabelleberschrift"/>
                <w:rFonts w:ascii="Times New Roman" w:hAnsi="Times New Roman"/>
                <w:sz w:val="24"/>
              </w:rPr>
              <w:t>1.</w:t>
            </w:r>
            <w:r w:rsidRPr="00661595">
              <w:rPr>
                <w:rStyle w:val="InstructionsTabelleberschrift"/>
                <w:rFonts w:ascii="Times New Roman" w:hAnsi="Times New Roman"/>
                <w:sz w:val="24"/>
              </w:rPr>
              <w:tab/>
            </w:r>
            <w:r w:rsidR="002648B0" w:rsidRPr="00661595">
              <w:rPr>
                <w:rStyle w:val="InstructionsTabelleberschrift"/>
                <w:rFonts w:ascii="Times New Roman" w:hAnsi="Times New Roman"/>
                <w:sz w:val="24"/>
              </w:rPr>
              <w:t xml:space="preserve">Instruments that qualified for point </w:t>
            </w:r>
            <w:r w:rsidR="00DE223B" w:rsidRPr="00661595">
              <w:rPr>
                <w:rStyle w:val="InstructionsTabelleberschrift"/>
                <w:rFonts w:ascii="Times New Roman" w:hAnsi="Times New Roman"/>
                <w:sz w:val="24"/>
              </w:rPr>
              <w:t>(</w:t>
            </w:r>
            <w:r w:rsidR="002648B0" w:rsidRPr="00661595">
              <w:rPr>
                <w:rStyle w:val="InstructionsTabelleberschrift"/>
                <w:rFonts w:ascii="Times New Roman" w:hAnsi="Times New Roman"/>
                <w:sz w:val="24"/>
              </w:rPr>
              <w:t>a) of Article 57 of 2006/48/EC</w:t>
            </w:r>
          </w:p>
          <w:p w:rsidR="002648B0" w:rsidRPr="00661595" w:rsidRDefault="002648B0" w:rsidP="00EE6F6C">
            <w:pPr>
              <w:pStyle w:val="body"/>
              <w:rPr>
                <w:rStyle w:val="InstructionsTabelleText"/>
                <w:rFonts w:ascii="Times New Roman" w:hAnsi="Times New Roman"/>
                <w:sz w:val="24"/>
                <w:lang w:eastAsia="de-DE"/>
              </w:rPr>
            </w:pPr>
            <w:r w:rsidRPr="00661595">
              <w:rPr>
                <w:rStyle w:val="InstructionsTabelleText"/>
                <w:rFonts w:ascii="Times New Roman" w:hAnsi="Times New Roman"/>
                <w:sz w:val="24"/>
              </w:rPr>
              <w:t xml:space="preserve">Article </w:t>
            </w:r>
            <w:r w:rsidR="00B542AB" w:rsidRPr="00661595">
              <w:rPr>
                <w:rStyle w:val="InstructionsTabelleText"/>
                <w:rFonts w:ascii="Times New Roman" w:hAnsi="Times New Roman"/>
                <w:sz w:val="24"/>
              </w:rPr>
              <w:t>484</w:t>
            </w:r>
            <w:r w:rsidR="000F1CEA" w:rsidRPr="00661595">
              <w:rPr>
                <w:rStyle w:val="InstructionsTabelleText"/>
                <w:rFonts w:ascii="Times New Roman" w:hAnsi="Times New Roman"/>
                <w:sz w:val="24"/>
              </w:rPr>
              <w:t xml:space="preserve">(3) </w:t>
            </w:r>
            <w:r w:rsidR="00C7103D" w:rsidRPr="00661595">
              <w:rPr>
                <w:rStyle w:val="InstructionsTabelleText"/>
                <w:rFonts w:ascii="Times New Roman" w:hAnsi="Times New Roman"/>
                <w:sz w:val="24"/>
              </w:rPr>
              <w:t>CRR</w:t>
            </w:r>
          </w:p>
          <w:p w:rsidR="002648B0" w:rsidRPr="00661595" w:rsidRDefault="002648B0" w:rsidP="00EE6F6C">
            <w:pPr>
              <w:pStyle w:val="body"/>
              <w:rPr>
                <w:rStyle w:val="InstructionsTabelleText"/>
                <w:rFonts w:ascii="Times New Roman" w:hAnsi="Times New Roman"/>
                <w:sz w:val="24"/>
              </w:rPr>
            </w:pPr>
            <w:r w:rsidRPr="00661595">
              <w:rPr>
                <w:rStyle w:val="InstructionsTabelleText"/>
                <w:rFonts w:ascii="Times New Roman" w:hAnsi="Times New Roman"/>
                <w:sz w:val="24"/>
              </w:rPr>
              <w:t>The amount to be reported shall include the related share premium accounts.</w:t>
            </w:r>
          </w:p>
        </w:tc>
      </w:tr>
      <w:tr w:rsidR="002648B0" w:rsidRPr="00661595" w:rsidTr="00672D2A">
        <w:tc>
          <w:tcPr>
            <w:tcW w:w="703" w:type="dxa"/>
          </w:tcPr>
          <w:p w:rsidR="002648B0" w:rsidRPr="00661595" w:rsidRDefault="00606735" w:rsidP="00EE6F6C">
            <w:pPr>
              <w:pStyle w:val="body"/>
              <w:rPr>
                <w:rStyle w:val="InstructionsTabelleText"/>
                <w:rFonts w:ascii="Times New Roman" w:hAnsi="Times New Roman"/>
                <w:sz w:val="24"/>
              </w:rPr>
            </w:pPr>
            <w:r w:rsidRPr="00661595">
              <w:rPr>
                <w:rStyle w:val="InstructionsTabelleText"/>
                <w:rFonts w:ascii="Times New Roman" w:hAnsi="Times New Roman"/>
                <w:sz w:val="24"/>
              </w:rPr>
              <w:t>0</w:t>
            </w:r>
            <w:r w:rsidR="002648B0" w:rsidRPr="00661595">
              <w:rPr>
                <w:rStyle w:val="InstructionsTabelleText"/>
                <w:rFonts w:ascii="Times New Roman" w:hAnsi="Times New Roman"/>
                <w:sz w:val="24"/>
              </w:rPr>
              <w:t>020</w:t>
            </w:r>
          </w:p>
        </w:tc>
        <w:tc>
          <w:tcPr>
            <w:tcW w:w="7478" w:type="dxa"/>
          </w:tcPr>
          <w:p w:rsidR="005643EA" w:rsidRPr="00661595" w:rsidRDefault="00C66473" w:rsidP="00EE6F6C">
            <w:pPr>
              <w:pStyle w:val="body"/>
              <w:rPr>
                <w:rStyle w:val="InstructionsTabelleText"/>
                <w:rFonts w:ascii="Times New Roman" w:hAnsi="Times New Roman"/>
                <w:b/>
                <w:sz w:val="24"/>
                <w:u w:val="single"/>
              </w:rPr>
            </w:pPr>
            <w:r w:rsidRPr="00661595">
              <w:rPr>
                <w:rStyle w:val="InstructionsTabelleberschrift"/>
                <w:rFonts w:ascii="Times New Roman" w:hAnsi="Times New Roman"/>
                <w:sz w:val="24"/>
              </w:rPr>
              <w:t>2.</w:t>
            </w:r>
            <w:r w:rsidRPr="00661595">
              <w:rPr>
                <w:rStyle w:val="InstructionsTabelleberschrift"/>
                <w:rFonts w:ascii="Times New Roman" w:hAnsi="Times New Roman"/>
                <w:sz w:val="24"/>
              </w:rPr>
              <w:tab/>
            </w:r>
            <w:r w:rsidR="002648B0" w:rsidRPr="00661595">
              <w:rPr>
                <w:rStyle w:val="InstructionsTabelleberschrift"/>
                <w:rFonts w:ascii="Times New Roman" w:hAnsi="Times New Roman"/>
                <w:sz w:val="24"/>
              </w:rPr>
              <w:t xml:space="preserve">Instruments that qualified for point </w:t>
            </w:r>
            <w:r w:rsidR="00705025" w:rsidRPr="00661595">
              <w:rPr>
                <w:rStyle w:val="InstructionsTabelleberschrift"/>
                <w:rFonts w:ascii="Times New Roman" w:hAnsi="Times New Roman"/>
                <w:sz w:val="24"/>
              </w:rPr>
              <w:t>(</w:t>
            </w:r>
            <w:r w:rsidR="002648B0" w:rsidRPr="00661595">
              <w:rPr>
                <w:rStyle w:val="InstructionsTabelleberschrift"/>
                <w:rFonts w:ascii="Times New Roman" w:hAnsi="Times New Roman"/>
                <w:sz w:val="24"/>
              </w:rPr>
              <w:t xml:space="preserve">ca) of Article 57 and Article 154(8) and (9) of </w:t>
            </w:r>
            <w:r w:rsidR="00BB22D4" w:rsidRPr="00661595">
              <w:rPr>
                <w:rStyle w:val="InstructionsTabelleberschrift"/>
                <w:rFonts w:ascii="Times New Roman" w:hAnsi="Times New Roman"/>
                <w:sz w:val="24"/>
              </w:rPr>
              <w:t xml:space="preserve">Directive </w:t>
            </w:r>
            <w:r w:rsidR="002648B0" w:rsidRPr="00661595">
              <w:rPr>
                <w:rStyle w:val="InstructionsTabelleberschrift"/>
                <w:rFonts w:ascii="Times New Roman" w:hAnsi="Times New Roman"/>
                <w:sz w:val="24"/>
              </w:rPr>
              <w:t xml:space="preserve">2006/48/EC, subject to the limit of Article </w:t>
            </w:r>
            <w:r w:rsidR="00B542AB" w:rsidRPr="00661595">
              <w:rPr>
                <w:rStyle w:val="InstructionsTabelleberschrift"/>
                <w:rFonts w:ascii="Times New Roman" w:hAnsi="Times New Roman"/>
                <w:sz w:val="24"/>
              </w:rPr>
              <w:t>489</w:t>
            </w:r>
            <w:r w:rsidR="00BB22D4" w:rsidRPr="00661595">
              <w:rPr>
                <w:rStyle w:val="InstructionsTabelleberschrift"/>
                <w:rFonts w:ascii="Times New Roman" w:hAnsi="Times New Roman"/>
                <w:sz w:val="24"/>
              </w:rPr>
              <w:t xml:space="preserve"> CRR</w:t>
            </w:r>
          </w:p>
          <w:p w:rsidR="002648B0" w:rsidRPr="00661595" w:rsidRDefault="002648B0" w:rsidP="00EE6F6C">
            <w:pPr>
              <w:pStyle w:val="body"/>
              <w:rPr>
                <w:rStyle w:val="InstructionsTabelleText"/>
                <w:rFonts w:ascii="Times New Roman" w:hAnsi="Times New Roman"/>
                <w:sz w:val="24"/>
                <w:lang w:eastAsia="de-DE"/>
              </w:rPr>
            </w:pPr>
            <w:r w:rsidRPr="00661595">
              <w:rPr>
                <w:rStyle w:val="InstructionsTabelleText"/>
                <w:rFonts w:ascii="Times New Roman" w:hAnsi="Times New Roman"/>
                <w:sz w:val="24"/>
              </w:rPr>
              <w:t xml:space="preserve">Article </w:t>
            </w:r>
            <w:r w:rsidR="00B542AB" w:rsidRPr="00661595">
              <w:rPr>
                <w:rStyle w:val="InstructionsTabelleText"/>
                <w:rFonts w:ascii="Times New Roman" w:hAnsi="Times New Roman"/>
                <w:sz w:val="24"/>
              </w:rPr>
              <w:t>484</w:t>
            </w:r>
            <w:r w:rsidR="000F1CEA" w:rsidRPr="00661595">
              <w:rPr>
                <w:rStyle w:val="InstructionsTabelleText"/>
                <w:rFonts w:ascii="Times New Roman" w:hAnsi="Times New Roman"/>
                <w:sz w:val="24"/>
              </w:rPr>
              <w:t xml:space="preserve">(4) </w:t>
            </w:r>
            <w:r w:rsidR="00C7103D" w:rsidRPr="00661595">
              <w:rPr>
                <w:rStyle w:val="InstructionsTabelleText"/>
                <w:rFonts w:ascii="Times New Roman" w:hAnsi="Times New Roman"/>
                <w:sz w:val="24"/>
              </w:rPr>
              <w:t>CRR</w:t>
            </w:r>
          </w:p>
        </w:tc>
      </w:tr>
      <w:tr w:rsidR="002648B0" w:rsidRPr="00661595" w:rsidTr="00672D2A">
        <w:tc>
          <w:tcPr>
            <w:tcW w:w="703" w:type="dxa"/>
          </w:tcPr>
          <w:p w:rsidR="002648B0" w:rsidRPr="00661595" w:rsidRDefault="00606735" w:rsidP="00EE6F6C">
            <w:pPr>
              <w:pStyle w:val="body"/>
              <w:rPr>
                <w:rStyle w:val="InstructionsTabelleText"/>
                <w:rFonts w:ascii="Times New Roman" w:hAnsi="Times New Roman"/>
                <w:sz w:val="24"/>
              </w:rPr>
            </w:pPr>
            <w:r w:rsidRPr="00661595">
              <w:rPr>
                <w:rStyle w:val="InstructionsTabelleText"/>
                <w:rFonts w:ascii="Times New Roman" w:hAnsi="Times New Roman"/>
                <w:sz w:val="24"/>
              </w:rPr>
              <w:t>0</w:t>
            </w:r>
            <w:r w:rsidR="002648B0" w:rsidRPr="00661595">
              <w:rPr>
                <w:rStyle w:val="InstructionsTabelleText"/>
                <w:rFonts w:ascii="Times New Roman" w:hAnsi="Times New Roman"/>
                <w:sz w:val="24"/>
              </w:rPr>
              <w:t>030</w:t>
            </w:r>
          </w:p>
        </w:tc>
        <w:tc>
          <w:tcPr>
            <w:tcW w:w="7478" w:type="dxa"/>
          </w:tcPr>
          <w:p w:rsidR="00496C53" w:rsidRPr="00661595" w:rsidRDefault="002648B0" w:rsidP="00EE6F6C">
            <w:pPr>
              <w:pStyle w:val="body"/>
              <w:rPr>
                <w:rStyle w:val="InstructionsTabelleText"/>
                <w:rFonts w:ascii="Times New Roman" w:hAnsi="Times New Roman"/>
                <w:b/>
                <w:sz w:val="24"/>
                <w:u w:val="single"/>
              </w:rPr>
            </w:pPr>
            <w:r w:rsidRPr="00661595">
              <w:rPr>
                <w:rStyle w:val="InstructionsTabelleberschrift"/>
                <w:rFonts w:ascii="Times New Roman" w:hAnsi="Times New Roman"/>
                <w:sz w:val="24"/>
              </w:rPr>
              <w:t>2</w:t>
            </w:r>
            <w:r w:rsidR="000D194E"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ab/>
            </w:r>
            <w:r w:rsidRPr="00661595">
              <w:rPr>
                <w:rStyle w:val="InstructionsTabelleberschrift"/>
                <w:rFonts w:ascii="Times New Roman" w:hAnsi="Times New Roman"/>
                <w:sz w:val="24"/>
              </w:rPr>
              <w:t>Total instruments without a call or an incentive to redeem</w:t>
            </w:r>
          </w:p>
          <w:p w:rsidR="002648B0" w:rsidRPr="00661595" w:rsidRDefault="002648B0" w:rsidP="00EE6F6C">
            <w:pPr>
              <w:pStyle w:val="body"/>
              <w:rPr>
                <w:rStyle w:val="InstructionsTabelleText"/>
                <w:rFonts w:ascii="Times New Roman" w:hAnsi="Times New Roman"/>
                <w:bCs/>
                <w:sz w:val="24"/>
              </w:rPr>
            </w:pPr>
            <w:r w:rsidRPr="00661595">
              <w:rPr>
                <w:rStyle w:val="InstructionsTabelleText"/>
                <w:rFonts w:ascii="Times New Roman" w:hAnsi="Times New Roman"/>
                <w:sz w:val="24"/>
              </w:rPr>
              <w:t xml:space="preserve">Article </w:t>
            </w:r>
            <w:r w:rsidR="00D412C0" w:rsidRPr="00661595">
              <w:rPr>
                <w:rStyle w:val="InstructionsTabelleText"/>
                <w:rFonts w:ascii="Times New Roman" w:hAnsi="Times New Roman"/>
                <w:sz w:val="24"/>
              </w:rPr>
              <w:t xml:space="preserve">484(4) and </w:t>
            </w:r>
            <w:r w:rsidR="00167619" w:rsidRPr="00661595">
              <w:rPr>
                <w:rStyle w:val="InstructionsTabelleText"/>
                <w:rFonts w:ascii="Times New Roman" w:hAnsi="Times New Roman"/>
                <w:sz w:val="24"/>
              </w:rPr>
              <w:t xml:space="preserve">Article </w:t>
            </w:r>
            <w:r w:rsidR="00B542AB" w:rsidRPr="00661595">
              <w:rPr>
                <w:rStyle w:val="InstructionsTabelleText"/>
                <w:rFonts w:ascii="Times New Roman" w:hAnsi="Times New Roman"/>
                <w:sz w:val="24"/>
              </w:rPr>
              <w:t>489</w:t>
            </w:r>
            <w:r w:rsidRPr="00661595">
              <w:rPr>
                <w:rStyle w:val="InstructionsTabelleText"/>
                <w:rFonts w:ascii="Times New Roman" w:hAnsi="Times New Roman"/>
                <w:sz w:val="24"/>
              </w:rPr>
              <w:t xml:space="preserve"> </w:t>
            </w:r>
            <w:r w:rsidR="00C7103D" w:rsidRPr="00661595">
              <w:rPr>
                <w:rStyle w:val="InstructionsTabelleText"/>
                <w:rFonts w:ascii="Times New Roman" w:hAnsi="Times New Roman"/>
                <w:sz w:val="24"/>
              </w:rPr>
              <w:t>CRR</w:t>
            </w:r>
          </w:p>
          <w:p w:rsidR="002648B0" w:rsidRPr="00661595" w:rsidRDefault="002648B0" w:rsidP="00EE6F6C">
            <w:pPr>
              <w:pStyle w:val="body"/>
              <w:rPr>
                <w:rStyle w:val="InstructionsTabelleText"/>
                <w:rFonts w:ascii="Times New Roman" w:hAnsi="Times New Roman"/>
                <w:sz w:val="24"/>
                <w:lang w:eastAsia="de-DE"/>
              </w:rPr>
            </w:pPr>
            <w:r w:rsidRPr="00661595">
              <w:rPr>
                <w:rStyle w:val="InstructionsTabelleText"/>
                <w:rFonts w:ascii="Times New Roman" w:hAnsi="Times New Roman"/>
                <w:sz w:val="24"/>
              </w:rPr>
              <w:t>The amount to be reported shall include the related share premium accounts.</w:t>
            </w:r>
          </w:p>
        </w:tc>
      </w:tr>
      <w:tr w:rsidR="002648B0" w:rsidRPr="00661595" w:rsidTr="00672D2A">
        <w:tc>
          <w:tcPr>
            <w:tcW w:w="703" w:type="dxa"/>
          </w:tcPr>
          <w:p w:rsidR="002648B0" w:rsidRPr="00661595" w:rsidRDefault="00606735" w:rsidP="00EE6F6C">
            <w:pPr>
              <w:pStyle w:val="body"/>
              <w:rPr>
                <w:rStyle w:val="InstructionsTabelleText"/>
                <w:rFonts w:ascii="Times New Roman" w:hAnsi="Times New Roman"/>
                <w:sz w:val="24"/>
              </w:rPr>
            </w:pPr>
            <w:r w:rsidRPr="00661595">
              <w:rPr>
                <w:rStyle w:val="InstructionsTabelleText"/>
                <w:rFonts w:ascii="Times New Roman" w:hAnsi="Times New Roman"/>
                <w:sz w:val="24"/>
              </w:rPr>
              <w:t>0</w:t>
            </w:r>
            <w:r w:rsidR="002648B0" w:rsidRPr="00661595">
              <w:rPr>
                <w:rStyle w:val="InstructionsTabelleText"/>
                <w:rFonts w:ascii="Times New Roman" w:hAnsi="Times New Roman"/>
                <w:sz w:val="24"/>
              </w:rPr>
              <w:t>040</w:t>
            </w:r>
          </w:p>
        </w:tc>
        <w:tc>
          <w:tcPr>
            <w:tcW w:w="7478" w:type="dxa"/>
          </w:tcPr>
          <w:p w:rsidR="005643EA" w:rsidRPr="00661595" w:rsidRDefault="002648B0" w:rsidP="00EE6F6C">
            <w:pPr>
              <w:pStyle w:val="body"/>
              <w:rPr>
                <w:rStyle w:val="InstructionsTabelleText"/>
                <w:rFonts w:ascii="Times New Roman" w:hAnsi="Times New Roman"/>
                <w:b/>
                <w:sz w:val="24"/>
                <w:u w:val="single"/>
              </w:rPr>
            </w:pPr>
            <w:r w:rsidRPr="00661595">
              <w:rPr>
                <w:rStyle w:val="InstructionsTabelleberschrift"/>
                <w:rFonts w:ascii="Times New Roman" w:hAnsi="Times New Roman"/>
                <w:sz w:val="24"/>
              </w:rPr>
              <w:t>2</w:t>
            </w:r>
            <w:r w:rsidR="000D194E" w:rsidRPr="00661595">
              <w:rPr>
                <w:rStyle w:val="InstructionsTabelleberschrift"/>
                <w:rFonts w:ascii="Times New Roman" w:hAnsi="Times New Roman"/>
                <w:sz w:val="24"/>
              </w:rPr>
              <w:t>.2</w:t>
            </w:r>
            <w:r w:rsidR="000D194E" w:rsidRPr="00661595">
              <w:rPr>
                <w:rStyle w:val="InstructionsTabelleberschrift"/>
                <w:rFonts w:ascii="Times New Roman" w:hAnsi="Times New Roman"/>
                <w:sz w:val="24"/>
              </w:rPr>
              <w:tab/>
            </w:r>
            <w:r w:rsidRPr="00661595">
              <w:rPr>
                <w:rStyle w:val="InstructionsTabelleberschrift"/>
                <w:rFonts w:ascii="Times New Roman" w:hAnsi="Times New Roman"/>
                <w:sz w:val="24"/>
              </w:rPr>
              <w:t>Grandfathered instruments with a call and incentive to redeem</w:t>
            </w:r>
          </w:p>
          <w:p w:rsidR="005643EA" w:rsidRPr="00661595" w:rsidRDefault="002648B0" w:rsidP="00EE6F6C">
            <w:pPr>
              <w:pStyle w:val="body"/>
              <w:rPr>
                <w:rStyle w:val="InstructionsTabelleText"/>
                <w:rFonts w:ascii="Times New Roman" w:hAnsi="Times New Roman"/>
                <w:bCs/>
                <w:sz w:val="24"/>
              </w:rPr>
            </w:pPr>
            <w:r w:rsidRPr="00661595">
              <w:rPr>
                <w:rStyle w:val="InstructionsTabelleText"/>
                <w:rFonts w:ascii="Times New Roman" w:hAnsi="Times New Roman"/>
                <w:sz w:val="24"/>
              </w:rPr>
              <w:t xml:space="preserve">Article </w:t>
            </w:r>
            <w:r w:rsidR="00B542AB" w:rsidRPr="00661595">
              <w:rPr>
                <w:rStyle w:val="InstructionsTabelleText"/>
                <w:rFonts w:ascii="Times New Roman" w:hAnsi="Times New Roman"/>
                <w:sz w:val="24"/>
              </w:rPr>
              <w:t>489</w:t>
            </w:r>
            <w:r w:rsidRPr="00661595">
              <w:rPr>
                <w:rStyle w:val="InstructionsTabelleText"/>
                <w:rFonts w:ascii="Times New Roman" w:hAnsi="Times New Roman"/>
                <w:sz w:val="24"/>
              </w:rPr>
              <w:t xml:space="preserve"> </w:t>
            </w:r>
            <w:r w:rsidR="00C7103D" w:rsidRPr="00661595">
              <w:rPr>
                <w:rStyle w:val="InstructionsTabelleText"/>
                <w:rFonts w:ascii="Times New Roman" w:hAnsi="Times New Roman"/>
                <w:sz w:val="24"/>
              </w:rPr>
              <w:t>CRR</w:t>
            </w:r>
          </w:p>
        </w:tc>
      </w:tr>
      <w:tr w:rsidR="002648B0" w:rsidRPr="00661595" w:rsidTr="00672D2A">
        <w:tc>
          <w:tcPr>
            <w:tcW w:w="703" w:type="dxa"/>
          </w:tcPr>
          <w:p w:rsidR="002648B0" w:rsidRPr="00661595" w:rsidRDefault="00606735" w:rsidP="00EE6F6C">
            <w:pPr>
              <w:pStyle w:val="body"/>
              <w:rPr>
                <w:rStyle w:val="InstructionsTabelleText"/>
                <w:rFonts w:ascii="Times New Roman" w:hAnsi="Times New Roman"/>
                <w:sz w:val="24"/>
              </w:rPr>
            </w:pPr>
            <w:r w:rsidRPr="00661595">
              <w:rPr>
                <w:rStyle w:val="InstructionsTabelleText"/>
                <w:rFonts w:ascii="Times New Roman" w:hAnsi="Times New Roman"/>
                <w:sz w:val="24"/>
              </w:rPr>
              <w:t>0</w:t>
            </w:r>
            <w:r w:rsidR="002648B0" w:rsidRPr="00661595">
              <w:rPr>
                <w:rStyle w:val="InstructionsTabelleText"/>
                <w:rFonts w:ascii="Times New Roman" w:hAnsi="Times New Roman"/>
                <w:sz w:val="24"/>
              </w:rPr>
              <w:t>050</w:t>
            </w:r>
          </w:p>
        </w:tc>
        <w:tc>
          <w:tcPr>
            <w:tcW w:w="7478" w:type="dxa"/>
          </w:tcPr>
          <w:p w:rsidR="005643EA" w:rsidRPr="00661595" w:rsidRDefault="002648B0" w:rsidP="00EE6F6C">
            <w:pPr>
              <w:pStyle w:val="body"/>
              <w:rPr>
                <w:rStyle w:val="InstructionsTabelleText"/>
                <w:rFonts w:ascii="Times New Roman" w:hAnsi="Times New Roman"/>
                <w:b/>
                <w:bCs/>
                <w:sz w:val="24"/>
                <w:u w:val="single"/>
              </w:rPr>
            </w:pPr>
            <w:r w:rsidRPr="00661595">
              <w:rPr>
                <w:rStyle w:val="InstructionsTabelleberschrift"/>
                <w:rFonts w:ascii="Times New Roman" w:hAnsi="Times New Roman"/>
                <w:sz w:val="24"/>
              </w:rPr>
              <w:t>2</w:t>
            </w:r>
            <w:r w:rsidR="000D194E" w:rsidRPr="00661595">
              <w:rPr>
                <w:rStyle w:val="InstructionsTabelleberschrift"/>
                <w:rFonts w:ascii="Times New Roman" w:hAnsi="Times New Roman"/>
                <w:sz w:val="24"/>
              </w:rPr>
              <w:t>.2.1</w:t>
            </w:r>
            <w:r w:rsidR="000D194E" w:rsidRPr="00661595">
              <w:rPr>
                <w:rStyle w:val="InstructionsTabelleberschrift"/>
                <w:rFonts w:ascii="Times New Roman" w:hAnsi="Times New Roman"/>
                <w:sz w:val="24"/>
              </w:rPr>
              <w:tab/>
            </w:r>
            <w:r w:rsidRPr="00661595">
              <w:rPr>
                <w:rStyle w:val="InstructionsTabelleberschrift"/>
                <w:rFonts w:ascii="Times New Roman" w:hAnsi="Times New Roman"/>
                <w:sz w:val="24"/>
              </w:rPr>
              <w:t xml:space="preserve">Instruments with a call exercisable after the reporting date, and which meet the conditions in Article </w:t>
            </w:r>
            <w:r w:rsidR="00D412C0" w:rsidRPr="00661595">
              <w:rPr>
                <w:rStyle w:val="InstructionsTabelleberschrift"/>
                <w:rFonts w:ascii="Times New Roman" w:hAnsi="Times New Roman"/>
                <w:sz w:val="24"/>
              </w:rPr>
              <w:t>52</w:t>
            </w:r>
            <w:r w:rsidRPr="00661595">
              <w:rPr>
                <w:rStyle w:val="InstructionsTabelleberschrift"/>
                <w:rFonts w:ascii="Times New Roman" w:hAnsi="Times New Roman"/>
                <w:sz w:val="24"/>
              </w:rPr>
              <w:t xml:space="preserve"> </w:t>
            </w:r>
            <w:r w:rsidR="00C7103D" w:rsidRPr="00661595">
              <w:rPr>
                <w:rStyle w:val="InstructionsTabelleberschrift"/>
                <w:rFonts w:ascii="Times New Roman" w:hAnsi="Times New Roman"/>
                <w:sz w:val="24"/>
              </w:rPr>
              <w:t>CRR</w:t>
            </w:r>
            <w:r w:rsidRPr="00661595">
              <w:rPr>
                <w:rStyle w:val="InstructionsTabelleberschrift"/>
                <w:rFonts w:ascii="Times New Roman" w:hAnsi="Times New Roman"/>
                <w:sz w:val="24"/>
              </w:rPr>
              <w:t xml:space="preserve"> after the date of effective maturity</w:t>
            </w:r>
          </w:p>
          <w:p w:rsidR="005643EA" w:rsidRPr="00661595" w:rsidRDefault="002648B0" w:rsidP="00EE6F6C">
            <w:pPr>
              <w:pStyle w:val="body"/>
              <w:rPr>
                <w:rStyle w:val="InstructionsTabelleText"/>
                <w:rFonts w:ascii="Times New Roman" w:hAnsi="Times New Roman"/>
                <w:sz w:val="24"/>
              </w:rPr>
            </w:pPr>
            <w:r w:rsidRPr="00661595">
              <w:rPr>
                <w:rStyle w:val="InstructionsTabelleText"/>
                <w:rFonts w:ascii="Times New Roman" w:hAnsi="Times New Roman"/>
                <w:sz w:val="24"/>
              </w:rPr>
              <w:t xml:space="preserve">Article </w:t>
            </w:r>
            <w:r w:rsidR="00B542AB" w:rsidRPr="00661595">
              <w:rPr>
                <w:rStyle w:val="InstructionsTabelleText"/>
                <w:rFonts w:ascii="Times New Roman" w:hAnsi="Times New Roman"/>
                <w:sz w:val="24"/>
              </w:rPr>
              <w:t>489</w:t>
            </w:r>
            <w:r w:rsidRPr="00661595">
              <w:rPr>
                <w:rStyle w:val="InstructionsTabelleText"/>
                <w:rFonts w:ascii="Times New Roman" w:hAnsi="Times New Roman"/>
                <w:sz w:val="24"/>
              </w:rPr>
              <w:t xml:space="preserve">(3) and </w:t>
            </w:r>
            <w:r w:rsidR="009F1550" w:rsidRPr="00661595">
              <w:rPr>
                <w:rStyle w:val="InstructionsTabelleText"/>
                <w:rFonts w:ascii="Times New Roman" w:hAnsi="Times New Roman"/>
                <w:sz w:val="24"/>
              </w:rPr>
              <w:t xml:space="preserve">point (a) of Article </w:t>
            </w:r>
            <w:r w:rsidR="00B542AB" w:rsidRPr="00661595">
              <w:rPr>
                <w:rStyle w:val="InstructionsTabelleText"/>
                <w:rFonts w:ascii="Times New Roman" w:hAnsi="Times New Roman"/>
                <w:sz w:val="24"/>
              </w:rPr>
              <w:t>491</w:t>
            </w:r>
            <w:r w:rsidRPr="00661595">
              <w:rPr>
                <w:rStyle w:val="InstructionsTabelleText"/>
                <w:rFonts w:ascii="Times New Roman" w:hAnsi="Times New Roman"/>
                <w:sz w:val="24"/>
              </w:rPr>
              <w:t xml:space="preserve"> </w:t>
            </w:r>
            <w:r w:rsidR="00C7103D" w:rsidRPr="00661595">
              <w:rPr>
                <w:rStyle w:val="InstructionsTabelleText"/>
                <w:rFonts w:ascii="Times New Roman" w:hAnsi="Times New Roman"/>
                <w:sz w:val="24"/>
              </w:rPr>
              <w:t>CRR</w:t>
            </w:r>
          </w:p>
          <w:p w:rsidR="002648B0" w:rsidRPr="00661595" w:rsidRDefault="002648B0" w:rsidP="00EE6F6C">
            <w:pPr>
              <w:pStyle w:val="body"/>
              <w:rPr>
                <w:rStyle w:val="InstructionsTabelleText"/>
                <w:rFonts w:ascii="Times New Roman" w:hAnsi="Times New Roman"/>
                <w:sz w:val="24"/>
                <w:lang w:eastAsia="de-DE"/>
              </w:rPr>
            </w:pPr>
            <w:r w:rsidRPr="00661595">
              <w:rPr>
                <w:rStyle w:val="InstructionsTabelleText"/>
                <w:rFonts w:ascii="Times New Roman" w:hAnsi="Times New Roman"/>
                <w:sz w:val="24"/>
              </w:rPr>
              <w:t>The amount to be reported shall include the related share premium accounts.</w:t>
            </w:r>
          </w:p>
        </w:tc>
      </w:tr>
      <w:tr w:rsidR="002648B0" w:rsidRPr="00661595" w:rsidTr="00672D2A">
        <w:tc>
          <w:tcPr>
            <w:tcW w:w="703" w:type="dxa"/>
          </w:tcPr>
          <w:p w:rsidR="002648B0" w:rsidRPr="00661595" w:rsidRDefault="00606735" w:rsidP="00EE6F6C">
            <w:pPr>
              <w:pStyle w:val="body"/>
              <w:rPr>
                <w:rStyle w:val="InstructionsTabelleText"/>
                <w:rFonts w:ascii="Times New Roman" w:hAnsi="Times New Roman"/>
                <w:sz w:val="24"/>
              </w:rPr>
            </w:pPr>
            <w:r w:rsidRPr="00661595">
              <w:rPr>
                <w:rStyle w:val="InstructionsTabelleText"/>
                <w:rFonts w:ascii="Times New Roman" w:hAnsi="Times New Roman"/>
                <w:sz w:val="24"/>
              </w:rPr>
              <w:t>0</w:t>
            </w:r>
            <w:r w:rsidR="002648B0" w:rsidRPr="00661595">
              <w:rPr>
                <w:rStyle w:val="InstructionsTabelleText"/>
                <w:rFonts w:ascii="Times New Roman" w:hAnsi="Times New Roman"/>
                <w:sz w:val="24"/>
              </w:rPr>
              <w:t>060</w:t>
            </w:r>
          </w:p>
        </w:tc>
        <w:tc>
          <w:tcPr>
            <w:tcW w:w="7478" w:type="dxa"/>
          </w:tcPr>
          <w:p w:rsidR="005643EA" w:rsidRPr="00661595" w:rsidRDefault="002648B0" w:rsidP="00EE6F6C">
            <w:pPr>
              <w:pStyle w:val="body"/>
              <w:rPr>
                <w:rStyle w:val="InstructionsTabelleText"/>
                <w:rFonts w:ascii="Times New Roman" w:hAnsi="Times New Roman"/>
                <w:b/>
                <w:sz w:val="24"/>
                <w:u w:val="single"/>
              </w:rPr>
            </w:pPr>
            <w:r w:rsidRPr="00661595">
              <w:rPr>
                <w:rStyle w:val="InstructionsTabelleberschrift"/>
                <w:rFonts w:ascii="Times New Roman" w:hAnsi="Times New Roman"/>
                <w:sz w:val="24"/>
              </w:rPr>
              <w:t>2</w:t>
            </w:r>
            <w:r w:rsidR="000D194E" w:rsidRPr="00661595">
              <w:rPr>
                <w:rStyle w:val="InstructionsTabelleberschrift"/>
                <w:rFonts w:ascii="Times New Roman" w:hAnsi="Times New Roman"/>
                <w:sz w:val="24"/>
              </w:rPr>
              <w:t>.2.2</w:t>
            </w:r>
            <w:r w:rsidR="000D194E" w:rsidRPr="00661595">
              <w:rPr>
                <w:rStyle w:val="InstructionsTabelleberschrift"/>
                <w:rFonts w:ascii="Times New Roman" w:hAnsi="Times New Roman"/>
                <w:sz w:val="24"/>
              </w:rPr>
              <w:tab/>
            </w:r>
            <w:r w:rsidRPr="00661595">
              <w:rPr>
                <w:rStyle w:val="InstructionsTabelleberschrift"/>
                <w:rFonts w:ascii="Times New Roman" w:hAnsi="Times New Roman"/>
                <w:sz w:val="24"/>
              </w:rPr>
              <w:t xml:space="preserve">Instruments with a call exercisable after the reporting date, and which do not meet the conditions in Article </w:t>
            </w:r>
            <w:r w:rsidR="00D412C0" w:rsidRPr="00661595">
              <w:rPr>
                <w:rStyle w:val="InstructionsTabelleberschrift"/>
                <w:rFonts w:ascii="Times New Roman" w:hAnsi="Times New Roman"/>
                <w:sz w:val="24"/>
              </w:rPr>
              <w:t>52</w:t>
            </w:r>
            <w:r w:rsidRPr="00661595">
              <w:rPr>
                <w:rStyle w:val="InstructionsTabelleberschrift"/>
                <w:rFonts w:ascii="Times New Roman" w:hAnsi="Times New Roman"/>
                <w:sz w:val="24"/>
              </w:rPr>
              <w:t xml:space="preserve"> </w:t>
            </w:r>
            <w:r w:rsidR="00C7103D" w:rsidRPr="00661595">
              <w:rPr>
                <w:rStyle w:val="InstructionsTabelleberschrift"/>
                <w:rFonts w:ascii="Times New Roman" w:hAnsi="Times New Roman"/>
                <w:sz w:val="24"/>
              </w:rPr>
              <w:t>CRR</w:t>
            </w:r>
            <w:r w:rsidRPr="00661595">
              <w:rPr>
                <w:rStyle w:val="InstructionsTabelleberschrift"/>
                <w:rFonts w:ascii="Times New Roman" w:hAnsi="Times New Roman"/>
                <w:sz w:val="24"/>
              </w:rPr>
              <w:t xml:space="preserve"> after the date of effective maturity</w:t>
            </w:r>
          </w:p>
          <w:p w:rsidR="009F1550" w:rsidRPr="00661595" w:rsidRDefault="009F1550" w:rsidP="00EE6F6C">
            <w:pPr>
              <w:pStyle w:val="body"/>
              <w:rPr>
                <w:rStyle w:val="InstructionsTabelleText"/>
                <w:rFonts w:ascii="Times New Roman" w:hAnsi="Times New Roman"/>
                <w:sz w:val="24"/>
              </w:rPr>
            </w:pPr>
            <w:r w:rsidRPr="00661595">
              <w:rPr>
                <w:rStyle w:val="InstructionsTabelleText"/>
                <w:rFonts w:ascii="Times New Roman" w:hAnsi="Times New Roman"/>
                <w:sz w:val="24"/>
              </w:rPr>
              <w:t>Article 489(5) and point (a) of Article 491 CRR</w:t>
            </w:r>
          </w:p>
          <w:p w:rsidR="002648B0" w:rsidRPr="00661595" w:rsidRDefault="002648B0" w:rsidP="00EE6F6C">
            <w:pPr>
              <w:pStyle w:val="body"/>
              <w:rPr>
                <w:rStyle w:val="InstructionsTabelleText"/>
                <w:rFonts w:ascii="Times New Roman" w:hAnsi="Times New Roman"/>
                <w:sz w:val="24"/>
                <w:lang w:eastAsia="de-DE"/>
              </w:rPr>
            </w:pPr>
            <w:r w:rsidRPr="00661595">
              <w:rPr>
                <w:rStyle w:val="InstructionsTabelleText"/>
                <w:rFonts w:ascii="Times New Roman" w:hAnsi="Times New Roman"/>
                <w:sz w:val="24"/>
              </w:rPr>
              <w:t>The amount to be reported shall include the related share premium accounts.</w:t>
            </w:r>
          </w:p>
        </w:tc>
      </w:tr>
      <w:tr w:rsidR="002648B0" w:rsidRPr="00661595" w:rsidTr="00672D2A">
        <w:tc>
          <w:tcPr>
            <w:tcW w:w="703" w:type="dxa"/>
          </w:tcPr>
          <w:p w:rsidR="002648B0" w:rsidRPr="00661595" w:rsidRDefault="00606735" w:rsidP="00EE6F6C">
            <w:pPr>
              <w:pStyle w:val="body"/>
              <w:rPr>
                <w:rStyle w:val="InstructionsTabelleText"/>
                <w:rFonts w:ascii="Times New Roman" w:hAnsi="Times New Roman"/>
                <w:sz w:val="24"/>
              </w:rPr>
            </w:pPr>
            <w:r w:rsidRPr="00661595">
              <w:rPr>
                <w:rStyle w:val="InstructionsTabelleText"/>
                <w:rFonts w:ascii="Times New Roman" w:hAnsi="Times New Roman"/>
                <w:sz w:val="24"/>
              </w:rPr>
              <w:t>0</w:t>
            </w:r>
            <w:r w:rsidR="002648B0" w:rsidRPr="00661595">
              <w:rPr>
                <w:rStyle w:val="InstructionsTabelleText"/>
                <w:rFonts w:ascii="Times New Roman" w:hAnsi="Times New Roman"/>
                <w:sz w:val="24"/>
              </w:rPr>
              <w:t>070</w:t>
            </w:r>
          </w:p>
        </w:tc>
        <w:tc>
          <w:tcPr>
            <w:tcW w:w="7478" w:type="dxa"/>
          </w:tcPr>
          <w:p w:rsidR="005643EA" w:rsidRPr="00661595" w:rsidRDefault="002648B0" w:rsidP="00EE6F6C">
            <w:pPr>
              <w:pStyle w:val="body"/>
              <w:rPr>
                <w:rStyle w:val="InstructionsTabelleText"/>
                <w:rFonts w:ascii="Times New Roman" w:hAnsi="Times New Roman"/>
                <w:b/>
                <w:sz w:val="24"/>
                <w:u w:val="single"/>
              </w:rPr>
            </w:pPr>
            <w:r w:rsidRPr="00661595">
              <w:rPr>
                <w:rStyle w:val="InstructionsTabelleberschrift"/>
                <w:rFonts w:ascii="Times New Roman" w:hAnsi="Times New Roman"/>
                <w:sz w:val="24"/>
              </w:rPr>
              <w:t>2</w:t>
            </w:r>
            <w:r w:rsidR="000D194E" w:rsidRPr="00661595">
              <w:rPr>
                <w:rStyle w:val="InstructionsTabelleberschrift"/>
                <w:rFonts w:ascii="Times New Roman" w:hAnsi="Times New Roman"/>
                <w:sz w:val="24"/>
              </w:rPr>
              <w:t>.2.3</w:t>
            </w:r>
            <w:r w:rsidR="000D194E" w:rsidRPr="00661595">
              <w:rPr>
                <w:rStyle w:val="InstructionsTabelleberschrift"/>
                <w:rFonts w:ascii="Times New Roman" w:hAnsi="Times New Roman"/>
                <w:sz w:val="24"/>
              </w:rPr>
              <w:tab/>
            </w:r>
            <w:r w:rsidRPr="00661595">
              <w:rPr>
                <w:rStyle w:val="InstructionsTabelleberschrift"/>
                <w:rFonts w:ascii="Times New Roman" w:hAnsi="Times New Roman"/>
                <w:sz w:val="24"/>
              </w:rPr>
              <w:t>Instruments with a call exercisable prior to</w:t>
            </w:r>
            <w:r w:rsidR="00730040" w:rsidRPr="00661595">
              <w:rPr>
                <w:rStyle w:val="InstructionsTabelleberschrift"/>
                <w:rFonts w:ascii="Times New Roman" w:hAnsi="Times New Roman"/>
                <w:sz w:val="24"/>
              </w:rPr>
              <w:t xml:space="preserve"> </w:t>
            </w:r>
            <w:r w:rsidRPr="00661595">
              <w:rPr>
                <w:rStyle w:val="InstructionsTabelleberschrift"/>
                <w:rFonts w:ascii="Times New Roman" w:hAnsi="Times New Roman"/>
                <w:sz w:val="24"/>
              </w:rPr>
              <w:t xml:space="preserve">or on 20 July 2011, and which do not meet the conditions in Article </w:t>
            </w:r>
            <w:r w:rsidR="00D412C0" w:rsidRPr="00661595">
              <w:rPr>
                <w:rStyle w:val="InstructionsTabelleberschrift"/>
                <w:rFonts w:ascii="Times New Roman" w:hAnsi="Times New Roman"/>
                <w:sz w:val="24"/>
              </w:rPr>
              <w:t>52</w:t>
            </w:r>
            <w:r w:rsidRPr="00661595">
              <w:rPr>
                <w:rStyle w:val="InstructionsTabelleberschrift"/>
                <w:rFonts w:ascii="Times New Roman" w:hAnsi="Times New Roman"/>
                <w:sz w:val="24"/>
              </w:rPr>
              <w:t xml:space="preserve"> </w:t>
            </w:r>
            <w:r w:rsidR="00C7103D" w:rsidRPr="00661595">
              <w:rPr>
                <w:rStyle w:val="InstructionsTabelleberschrift"/>
                <w:rFonts w:ascii="Times New Roman" w:hAnsi="Times New Roman"/>
                <w:sz w:val="24"/>
              </w:rPr>
              <w:t>CRR</w:t>
            </w:r>
            <w:r w:rsidRPr="00661595">
              <w:rPr>
                <w:rStyle w:val="InstructionsTabelleberschrift"/>
                <w:rFonts w:ascii="Times New Roman" w:hAnsi="Times New Roman"/>
                <w:sz w:val="24"/>
              </w:rPr>
              <w:t xml:space="preserve"> after the date of effective maturity</w:t>
            </w:r>
          </w:p>
          <w:p w:rsidR="009F1550" w:rsidRPr="00661595" w:rsidRDefault="009F1550" w:rsidP="00EE6F6C">
            <w:pPr>
              <w:pStyle w:val="body"/>
              <w:rPr>
                <w:rStyle w:val="InstructionsTabelleText"/>
                <w:rFonts w:ascii="Times New Roman" w:hAnsi="Times New Roman"/>
                <w:sz w:val="24"/>
              </w:rPr>
            </w:pPr>
            <w:r w:rsidRPr="00661595">
              <w:rPr>
                <w:rStyle w:val="InstructionsTabelleText"/>
                <w:rFonts w:ascii="Times New Roman" w:hAnsi="Times New Roman"/>
                <w:sz w:val="24"/>
              </w:rPr>
              <w:t>Article 489(6) and point (c) of Article 491 CRR</w:t>
            </w:r>
          </w:p>
          <w:p w:rsidR="002648B0" w:rsidRPr="00661595" w:rsidRDefault="002648B0" w:rsidP="00EE6F6C">
            <w:pPr>
              <w:pStyle w:val="body"/>
              <w:rPr>
                <w:rStyle w:val="InstructionsTabelleText"/>
                <w:rFonts w:ascii="Times New Roman" w:hAnsi="Times New Roman"/>
                <w:sz w:val="24"/>
              </w:rPr>
            </w:pPr>
            <w:r w:rsidRPr="00661595">
              <w:rPr>
                <w:rStyle w:val="InstructionsTabelleText"/>
                <w:rFonts w:ascii="Times New Roman" w:hAnsi="Times New Roman"/>
                <w:sz w:val="24"/>
              </w:rPr>
              <w:t>The amount to be reported shall include the related share premium ac</w:t>
            </w:r>
            <w:r w:rsidR="000F1CEA" w:rsidRPr="00661595">
              <w:rPr>
                <w:rStyle w:val="InstructionsTabelleText"/>
                <w:rFonts w:ascii="Times New Roman" w:hAnsi="Times New Roman"/>
                <w:sz w:val="24"/>
              </w:rPr>
              <w:t>counts</w:t>
            </w:r>
          </w:p>
        </w:tc>
      </w:tr>
      <w:tr w:rsidR="002648B0" w:rsidRPr="00661595" w:rsidTr="00672D2A">
        <w:tc>
          <w:tcPr>
            <w:tcW w:w="703" w:type="dxa"/>
          </w:tcPr>
          <w:p w:rsidR="002648B0" w:rsidRPr="00661595" w:rsidRDefault="00606735" w:rsidP="00EE6F6C">
            <w:pPr>
              <w:pStyle w:val="body"/>
              <w:rPr>
                <w:rStyle w:val="InstructionsTabelleText"/>
                <w:rFonts w:ascii="Times New Roman" w:hAnsi="Times New Roman"/>
                <w:sz w:val="24"/>
              </w:rPr>
            </w:pPr>
            <w:r w:rsidRPr="00661595">
              <w:rPr>
                <w:rStyle w:val="InstructionsTabelleText"/>
                <w:rFonts w:ascii="Times New Roman" w:hAnsi="Times New Roman"/>
                <w:sz w:val="24"/>
              </w:rPr>
              <w:t>0</w:t>
            </w:r>
            <w:r w:rsidR="002648B0" w:rsidRPr="00661595">
              <w:rPr>
                <w:rStyle w:val="InstructionsTabelleText"/>
                <w:rFonts w:ascii="Times New Roman" w:hAnsi="Times New Roman"/>
                <w:sz w:val="24"/>
              </w:rPr>
              <w:t>080</w:t>
            </w:r>
          </w:p>
        </w:tc>
        <w:tc>
          <w:tcPr>
            <w:tcW w:w="7478" w:type="dxa"/>
          </w:tcPr>
          <w:p w:rsidR="005643EA" w:rsidRPr="00661595" w:rsidRDefault="002648B0" w:rsidP="00EE6F6C">
            <w:pPr>
              <w:pStyle w:val="body"/>
              <w:rPr>
                <w:rStyle w:val="InstructionsTabelleText"/>
                <w:rFonts w:ascii="Times New Roman" w:hAnsi="Times New Roman"/>
                <w:b/>
                <w:bCs/>
                <w:sz w:val="24"/>
                <w:u w:val="single"/>
              </w:rPr>
            </w:pPr>
            <w:r w:rsidRPr="00661595">
              <w:rPr>
                <w:rStyle w:val="InstructionsTabelleberschrift"/>
                <w:rFonts w:ascii="Times New Roman" w:hAnsi="Times New Roman"/>
                <w:sz w:val="24"/>
              </w:rPr>
              <w:t>2</w:t>
            </w:r>
            <w:r w:rsidR="000D194E" w:rsidRPr="00661595">
              <w:rPr>
                <w:rStyle w:val="InstructionsTabelleberschrift"/>
                <w:rFonts w:ascii="Times New Roman" w:hAnsi="Times New Roman"/>
                <w:sz w:val="24"/>
              </w:rPr>
              <w:t>.3</w:t>
            </w:r>
            <w:r w:rsidR="000D194E" w:rsidRPr="00661595">
              <w:rPr>
                <w:rStyle w:val="InstructionsTabelleberschrift"/>
                <w:rFonts w:ascii="Times New Roman" w:hAnsi="Times New Roman"/>
                <w:sz w:val="24"/>
              </w:rPr>
              <w:tab/>
            </w:r>
            <w:r w:rsidRPr="00661595">
              <w:rPr>
                <w:rStyle w:val="InstructionsTabelleberschrift"/>
                <w:rFonts w:ascii="Times New Roman" w:hAnsi="Times New Roman"/>
                <w:sz w:val="24"/>
              </w:rPr>
              <w:t>Excess on the limit of CET1 grandfathered instruments</w:t>
            </w:r>
          </w:p>
          <w:p w:rsidR="002648B0" w:rsidRPr="00661595" w:rsidRDefault="002648B0" w:rsidP="00EE6F6C">
            <w:pPr>
              <w:pStyle w:val="body"/>
              <w:rPr>
                <w:rStyle w:val="InstructionsTabelleText"/>
                <w:rFonts w:ascii="Times New Roman" w:hAnsi="Times New Roman"/>
                <w:sz w:val="24"/>
              </w:rPr>
            </w:pPr>
            <w:r w:rsidRPr="00661595">
              <w:rPr>
                <w:rStyle w:val="InstructionsTabelleText"/>
                <w:rFonts w:ascii="Times New Roman" w:hAnsi="Times New Roman"/>
                <w:sz w:val="24"/>
              </w:rPr>
              <w:t xml:space="preserve">Article </w:t>
            </w:r>
            <w:r w:rsidR="00B542AB" w:rsidRPr="00661595">
              <w:rPr>
                <w:rStyle w:val="InstructionsTabelleText"/>
                <w:rFonts w:ascii="Times New Roman" w:hAnsi="Times New Roman"/>
                <w:sz w:val="24"/>
              </w:rPr>
              <w:t>487</w:t>
            </w:r>
            <w:r w:rsidRPr="00661595">
              <w:rPr>
                <w:rStyle w:val="InstructionsTabelleText"/>
                <w:rFonts w:ascii="Times New Roman" w:hAnsi="Times New Roman"/>
                <w:sz w:val="24"/>
              </w:rPr>
              <w:t xml:space="preserve">(1) </w:t>
            </w:r>
            <w:r w:rsidR="00C7103D" w:rsidRPr="00661595">
              <w:rPr>
                <w:rStyle w:val="InstructionsTabelleText"/>
                <w:rFonts w:ascii="Times New Roman" w:hAnsi="Times New Roman"/>
                <w:sz w:val="24"/>
              </w:rPr>
              <w:t>CRR</w:t>
            </w:r>
          </w:p>
          <w:p w:rsidR="002648B0" w:rsidRPr="00661595" w:rsidRDefault="002648B0" w:rsidP="00EE6F6C">
            <w:pPr>
              <w:pStyle w:val="body"/>
              <w:rPr>
                <w:rStyle w:val="InstructionsTabelleText"/>
                <w:rFonts w:ascii="Times New Roman" w:hAnsi="Times New Roman"/>
                <w:sz w:val="24"/>
              </w:rPr>
            </w:pPr>
            <w:r w:rsidRPr="00661595">
              <w:rPr>
                <w:rStyle w:val="InstructionsTabelleText"/>
                <w:rFonts w:ascii="Times New Roman" w:hAnsi="Times New Roman"/>
                <w:sz w:val="24"/>
              </w:rPr>
              <w:t>The excess on the limit of CET1 grandfathered instruments may be treated as instruments which can be grandfathered as AT1 instruments.</w:t>
            </w:r>
          </w:p>
        </w:tc>
      </w:tr>
      <w:tr w:rsidR="002648B0" w:rsidRPr="00661595" w:rsidTr="00672D2A">
        <w:tc>
          <w:tcPr>
            <w:tcW w:w="703" w:type="dxa"/>
          </w:tcPr>
          <w:p w:rsidR="002648B0" w:rsidRPr="00661595" w:rsidRDefault="00606735" w:rsidP="00EE6F6C">
            <w:pPr>
              <w:pStyle w:val="body"/>
              <w:rPr>
                <w:rStyle w:val="InstructionsTabelleText"/>
                <w:rFonts w:ascii="Times New Roman" w:hAnsi="Times New Roman"/>
                <w:sz w:val="24"/>
              </w:rPr>
            </w:pPr>
            <w:r w:rsidRPr="00661595">
              <w:rPr>
                <w:rStyle w:val="InstructionsTabelleText"/>
                <w:rFonts w:ascii="Times New Roman" w:hAnsi="Times New Roman"/>
                <w:sz w:val="24"/>
              </w:rPr>
              <w:t>0</w:t>
            </w:r>
            <w:r w:rsidR="002648B0" w:rsidRPr="00661595">
              <w:rPr>
                <w:rStyle w:val="InstructionsTabelleText"/>
                <w:rFonts w:ascii="Times New Roman" w:hAnsi="Times New Roman"/>
                <w:sz w:val="24"/>
              </w:rPr>
              <w:t>090</w:t>
            </w:r>
          </w:p>
        </w:tc>
        <w:tc>
          <w:tcPr>
            <w:tcW w:w="7478" w:type="dxa"/>
          </w:tcPr>
          <w:p w:rsidR="005643EA" w:rsidRPr="00661595" w:rsidRDefault="00C66473" w:rsidP="00EE6F6C">
            <w:pPr>
              <w:pStyle w:val="body"/>
              <w:rPr>
                <w:rStyle w:val="InstructionsTabelleText"/>
                <w:rFonts w:ascii="Times New Roman" w:hAnsi="Times New Roman"/>
                <w:b/>
                <w:sz w:val="24"/>
                <w:u w:val="single"/>
              </w:rPr>
            </w:pPr>
            <w:r w:rsidRPr="00661595">
              <w:rPr>
                <w:rStyle w:val="InstructionsTabelleberschrift"/>
                <w:rFonts w:ascii="Times New Roman" w:hAnsi="Times New Roman"/>
                <w:sz w:val="24"/>
              </w:rPr>
              <w:t>3.</w:t>
            </w:r>
            <w:r w:rsidRPr="00661595">
              <w:rPr>
                <w:rStyle w:val="InstructionsTabelleberschrift"/>
                <w:rFonts w:ascii="Times New Roman" w:hAnsi="Times New Roman"/>
                <w:sz w:val="24"/>
              </w:rPr>
              <w:tab/>
            </w:r>
            <w:r w:rsidR="00874F0C" w:rsidRPr="00661595">
              <w:rPr>
                <w:rStyle w:val="InstructionsTabelleberschrift"/>
                <w:rFonts w:ascii="Times New Roman" w:hAnsi="Times New Roman"/>
                <w:sz w:val="24"/>
              </w:rPr>
              <w:t xml:space="preserve">Items </w:t>
            </w:r>
            <w:r w:rsidR="002648B0" w:rsidRPr="00661595">
              <w:rPr>
                <w:rStyle w:val="InstructionsTabelleberschrift"/>
                <w:rFonts w:ascii="Times New Roman" w:hAnsi="Times New Roman"/>
                <w:sz w:val="24"/>
              </w:rPr>
              <w:t xml:space="preserve">that qualified for points </w:t>
            </w:r>
            <w:r w:rsidR="00705025" w:rsidRPr="00661595">
              <w:rPr>
                <w:rStyle w:val="InstructionsTabelleberschrift"/>
                <w:rFonts w:ascii="Times New Roman" w:hAnsi="Times New Roman"/>
                <w:sz w:val="24"/>
              </w:rPr>
              <w:t>(</w:t>
            </w:r>
            <w:r w:rsidR="00960B47" w:rsidRPr="00661595">
              <w:rPr>
                <w:rStyle w:val="InstructionsTabelleberschrift"/>
                <w:rFonts w:ascii="Times New Roman" w:hAnsi="Times New Roman"/>
                <w:sz w:val="24"/>
              </w:rPr>
              <w:t xml:space="preserve">e), </w:t>
            </w:r>
            <w:r w:rsidR="00705025" w:rsidRPr="00661595">
              <w:rPr>
                <w:rStyle w:val="InstructionsTabelleberschrift"/>
                <w:rFonts w:ascii="Times New Roman" w:hAnsi="Times New Roman"/>
                <w:sz w:val="24"/>
              </w:rPr>
              <w:t>(</w:t>
            </w:r>
            <w:r w:rsidR="002648B0" w:rsidRPr="00661595">
              <w:rPr>
                <w:rStyle w:val="InstructionsTabelleberschrift"/>
                <w:rFonts w:ascii="Times New Roman" w:hAnsi="Times New Roman"/>
                <w:sz w:val="24"/>
              </w:rPr>
              <w:t xml:space="preserve">f), </w:t>
            </w:r>
            <w:r w:rsidR="00705025" w:rsidRPr="00661595">
              <w:rPr>
                <w:rStyle w:val="InstructionsTabelleberschrift"/>
                <w:rFonts w:ascii="Times New Roman" w:hAnsi="Times New Roman"/>
                <w:sz w:val="24"/>
              </w:rPr>
              <w:t>(</w:t>
            </w:r>
            <w:r w:rsidR="002648B0" w:rsidRPr="00661595">
              <w:rPr>
                <w:rStyle w:val="InstructionsTabelleberschrift"/>
                <w:rFonts w:ascii="Times New Roman" w:hAnsi="Times New Roman"/>
                <w:sz w:val="24"/>
              </w:rPr>
              <w:t xml:space="preserve">g) or </w:t>
            </w:r>
            <w:r w:rsidR="00705025" w:rsidRPr="00661595">
              <w:rPr>
                <w:rStyle w:val="InstructionsTabelleberschrift"/>
                <w:rFonts w:ascii="Times New Roman" w:hAnsi="Times New Roman"/>
                <w:sz w:val="24"/>
              </w:rPr>
              <w:t>(</w:t>
            </w:r>
            <w:r w:rsidR="002648B0" w:rsidRPr="00661595">
              <w:rPr>
                <w:rStyle w:val="InstructionsTabelleberschrift"/>
                <w:rFonts w:ascii="Times New Roman" w:hAnsi="Times New Roman"/>
                <w:sz w:val="24"/>
              </w:rPr>
              <w:t xml:space="preserve">h) of Article 57 of </w:t>
            </w:r>
            <w:r w:rsidR="009F1550" w:rsidRPr="00661595">
              <w:rPr>
                <w:rStyle w:val="InstructionsTabelleberschrift"/>
                <w:rFonts w:ascii="Times New Roman" w:hAnsi="Times New Roman"/>
                <w:sz w:val="24"/>
              </w:rPr>
              <w:t xml:space="preserve">Directive </w:t>
            </w:r>
            <w:r w:rsidR="002648B0" w:rsidRPr="00661595">
              <w:rPr>
                <w:rStyle w:val="InstructionsTabelleberschrift"/>
                <w:rFonts w:ascii="Times New Roman" w:hAnsi="Times New Roman"/>
                <w:sz w:val="24"/>
              </w:rPr>
              <w:t xml:space="preserve">2006/48/EC, subject to the limit of Article </w:t>
            </w:r>
            <w:r w:rsidR="00B542AB" w:rsidRPr="00661595">
              <w:rPr>
                <w:rStyle w:val="InstructionsTabelleberschrift"/>
                <w:rFonts w:ascii="Times New Roman" w:hAnsi="Times New Roman"/>
                <w:sz w:val="24"/>
              </w:rPr>
              <w:t>490</w:t>
            </w:r>
            <w:r w:rsidR="009F1550" w:rsidRPr="00661595">
              <w:rPr>
                <w:rStyle w:val="InstructionsTabelleberschrift"/>
                <w:rFonts w:ascii="Times New Roman" w:hAnsi="Times New Roman"/>
                <w:sz w:val="24"/>
              </w:rPr>
              <w:t xml:space="preserve"> CRR</w:t>
            </w:r>
          </w:p>
          <w:p w:rsidR="005643EA" w:rsidRPr="00661595" w:rsidRDefault="002648B0" w:rsidP="00EE6F6C">
            <w:pPr>
              <w:pStyle w:val="body"/>
              <w:rPr>
                <w:rStyle w:val="InstructionsTabelleText"/>
                <w:rFonts w:ascii="Times New Roman" w:hAnsi="Times New Roman"/>
                <w:bCs/>
                <w:sz w:val="24"/>
              </w:rPr>
            </w:pPr>
            <w:r w:rsidRPr="00661595">
              <w:rPr>
                <w:rStyle w:val="InstructionsTabelleText"/>
                <w:rFonts w:ascii="Times New Roman" w:hAnsi="Times New Roman"/>
                <w:sz w:val="24"/>
              </w:rPr>
              <w:t xml:space="preserve">Article </w:t>
            </w:r>
            <w:r w:rsidR="00B542AB" w:rsidRPr="00661595">
              <w:rPr>
                <w:rStyle w:val="InstructionsTabelleText"/>
                <w:rFonts w:ascii="Times New Roman" w:hAnsi="Times New Roman"/>
                <w:sz w:val="24"/>
              </w:rPr>
              <w:t>484</w:t>
            </w:r>
            <w:r w:rsidRPr="00661595">
              <w:rPr>
                <w:rStyle w:val="InstructionsTabelleText"/>
                <w:rFonts w:ascii="Times New Roman" w:hAnsi="Times New Roman"/>
                <w:sz w:val="24"/>
              </w:rPr>
              <w:t xml:space="preserve">(5) </w:t>
            </w:r>
            <w:r w:rsidR="00C7103D" w:rsidRPr="00661595">
              <w:rPr>
                <w:rStyle w:val="InstructionsTabelleText"/>
                <w:rFonts w:ascii="Times New Roman" w:hAnsi="Times New Roman"/>
                <w:sz w:val="24"/>
              </w:rPr>
              <w:t>CRR</w:t>
            </w:r>
          </w:p>
        </w:tc>
      </w:tr>
      <w:tr w:rsidR="002648B0" w:rsidRPr="00661595" w:rsidTr="00672D2A">
        <w:tc>
          <w:tcPr>
            <w:tcW w:w="703" w:type="dxa"/>
          </w:tcPr>
          <w:p w:rsidR="002648B0" w:rsidRPr="00661595" w:rsidRDefault="00606735" w:rsidP="00EE6F6C">
            <w:pPr>
              <w:pStyle w:val="body"/>
              <w:rPr>
                <w:rStyle w:val="InstructionsTabelleText"/>
                <w:rFonts w:ascii="Times New Roman" w:hAnsi="Times New Roman"/>
                <w:sz w:val="24"/>
              </w:rPr>
            </w:pPr>
            <w:r w:rsidRPr="00661595">
              <w:rPr>
                <w:rStyle w:val="InstructionsTabelleText"/>
                <w:rFonts w:ascii="Times New Roman" w:hAnsi="Times New Roman"/>
                <w:sz w:val="24"/>
              </w:rPr>
              <w:t>0</w:t>
            </w:r>
            <w:r w:rsidR="002648B0" w:rsidRPr="00661595">
              <w:rPr>
                <w:rStyle w:val="InstructionsTabelleText"/>
                <w:rFonts w:ascii="Times New Roman" w:hAnsi="Times New Roman"/>
                <w:sz w:val="24"/>
              </w:rPr>
              <w:t>100</w:t>
            </w:r>
          </w:p>
        </w:tc>
        <w:tc>
          <w:tcPr>
            <w:tcW w:w="7478" w:type="dxa"/>
          </w:tcPr>
          <w:p w:rsidR="005643EA" w:rsidRPr="00661595" w:rsidRDefault="002648B0" w:rsidP="00EE6F6C">
            <w:pPr>
              <w:pStyle w:val="body"/>
              <w:rPr>
                <w:rStyle w:val="InstructionsTabelleText"/>
                <w:rFonts w:ascii="Times New Roman" w:hAnsi="Times New Roman"/>
                <w:b/>
                <w:bCs/>
                <w:sz w:val="24"/>
                <w:u w:val="single"/>
              </w:rPr>
            </w:pPr>
            <w:r w:rsidRPr="00661595">
              <w:rPr>
                <w:rStyle w:val="InstructionsTabelleberschrift"/>
                <w:rFonts w:ascii="Times New Roman" w:hAnsi="Times New Roman"/>
                <w:sz w:val="24"/>
              </w:rPr>
              <w:t>3</w:t>
            </w:r>
            <w:r w:rsidR="000D194E" w:rsidRPr="00661595">
              <w:rPr>
                <w:rStyle w:val="InstructionsTabelleberschrift"/>
                <w:rFonts w:ascii="Times New Roman" w:hAnsi="Times New Roman"/>
                <w:sz w:val="24"/>
              </w:rPr>
              <w:t>.1</w:t>
            </w:r>
            <w:r w:rsidR="000D194E" w:rsidRPr="00661595">
              <w:rPr>
                <w:rStyle w:val="InstructionsTabelleberschrift"/>
                <w:rFonts w:ascii="Times New Roman" w:hAnsi="Times New Roman"/>
                <w:sz w:val="24"/>
              </w:rPr>
              <w:tab/>
            </w:r>
            <w:r w:rsidRPr="00661595">
              <w:rPr>
                <w:rStyle w:val="InstructionsTabelleberschrift"/>
                <w:rFonts w:ascii="Times New Roman" w:hAnsi="Times New Roman"/>
                <w:sz w:val="24"/>
              </w:rPr>
              <w:t xml:space="preserve">Total </w:t>
            </w:r>
            <w:r w:rsidR="00874F0C" w:rsidRPr="00661595">
              <w:rPr>
                <w:rStyle w:val="InstructionsTabelleberschrift"/>
                <w:rFonts w:ascii="Times New Roman" w:hAnsi="Times New Roman"/>
                <w:sz w:val="24"/>
              </w:rPr>
              <w:t xml:space="preserve">items </w:t>
            </w:r>
            <w:r w:rsidRPr="00661595">
              <w:rPr>
                <w:rStyle w:val="InstructionsTabelleberschrift"/>
                <w:rFonts w:ascii="Times New Roman" w:hAnsi="Times New Roman"/>
                <w:sz w:val="24"/>
              </w:rPr>
              <w:t>without an incentive to redeem</w:t>
            </w:r>
          </w:p>
          <w:p w:rsidR="005643EA" w:rsidRPr="00661595" w:rsidRDefault="002648B0" w:rsidP="00EE6F6C">
            <w:pPr>
              <w:pStyle w:val="body"/>
              <w:rPr>
                <w:rStyle w:val="InstructionsTabelleText"/>
                <w:rFonts w:ascii="Times New Roman" w:hAnsi="Times New Roman"/>
                <w:sz w:val="24"/>
              </w:rPr>
            </w:pPr>
            <w:r w:rsidRPr="00661595">
              <w:rPr>
                <w:rStyle w:val="InstructionsTabelleText"/>
                <w:rFonts w:ascii="Times New Roman" w:hAnsi="Times New Roman"/>
                <w:sz w:val="24"/>
              </w:rPr>
              <w:t xml:space="preserve">Article </w:t>
            </w:r>
            <w:r w:rsidR="00B542AB" w:rsidRPr="00661595">
              <w:rPr>
                <w:rStyle w:val="InstructionsTabelleText"/>
                <w:rFonts w:ascii="Times New Roman" w:hAnsi="Times New Roman"/>
                <w:sz w:val="24"/>
              </w:rPr>
              <w:t>490</w:t>
            </w:r>
            <w:r w:rsidRPr="00661595">
              <w:rPr>
                <w:rStyle w:val="InstructionsTabelleText"/>
                <w:rFonts w:ascii="Times New Roman" w:hAnsi="Times New Roman"/>
                <w:sz w:val="24"/>
              </w:rPr>
              <w:t xml:space="preserve"> </w:t>
            </w:r>
            <w:r w:rsidR="00C7103D" w:rsidRPr="00661595">
              <w:rPr>
                <w:rStyle w:val="InstructionsTabelleText"/>
                <w:rFonts w:ascii="Times New Roman" w:hAnsi="Times New Roman"/>
                <w:sz w:val="24"/>
              </w:rPr>
              <w:t>CRR</w:t>
            </w:r>
          </w:p>
        </w:tc>
      </w:tr>
      <w:tr w:rsidR="002648B0" w:rsidRPr="00661595" w:rsidTr="00672D2A">
        <w:tc>
          <w:tcPr>
            <w:tcW w:w="703" w:type="dxa"/>
          </w:tcPr>
          <w:p w:rsidR="002648B0" w:rsidRPr="00661595" w:rsidRDefault="00606735" w:rsidP="00EE6F6C">
            <w:pPr>
              <w:pStyle w:val="body"/>
              <w:rPr>
                <w:rStyle w:val="InstructionsTabelleText"/>
                <w:rFonts w:ascii="Times New Roman" w:hAnsi="Times New Roman"/>
                <w:sz w:val="24"/>
              </w:rPr>
            </w:pPr>
            <w:r w:rsidRPr="00661595">
              <w:rPr>
                <w:rStyle w:val="InstructionsTabelleText"/>
                <w:rFonts w:ascii="Times New Roman" w:hAnsi="Times New Roman"/>
                <w:sz w:val="24"/>
              </w:rPr>
              <w:t>0</w:t>
            </w:r>
            <w:r w:rsidR="002648B0" w:rsidRPr="00661595">
              <w:rPr>
                <w:rStyle w:val="InstructionsTabelleText"/>
                <w:rFonts w:ascii="Times New Roman" w:hAnsi="Times New Roman"/>
                <w:sz w:val="24"/>
              </w:rPr>
              <w:t>110</w:t>
            </w:r>
          </w:p>
        </w:tc>
        <w:tc>
          <w:tcPr>
            <w:tcW w:w="7478" w:type="dxa"/>
          </w:tcPr>
          <w:p w:rsidR="005643EA" w:rsidRPr="00661595" w:rsidRDefault="002648B0" w:rsidP="00EE6F6C">
            <w:pPr>
              <w:pStyle w:val="body"/>
              <w:rPr>
                <w:rStyle w:val="InstructionsTabelleText"/>
                <w:rFonts w:ascii="Times New Roman" w:hAnsi="Times New Roman"/>
                <w:b/>
                <w:bCs/>
                <w:sz w:val="24"/>
                <w:u w:val="single"/>
              </w:rPr>
            </w:pPr>
            <w:r w:rsidRPr="00661595">
              <w:rPr>
                <w:rStyle w:val="InstructionsTabelleberschrift"/>
                <w:rFonts w:ascii="Times New Roman" w:hAnsi="Times New Roman"/>
                <w:sz w:val="24"/>
              </w:rPr>
              <w:t>3</w:t>
            </w:r>
            <w:r w:rsidR="000D194E" w:rsidRPr="00661595">
              <w:rPr>
                <w:rStyle w:val="InstructionsTabelleberschrift"/>
                <w:rFonts w:ascii="Times New Roman" w:hAnsi="Times New Roman"/>
                <w:sz w:val="24"/>
              </w:rPr>
              <w:t>.2</w:t>
            </w:r>
            <w:r w:rsidR="000D194E" w:rsidRPr="00661595">
              <w:rPr>
                <w:rStyle w:val="InstructionsTabelleberschrift"/>
                <w:rFonts w:ascii="Times New Roman" w:hAnsi="Times New Roman"/>
                <w:sz w:val="24"/>
              </w:rPr>
              <w:tab/>
            </w:r>
            <w:r w:rsidRPr="00661595">
              <w:rPr>
                <w:rStyle w:val="InstructionsTabelleberschrift"/>
                <w:rFonts w:ascii="Times New Roman" w:hAnsi="Times New Roman"/>
                <w:sz w:val="24"/>
              </w:rPr>
              <w:t xml:space="preserve">Grandfathered </w:t>
            </w:r>
            <w:r w:rsidR="00874F0C" w:rsidRPr="00661595">
              <w:rPr>
                <w:rStyle w:val="InstructionsTabelleberschrift"/>
                <w:rFonts w:ascii="Times New Roman" w:hAnsi="Times New Roman"/>
                <w:sz w:val="24"/>
              </w:rPr>
              <w:t xml:space="preserve">items </w:t>
            </w:r>
            <w:r w:rsidRPr="00661595">
              <w:rPr>
                <w:rStyle w:val="InstructionsTabelleberschrift"/>
                <w:rFonts w:ascii="Times New Roman" w:hAnsi="Times New Roman"/>
                <w:sz w:val="24"/>
              </w:rPr>
              <w:t>with an incentive to redeem</w:t>
            </w:r>
          </w:p>
          <w:p w:rsidR="005643EA" w:rsidRPr="00661595" w:rsidRDefault="002648B0" w:rsidP="00EE6F6C">
            <w:pPr>
              <w:pStyle w:val="body"/>
              <w:rPr>
                <w:rStyle w:val="InstructionsTabelleText"/>
                <w:rFonts w:ascii="Times New Roman" w:hAnsi="Times New Roman"/>
                <w:sz w:val="24"/>
              </w:rPr>
            </w:pPr>
            <w:r w:rsidRPr="00661595">
              <w:rPr>
                <w:rStyle w:val="InstructionsTabelleText"/>
                <w:rFonts w:ascii="Times New Roman" w:hAnsi="Times New Roman"/>
                <w:sz w:val="24"/>
              </w:rPr>
              <w:t xml:space="preserve">Article </w:t>
            </w:r>
            <w:r w:rsidR="00B542AB" w:rsidRPr="00661595">
              <w:rPr>
                <w:rStyle w:val="InstructionsTabelleText"/>
                <w:rFonts w:ascii="Times New Roman" w:hAnsi="Times New Roman"/>
                <w:sz w:val="24"/>
              </w:rPr>
              <w:t>490</w:t>
            </w:r>
            <w:r w:rsidRPr="00661595">
              <w:rPr>
                <w:rStyle w:val="InstructionsTabelleText"/>
                <w:rFonts w:ascii="Times New Roman" w:hAnsi="Times New Roman"/>
                <w:sz w:val="24"/>
              </w:rPr>
              <w:t xml:space="preserve"> </w:t>
            </w:r>
            <w:r w:rsidR="00C7103D" w:rsidRPr="00661595">
              <w:rPr>
                <w:rStyle w:val="InstructionsTabelleText"/>
                <w:rFonts w:ascii="Times New Roman" w:hAnsi="Times New Roman"/>
                <w:sz w:val="24"/>
              </w:rPr>
              <w:t>CRR</w:t>
            </w:r>
          </w:p>
        </w:tc>
      </w:tr>
      <w:tr w:rsidR="002648B0" w:rsidRPr="00661595" w:rsidTr="00672D2A">
        <w:tc>
          <w:tcPr>
            <w:tcW w:w="703" w:type="dxa"/>
          </w:tcPr>
          <w:p w:rsidR="002648B0" w:rsidRPr="00661595" w:rsidRDefault="00606735" w:rsidP="00EE6F6C">
            <w:pPr>
              <w:pStyle w:val="body"/>
              <w:rPr>
                <w:rStyle w:val="InstructionsTabelleText"/>
                <w:rFonts w:ascii="Times New Roman" w:hAnsi="Times New Roman"/>
                <w:sz w:val="24"/>
              </w:rPr>
            </w:pPr>
            <w:r w:rsidRPr="00661595">
              <w:rPr>
                <w:rStyle w:val="InstructionsTabelleText"/>
                <w:rFonts w:ascii="Times New Roman" w:hAnsi="Times New Roman"/>
                <w:sz w:val="24"/>
              </w:rPr>
              <w:t>0</w:t>
            </w:r>
            <w:r w:rsidR="002648B0" w:rsidRPr="00661595">
              <w:rPr>
                <w:rStyle w:val="InstructionsTabelleText"/>
                <w:rFonts w:ascii="Times New Roman" w:hAnsi="Times New Roman"/>
                <w:sz w:val="24"/>
              </w:rPr>
              <w:t>120</w:t>
            </w:r>
          </w:p>
        </w:tc>
        <w:tc>
          <w:tcPr>
            <w:tcW w:w="7478" w:type="dxa"/>
          </w:tcPr>
          <w:p w:rsidR="005643EA" w:rsidRPr="00661595" w:rsidRDefault="002648B0" w:rsidP="00EE6F6C">
            <w:pPr>
              <w:pStyle w:val="body"/>
              <w:rPr>
                <w:rStyle w:val="InstructionsTabelleText"/>
                <w:rFonts w:ascii="Times New Roman" w:hAnsi="Times New Roman"/>
                <w:b/>
                <w:bCs/>
                <w:sz w:val="24"/>
                <w:u w:val="single"/>
              </w:rPr>
            </w:pPr>
            <w:r w:rsidRPr="00661595">
              <w:rPr>
                <w:rStyle w:val="InstructionsTabelleberschrift"/>
                <w:rFonts w:ascii="Times New Roman" w:hAnsi="Times New Roman"/>
                <w:sz w:val="24"/>
              </w:rPr>
              <w:t>3</w:t>
            </w:r>
            <w:r w:rsidR="000D194E" w:rsidRPr="00661595">
              <w:rPr>
                <w:rStyle w:val="InstructionsTabelleberschrift"/>
                <w:rFonts w:ascii="Times New Roman" w:hAnsi="Times New Roman"/>
                <w:sz w:val="24"/>
              </w:rPr>
              <w:t>.2.1</w:t>
            </w:r>
            <w:r w:rsidR="000D194E" w:rsidRPr="00661595">
              <w:rPr>
                <w:rStyle w:val="InstructionsTabelleberschrift"/>
                <w:rFonts w:ascii="Times New Roman" w:hAnsi="Times New Roman"/>
                <w:sz w:val="24"/>
              </w:rPr>
              <w:tab/>
            </w:r>
            <w:r w:rsidR="00874F0C" w:rsidRPr="00661595">
              <w:rPr>
                <w:rStyle w:val="InstructionsTabelleberschrift"/>
                <w:rFonts w:ascii="Times New Roman" w:hAnsi="Times New Roman"/>
                <w:sz w:val="24"/>
              </w:rPr>
              <w:t xml:space="preserve">Items </w:t>
            </w:r>
            <w:r w:rsidRPr="00661595">
              <w:rPr>
                <w:rStyle w:val="InstructionsTabelleberschrift"/>
                <w:rFonts w:ascii="Times New Roman" w:hAnsi="Times New Roman"/>
                <w:sz w:val="24"/>
              </w:rPr>
              <w:t>with a call exercisable after the reporting date, and which meet the conditions in Article 6</w:t>
            </w:r>
            <w:r w:rsidR="00B62635" w:rsidRPr="00661595">
              <w:rPr>
                <w:rStyle w:val="InstructionsTabelleberschrift"/>
                <w:rFonts w:ascii="Times New Roman" w:hAnsi="Times New Roman"/>
                <w:sz w:val="24"/>
              </w:rPr>
              <w:t>3</w:t>
            </w:r>
            <w:r w:rsidRPr="00661595">
              <w:rPr>
                <w:rStyle w:val="InstructionsTabelleberschrift"/>
                <w:rFonts w:ascii="Times New Roman" w:hAnsi="Times New Roman"/>
                <w:sz w:val="24"/>
              </w:rPr>
              <w:t xml:space="preserve"> </w:t>
            </w:r>
            <w:r w:rsidR="00C7103D" w:rsidRPr="00661595">
              <w:rPr>
                <w:rStyle w:val="InstructionsTabelleberschrift"/>
                <w:rFonts w:ascii="Times New Roman" w:hAnsi="Times New Roman"/>
                <w:sz w:val="24"/>
              </w:rPr>
              <w:t>CRR</w:t>
            </w:r>
            <w:r w:rsidRPr="00661595">
              <w:rPr>
                <w:rStyle w:val="InstructionsTabelleberschrift"/>
                <w:rFonts w:ascii="Times New Roman" w:hAnsi="Times New Roman"/>
                <w:sz w:val="24"/>
              </w:rPr>
              <w:t xml:space="preserve"> after the date of effective maturity</w:t>
            </w:r>
          </w:p>
          <w:p w:rsidR="002648B0" w:rsidRPr="00661595" w:rsidRDefault="002648B0" w:rsidP="00EE6F6C">
            <w:pPr>
              <w:pStyle w:val="body"/>
              <w:rPr>
                <w:rStyle w:val="InstructionsTabelleText"/>
                <w:rFonts w:ascii="Times New Roman" w:hAnsi="Times New Roman"/>
                <w:sz w:val="24"/>
                <w:lang w:eastAsia="de-DE"/>
              </w:rPr>
            </w:pPr>
            <w:r w:rsidRPr="00661595">
              <w:rPr>
                <w:rStyle w:val="InstructionsTabelleText"/>
                <w:rFonts w:ascii="Times New Roman" w:hAnsi="Times New Roman"/>
                <w:sz w:val="24"/>
              </w:rPr>
              <w:t xml:space="preserve">Article </w:t>
            </w:r>
            <w:r w:rsidR="00B542AB" w:rsidRPr="00661595">
              <w:rPr>
                <w:rStyle w:val="InstructionsTabelleText"/>
                <w:rFonts w:ascii="Times New Roman" w:hAnsi="Times New Roman"/>
                <w:sz w:val="24"/>
              </w:rPr>
              <w:t>490</w:t>
            </w:r>
            <w:r w:rsidRPr="00661595">
              <w:rPr>
                <w:rStyle w:val="InstructionsTabelleText"/>
                <w:rFonts w:ascii="Times New Roman" w:hAnsi="Times New Roman"/>
                <w:sz w:val="24"/>
              </w:rPr>
              <w:t xml:space="preserve">(3) and </w:t>
            </w:r>
            <w:r w:rsidR="009F1550" w:rsidRPr="00661595">
              <w:rPr>
                <w:rStyle w:val="InstructionsTabelleText"/>
                <w:rFonts w:ascii="Times New Roman" w:hAnsi="Times New Roman"/>
                <w:sz w:val="24"/>
              </w:rPr>
              <w:t xml:space="preserve">point (a) of Article </w:t>
            </w:r>
            <w:r w:rsidR="00B542AB" w:rsidRPr="00661595">
              <w:rPr>
                <w:rStyle w:val="InstructionsTabelleText"/>
                <w:rFonts w:ascii="Times New Roman" w:hAnsi="Times New Roman"/>
                <w:sz w:val="24"/>
              </w:rPr>
              <w:t>491</w:t>
            </w:r>
            <w:r w:rsidR="000F1CEA" w:rsidRPr="00661595">
              <w:rPr>
                <w:rStyle w:val="InstructionsTabelleText"/>
                <w:rFonts w:ascii="Times New Roman" w:hAnsi="Times New Roman"/>
                <w:sz w:val="24"/>
              </w:rPr>
              <w:t xml:space="preserve"> </w:t>
            </w:r>
            <w:r w:rsidR="00C7103D" w:rsidRPr="00661595">
              <w:rPr>
                <w:rStyle w:val="InstructionsTabelleText"/>
                <w:rFonts w:ascii="Times New Roman" w:hAnsi="Times New Roman"/>
                <w:sz w:val="24"/>
              </w:rPr>
              <w:t>CRR</w:t>
            </w:r>
          </w:p>
          <w:p w:rsidR="002648B0" w:rsidRPr="00661595" w:rsidRDefault="002648B0" w:rsidP="00EE6F6C">
            <w:pPr>
              <w:pStyle w:val="body"/>
              <w:rPr>
                <w:rStyle w:val="InstructionsTabelleText"/>
                <w:rFonts w:ascii="Times New Roman" w:hAnsi="Times New Roman"/>
                <w:sz w:val="24"/>
              </w:rPr>
            </w:pPr>
            <w:r w:rsidRPr="00661595">
              <w:rPr>
                <w:rStyle w:val="InstructionsTabelleText"/>
                <w:rFonts w:ascii="Times New Roman" w:hAnsi="Times New Roman"/>
                <w:sz w:val="24"/>
              </w:rPr>
              <w:t>The amount to be reported shall include the related share premium accounts.</w:t>
            </w:r>
          </w:p>
        </w:tc>
      </w:tr>
      <w:tr w:rsidR="002648B0" w:rsidRPr="00661595" w:rsidTr="00672D2A">
        <w:tc>
          <w:tcPr>
            <w:tcW w:w="703" w:type="dxa"/>
          </w:tcPr>
          <w:p w:rsidR="002648B0" w:rsidRPr="00661595" w:rsidRDefault="00606735" w:rsidP="00EE6F6C">
            <w:pPr>
              <w:pStyle w:val="body"/>
              <w:rPr>
                <w:rStyle w:val="InstructionsTabelleText"/>
                <w:rFonts w:ascii="Times New Roman" w:hAnsi="Times New Roman"/>
                <w:sz w:val="24"/>
              </w:rPr>
            </w:pPr>
            <w:r w:rsidRPr="00661595">
              <w:rPr>
                <w:rStyle w:val="InstructionsTabelleText"/>
                <w:rFonts w:ascii="Times New Roman" w:hAnsi="Times New Roman"/>
                <w:sz w:val="24"/>
              </w:rPr>
              <w:t>0</w:t>
            </w:r>
            <w:r w:rsidR="002648B0" w:rsidRPr="00661595">
              <w:rPr>
                <w:rStyle w:val="InstructionsTabelleText"/>
                <w:rFonts w:ascii="Times New Roman" w:hAnsi="Times New Roman"/>
                <w:sz w:val="24"/>
              </w:rPr>
              <w:t>130</w:t>
            </w:r>
          </w:p>
        </w:tc>
        <w:tc>
          <w:tcPr>
            <w:tcW w:w="7478" w:type="dxa"/>
          </w:tcPr>
          <w:p w:rsidR="005643EA" w:rsidRPr="00661595" w:rsidRDefault="002648B0" w:rsidP="00EE6F6C">
            <w:pPr>
              <w:pStyle w:val="body"/>
              <w:rPr>
                <w:rStyle w:val="InstructionsTabelleText"/>
                <w:rFonts w:ascii="Times New Roman" w:hAnsi="Times New Roman"/>
                <w:b/>
                <w:sz w:val="24"/>
                <w:u w:val="single"/>
              </w:rPr>
            </w:pPr>
            <w:r w:rsidRPr="00661595">
              <w:rPr>
                <w:rStyle w:val="InstructionsTabelleberschrift"/>
                <w:rFonts w:ascii="Times New Roman" w:hAnsi="Times New Roman"/>
                <w:sz w:val="24"/>
              </w:rPr>
              <w:t>3</w:t>
            </w:r>
            <w:r w:rsidR="000D194E" w:rsidRPr="00661595">
              <w:rPr>
                <w:rStyle w:val="InstructionsTabelleberschrift"/>
                <w:rFonts w:ascii="Times New Roman" w:hAnsi="Times New Roman"/>
                <w:sz w:val="24"/>
              </w:rPr>
              <w:t>.2.2</w:t>
            </w:r>
            <w:r w:rsidR="000D194E" w:rsidRPr="00661595">
              <w:rPr>
                <w:rStyle w:val="InstructionsTabelleberschrift"/>
                <w:rFonts w:ascii="Times New Roman" w:hAnsi="Times New Roman"/>
                <w:sz w:val="24"/>
              </w:rPr>
              <w:tab/>
            </w:r>
            <w:r w:rsidR="00874F0C" w:rsidRPr="00661595">
              <w:rPr>
                <w:rStyle w:val="InstructionsTabelleberschrift"/>
                <w:rFonts w:ascii="Times New Roman" w:hAnsi="Times New Roman"/>
                <w:sz w:val="24"/>
              </w:rPr>
              <w:t xml:space="preserve">Items </w:t>
            </w:r>
            <w:r w:rsidRPr="00661595">
              <w:rPr>
                <w:rStyle w:val="InstructionsTabelleberschrift"/>
                <w:rFonts w:ascii="Times New Roman" w:hAnsi="Times New Roman"/>
                <w:sz w:val="24"/>
              </w:rPr>
              <w:t xml:space="preserve">with a call exercisable after the reporting date, and which do not meet the conditions in Article </w:t>
            </w:r>
            <w:r w:rsidR="005F1957" w:rsidRPr="00661595">
              <w:rPr>
                <w:rStyle w:val="InstructionsTabelleberschrift"/>
                <w:rFonts w:ascii="Times New Roman" w:hAnsi="Times New Roman"/>
                <w:sz w:val="24"/>
              </w:rPr>
              <w:t xml:space="preserve">63 </w:t>
            </w:r>
            <w:r w:rsidR="00C7103D" w:rsidRPr="00661595">
              <w:rPr>
                <w:rStyle w:val="InstructionsTabelleberschrift"/>
                <w:rFonts w:ascii="Times New Roman" w:hAnsi="Times New Roman"/>
                <w:sz w:val="24"/>
              </w:rPr>
              <w:t>CRR</w:t>
            </w:r>
            <w:r w:rsidRPr="00661595">
              <w:rPr>
                <w:rStyle w:val="InstructionsTabelleberschrift"/>
                <w:rFonts w:ascii="Times New Roman" w:hAnsi="Times New Roman"/>
                <w:sz w:val="24"/>
              </w:rPr>
              <w:t xml:space="preserve"> after the date of effective maturity</w:t>
            </w:r>
          </w:p>
          <w:p w:rsidR="009F1550" w:rsidRPr="00661595" w:rsidRDefault="009F1550" w:rsidP="00EE6F6C">
            <w:pPr>
              <w:pStyle w:val="body"/>
              <w:rPr>
                <w:rStyle w:val="InstructionsTabelleText"/>
                <w:rFonts w:ascii="Times New Roman" w:hAnsi="Times New Roman"/>
                <w:sz w:val="24"/>
                <w:lang w:eastAsia="de-DE"/>
              </w:rPr>
            </w:pPr>
            <w:r w:rsidRPr="00661595">
              <w:rPr>
                <w:rStyle w:val="InstructionsTabelleText"/>
                <w:rFonts w:ascii="Times New Roman" w:hAnsi="Times New Roman"/>
                <w:sz w:val="24"/>
              </w:rPr>
              <w:t>Article 490(5) and point (a) of Article 491 CRR</w:t>
            </w:r>
          </w:p>
          <w:p w:rsidR="002648B0" w:rsidRPr="00661595" w:rsidRDefault="007C3B71" w:rsidP="00EE6F6C">
            <w:pPr>
              <w:pStyle w:val="body"/>
              <w:rPr>
                <w:rStyle w:val="InstructionsTabelleText"/>
                <w:rFonts w:ascii="Times New Roman" w:hAnsi="Times New Roman"/>
                <w:sz w:val="24"/>
              </w:rPr>
            </w:pPr>
            <w:r w:rsidRPr="00661595">
              <w:rPr>
                <w:rStyle w:val="InstructionsTabelleText"/>
                <w:rFonts w:ascii="Times New Roman" w:hAnsi="Times New Roman"/>
                <w:sz w:val="24"/>
              </w:rPr>
              <w:t xml:space="preserve">The </w:t>
            </w:r>
            <w:r w:rsidR="002648B0" w:rsidRPr="00661595">
              <w:rPr>
                <w:rStyle w:val="InstructionsTabelleText"/>
                <w:rFonts w:ascii="Times New Roman" w:hAnsi="Times New Roman"/>
                <w:sz w:val="24"/>
              </w:rPr>
              <w:t>amount to be reported shall include the related share premium accounts.</w:t>
            </w:r>
          </w:p>
        </w:tc>
      </w:tr>
      <w:tr w:rsidR="002648B0" w:rsidRPr="00661595" w:rsidTr="00672D2A">
        <w:tc>
          <w:tcPr>
            <w:tcW w:w="703" w:type="dxa"/>
          </w:tcPr>
          <w:p w:rsidR="002648B0" w:rsidRPr="00661595" w:rsidRDefault="00606735" w:rsidP="00EE6F6C">
            <w:pPr>
              <w:pStyle w:val="body"/>
              <w:rPr>
                <w:rStyle w:val="InstructionsTabelleText"/>
                <w:rFonts w:ascii="Times New Roman" w:hAnsi="Times New Roman"/>
                <w:sz w:val="24"/>
              </w:rPr>
            </w:pPr>
            <w:r w:rsidRPr="00661595">
              <w:rPr>
                <w:rStyle w:val="InstructionsTabelleText"/>
                <w:rFonts w:ascii="Times New Roman" w:hAnsi="Times New Roman"/>
                <w:sz w:val="24"/>
              </w:rPr>
              <w:t>0</w:t>
            </w:r>
            <w:r w:rsidR="002648B0" w:rsidRPr="00661595">
              <w:rPr>
                <w:rStyle w:val="InstructionsTabelleText"/>
                <w:rFonts w:ascii="Times New Roman" w:hAnsi="Times New Roman"/>
                <w:sz w:val="24"/>
              </w:rPr>
              <w:t>140</w:t>
            </w:r>
          </w:p>
        </w:tc>
        <w:tc>
          <w:tcPr>
            <w:tcW w:w="7478" w:type="dxa"/>
          </w:tcPr>
          <w:p w:rsidR="00496C53" w:rsidRPr="00661595" w:rsidRDefault="002648B0" w:rsidP="00EE6F6C">
            <w:pPr>
              <w:pStyle w:val="body"/>
              <w:rPr>
                <w:rStyle w:val="InstructionsTabelleberschrift"/>
                <w:rFonts w:ascii="Times New Roman" w:hAnsi="Times New Roman"/>
                <w:bCs w:val="0"/>
                <w:sz w:val="24"/>
              </w:rPr>
            </w:pPr>
            <w:r w:rsidRPr="00661595">
              <w:rPr>
                <w:rStyle w:val="InstructionsTabelleberschrift"/>
                <w:rFonts w:ascii="Times New Roman" w:hAnsi="Times New Roman"/>
                <w:sz w:val="24"/>
              </w:rPr>
              <w:t>3</w:t>
            </w:r>
            <w:r w:rsidR="000D194E" w:rsidRPr="00661595">
              <w:rPr>
                <w:rStyle w:val="InstructionsTabelleberschrift"/>
                <w:rFonts w:ascii="Times New Roman" w:hAnsi="Times New Roman"/>
                <w:sz w:val="24"/>
              </w:rPr>
              <w:t>.2.3</w:t>
            </w:r>
            <w:r w:rsidR="000D194E" w:rsidRPr="00661595">
              <w:rPr>
                <w:rStyle w:val="InstructionsTabelleberschrift"/>
                <w:rFonts w:ascii="Times New Roman" w:hAnsi="Times New Roman"/>
                <w:sz w:val="24"/>
              </w:rPr>
              <w:tab/>
            </w:r>
            <w:r w:rsidR="00874F0C" w:rsidRPr="00661595">
              <w:rPr>
                <w:rStyle w:val="InstructionsTabelleberschrift"/>
                <w:rFonts w:ascii="Times New Roman" w:hAnsi="Times New Roman"/>
                <w:sz w:val="24"/>
              </w:rPr>
              <w:t xml:space="preserve">Items </w:t>
            </w:r>
            <w:r w:rsidRPr="00661595">
              <w:rPr>
                <w:rStyle w:val="InstructionsTabelleberschrift"/>
                <w:rFonts w:ascii="Times New Roman" w:hAnsi="Times New Roman"/>
                <w:sz w:val="24"/>
              </w:rPr>
              <w:t>with a call exercisable prior to</w:t>
            </w:r>
            <w:r w:rsidR="00730040" w:rsidRPr="00661595">
              <w:rPr>
                <w:rStyle w:val="InstructionsTabelleberschrift"/>
                <w:rFonts w:ascii="Times New Roman" w:hAnsi="Times New Roman"/>
                <w:sz w:val="24"/>
              </w:rPr>
              <w:t xml:space="preserve"> </w:t>
            </w:r>
            <w:r w:rsidRPr="00661595">
              <w:rPr>
                <w:rStyle w:val="InstructionsTabelleberschrift"/>
                <w:rFonts w:ascii="Times New Roman" w:hAnsi="Times New Roman"/>
                <w:sz w:val="24"/>
              </w:rPr>
              <w:t xml:space="preserve">or on 20 July 2011, and which do not meet the conditions in Article </w:t>
            </w:r>
            <w:r w:rsidR="005F1957" w:rsidRPr="00661595">
              <w:rPr>
                <w:rStyle w:val="InstructionsTabelleberschrift"/>
                <w:rFonts w:ascii="Times New Roman" w:hAnsi="Times New Roman"/>
                <w:sz w:val="24"/>
              </w:rPr>
              <w:t xml:space="preserve">63 </w:t>
            </w:r>
            <w:r w:rsidR="00C7103D" w:rsidRPr="00661595">
              <w:rPr>
                <w:rStyle w:val="InstructionsTabelleberschrift"/>
                <w:rFonts w:ascii="Times New Roman" w:hAnsi="Times New Roman"/>
                <w:sz w:val="24"/>
              </w:rPr>
              <w:t>CRR</w:t>
            </w:r>
            <w:r w:rsidRPr="00661595">
              <w:rPr>
                <w:rStyle w:val="InstructionsTabelleberschrift"/>
                <w:rFonts w:ascii="Times New Roman" w:hAnsi="Times New Roman"/>
                <w:sz w:val="24"/>
              </w:rPr>
              <w:t xml:space="preserve"> after the date of effective maturity</w:t>
            </w:r>
          </w:p>
          <w:p w:rsidR="009F1550" w:rsidRPr="00661595" w:rsidRDefault="009F1550" w:rsidP="00EE6F6C">
            <w:pPr>
              <w:pStyle w:val="body"/>
              <w:rPr>
                <w:rStyle w:val="InstructionsTabelleText"/>
                <w:rFonts w:ascii="Times New Roman" w:hAnsi="Times New Roman"/>
                <w:sz w:val="24"/>
                <w:lang w:eastAsia="de-DE"/>
              </w:rPr>
            </w:pPr>
            <w:r w:rsidRPr="00661595">
              <w:rPr>
                <w:rStyle w:val="InstructionsTabelleText"/>
                <w:rFonts w:ascii="Times New Roman" w:hAnsi="Times New Roman"/>
                <w:sz w:val="24"/>
              </w:rPr>
              <w:t>Article 490(6) and point (c) of Article 491 CRR</w:t>
            </w:r>
          </w:p>
          <w:p w:rsidR="002648B0" w:rsidRPr="00661595" w:rsidRDefault="002648B0" w:rsidP="00EE6F6C">
            <w:pPr>
              <w:pStyle w:val="body"/>
              <w:rPr>
                <w:rStyle w:val="InstructionsTabelleText"/>
                <w:rFonts w:ascii="Times New Roman" w:hAnsi="Times New Roman"/>
                <w:sz w:val="24"/>
              </w:rPr>
            </w:pPr>
            <w:r w:rsidRPr="00661595">
              <w:rPr>
                <w:rStyle w:val="InstructionsTabelleText"/>
                <w:rFonts w:ascii="Times New Roman" w:hAnsi="Times New Roman"/>
                <w:sz w:val="24"/>
              </w:rPr>
              <w:t>The amount to be reported shall include the related share premium accounts.</w:t>
            </w:r>
          </w:p>
        </w:tc>
      </w:tr>
      <w:tr w:rsidR="002648B0" w:rsidRPr="00661595" w:rsidTr="00672D2A">
        <w:tc>
          <w:tcPr>
            <w:tcW w:w="703" w:type="dxa"/>
          </w:tcPr>
          <w:p w:rsidR="002648B0" w:rsidRPr="00661595" w:rsidRDefault="00606735" w:rsidP="00EE6F6C">
            <w:pPr>
              <w:pStyle w:val="body"/>
              <w:rPr>
                <w:rStyle w:val="InstructionsTabelleText"/>
                <w:rFonts w:ascii="Times New Roman" w:hAnsi="Times New Roman"/>
                <w:sz w:val="24"/>
              </w:rPr>
            </w:pPr>
            <w:r w:rsidRPr="00661595">
              <w:rPr>
                <w:rStyle w:val="InstructionsTabelleText"/>
                <w:rFonts w:ascii="Times New Roman" w:hAnsi="Times New Roman"/>
                <w:sz w:val="24"/>
              </w:rPr>
              <w:t>0</w:t>
            </w:r>
            <w:r w:rsidR="002648B0" w:rsidRPr="00661595">
              <w:rPr>
                <w:rStyle w:val="InstructionsTabelleText"/>
                <w:rFonts w:ascii="Times New Roman" w:hAnsi="Times New Roman"/>
                <w:sz w:val="24"/>
              </w:rPr>
              <w:t>150</w:t>
            </w:r>
          </w:p>
        </w:tc>
        <w:tc>
          <w:tcPr>
            <w:tcW w:w="7478" w:type="dxa"/>
          </w:tcPr>
          <w:p w:rsidR="005643EA" w:rsidRPr="00661595" w:rsidRDefault="002648B0" w:rsidP="00EE6F6C">
            <w:pPr>
              <w:pStyle w:val="body"/>
              <w:rPr>
                <w:rStyle w:val="InstructionsTabelleberschrift"/>
                <w:rFonts w:ascii="Times New Roman" w:hAnsi="Times New Roman"/>
                <w:sz w:val="24"/>
              </w:rPr>
            </w:pPr>
            <w:r w:rsidRPr="00661595">
              <w:rPr>
                <w:rStyle w:val="InstructionsTabelleberschrift"/>
                <w:rFonts w:ascii="Times New Roman" w:hAnsi="Times New Roman"/>
                <w:sz w:val="24"/>
              </w:rPr>
              <w:t>3</w:t>
            </w:r>
            <w:r w:rsidR="000D194E" w:rsidRPr="00661595">
              <w:rPr>
                <w:rStyle w:val="InstructionsTabelleberschrift"/>
                <w:rFonts w:ascii="Times New Roman" w:hAnsi="Times New Roman"/>
                <w:sz w:val="24"/>
              </w:rPr>
              <w:t>.3</w:t>
            </w:r>
            <w:r w:rsidR="000D194E" w:rsidRPr="00661595">
              <w:rPr>
                <w:rStyle w:val="InstructionsTabelleberschrift"/>
                <w:rFonts w:ascii="Times New Roman" w:hAnsi="Times New Roman"/>
                <w:sz w:val="24"/>
              </w:rPr>
              <w:tab/>
            </w:r>
            <w:r w:rsidRPr="00661595">
              <w:rPr>
                <w:rStyle w:val="InstructionsTabelleberschrift"/>
                <w:rFonts w:ascii="Times New Roman" w:hAnsi="Times New Roman"/>
                <w:sz w:val="24"/>
              </w:rPr>
              <w:t>Excess on the limit of AT1 grandfathered instruments</w:t>
            </w:r>
          </w:p>
          <w:p w:rsidR="002648B0" w:rsidRPr="00661595" w:rsidRDefault="002648B0" w:rsidP="00EE6F6C">
            <w:pPr>
              <w:pStyle w:val="body"/>
              <w:rPr>
                <w:rStyle w:val="InstructionsTabelleText"/>
                <w:rFonts w:ascii="Times New Roman" w:hAnsi="Times New Roman"/>
                <w:sz w:val="24"/>
                <w:lang w:eastAsia="de-DE"/>
              </w:rPr>
            </w:pPr>
            <w:r w:rsidRPr="00661595">
              <w:rPr>
                <w:rStyle w:val="InstructionsTabelleText"/>
                <w:rFonts w:ascii="Times New Roman" w:hAnsi="Times New Roman"/>
                <w:sz w:val="24"/>
              </w:rPr>
              <w:t xml:space="preserve">Article </w:t>
            </w:r>
            <w:r w:rsidR="00B542AB" w:rsidRPr="00661595">
              <w:rPr>
                <w:rStyle w:val="InstructionsTabelleText"/>
                <w:rFonts w:ascii="Times New Roman" w:hAnsi="Times New Roman"/>
                <w:sz w:val="24"/>
              </w:rPr>
              <w:t>487</w:t>
            </w:r>
            <w:r w:rsidR="000F1CEA" w:rsidRPr="00661595">
              <w:rPr>
                <w:rStyle w:val="InstructionsTabelleText"/>
                <w:rFonts w:ascii="Times New Roman" w:hAnsi="Times New Roman"/>
                <w:sz w:val="24"/>
              </w:rPr>
              <w:t xml:space="preserve">(2) </w:t>
            </w:r>
            <w:r w:rsidR="00C7103D" w:rsidRPr="00661595">
              <w:rPr>
                <w:rStyle w:val="InstructionsTabelleText"/>
                <w:rFonts w:ascii="Times New Roman" w:hAnsi="Times New Roman"/>
                <w:sz w:val="24"/>
              </w:rPr>
              <w:t>CRR</w:t>
            </w:r>
            <w:r w:rsidR="000F1CEA" w:rsidRPr="00661595">
              <w:rPr>
                <w:rStyle w:val="InstructionsTabelleText"/>
                <w:rFonts w:ascii="Times New Roman" w:hAnsi="Times New Roman"/>
                <w:sz w:val="24"/>
              </w:rPr>
              <w:t xml:space="preserve"> </w:t>
            </w:r>
          </w:p>
          <w:p w:rsidR="002648B0" w:rsidRPr="00661595" w:rsidRDefault="002648B0" w:rsidP="00EE6F6C">
            <w:pPr>
              <w:pStyle w:val="body"/>
              <w:rPr>
                <w:rStyle w:val="InstructionsTabelleText"/>
                <w:rFonts w:ascii="Times New Roman" w:hAnsi="Times New Roman"/>
                <w:sz w:val="24"/>
              </w:rPr>
            </w:pPr>
            <w:r w:rsidRPr="00661595">
              <w:rPr>
                <w:rStyle w:val="InstructionsTabelleText"/>
                <w:rFonts w:ascii="Times New Roman" w:hAnsi="Times New Roman"/>
                <w:sz w:val="24"/>
              </w:rPr>
              <w:t>The excess on the limit of AT1 grandfathered instruments may be treated as instruments which can be grandfathered as T2 instruments.</w:t>
            </w:r>
          </w:p>
        </w:tc>
      </w:tr>
    </w:tbl>
    <w:p w:rsidR="00464F34" w:rsidRPr="00661595" w:rsidRDefault="00464F34" w:rsidP="000911FE">
      <w:pPr>
        <w:pStyle w:val="body"/>
        <w:rPr>
          <w:u w:val="single"/>
        </w:rPr>
      </w:pPr>
      <w:bookmarkStart w:id="92" w:name="_Toc239157372"/>
      <w:bookmarkStart w:id="93" w:name="_Toc295829844"/>
      <w:bookmarkStart w:id="94" w:name="_Toc330394185"/>
      <w:bookmarkEnd w:id="0"/>
      <w:bookmarkEnd w:id="1"/>
    </w:p>
    <w:p w:rsidR="00464F34"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95" w:name="_Toc360188339"/>
      <w:bookmarkStart w:id="96" w:name="_Toc473560887"/>
      <w:bookmarkStart w:id="97" w:name="_Toc57831527"/>
      <w:bookmarkEnd w:id="92"/>
      <w:bookmarkEnd w:id="93"/>
      <w:bookmarkEnd w:id="94"/>
      <w:r w:rsidRPr="00661595">
        <w:rPr>
          <w:rFonts w:ascii="Times New Roman" w:hAnsi="Times New Roman" w:cs="Times New Roman"/>
          <w:sz w:val="24"/>
          <w:u w:val="none"/>
          <w:lang w:val="en-GB"/>
        </w:rPr>
        <w:t>2.</w:t>
      </w:r>
      <w:r w:rsidRPr="00661595">
        <w:rPr>
          <w:rFonts w:ascii="Times New Roman" w:hAnsi="Times New Roman" w:cs="Times New Roman"/>
          <w:sz w:val="24"/>
          <w:u w:val="none"/>
          <w:lang w:val="en-GB"/>
        </w:rPr>
        <w:tab/>
      </w:r>
      <w:r w:rsidR="00DB0274" w:rsidRPr="00661595">
        <w:rPr>
          <w:rFonts w:ascii="Times New Roman" w:hAnsi="Times New Roman" w:cs="Times New Roman"/>
          <w:sz w:val="24"/>
          <w:lang w:val="en-GB"/>
        </w:rPr>
        <w:t>GROUP SOLVENCY: INFORMATION ON AFFILIATES (GS</w:t>
      </w:r>
      <w:bookmarkEnd w:id="95"/>
      <w:r w:rsidR="00FC20DD" w:rsidRPr="00661595">
        <w:rPr>
          <w:rFonts w:ascii="Times New Roman" w:hAnsi="Times New Roman" w:cs="Times New Roman"/>
          <w:sz w:val="24"/>
          <w:lang w:val="en-GB"/>
        </w:rPr>
        <w:t>)</w:t>
      </w:r>
      <w:bookmarkEnd w:id="96"/>
      <w:bookmarkEnd w:id="97"/>
    </w:p>
    <w:p w:rsidR="00464F34"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98" w:name="_Toc264038416"/>
      <w:bookmarkStart w:id="99" w:name="_Toc295829845"/>
      <w:bookmarkStart w:id="100" w:name="_Toc310415011"/>
      <w:bookmarkStart w:id="101" w:name="_Toc330394186"/>
      <w:bookmarkStart w:id="102" w:name="_Toc360188340"/>
      <w:bookmarkStart w:id="103" w:name="_Toc473560888"/>
      <w:bookmarkStart w:id="104" w:name="_Toc57831528"/>
      <w:r w:rsidRPr="00661595">
        <w:rPr>
          <w:rFonts w:ascii="Times New Roman" w:hAnsi="Times New Roman" w:cs="Times New Roman"/>
          <w:sz w:val="24"/>
          <w:u w:val="none"/>
          <w:lang w:val="en-GB"/>
        </w:rPr>
        <w:t>2.1.</w:t>
      </w:r>
      <w:r w:rsidRPr="00661595">
        <w:rPr>
          <w:rFonts w:ascii="Times New Roman" w:hAnsi="Times New Roman" w:cs="Times New Roman"/>
          <w:sz w:val="24"/>
          <w:u w:val="none"/>
          <w:lang w:val="en-GB"/>
        </w:rPr>
        <w:tab/>
      </w:r>
      <w:r w:rsidR="00464F34" w:rsidRPr="00661595">
        <w:rPr>
          <w:rFonts w:ascii="Times New Roman" w:hAnsi="Times New Roman" w:cs="Times New Roman"/>
          <w:sz w:val="24"/>
          <w:lang w:val="en-GB"/>
        </w:rPr>
        <w:t>General remarks</w:t>
      </w:r>
      <w:bookmarkEnd w:id="98"/>
      <w:bookmarkEnd w:id="99"/>
      <w:bookmarkEnd w:id="100"/>
      <w:bookmarkEnd w:id="101"/>
      <w:bookmarkEnd w:id="102"/>
      <w:bookmarkEnd w:id="103"/>
      <w:bookmarkEnd w:id="104"/>
    </w:p>
    <w:p w:rsidR="00464F34" w:rsidRPr="00661595" w:rsidRDefault="00D11E4C" w:rsidP="00487A02">
      <w:pPr>
        <w:pStyle w:val="InstructionsText2"/>
        <w:numPr>
          <w:ilvl w:val="0"/>
          <w:numId w:val="0"/>
        </w:numPr>
        <w:ind w:left="1353" w:hanging="360"/>
      </w:pPr>
      <w:fldSimple w:instr=" seq paragraphs ">
        <w:r w:rsidR="00771068">
          <w:rPr>
            <w:noProof/>
          </w:rPr>
          <w:t>27</w:t>
        </w:r>
      </w:fldSimple>
      <w:r w:rsidR="00125707" w:rsidRPr="00661595">
        <w:t>.</w:t>
      </w:r>
      <w:r w:rsidR="00125707" w:rsidRPr="00661595">
        <w:tab/>
      </w:r>
      <w:r w:rsidR="001C6416" w:rsidRPr="00661595">
        <w:t>T</w:t>
      </w:r>
      <w:r w:rsidR="00C504D3" w:rsidRPr="00661595">
        <w:t>emplate</w:t>
      </w:r>
      <w:r w:rsidR="00BC3F13" w:rsidRPr="00661595">
        <w:t>s</w:t>
      </w:r>
      <w:r w:rsidR="00C504D3" w:rsidRPr="00661595">
        <w:t xml:space="preserve"> C 06.0</w:t>
      </w:r>
      <w:r w:rsidR="00BC3F13" w:rsidRPr="00661595">
        <w:t>1 and C 06.02</w:t>
      </w:r>
      <w:r w:rsidR="001C6416" w:rsidRPr="00661595">
        <w:t xml:space="preserve"> shall be reported if own funds requirements are calculated on a consolidated basis</w:t>
      </w:r>
      <w:r w:rsidR="00C504D3" w:rsidRPr="00661595">
        <w:t xml:space="preserve">. </w:t>
      </w:r>
      <w:r w:rsidR="00283C5E" w:rsidRPr="00661595">
        <w:t>T</w:t>
      </w:r>
      <w:r w:rsidR="00464F34" w:rsidRPr="00661595">
        <w:t xml:space="preserve">emplate </w:t>
      </w:r>
      <w:r w:rsidR="00283C5E" w:rsidRPr="00661595">
        <w:t xml:space="preserve">C 06.02 </w:t>
      </w:r>
      <w:r w:rsidR="00464F34" w:rsidRPr="00661595">
        <w:t>consists of four parts in order to gather different information on all individual entities (including the reporting institution) included in the scope of consolidation</w:t>
      </w:r>
      <w:r w:rsidR="00C93697" w:rsidRPr="00661595">
        <w:t>.</w:t>
      </w:r>
    </w:p>
    <w:p w:rsidR="00C93697" w:rsidRPr="00661595" w:rsidRDefault="00125707" w:rsidP="00487A02">
      <w:pPr>
        <w:pStyle w:val="InstructionsText2"/>
        <w:numPr>
          <w:ilvl w:val="0"/>
          <w:numId w:val="0"/>
        </w:numPr>
        <w:ind w:left="1353" w:hanging="360"/>
      </w:pPr>
      <w:r w:rsidRPr="00661595">
        <w:t>(a)</w:t>
      </w:r>
      <w:r w:rsidRPr="00661595">
        <w:tab/>
      </w:r>
      <w:r w:rsidR="00C93697" w:rsidRPr="00661595">
        <w:t>Entities within the scope of consolidation;</w:t>
      </w:r>
    </w:p>
    <w:p w:rsidR="00C93697" w:rsidRPr="00661595" w:rsidRDefault="00125707" w:rsidP="00487A02">
      <w:pPr>
        <w:pStyle w:val="InstructionsText2"/>
        <w:numPr>
          <w:ilvl w:val="0"/>
          <w:numId w:val="0"/>
        </w:numPr>
        <w:ind w:left="1353" w:hanging="360"/>
      </w:pPr>
      <w:r w:rsidRPr="00661595">
        <w:t>(b)</w:t>
      </w:r>
      <w:r w:rsidRPr="00661595">
        <w:tab/>
      </w:r>
      <w:r w:rsidR="00C93697" w:rsidRPr="00661595">
        <w:t>Detailed group solvency information;</w:t>
      </w:r>
    </w:p>
    <w:p w:rsidR="00C93697" w:rsidRPr="00661595" w:rsidRDefault="00125707" w:rsidP="00487A02">
      <w:pPr>
        <w:pStyle w:val="InstructionsText2"/>
        <w:numPr>
          <w:ilvl w:val="0"/>
          <w:numId w:val="0"/>
        </w:numPr>
        <w:ind w:left="1353" w:hanging="360"/>
      </w:pPr>
      <w:r w:rsidRPr="00661595">
        <w:t>(c)</w:t>
      </w:r>
      <w:r w:rsidRPr="00661595">
        <w:tab/>
      </w:r>
      <w:r w:rsidR="00C93697" w:rsidRPr="00661595">
        <w:t>Information on the contribution of individual entities to group solvency</w:t>
      </w:r>
      <w:r w:rsidR="000D5958" w:rsidRPr="00661595">
        <w:t>;</w:t>
      </w:r>
    </w:p>
    <w:p w:rsidR="00C93697" w:rsidRPr="00661595" w:rsidRDefault="00125707" w:rsidP="00487A02">
      <w:pPr>
        <w:pStyle w:val="InstructionsText2"/>
        <w:numPr>
          <w:ilvl w:val="0"/>
          <w:numId w:val="0"/>
        </w:numPr>
        <w:ind w:left="1353" w:hanging="360"/>
      </w:pPr>
      <w:r w:rsidRPr="00661595">
        <w:t>(d)</w:t>
      </w:r>
      <w:r w:rsidRPr="00661595">
        <w:tab/>
      </w:r>
      <w:r w:rsidR="00C93697" w:rsidRPr="00661595">
        <w:t>Information on capital buffers</w:t>
      </w:r>
      <w:r w:rsidR="000D5958" w:rsidRPr="00661595">
        <w:t>;</w:t>
      </w:r>
    </w:p>
    <w:p w:rsidR="00464F34" w:rsidRPr="00661595" w:rsidRDefault="00D11E4C" w:rsidP="00487A02">
      <w:pPr>
        <w:pStyle w:val="InstructionsText2"/>
        <w:numPr>
          <w:ilvl w:val="0"/>
          <w:numId w:val="0"/>
        </w:numPr>
        <w:ind w:left="1353" w:hanging="360"/>
      </w:pPr>
      <w:fldSimple w:instr=" seq paragraphs ">
        <w:r w:rsidR="00771068">
          <w:rPr>
            <w:noProof/>
          </w:rPr>
          <w:t>28</w:t>
        </w:r>
      </w:fldSimple>
      <w:r w:rsidR="00125707" w:rsidRPr="00661595">
        <w:t>.</w:t>
      </w:r>
      <w:r w:rsidR="00125707" w:rsidRPr="00661595">
        <w:tab/>
      </w:r>
      <w:r w:rsidR="00C93697" w:rsidRPr="00661595">
        <w:t>I</w:t>
      </w:r>
      <w:r w:rsidR="00464F34" w:rsidRPr="00661595">
        <w:t xml:space="preserve">nstitutions </w:t>
      </w:r>
      <w:r w:rsidR="00110F40" w:rsidRPr="00661595">
        <w:t xml:space="preserve">that obtained a </w:t>
      </w:r>
      <w:r w:rsidR="00464F34" w:rsidRPr="00661595">
        <w:t>waive</w:t>
      </w:r>
      <w:r w:rsidR="00110F40" w:rsidRPr="00661595">
        <w:t>r</w:t>
      </w:r>
      <w:r w:rsidR="00464F34" w:rsidRPr="00661595">
        <w:t xml:space="preserve"> </w:t>
      </w:r>
      <w:r w:rsidR="00BB22D4" w:rsidRPr="00661595">
        <w:t>in accordance with</w:t>
      </w:r>
      <w:r w:rsidR="00464F34" w:rsidRPr="00661595">
        <w:t xml:space="preserve"> Article 7 </w:t>
      </w:r>
      <w:r w:rsidR="00C7103D" w:rsidRPr="00661595">
        <w:t>CRR</w:t>
      </w:r>
      <w:r w:rsidR="00464F34" w:rsidRPr="00661595">
        <w:t xml:space="preserve"> shall only report the columns </w:t>
      </w:r>
      <w:r w:rsidR="00B45BCF" w:rsidRPr="00661595">
        <w:t>0</w:t>
      </w:r>
      <w:r w:rsidR="00464F34" w:rsidRPr="00661595">
        <w:t xml:space="preserve">010 to </w:t>
      </w:r>
      <w:r w:rsidR="00B45BCF" w:rsidRPr="00661595">
        <w:t>0</w:t>
      </w:r>
      <w:r w:rsidR="00464F34" w:rsidRPr="00661595">
        <w:t xml:space="preserve">060 and </w:t>
      </w:r>
      <w:r w:rsidR="00B45BCF" w:rsidRPr="00661595">
        <w:t>0</w:t>
      </w:r>
      <w:r w:rsidR="00464F34" w:rsidRPr="00661595">
        <w:t xml:space="preserve">250 to </w:t>
      </w:r>
      <w:r w:rsidR="00B45BCF" w:rsidRPr="00661595">
        <w:t>0</w:t>
      </w:r>
      <w:r w:rsidR="00464F34" w:rsidRPr="00661595">
        <w:t>400.</w:t>
      </w:r>
    </w:p>
    <w:p w:rsidR="004C0508" w:rsidRPr="00661595" w:rsidRDefault="00D11E4C" w:rsidP="00487A02">
      <w:pPr>
        <w:pStyle w:val="InstructionsText2"/>
        <w:numPr>
          <w:ilvl w:val="0"/>
          <w:numId w:val="0"/>
        </w:numPr>
        <w:ind w:left="1353" w:hanging="360"/>
      </w:pPr>
      <w:fldSimple w:instr=" seq paragraphs ">
        <w:r w:rsidR="00771068">
          <w:rPr>
            <w:noProof/>
          </w:rPr>
          <w:t>29</w:t>
        </w:r>
      </w:fldSimple>
      <w:r w:rsidR="00125707" w:rsidRPr="00661595">
        <w:t>.</w:t>
      </w:r>
      <w:r w:rsidR="00125707" w:rsidRPr="00661595">
        <w:tab/>
      </w:r>
      <w:r w:rsidR="004C0508" w:rsidRPr="00661595">
        <w:t xml:space="preserve">The figures reported take into account all applicable transitional provisions </w:t>
      </w:r>
      <w:r w:rsidR="00C7103D" w:rsidRPr="00661595">
        <w:t>CRR</w:t>
      </w:r>
      <w:r w:rsidR="004C0508" w:rsidRPr="00661595">
        <w:t xml:space="preserve"> which are applicable at the respective reporting date.</w:t>
      </w:r>
    </w:p>
    <w:p w:rsidR="00C93697"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105" w:name="_Toc360188341"/>
      <w:bookmarkStart w:id="106" w:name="_Toc473560889"/>
      <w:bookmarkStart w:id="107" w:name="_Toc57831529"/>
      <w:r w:rsidRPr="00661595">
        <w:rPr>
          <w:rFonts w:ascii="Times New Roman" w:hAnsi="Times New Roman" w:cs="Times New Roman"/>
          <w:sz w:val="24"/>
          <w:u w:val="none"/>
          <w:lang w:val="en-GB"/>
        </w:rPr>
        <w:t>2.2.</w:t>
      </w:r>
      <w:r w:rsidRPr="00661595">
        <w:rPr>
          <w:rFonts w:ascii="Times New Roman" w:hAnsi="Times New Roman" w:cs="Times New Roman"/>
          <w:sz w:val="24"/>
          <w:u w:val="none"/>
          <w:lang w:val="en-GB"/>
        </w:rPr>
        <w:tab/>
      </w:r>
      <w:r w:rsidR="00C93697" w:rsidRPr="00661595">
        <w:rPr>
          <w:rFonts w:ascii="Times New Roman" w:hAnsi="Times New Roman" w:cs="Times New Roman"/>
          <w:sz w:val="24"/>
          <w:lang w:val="en-GB"/>
        </w:rPr>
        <w:t>Detailed group solvency information</w:t>
      </w:r>
      <w:bookmarkEnd w:id="105"/>
      <w:bookmarkEnd w:id="106"/>
      <w:bookmarkEnd w:id="107"/>
    </w:p>
    <w:p w:rsidR="00464F34" w:rsidRPr="00661595" w:rsidRDefault="00D11E4C" w:rsidP="00487A02">
      <w:pPr>
        <w:pStyle w:val="InstructionsText2"/>
        <w:numPr>
          <w:ilvl w:val="0"/>
          <w:numId w:val="0"/>
        </w:numPr>
        <w:ind w:left="1353" w:hanging="360"/>
      </w:pPr>
      <w:fldSimple w:instr=" seq paragraphs ">
        <w:r w:rsidR="00771068">
          <w:rPr>
            <w:noProof/>
          </w:rPr>
          <w:t>30</w:t>
        </w:r>
      </w:fldSimple>
      <w:r w:rsidR="00125707" w:rsidRPr="00661595">
        <w:t>.</w:t>
      </w:r>
      <w:r w:rsidR="00125707" w:rsidRPr="00661595">
        <w:tab/>
      </w:r>
      <w:r w:rsidR="00464F34" w:rsidRPr="00661595">
        <w:t>T</w:t>
      </w:r>
      <w:r w:rsidR="00C93697" w:rsidRPr="00661595">
        <w:t>he second part of template</w:t>
      </w:r>
      <w:r w:rsidR="004A1D97" w:rsidRPr="00661595">
        <w:t xml:space="preserve"> C 06.02</w:t>
      </w:r>
      <w:r w:rsidR="00464F34" w:rsidRPr="00661595">
        <w:t xml:space="preserve"> </w:t>
      </w:r>
      <w:r w:rsidR="00C93697" w:rsidRPr="00661595">
        <w:t>(</w:t>
      </w:r>
      <w:r w:rsidR="00464F34" w:rsidRPr="00661595">
        <w:t>detailed group solvency information</w:t>
      </w:r>
      <w:r w:rsidR="00C93697" w:rsidRPr="00661595">
        <w:t>)</w:t>
      </w:r>
      <w:r w:rsidR="00464F34" w:rsidRPr="00661595">
        <w:t xml:space="preserve"> in columns </w:t>
      </w:r>
      <w:r w:rsidR="00B45BCF" w:rsidRPr="00661595">
        <w:t>0</w:t>
      </w:r>
      <w:r w:rsidR="00464F34" w:rsidRPr="00661595">
        <w:t xml:space="preserve">070 to </w:t>
      </w:r>
      <w:r w:rsidR="00B45BCF" w:rsidRPr="00661595">
        <w:t>0</w:t>
      </w:r>
      <w:r w:rsidR="00464F34" w:rsidRPr="00661595">
        <w:t xml:space="preserve">210 is designed to gather information on credit and other regulated financial institutions which are effectively subject to particular solvency requirements on individual basis. </w:t>
      </w:r>
      <w:r w:rsidR="00C93697" w:rsidRPr="00661595">
        <w:t xml:space="preserve">It provides, </w:t>
      </w:r>
      <w:r w:rsidR="00464F34" w:rsidRPr="00661595">
        <w:t xml:space="preserve">for each of those entities within the scope of the reporting, the own funds requirements for each risk category and the own funds for solvency purposes. </w:t>
      </w:r>
    </w:p>
    <w:p w:rsidR="00464F34" w:rsidRPr="00661595" w:rsidRDefault="00D11E4C" w:rsidP="00487A02">
      <w:pPr>
        <w:pStyle w:val="InstructionsText2"/>
        <w:numPr>
          <w:ilvl w:val="0"/>
          <w:numId w:val="0"/>
        </w:numPr>
        <w:ind w:left="1353" w:hanging="360"/>
      </w:pPr>
      <w:fldSimple w:instr=" seq paragraphs ">
        <w:r w:rsidR="00771068">
          <w:rPr>
            <w:noProof/>
          </w:rPr>
          <w:t>31</w:t>
        </w:r>
      </w:fldSimple>
      <w:r w:rsidR="00125707" w:rsidRPr="00661595">
        <w:t>.</w:t>
      </w:r>
      <w:r w:rsidR="00125707" w:rsidRPr="00661595">
        <w:tab/>
      </w:r>
      <w:r w:rsidR="00464F34" w:rsidRPr="00661595">
        <w:t xml:space="preserve">In the case of proportional consolidation of participations, the figures related to own funds requirements and own funds </w:t>
      </w:r>
      <w:r w:rsidR="00C93697" w:rsidRPr="00661595">
        <w:t>shall</w:t>
      </w:r>
      <w:r w:rsidR="00464F34" w:rsidRPr="00661595">
        <w:t xml:space="preserve"> reflect the respective proportional amounts.</w:t>
      </w:r>
    </w:p>
    <w:p w:rsidR="00C93697"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108" w:name="_Toc360188342"/>
      <w:bookmarkStart w:id="109" w:name="_Toc473560890"/>
      <w:bookmarkStart w:id="110" w:name="_Toc57831530"/>
      <w:r w:rsidRPr="00661595">
        <w:rPr>
          <w:rFonts w:ascii="Times New Roman" w:hAnsi="Times New Roman" w:cs="Times New Roman"/>
          <w:sz w:val="24"/>
          <w:u w:val="none"/>
          <w:lang w:val="en-GB"/>
        </w:rPr>
        <w:t>2.3.</w:t>
      </w:r>
      <w:r w:rsidRPr="00661595">
        <w:rPr>
          <w:rFonts w:ascii="Times New Roman" w:hAnsi="Times New Roman" w:cs="Times New Roman"/>
          <w:sz w:val="24"/>
          <w:u w:val="none"/>
          <w:lang w:val="en-GB"/>
        </w:rPr>
        <w:tab/>
      </w:r>
      <w:r w:rsidR="00C93697" w:rsidRPr="00661595">
        <w:rPr>
          <w:rFonts w:ascii="Times New Roman" w:hAnsi="Times New Roman" w:cs="Times New Roman"/>
          <w:sz w:val="24"/>
          <w:lang w:val="en-GB"/>
        </w:rPr>
        <w:t>Information on the contributions of individual entities to group solvency</w:t>
      </w:r>
      <w:bookmarkEnd w:id="108"/>
      <w:bookmarkEnd w:id="109"/>
      <w:bookmarkEnd w:id="110"/>
    </w:p>
    <w:p w:rsidR="00464F34" w:rsidRPr="00661595" w:rsidRDefault="00D11E4C" w:rsidP="00487A02">
      <w:pPr>
        <w:pStyle w:val="InstructionsText2"/>
        <w:numPr>
          <w:ilvl w:val="0"/>
          <w:numId w:val="0"/>
        </w:numPr>
        <w:ind w:left="1353" w:hanging="360"/>
      </w:pPr>
      <w:fldSimple w:instr=" seq paragraphs ">
        <w:r w:rsidR="00771068">
          <w:rPr>
            <w:noProof/>
          </w:rPr>
          <w:t>32</w:t>
        </w:r>
      </w:fldSimple>
      <w:r w:rsidR="00125707" w:rsidRPr="00661595">
        <w:t>.</w:t>
      </w:r>
      <w:r w:rsidR="00125707" w:rsidRPr="00661595">
        <w:tab/>
      </w:r>
      <w:r w:rsidR="00464F34" w:rsidRPr="00661595">
        <w:t>The objective of the third part of template</w:t>
      </w:r>
      <w:r w:rsidR="004A1D97" w:rsidRPr="00661595">
        <w:t xml:space="preserve"> C 06.02 and template C 06.01</w:t>
      </w:r>
      <w:r w:rsidR="00C93697" w:rsidRPr="00661595">
        <w:t xml:space="preserve"> (</w:t>
      </w:r>
      <w:r w:rsidR="00464F34" w:rsidRPr="00661595">
        <w:t>information on the contributions of all entities within CRR scope of consolidation</w:t>
      </w:r>
      <w:r w:rsidR="00C93697" w:rsidRPr="00661595">
        <w:t xml:space="preserve"> to group solvency),</w:t>
      </w:r>
      <w:r w:rsidR="00464F34" w:rsidRPr="00661595">
        <w:t xml:space="preserve"> including those that are not subject to particular solvency requirements on an individual basis</w:t>
      </w:r>
      <w:r w:rsidR="00C93697" w:rsidRPr="00661595">
        <w:t>,</w:t>
      </w:r>
      <w:r w:rsidR="00464F34" w:rsidRPr="00661595">
        <w:t xml:space="preserve"> in columns </w:t>
      </w:r>
      <w:r w:rsidR="00ED20CB" w:rsidRPr="00661595">
        <w:t>0</w:t>
      </w:r>
      <w:r w:rsidR="00464F34" w:rsidRPr="00661595">
        <w:t xml:space="preserve">250 to </w:t>
      </w:r>
      <w:r w:rsidR="00ED20CB" w:rsidRPr="00661595">
        <w:t>0</w:t>
      </w:r>
      <w:r w:rsidR="00464F34" w:rsidRPr="00661595">
        <w:t xml:space="preserve">400, is to identify which entities within the group generate the risks and raise own funds from the market, based on data that are readily available or can easily be reprocessed, without having to reconstruct the capital ratio on a solo or sub-consolidated basis. At the entity level, both risk and own fund figures are contributions to the group figures and not elements of a solvency ratio on a solo basis and as such must not be compared to each other. </w:t>
      </w:r>
    </w:p>
    <w:p w:rsidR="00464F34" w:rsidRPr="00661595" w:rsidRDefault="00D11E4C" w:rsidP="00487A02">
      <w:pPr>
        <w:pStyle w:val="InstructionsText2"/>
        <w:numPr>
          <w:ilvl w:val="0"/>
          <w:numId w:val="0"/>
        </w:numPr>
        <w:ind w:left="1353" w:hanging="360"/>
      </w:pPr>
      <w:fldSimple w:instr=" seq paragraphs ">
        <w:r w:rsidR="00771068">
          <w:rPr>
            <w:noProof/>
          </w:rPr>
          <w:t>33</w:t>
        </w:r>
      </w:fldSimple>
      <w:r w:rsidR="00125707" w:rsidRPr="00661595">
        <w:t>.</w:t>
      </w:r>
      <w:r w:rsidR="00125707" w:rsidRPr="00661595">
        <w:tab/>
      </w:r>
      <w:r w:rsidR="00C93697" w:rsidRPr="00661595">
        <w:t>The third</w:t>
      </w:r>
      <w:r w:rsidR="00464F34" w:rsidRPr="00661595">
        <w:t xml:space="preserve"> part also includes the amounts of minority interests, qualifying AT1, and qualifying T2 eligible in the consolidated own funds.</w:t>
      </w:r>
    </w:p>
    <w:p w:rsidR="00464F34" w:rsidRPr="00661595" w:rsidRDefault="00D11E4C" w:rsidP="00487A02">
      <w:pPr>
        <w:pStyle w:val="InstructionsText2"/>
        <w:numPr>
          <w:ilvl w:val="0"/>
          <w:numId w:val="0"/>
        </w:numPr>
        <w:ind w:left="1353" w:hanging="360"/>
      </w:pPr>
      <w:fldSimple w:instr=" seq paragraphs ">
        <w:r w:rsidR="00771068">
          <w:rPr>
            <w:noProof/>
          </w:rPr>
          <w:t>34</w:t>
        </w:r>
      </w:fldSimple>
      <w:r w:rsidR="00125707" w:rsidRPr="00661595">
        <w:t>.</w:t>
      </w:r>
      <w:r w:rsidR="00125707" w:rsidRPr="00661595">
        <w:tab/>
      </w:r>
      <w:r w:rsidR="00464F34" w:rsidRPr="00661595">
        <w:t xml:space="preserve">As this third part of the template refers to “contributions”, the figures to be reported herein </w:t>
      </w:r>
      <w:r w:rsidR="00C93697" w:rsidRPr="00661595">
        <w:t>shall</w:t>
      </w:r>
      <w:r w:rsidR="00464F34" w:rsidRPr="00661595">
        <w:t xml:space="preserve"> defer, when applicable, from the figures reported in the columns referring to detailed group solvency information.</w:t>
      </w:r>
    </w:p>
    <w:p w:rsidR="00464F34" w:rsidRPr="00661595" w:rsidRDefault="00D11E4C" w:rsidP="00487A02">
      <w:pPr>
        <w:pStyle w:val="InstructionsText2"/>
        <w:numPr>
          <w:ilvl w:val="0"/>
          <w:numId w:val="0"/>
        </w:numPr>
        <w:ind w:left="1353" w:hanging="360"/>
      </w:pPr>
      <w:fldSimple w:instr=" seq paragraphs ">
        <w:r w:rsidR="00771068">
          <w:rPr>
            <w:noProof/>
          </w:rPr>
          <w:t>35</w:t>
        </w:r>
      </w:fldSimple>
      <w:r w:rsidR="00125707" w:rsidRPr="00661595">
        <w:t>.</w:t>
      </w:r>
      <w:r w:rsidR="00125707" w:rsidRPr="00661595">
        <w:tab/>
      </w:r>
      <w:r w:rsidR="00464F34" w:rsidRPr="00661595">
        <w:t xml:space="preserve">The principle is to delete the cross-exposures within the same groups in a homogeneous way both in terms of risks or own funds, in order to cover the amounts reported in the group’s consolidated CA template by adding the amounts reported for each entity in ”Group Solvency” template. </w:t>
      </w:r>
      <w:r w:rsidR="00283C5E" w:rsidRPr="00661595">
        <w:t>A</w:t>
      </w:r>
      <w:r w:rsidR="00464F34" w:rsidRPr="00661595">
        <w:t xml:space="preserve"> direct link to the CA template is not possible</w:t>
      </w:r>
      <w:r w:rsidR="00283C5E" w:rsidRPr="00661595">
        <w:t xml:space="preserve"> where the 1 % threshold is not exceeded</w:t>
      </w:r>
      <w:r w:rsidR="00464F34" w:rsidRPr="00661595">
        <w:t>.</w:t>
      </w:r>
    </w:p>
    <w:p w:rsidR="00464F34" w:rsidRPr="00661595" w:rsidRDefault="00D11E4C" w:rsidP="00487A02">
      <w:pPr>
        <w:pStyle w:val="InstructionsText2"/>
        <w:numPr>
          <w:ilvl w:val="0"/>
          <w:numId w:val="0"/>
        </w:numPr>
        <w:ind w:left="1353" w:hanging="360"/>
      </w:pPr>
      <w:fldSimple w:instr=" seq paragraphs ">
        <w:r w:rsidR="00771068">
          <w:rPr>
            <w:noProof/>
          </w:rPr>
          <w:t>36</w:t>
        </w:r>
      </w:fldSimple>
      <w:r w:rsidR="00125707" w:rsidRPr="00661595">
        <w:t>.</w:t>
      </w:r>
      <w:r w:rsidR="00125707" w:rsidRPr="00661595">
        <w:tab/>
      </w:r>
      <w:r w:rsidR="00464F34" w:rsidRPr="00661595">
        <w:t>The institutions shall define the most appropriate breakdown method between the entities to take into account the possible diversification effects for market risk and operational risk.</w:t>
      </w:r>
    </w:p>
    <w:p w:rsidR="00464F34" w:rsidRPr="00661595" w:rsidRDefault="00D11E4C" w:rsidP="00487A02">
      <w:pPr>
        <w:pStyle w:val="InstructionsText2"/>
        <w:numPr>
          <w:ilvl w:val="0"/>
          <w:numId w:val="0"/>
        </w:numPr>
        <w:ind w:left="1353" w:hanging="360"/>
      </w:pPr>
      <w:fldSimple w:instr=" seq paragraphs ">
        <w:r w:rsidR="00771068">
          <w:rPr>
            <w:noProof/>
          </w:rPr>
          <w:t>37</w:t>
        </w:r>
      </w:fldSimple>
      <w:r w:rsidR="00125707" w:rsidRPr="00661595">
        <w:t>.</w:t>
      </w:r>
      <w:r w:rsidR="00125707" w:rsidRPr="00661595">
        <w:tab/>
      </w:r>
      <w:r w:rsidR="00C504D3" w:rsidRPr="00661595">
        <w:t>It is possible for one consolidated group to be included within another consolidated group. Th</w:t>
      </w:r>
      <w:r w:rsidR="00283C5E" w:rsidRPr="00661595">
        <w:t>at</w:t>
      </w:r>
      <w:r w:rsidR="00C504D3" w:rsidRPr="00661595">
        <w:t xml:space="preserve"> means that the entities within a subgroup shall be reported entity-by-entity in the GS of the entire group, even if the sub-group itself is subject to reporting requirements. </w:t>
      </w:r>
      <w:r w:rsidR="00283C5E" w:rsidRPr="00661595">
        <w:t>A</w:t>
      </w:r>
      <w:r w:rsidR="00C504D3" w:rsidRPr="00661595">
        <w:t xml:space="preserve"> subgroup </w:t>
      </w:r>
      <w:r w:rsidR="00283C5E" w:rsidRPr="00661595">
        <w:t xml:space="preserve">that </w:t>
      </w:r>
      <w:r w:rsidR="00C504D3" w:rsidRPr="00661595">
        <w:t>is subject to reporting requirements shall also report the GS template on an entity-by-entity basis, although those details are included in</w:t>
      </w:r>
      <w:r w:rsidR="000D5958" w:rsidRPr="00661595">
        <w:t xml:space="preserve"> </w:t>
      </w:r>
      <w:r w:rsidR="00B8575F" w:rsidRPr="00661595">
        <w:t>the</w:t>
      </w:r>
      <w:r w:rsidR="00C504D3" w:rsidRPr="00661595">
        <w:t xml:space="preserve"> </w:t>
      </w:r>
      <w:r w:rsidR="000D5958" w:rsidRPr="00661595">
        <w:t xml:space="preserve">GS template of </w:t>
      </w:r>
      <w:r w:rsidR="00C504D3" w:rsidRPr="00661595">
        <w:t>a</w:t>
      </w:r>
      <w:r w:rsidR="00B8575F" w:rsidRPr="00661595">
        <w:t xml:space="preserve"> </w:t>
      </w:r>
      <w:r w:rsidR="00C504D3" w:rsidRPr="00661595">
        <w:t xml:space="preserve">higher consolidated group. </w:t>
      </w:r>
    </w:p>
    <w:p w:rsidR="00464F34" w:rsidRPr="00661595" w:rsidRDefault="00D11E4C" w:rsidP="00487A02">
      <w:pPr>
        <w:pStyle w:val="InstructionsText2"/>
        <w:numPr>
          <w:ilvl w:val="0"/>
          <w:numId w:val="0"/>
        </w:numPr>
        <w:ind w:left="1353" w:hanging="360"/>
      </w:pPr>
      <w:fldSimple w:instr=" seq paragraphs ">
        <w:r w:rsidR="00771068">
          <w:rPr>
            <w:noProof/>
          </w:rPr>
          <w:t>38</w:t>
        </w:r>
      </w:fldSimple>
      <w:r w:rsidR="00125707" w:rsidRPr="00661595">
        <w:t>.</w:t>
      </w:r>
      <w:r w:rsidR="00125707" w:rsidRPr="00661595">
        <w:tab/>
      </w:r>
      <w:r w:rsidR="00464F34" w:rsidRPr="00661595">
        <w:t>An institution shall report data of the contribution of an entity when its contribution to the total risk exposure amount</w:t>
      </w:r>
      <w:r w:rsidR="00C93697" w:rsidRPr="00661595">
        <w:t xml:space="preserve"> </w:t>
      </w:r>
      <w:r w:rsidR="00464F34" w:rsidRPr="00661595">
        <w:t>exceeds 1 % of the total risk exposure amount of the group or when its contribution to the total own funds exceeds 1% of the total own funds of the group. Th</w:t>
      </w:r>
      <w:r w:rsidR="00283C5E" w:rsidRPr="00661595">
        <w:t>at</w:t>
      </w:r>
      <w:r w:rsidR="00464F34" w:rsidRPr="00661595">
        <w:t xml:space="preserve"> threshold does not apply in the case of subsidiaries or subgroups that provide own funds (in the form of minority interests or qualifying AT1 or T2 instruments included in own funds) to the group.</w:t>
      </w:r>
    </w:p>
    <w:p w:rsidR="00464F34"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111" w:name="_Toc473560891"/>
      <w:bookmarkStart w:id="112" w:name="_Toc57831531"/>
      <w:r w:rsidRPr="00661595">
        <w:rPr>
          <w:rFonts w:ascii="Times New Roman" w:hAnsi="Times New Roman" w:cs="Times New Roman"/>
          <w:sz w:val="24"/>
          <w:u w:val="none"/>
          <w:lang w:val="en-GB"/>
        </w:rPr>
        <w:t>2.4.</w:t>
      </w:r>
      <w:r w:rsidRPr="00661595">
        <w:rPr>
          <w:rFonts w:ascii="Times New Roman" w:hAnsi="Times New Roman" w:cs="Times New Roman"/>
          <w:sz w:val="24"/>
          <w:u w:val="none"/>
          <w:lang w:val="en-GB"/>
        </w:rPr>
        <w:tab/>
      </w:r>
      <w:r w:rsidR="00D85AC7" w:rsidRPr="00661595">
        <w:rPr>
          <w:rFonts w:ascii="Times New Roman" w:hAnsi="Times New Roman" w:cs="Times New Roman"/>
          <w:sz w:val="24"/>
          <w:lang w:val="en-GB"/>
        </w:rPr>
        <w:t>C 06.01 – GROUP SOLVENCY: INFORMATION ON AFFILIATES – Total (GS Total)</w:t>
      </w:r>
      <w:bookmarkEnd w:id="111"/>
      <w:bookmarkEnd w:id="112"/>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8640"/>
      </w:tblGrid>
      <w:tr w:rsidR="00D85AC7" w:rsidRPr="00661595" w:rsidTr="00672D2A">
        <w:tc>
          <w:tcPr>
            <w:tcW w:w="1188" w:type="dxa"/>
            <w:shd w:val="clear" w:color="auto" w:fill="CCCCCC"/>
          </w:tcPr>
          <w:p w:rsidR="00D85AC7" w:rsidRPr="00661595" w:rsidRDefault="00D85AC7" w:rsidP="00FF36A5">
            <w:pPr>
              <w:rPr>
                <w:rStyle w:val="InstructionsTabelleText"/>
                <w:rFonts w:ascii="Times New Roman" w:hAnsi="Times New Roman"/>
                <w:sz w:val="24"/>
              </w:rPr>
            </w:pPr>
            <w:r w:rsidRPr="00661595">
              <w:rPr>
                <w:rStyle w:val="InstructionsTabelleText"/>
                <w:rFonts w:ascii="Times New Roman" w:hAnsi="Times New Roman"/>
                <w:sz w:val="24"/>
              </w:rPr>
              <w:t>Columns</w:t>
            </w:r>
          </w:p>
        </w:tc>
        <w:tc>
          <w:tcPr>
            <w:tcW w:w="8640" w:type="dxa"/>
            <w:shd w:val="clear" w:color="auto" w:fill="CCCCCC"/>
          </w:tcPr>
          <w:p w:rsidR="00D85AC7" w:rsidRPr="00661595" w:rsidRDefault="00D85AC7" w:rsidP="00FF36A5">
            <w:pPr>
              <w:rPr>
                <w:rStyle w:val="InstructionsTabelleText"/>
                <w:rFonts w:ascii="Times New Roman" w:hAnsi="Times New Roman"/>
                <w:sz w:val="24"/>
              </w:rPr>
            </w:pPr>
            <w:r w:rsidRPr="00661595">
              <w:rPr>
                <w:rStyle w:val="InstructionsTabelleText"/>
                <w:rFonts w:ascii="Times New Roman" w:hAnsi="Times New Roman"/>
                <w:sz w:val="24"/>
              </w:rPr>
              <w:t>Instructions</w:t>
            </w:r>
          </w:p>
        </w:tc>
      </w:tr>
      <w:tr w:rsidR="00D85AC7" w:rsidRPr="00661595" w:rsidTr="00672D2A">
        <w:tc>
          <w:tcPr>
            <w:tcW w:w="1188" w:type="dxa"/>
          </w:tcPr>
          <w:p w:rsidR="00D85AC7" w:rsidRPr="00661595" w:rsidRDefault="00ED20CB" w:rsidP="00F535E7">
            <w:pPr>
              <w:rPr>
                <w:rStyle w:val="InstructionsTabelleText"/>
                <w:rFonts w:ascii="Times New Roman" w:hAnsi="Times New Roman"/>
                <w:sz w:val="24"/>
              </w:rPr>
            </w:pPr>
            <w:r w:rsidRPr="00661595">
              <w:rPr>
                <w:rStyle w:val="InstructionsTabelleText"/>
                <w:rFonts w:ascii="Times New Roman" w:hAnsi="Times New Roman"/>
                <w:sz w:val="24"/>
              </w:rPr>
              <w:t>0</w:t>
            </w:r>
            <w:r w:rsidR="00D85AC7" w:rsidRPr="00661595">
              <w:rPr>
                <w:rStyle w:val="InstructionsTabelleText"/>
                <w:rFonts w:ascii="Times New Roman" w:hAnsi="Times New Roman"/>
                <w:sz w:val="24"/>
              </w:rPr>
              <w:t>250-</w:t>
            </w:r>
            <w:r w:rsidRPr="00661595">
              <w:rPr>
                <w:rStyle w:val="InstructionsTabelleText"/>
                <w:rFonts w:ascii="Times New Roman" w:hAnsi="Times New Roman"/>
                <w:sz w:val="24"/>
              </w:rPr>
              <w:t>0</w:t>
            </w:r>
            <w:r w:rsidR="00D85AC7" w:rsidRPr="00661595">
              <w:rPr>
                <w:rStyle w:val="InstructionsTabelleText"/>
                <w:rFonts w:ascii="Times New Roman" w:hAnsi="Times New Roman"/>
                <w:sz w:val="24"/>
              </w:rPr>
              <w:t>400</w:t>
            </w:r>
          </w:p>
        </w:tc>
        <w:tc>
          <w:tcPr>
            <w:tcW w:w="8640" w:type="dxa"/>
          </w:tcPr>
          <w:p w:rsidR="00D85AC7" w:rsidRPr="00661595" w:rsidRDefault="00D85AC7" w:rsidP="00FF36A5">
            <w:pPr>
              <w:rPr>
                <w:rStyle w:val="InstructionsTabelleberschrift"/>
                <w:rFonts w:ascii="Times New Roman" w:hAnsi="Times New Roman"/>
                <w:sz w:val="24"/>
              </w:rPr>
            </w:pPr>
            <w:r w:rsidRPr="00661595">
              <w:rPr>
                <w:rStyle w:val="InstructionsTabelleberschrift"/>
                <w:rFonts w:ascii="Times New Roman" w:hAnsi="Times New Roman"/>
                <w:sz w:val="24"/>
              </w:rPr>
              <w:t>ENTITIES WITHIN SCOPE OF CONSOLIDATION</w:t>
            </w:r>
          </w:p>
          <w:p w:rsidR="00D85AC7" w:rsidRPr="00661595" w:rsidRDefault="00D85AC7" w:rsidP="00FF36A5">
            <w:pPr>
              <w:rPr>
                <w:rStyle w:val="InstructionsTabelleberschrift"/>
                <w:rFonts w:ascii="Times New Roman" w:hAnsi="Times New Roman"/>
                <w:b w:val="0"/>
                <w:bCs w:val="0"/>
                <w:sz w:val="24"/>
              </w:rPr>
            </w:pPr>
            <w:r w:rsidRPr="00661595">
              <w:rPr>
                <w:rStyle w:val="InstructionsTabelleText"/>
                <w:rFonts w:ascii="Times New Roman" w:hAnsi="Times New Roman"/>
                <w:sz w:val="24"/>
              </w:rPr>
              <w:t>See instructions for C 06.02</w:t>
            </w:r>
          </w:p>
        </w:tc>
      </w:tr>
      <w:tr w:rsidR="00D85AC7" w:rsidRPr="00661595" w:rsidTr="00672D2A">
        <w:tc>
          <w:tcPr>
            <w:tcW w:w="1188" w:type="dxa"/>
            <w:tcBorders>
              <w:top w:val="single" w:sz="4" w:space="0" w:color="auto"/>
              <w:left w:val="single" w:sz="4" w:space="0" w:color="auto"/>
              <w:bottom w:val="single" w:sz="4" w:space="0" w:color="auto"/>
              <w:right w:val="single" w:sz="4" w:space="0" w:color="auto"/>
            </w:tcBorders>
          </w:tcPr>
          <w:p w:rsidR="00D85AC7" w:rsidRPr="00661595" w:rsidRDefault="00ED20CB" w:rsidP="00FF36A5">
            <w:pPr>
              <w:rPr>
                <w:rStyle w:val="InstructionsTabelleText"/>
                <w:rFonts w:ascii="Times New Roman" w:hAnsi="Times New Roman"/>
                <w:sz w:val="24"/>
              </w:rPr>
            </w:pPr>
            <w:r w:rsidRPr="00661595">
              <w:rPr>
                <w:rStyle w:val="InstructionsTabelleText"/>
                <w:rFonts w:ascii="Times New Roman" w:hAnsi="Times New Roman"/>
                <w:sz w:val="24"/>
              </w:rPr>
              <w:t>0</w:t>
            </w:r>
            <w:r w:rsidR="00D85AC7" w:rsidRPr="00661595">
              <w:rPr>
                <w:rStyle w:val="InstructionsTabelleText"/>
                <w:rFonts w:ascii="Times New Roman" w:hAnsi="Times New Roman"/>
                <w:sz w:val="24"/>
              </w:rPr>
              <w:t>410-</w:t>
            </w:r>
            <w:r w:rsidRPr="00661595">
              <w:rPr>
                <w:rStyle w:val="InstructionsTabelleText"/>
                <w:rFonts w:ascii="Times New Roman" w:hAnsi="Times New Roman"/>
                <w:sz w:val="24"/>
              </w:rPr>
              <w:t>0</w:t>
            </w:r>
            <w:r w:rsidR="00D85AC7" w:rsidRPr="00661595">
              <w:rPr>
                <w:rStyle w:val="InstructionsTabelleText"/>
                <w:rFonts w:ascii="Times New Roman" w:hAnsi="Times New Roman"/>
                <w:sz w:val="24"/>
              </w:rPr>
              <w:t>480</w:t>
            </w:r>
          </w:p>
        </w:tc>
        <w:tc>
          <w:tcPr>
            <w:tcW w:w="8640" w:type="dxa"/>
            <w:tcBorders>
              <w:top w:val="single" w:sz="4" w:space="0" w:color="auto"/>
              <w:left w:val="single" w:sz="4" w:space="0" w:color="auto"/>
              <w:bottom w:val="single" w:sz="4" w:space="0" w:color="auto"/>
              <w:right w:val="single" w:sz="4" w:space="0" w:color="auto"/>
            </w:tcBorders>
          </w:tcPr>
          <w:p w:rsidR="00D85AC7" w:rsidRPr="00661595" w:rsidRDefault="00D85AC7" w:rsidP="00FF36A5">
            <w:pPr>
              <w:rPr>
                <w:rStyle w:val="InstructionsTabelleberschrift"/>
                <w:rFonts w:ascii="Times New Roman" w:hAnsi="Times New Roman"/>
                <w:sz w:val="24"/>
              </w:rPr>
            </w:pPr>
            <w:r w:rsidRPr="00661595">
              <w:rPr>
                <w:rStyle w:val="InstructionsTabelleberschrift"/>
                <w:rFonts w:ascii="Times New Roman" w:hAnsi="Times New Roman"/>
                <w:sz w:val="24"/>
              </w:rPr>
              <w:t>CAPITAL BUFFERS</w:t>
            </w:r>
          </w:p>
          <w:p w:rsidR="00D85AC7" w:rsidRPr="00661595" w:rsidRDefault="00D85AC7" w:rsidP="00FF36A5">
            <w:pPr>
              <w:rPr>
                <w:rStyle w:val="InstructionsTabelleberschrift"/>
                <w:rFonts w:ascii="Times New Roman" w:hAnsi="Times New Roman"/>
                <w:sz w:val="24"/>
              </w:rPr>
            </w:pPr>
            <w:r w:rsidRPr="00661595">
              <w:rPr>
                <w:rStyle w:val="InstructionsTabelleText"/>
                <w:rFonts w:ascii="Times New Roman" w:hAnsi="Times New Roman"/>
                <w:sz w:val="24"/>
              </w:rPr>
              <w:t>See instructions for C 06.02</w:t>
            </w:r>
          </w:p>
        </w:tc>
      </w:tr>
    </w:tbl>
    <w:p w:rsidR="00D85AC7" w:rsidRPr="00661595" w:rsidRDefault="00D85AC7" w:rsidP="00487A02">
      <w:pPr>
        <w:pStyle w:val="InstructionsText"/>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8640"/>
      </w:tblGrid>
      <w:tr w:rsidR="00D85AC7" w:rsidRPr="00661595" w:rsidTr="00672D2A">
        <w:tc>
          <w:tcPr>
            <w:tcW w:w="1188" w:type="dxa"/>
            <w:shd w:val="clear" w:color="auto" w:fill="CCCCCC"/>
          </w:tcPr>
          <w:p w:rsidR="00D85AC7" w:rsidRPr="00661595" w:rsidRDefault="00D85AC7" w:rsidP="00FF36A5">
            <w:pPr>
              <w:rPr>
                <w:rStyle w:val="InstructionsTabelleText"/>
                <w:rFonts w:ascii="Times New Roman" w:hAnsi="Times New Roman"/>
                <w:sz w:val="24"/>
              </w:rPr>
            </w:pPr>
            <w:r w:rsidRPr="00661595">
              <w:rPr>
                <w:rStyle w:val="InstructionsTabelleText"/>
                <w:rFonts w:ascii="Times New Roman" w:hAnsi="Times New Roman"/>
                <w:sz w:val="24"/>
              </w:rPr>
              <w:t>Rows</w:t>
            </w:r>
          </w:p>
        </w:tc>
        <w:tc>
          <w:tcPr>
            <w:tcW w:w="8640" w:type="dxa"/>
            <w:shd w:val="clear" w:color="auto" w:fill="CCCCCC"/>
          </w:tcPr>
          <w:p w:rsidR="00D85AC7" w:rsidRPr="00661595" w:rsidRDefault="00D85AC7" w:rsidP="00FF36A5">
            <w:pPr>
              <w:rPr>
                <w:rStyle w:val="InstructionsTabelleText"/>
                <w:rFonts w:ascii="Times New Roman" w:hAnsi="Times New Roman"/>
                <w:sz w:val="24"/>
              </w:rPr>
            </w:pPr>
            <w:r w:rsidRPr="00661595">
              <w:rPr>
                <w:rStyle w:val="InstructionsTabelleText"/>
                <w:rFonts w:ascii="Times New Roman" w:hAnsi="Times New Roman"/>
                <w:sz w:val="24"/>
              </w:rPr>
              <w:t>Instructions</w:t>
            </w:r>
          </w:p>
        </w:tc>
      </w:tr>
      <w:tr w:rsidR="00D85AC7" w:rsidRPr="00661595" w:rsidTr="00672D2A">
        <w:tc>
          <w:tcPr>
            <w:tcW w:w="1188" w:type="dxa"/>
          </w:tcPr>
          <w:p w:rsidR="00D85AC7" w:rsidRPr="00661595" w:rsidRDefault="00ED20CB" w:rsidP="00FF36A5">
            <w:pPr>
              <w:rPr>
                <w:rStyle w:val="InstructionsTabelleText"/>
                <w:rFonts w:ascii="Times New Roman" w:hAnsi="Times New Roman"/>
                <w:sz w:val="24"/>
              </w:rPr>
            </w:pPr>
            <w:r w:rsidRPr="00661595">
              <w:rPr>
                <w:rStyle w:val="InstructionsTabelleText"/>
                <w:rFonts w:ascii="Times New Roman" w:hAnsi="Times New Roman"/>
                <w:sz w:val="24"/>
              </w:rPr>
              <w:t>0</w:t>
            </w:r>
            <w:r w:rsidR="00D85AC7" w:rsidRPr="00661595">
              <w:rPr>
                <w:rStyle w:val="InstructionsTabelleText"/>
                <w:rFonts w:ascii="Times New Roman" w:hAnsi="Times New Roman"/>
                <w:sz w:val="24"/>
              </w:rPr>
              <w:t>010</w:t>
            </w:r>
          </w:p>
        </w:tc>
        <w:tc>
          <w:tcPr>
            <w:tcW w:w="8640" w:type="dxa"/>
          </w:tcPr>
          <w:p w:rsidR="00D85AC7" w:rsidRPr="00661595" w:rsidRDefault="00D85AC7" w:rsidP="00FF36A5">
            <w:pPr>
              <w:rPr>
                <w:rStyle w:val="InstructionsTabelleberschrift"/>
                <w:rFonts w:ascii="Times New Roman" w:hAnsi="Times New Roman"/>
                <w:sz w:val="24"/>
              </w:rPr>
            </w:pPr>
            <w:r w:rsidRPr="00661595">
              <w:rPr>
                <w:rStyle w:val="InstructionsTabelleberschrift"/>
                <w:rFonts w:ascii="Times New Roman" w:hAnsi="Times New Roman"/>
                <w:sz w:val="24"/>
              </w:rPr>
              <w:t>TOTAL</w:t>
            </w:r>
          </w:p>
          <w:p w:rsidR="00D85AC7" w:rsidRPr="00661595" w:rsidRDefault="00D85AC7" w:rsidP="00D85AC7">
            <w:pPr>
              <w:rPr>
                <w:rStyle w:val="InstructionsTabelleberschrift"/>
                <w:rFonts w:ascii="Times New Roman" w:hAnsi="Times New Roman"/>
                <w:b w:val="0"/>
                <w:bCs w:val="0"/>
                <w:sz w:val="24"/>
              </w:rPr>
            </w:pPr>
            <w:r w:rsidRPr="00661595">
              <w:rPr>
                <w:rStyle w:val="InstructionsTabelleText"/>
                <w:rFonts w:ascii="Times New Roman" w:hAnsi="Times New Roman"/>
                <w:sz w:val="24"/>
              </w:rPr>
              <w:t>The Total shall represent the sum of the values reported in all rows of template C 06.02.</w:t>
            </w:r>
          </w:p>
        </w:tc>
      </w:tr>
    </w:tbl>
    <w:p w:rsidR="00D85AC7" w:rsidRPr="00661595" w:rsidRDefault="00D85AC7" w:rsidP="00487A02">
      <w:pPr>
        <w:pStyle w:val="InstructionsText"/>
      </w:pPr>
    </w:p>
    <w:p w:rsidR="00D85AC7"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113" w:name="_Toc473560892"/>
      <w:bookmarkStart w:id="114" w:name="_Toc57831532"/>
      <w:r w:rsidRPr="00661595">
        <w:rPr>
          <w:rFonts w:ascii="Times New Roman" w:hAnsi="Times New Roman" w:cs="Times New Roman"/>
          <w:sz w:val="24"/>
          <w:u w:val="none"/>
          <w:lang w:val="en-GB"/>
        </w:rPr>
        <w:t>2.5.</w:t>
      </w:r>
      <w:r w:rsidRPr="00661595">
        <w:rPr>
          <w:rFonts w:ascii="Times New Roman" w:hAnsi="Times New Roman" w:cs="Times New Roman"/>
          <w:sz w:val="24"/>
          <w:u w:val="none"/>
          <w:lang w:val="en-GB"/>
        </w:rPr>
        <w:tab/>
      </w:r>
      <w:r w:rsidR="00D85AC7" w:rsidRPr="00661595">
        <w:rPr>
          <w:rFonts w:ascii="Times New Roman" w:hAnsi="Times New Roman" w:cs="Times New Roman"/>
          <w:sz w:val="24"/>
          <w:lang w:val="en-GB"/>
        </w:rPr>
        <w:t>C 06.02 – GROUP SOLVENCY: INFORMATION ON AFFILIATES (GS)</w:t>
      </w:r>
      <w:bookmarkEnd w:id="113"/>
      <w:bookmarkEnd w:id="114"/>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8640"/>
      </w:tblGrid>
      <w:tr w:rsidR="00464F34" w:rsidRPr="00661595" w:rsidTr="00672D2A">
        <w:tc>
          <w:tcPr>
            <w:tcW w:w="1188" w:type="dxa"/>
            <w:shd w:val="clear" w:color="auto" w:fill="CCCCCC"/>
          </w:tcPr>
          <w:p w:rsidR="00464F34" w:rsidRPr="00661595" w:rsidRDefault="00464F34" w:rsidP="00464F34">
            <w:pPr>
              <w:rPr>
                <w:rStyle w:val="InstructionsTabelleText"/>
                <w:rFonts w:ascii="Times New Roman" w:hAnsi="Times New Roman"/>
                <w:sz w:val="24"/>
              </w:rPr>
            </w:pPr>
            <w:r w:rsidRPr="00661595">
              <w:rPr>
                <w:rStyle w:val="InstructionsTabelleText"/>
                <w:rFonts w:ascii="Times New Roman" w:hAnsi="Times New Roman"/>
                <w:sz w:val="24"/>
              </w:rPr>
              <w:t>Columns</w:t>
            </w:r>
          </w:p>
        </w:tc>
        <w:tc>
          <w:tcPr>
            <w:tcW w:w="8640" w:type="dxa"/>
            <w:shd w:val="clear" w:color="auto" w:fill="CCCCCC"/>
          </w:tcPr>
          <w:p w:rsidR="00464F34" w:rsidRPr="00661595" w:rsidRDefault="00464F34" w:rsidP="00464F34">
            <w:pPr>
              <w:rPr>
                <w:rStyle w:val="InstructionsTabelleText"/>
                <w:rFonts w:ascii="Times New Roman" w:hAnsi="Times New Roman"/>
                <w:sz w:val="24"/>
              </w:rPr>
            </w:pPr>
            <w:r w:rsidRPr="00661595">
              <w:rPr>
                <w:rStyle w:val="InstructionsTabelleText"/>
                <w:rFonts w:ascii="Times New Roman" w:hAnsi="Times New Roman"/>
                <w:sz w:val="24"/>
              </w:rPr>
              <w:t>Instructions</w:t>
            </w:r>
          </w:p>
        </w:tc>
      </w:tr>
      <w:tr w:rsidR="00464F34" w:rsidRPr="00661595" w:rsidTr="00672D2A">
        <w:tc>
          <w:tcPr>
            <w:tcW w:w="1188" w:type="dxa"/>
          </w:tcPr>
          <w:p w:rsidR="00464F34" w:rsidRPr="00661595" w:rsidRDefault="00ED20CB" w:rsidP="00464F34">
            <w:pPr>
              <w:rPr>
                <w:rStyle w:val="InstructionsTabelleText"/>
                <w:rFonts w:ascii="Times New Roman" w:hAnsi="Times New Roman"/>
                <w:sz w:val="24"/>
              </w:rPr>
            </w:pPr>
            <w:r w:rsidRPr="00661595">
              <w:rPr>
                <w:rStyle w:val="InstructionsTabelleText"/>
                <w:rFonts w:ascii="Times New Roman" w:hAnsi="Times New Roman"/>
                <w:sz w:val="24"/>
              </w:rPr>
              <w:t>0</w:t>
            </w:r>
            <w:r w:rsidR="00464F34" w:rsidRPr="00661595">
              <w:rPr>
                <w:rStyle w:val="InstructionsTabelleText"/>
                <w:rFonts w:ascii="Times New Roman" w:hAnsi="Times New Roman"/>
                <w:sz w:val="24"/>
              </w:rPr>
              <w:t>010-</w:t>
            </w:r>
            <w:r w:rsidRPr="00661595">
              <w:rPr>
                <w:rStyle w:val="InstructionsTabelleText"/>
                <w:rFonts w:ascii="Times New Roman" w:hAnsi="Times New Roman"/>
                <w:sz w:val="24"/>
              </w:rPr>
              <w:t>0</w:t>
            </w:r>
            <w:r w:rsidR="00464F34" w:rsidRPr="00661595">
              <w:rPr>
                <w:rStyle w:val="InstructionsTabelleText"/>
                <w:rFonts w:ascii="Times New Roman" w:hAnsi="Times New Roman"/>
                <w:sz w:val="24"/>
              </w:rPr>
              <w:t>060</w:t>
            </w:r>
          </w:p>
        </w:tc>
        <w:tc>
          <w:tcPr>
            <w:tcW w:w="8640" w:type="dxa"/>
          </w:tcPr>
          <w:p w:rsidR="00464F34" w:rsidRPr="00661595" w:rsidRDefault="00464F34" w:rsidP="00464F34">
            <w:pPr>
              <w:rPr>
                <w:rStyle w:val="InstructionsTabelleberschrift"/>
                <w:rFonts w:ascii="Times New Roman" w:hAnsi="Times New Roman"/>
                <w:sz w:val="24"/>
              </w:rPr>
            </w:pPr>
            <w:r w:rsidRPr="00661595">
              <w:rPr>
                <w:rStyle w:val="InstructionsTabelleberschrift"/>
                <w:rFonts w:ascii="Times New Roman" w:hAnsi="Times New Roman"/>
                <w:sz w:val="24"/>
              </w:rPr>
              <w:t>ENTITIES WITHIN SCOPE OF CONSOLIDATION</w:t>
            </w:r>
          </w:p>
          <w:p w:rsidR="00464F34" w:rsidRPr="00661595" w:rsidRDefault="00464F34" w:rsidP="003C1BB1">
            <w:pPr>
              <w:rPr>
                <w:rStyle w:val="InstructionsTabelleberschrift"/>
                <w:rFonts w:ascii="Times New Roman" w:hAnsi="Times New Roman"/>
                <w:b w:val="0"/>
                <w:bCs w:val="0"/>
                <w:sz w:val="24"/>
              </w:rPr>
            </w:pPr>
            <w:r w:rsidRPr="00661595">
              <w:rPr>
                <w:rStyle w:val="InstructionsTabelleText"/>
                <w:rFonts w:ascii="Times New Roman" w:hAnsi="Times New Roman"/>
                <w:sz w:val="24"/>
              </w:rPr>
              <w:t xml:space="preserve">This template is designed to gather information on all entities on an entity-by-entity-basis within the scope of consolidation </w:t>
            </w:r>
            <w:r w:rsidR="00BB22D4" w:rsidRPr="00661595">
              <w:rPr>
                <w:rStyle w:val="InstructionsTabelleText"/>
                <w:rFonts w:ascii="Times New Roman" w:hAnsi="Times New Roman"/>
                <w:sz w:val="24"/>
              </w:rPr>
              <w:t>in accordance with</w:t>
            </w:r>
            <w:r w:rsidRPr="00661595">
              <w:rPr>
                <w:rStyle w:val="InstructionsTabelleText"/>
                <w:rFonts w:ascii="Times New Roman" w:hAnsi="Times New Roman"/>
                <w:sz w:val="24"/>
              </w:rPr>
              <w:t xml:space="preserve"> </w:t>
            </w:r>
            <w:r w:rsidRPr="00661595">
              <w:rPr>
                <w:rFonts w:ascii="Times New Roman" w:hAnsi="Times New Roman"/>
                <w:sz w:val="24"/>
              </w:rPr>
              <w:t xml:space="preserve">Chapter 2 of Title II of Part </w:t>
            </w:r>
            <w:r w:rsidR="000017F3" w:rsidRPr="00661595">
              <w:rPr>
                <w:rFonts w:ascii="Times New Roman" w:hAnsi="Times New Roman"/>
                <w:sz w:val="24"/>
              </w:rPr>
              <w:t xml:space="preserve">One </w:t>
            </w:r>
            <w:r w:rsidR="00C7103D" w:rsidRPr="00661595">
              <w:rPr>
                <w:rStyle w:val="InstructionsTabelleText"/>
                <w:rFonts w:ascii="Times New Roman" w:hAnsi="Times New Roman"/>
                <w:sz w:val="24"/>
              </w:rPr>
              <w:t>CRR</w:t>
            </w:r>
            <w:r w:rsidRPr="00661595">
              <w:rPr>
                <w:rStyle w:val="InstructionsTabelleText"/>
                <w:rFonts w:ascii="Times New Roman" w:hAnsi="Times New Roman"/>
                <w:sz w:val="24"/>
              </w:rPr>
              <w:t xml:space="preserve">. </w:t>
            </w:r>
          </w:p>
        </w:tc>
      </w:tr>
      <w:tr w:rsidR="00464F34" w:rsidRPr="00661595" w:rsidTr="00672D2A">
        <w:tc>
          <w:tcPr>
            <w:tcW w:w="1188" w:type="dxa"/>
          </w:tcPr>
          <w:p w:rsidR="00464F34" w:rsidRPr="00661595" w:rsidRDefault="00ED20CB" w:rsidP="00464F34">
            <w:pPr>
              <w:rPr>
                <w:rStyle w:val="InstructionsTabelleText"/>
                <w:rFonts w:ascii="Times New Roman" w:hAnsi="Times New Roman"/>
                <w:sz w:val="24"/>
              </w:rPr>
            </w:pPr>
            <w:r w:rsidRPr="00661595">
              <w:rPr>
                <w:rStyle w:val="InstructionsTabelleText"/>
                <w:rFonts w:ascii="Times New Roman" w:hAnsi="Times New Roman"/>
                <w:sz w:val="24"/>
              </w:rPr>
              <w:t>0</w:t>
            </w:r>
            <w:r w:rsidR="007158B2">
              <w:rPr>
                <w:rStyle w:val="InstructionsTabelleText"/>
                <w:rFonts w:ascii="Times New Roman" w:hAnsi="Times New Roman"/>
                <w:sz w:val="24"/>
              </w:rPr>
              <w:t>011</w:t>
            </w:r>
          </w:p>
        </w:tc>
        <w:tc>
          <w:tcPr>
            <w:tcW w:w="8640" w:type="dxa"/>
          </w:tcPr>
          <w:p w:rsidR="00464F34" w:rsidRPr="00661595" w:rsidRDefault="00464F34" w:rsidP="00464F34">
            <w:pPr>
              <w:rPr>
                <w:rStyle w:val="InstructionsTabelleberschrift"/>
                <w:rFonts w:ascii="Times New Roman" w:hAnsi="Times New Roman"/>
                <w:sz w:val="24"/>
              </w:rPr>
            </w:pPr>
            <w:r w:rsidRPr="00661595">
              <w:rPr>
                <w:rStyle w:val="InstructionsTabelleberschrift"/>
                <w:rFonts w:ascii="Times New Roman" w:hAnsi="Times New Roman"/>
                <w:sz w:val="24"/>
              </w:rPr>
              <w:t>NAME</w:t>
            </w:r>
          </w:p>
          <w:p w:rsidR="00464F34" w:rsidRPr="00661595" w:rsidRDefault="00464F34" w:rsidP="00464F34">
            <w:pPr>
              <w:rPr>
                <w:rStyle w:val="InstructionsTabelleText"/>
                <w:rFonts w:ascii="Times New Roman" w:hAnsi="Times New Roman"/>
                <w:sz w:val="24"/>
              </w:rPr>
            </w:pPr>
            <w:r w:rsidRPr="00661595">
              <w:rPr>
                <w:rStyle w:val="InstructionsTabelleText"/>
                <w:rFonts w:ascii="Times New Roman" w:hAnsi="Times New Roman"/>
                <w:sz w:val="24"/>
              </w:rPr>
              <w:t>Name of the entity within the scope of consolidation.</w:t>
            </w:r>
          </w:p>
        </w:tc>
      </w:tr>
      <w:tr w:rsidR="00464F34" w:rsidRPr="00661595" w:rsidTr="00672D2A">
        <w:tc>
          <w:tcPr>
            <w:tcW w:w="1188" w:type="dxa"/>
          </w:tcPr>
          <w:p w:rsidR="00464F34" w:rsidRPr="00661595" w:rsidRDefault="00ED20CB" w:rsidP="00464F34">
            <w:pPr>
              <w:rPr>
                <w:rStyle w:val="InstructionsTabelleText"/>
                <w:rFonts w:ascii="Times New Roman" w:hAnsi="Times New Roman"/>
                <w:sz w:val="24"/>
              </w:rPr>
            </w:pPr>
            <w:r w:rsidRPr="00661595">
              <w:rPr>
                <w:rStyle w:val="InstructionsTabelleText"/>
                <w:rFonts w:ascii="Times New Roman" w:hAnsi="Times New Roman"/>
                <w:sz w:val="24"/>
              </w:rPr>
              <w:t>0</w:t>
            </w:r>
            <w:r w:rsidR="00464F34" w:rsidRPr="00661595">
              <w:rPr>
                <w:rStyle w:val="InstructionsTabelleText"/>
                <w:rFonts w:ascii="Times New Roman" w:hAnsi="Times New Roman"/>
                <w:sz w:val="24"/>
              </w:rPr>
              <w:t>02</w:t>
            </w:r>
            <w:r w:rsidR="000D0A23">
              <w:rPr>
                <w:rStyle w:val="InstructionsTabelleText"/>
                <w:rFonts w:ascii="Times New Roman" w:hAnsi="Times New Roman"/>
                <w:sz w:val="24"/>
              </w:rPr>
              <w:t>1</w:t>
            </w:r>
          </w:p>
        </w:tc>
        <w:tc>
          <w:tcPr>
            <w:tcW w:w="8640" w:type="dxa"/>
          </w:tcPr>
          <w:p w:rsidR="00464F34" w:rsidRPr="00661595" w:rsidRDefault="00464F34" w:rsidP="00464F34">
            <w:pPr>
              <w:rPr>
                <w:rStyle w:val="InstructionsTabelleberschrift"/>
                <w:rFonts w:ascii="Times New Roman" w:hAnsi="Times New Roman"/>
                <w:sz w:val="24"/>
              </w:rPr>
            </w:pPr>
            <w:r w:rsidRPr="00661595">
              <w:rPr>
                <w:rStyle w:val="InstructionsTabelleberschrift"/>
                <w:rFonts w:ascii="Times New Roman" w:hAnsi="Times New Roman"/>
                <w:sz w:val="24"/>
              </w:rPr>
              <w:t>CODE</w:t>
            </w:r>
          </w:p>
          <w:p w:rsidR="00464F34" w:rsidRPr="00661595" w:rsidRDefault="00BF0637" w:rsidP="00487A02">
            <w:pPr>
              <w:pStyle w:val="InstructionsText"/>
              <w:rPr>
                <w:rStyle w:val="InstructionsTabelleText"/>
                <w:rFonts w:ascii="Times New Roman" w:hAnsi="Times New Roman"/>
                <w:sz w:val="24"/>
                <w:lang w:eastAsia="en-US"/>
              </w:rPr>
            </w:pPr>
            <w:r w:rsidRPr="00661595">
              <w:rPr>
                <w:rStyle w:val="InstructionsTabelleText"/>
                <w:rFonts w:ascii="Times New Roman" w:hAnsi="Times New Roman"/>
                <w:sz w:val="24"/>
              </w:rPr>
              <w:t xml:space="preserve">The code as part of a row identifier must be unique for each reported entity. For institutions </w:t>
            </w:r>
            <w:r w:rsidR="00ED20CB" w:rsidRPr="00661595">
              <w:rPr>
                <w:rStyle w:val="InstructionsTabelleText"/>
                <w:rFonts w:ascii="Times New Roman" w:hAnsi="Times New Roman"/>
                <w:sz w:val="24"/>
              </w:rPr>
              <w:t xml:space="preserve">and insurance undertakings </w:t>
            </w:r>
            <w:r w:rsidRPr="00661595">
              <w:rPr>
                <w:rStyle w:val="InstructionsTabelleText"/>
                <w:rFonts w:ascii="Times New Roman" w:hAnsi="Times New Roman"/>
                <w:sz w:val="24"/>
              </w:rPr>
              <w:t>the code shall be the LEI code. For other entities the code shall be the LEI code, or if not available, a national code. The code shall be unique and used consistently across the templates and across time. The code shall always have a value.</w:t>
            </w:r>
          </w:p>
        </w:tc>
      </w:tr>
      <w:tr w:rsidR="00464F34" w:rsidRPr="00661595" w:rsidTr="00672D2A">
        <w:tc>
          <w:tcPr>
            <w:tcW w:w="1188" w:type="dxa"/>
          </w:tcPr>
          <w:p w:rsidR="00464F34" w:rsidRPr="00661595" w:rsidRDefault="00ED20CB" w:rsidP="00BF0637">
            <w:pPr>
              <w:rPr>
                <w:rStyle w:val="InstructionsTabelleText"/>
                <w:rFonts w:ascii="Times New Roman" w:hAnsi="Times New Roman"/>
                <w:sz w:val="24"/>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026</w:t>
            </w:r>
          </w:p>
        </w:tc>
        <w:tc>
          <w:tcPr>
            <w:tcW w:w="8640" w:type="dxa"/>
          </w:tcPr>
          <w:p w:rsidR="00464F34" w:rsidRPr="00661595" w:rsidRDefault="00BF0637" w:rsidP="00464F34">
            <w:pPr>
              <w:rPr>
                <w:rStyle w:val="InstructionsTabelleberschrift"/>
                <w:rFonts w:ascii="Times New Roman" w:hAnsi="Times New Roman"/>
                <w:sz w:val="24"/>
              </w:rPr>
            </w:pPr>
            <w:r w:rsidRPr="00661595">
              <w:rPr>
                <w:rStyle w:val="InstructionsTabelleberschrift"/>
                <w:rFonts w:ascii="Times New Roman" w:hAnsi="Times New Roman"/>
                <w:sz w:val="24"/>
              </w:rPr>
              <w:t xml:space="preserve">TYPE OF </w:t>
            </w:r>
            <w:r w:rsidR="00464F34" w:rsidRPr="00661595">
              <w:rPr>
                <w:rStyle w:val="InstructionsTabelleberschrift"/>
                <w:rFonts w:ascii="Times New Roman" w:hAnsi="Times New Roman"/>
                <w:sz w:val="24"/>
              </w:rPr>
              <w:t>CODE</w:t>
            </w:r>
          </w:p>
          <w:p w:rsidR="00464F34" w:rsidRPr="00661595" w:rsidRDefault="00BF0637" w:rsidP="00DD2C1E">
            <w:pPr>
              <w:rPr>
                <w:rStyle w:val="InstructionsTabelleberschrift"/>
                <w:rFonts w:ascii="Times New Roman" w:hAnsi="Times New Roman"/>
                <w:sz w:val="24"/>
              </w:rPr>
            </w:pPr>
            <w:r w:rsidRPr="00661595">
              <w:rPr>
                <w:rStyle w:val="InstructionsTabelleText"/>
                <w:rFonts w:ascii="Times New Roman" w:hAnsi="Times New Roman"/>
                <w:sz w:val="24"/>
              </w:rPr>
              <w:t xml:space="preserve">The institutions shall identify the type of code reported in </w:t>
            </w:r>
            <w:r w:rsidRPr="00661595">
              <w:rPr>
                <w:rStyle w:val="FormatvorlageInstructionsTabelleText"/>
                <w:rFonts w:ascii="Times New Roman" w:hAnsi="Times New Roman"/>
                <w:sz w:val="24"/>
                <w:lang w:eastAsia="de-DE"/>
              </w:rPr>
              <w:t xml:space="preserve">column </w:t>
            </w:r>
            <w:r w:rsidR="00ED20CB" w:rsidRPr="00661595">
              <w:rPr>
                <w:rStyle w:val="FormatvorlageInstructionsTabelleText"/>
                <w:rFonts w:ascii="Times New Roman" w:hAnsi="Times New Roman"/>
                <w:sz w:val="24"/>
                <w:lang w:eastAsia="de-DE"/>
              </w:rPr>
              <w:t>0</w:t>
            </w:r>
            <w:r w:rsidR="00D057A6">
              <w:rPr>
                <w:rStyle w:val="FormatvorlageInstructionsTabelleText"/>
                <w:rFonts w:ascii="Times New Roman" w:hAnsi="Times New Roman"/>
                <w:sz w:val="24"/>
                <w:lang w:eastAsia="de-DE"/>
              </w:rPr>
              <w:t>021</w:t>
            </w:r>
            <w:r w:rsidRPr="00661595">
              <w:rPr>
                <w:rStyle w:val="FormatvorlageInstructionsTabelleText"/>
                <w:rFonts w:ascii="Times New Roman" w:hAnsi="Times New Roman"/>
                <w:sz w:val="24"/>
                <w:lang w:eastAsia="de-DE"/>
              </w:rPr>
              <w:t xml:space="preserve"> as a ‘LEI code’ or ‘</w:t>
            </w:r>
            <w:r w:rsidR="00ED20CB" w:rsidRPr="00661595">
              <w:rPr>
                <w:rStyle w:val="FormatvorlageInstructionsTabelleText"/>
                <w:rFonts w:ascii="Times New Roman" w:hAnsi="Times New Roman"/>
                <w:sz w:val="24"/>
                <w:lang w:eastAsia="de-DE"/>
              </w:rPr>
              <w:t>Non-LEI</w:t>
            </w:r>
            <w:r w:rsidRPr="00661595">
              <w:rPr>
                <w:rStyle w:val="FormatvorlageInstructionsTabelleText"/>
                <w:rFonts w:ascii="Times New Roman" w:hAnsi="Times New Roman"/>
                <w:sz w:val="24"/>
                <w:lang w:eastAsia="de-DE"/>
              </w:rPr>
              <w:t xml:space="preserve"> code’.</w:t>
            </w:r>
            <w:r w:rsidR="00ED20CB" w:rsidRPr="00661595">
              <w:rPr>
                <w:rStyle w:val="FormatvorlageInstructionsTabelleText"/>
                <w:rFonts w:ascii="Times New Roman" w:hAnsi="Times New Roman"/>
                <w:sz w:val="24"/>
                <w:lang w:eastAsia="de-DE"/>
              </w:rPr>
              <w:t xml:space="preserve"> The type of code shall always be reported.</w:t>
            </w:r>
          </w:p>
        </w:tc>
      </w:tr>
      <w:tr w:rsidR="00BF0637" w:rsidRPr="00661595" w:rsidTr="00672D2A">
        <w:tc>
          <w:tcPr>
            <w:tcW w:w="1188" w:type="dxa"/>
          </w:tcPr>
          <w:p w:rsidR="00BF0637" w:rsidRPr="00661595" w:rsidDel="00BF0637" w:rsidRDefault="00ED20CB" w:rsidP="00BF0637">
            <w:pPr>
              <w:rPr>
                <w:rStyle w:val="InstructionsTabelleText"/>
                <w:rFonts w:ascii="Times New Roman" w:hAnsi="Times New Roman"/>
                <w:sz w:val="24"/>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027</w:t>
            </w:r>
          </w:p>
        </w:tc>
        <w:tc>
          <w:tcPr>
            <w:tcW w:w="8640" w:type="dxa"/>
          </w:tcPr>
          <w:p w:rsidR="00BF0637" w:rsidRPr="00661595" w:rsidRDefault="00BF0637" w:rsidP="00BF0637">
            <w:pPr>
              <w:rPr>
                <w:rStyle w:val="InstructionsTabelleberschrift"/>
                <w:rFonts w:ascii="Times New Roman" w:hAnsi="Times New Roman"/>
                <w:sz w:val="24"/>
              </w:rPr>
            </w:pPr>
            <w:r w:rsidRPr="00661595">
              <w:rPr>
                <w:rStyle w:val="InstructionsTabelleberschrift"/>
                <w:rFonts w:ascii="Times New Roman" w:hAnsi="Times New Roman"/>
                <w:sz w:val="24"/>
              </w:rPr>
              <w:t>NATIONAL CODE</w:t>
            </w:r>
          </w:p>
          <w:p w:rsidR="00BF0637" w:rsidRPr="00661595" w:rsidDel="00BF0637" w:rsidRDefault="00BF0637" w:rsidP="00BF0637">
            <w:pPr>
              <w:rPr>
                <w:rStyle w:val="InstructionsTabelleberschrift"/>
                <w:rFonts w:ascii="Times New Roman" w:hAnsi="Times New Roman"/>
                <w:sz w:val="24"/>
              </w:rPr>
            </w:pPr>
            <w:r w:rsidRPr="00661595">
              <w:rPr>
                <w:rFonts w:ascii="Times New Roman" w:hAnsi="Times New Roman"/>
                <w:sz w:val="24"/>
              </w:rPr>
              <w:t>Institutions may additionally report the national code when they report LEI code as identifier in the ‘Code’ column.</w:t>
            </w:r>
          </w:p>
        </w:tc>
      </w:tr>
      <w:tr w:rsidR="00BF0637" w:rsidRPr="00661595" w:rsidTr="00672D2A">
        <w:tc>
          <w:tcPr>
            <w:tcW w:w="1188" w:type="dxa"/>
          </w:tcPr>
          <w:p w:rsidR="00BF0637" w:rsidRPr="00661595" w:rsidRDefault="00ED20CB" w:rsidP="00BF0637">
            <w:pPr>
              <w:rPr>
                <w:rStyle w:val="InstructionsTabelleText"/>
                <w:rFonts w:ascii="Times New Roman" w:hAnsi="Times New Roman"/>
                <w:sz w:val="24"/>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030</w:t>
            </w:r>
          </w:p>
        </w:tc>
        <w:tc>
          <w:tcPr>
            <w:tcW w:w="8640" w:type="dxa"/>
          </w:tcPr>
          <w:p w:rsidR="00BF0637" w:rsidRPr="00661595" w:rsidRDefault="00BF0637" w:rsidP="00BF0637">
            <w:pPr>
              <w:rPr>
                <w:rStyle w:val="InstructionsTabelleberschrift"/>
                <w:rFonts w:ascii="Times New Roman" w:hAnsi="Times New Roman"/>
                <w:sz w:val="24"/>
              </w:rPr>
            </w:pPr>
            <w:r w:rsidRPr="00661595">
              <w:rPr>
                <w:rStyle w:val="InstructionsTabelleberschrift"/>
                <w:rFonts w:ascii="Times New Roman" w:hAnsi="Times New Roman"/>
                <w:sz w:val="24"/>
              </w:rPr>
              <w:t>INSTITUTION OR EQUIVALENT (YES / NO)</w:t>
            </w:r>
          </w:p>
          <w:p w:rsidR="00BF0637" w:rsidRPr="00661595" w:rsidRDefault="00BF0637" w:rsidP="00BF0637">
            <w:pPr>
              <w:rPr>
                <w:rStyle w:val="InstructionsTabelleText"/>
                <w:rFonts w:ascii="Times New Roman" w:hAnsi="Times New Roman"/>
                <w:sz w:val="24"/>
              </w:rPr>
            </w:pPr>
            <w:r w:rsidRPr="00661595">
              <w:rPr>
                <w:rStyle w:val="InstructionsTabelleText"/>
                <w:rFonts w:ascii="Times New Roman" w:hAnsi="Times New Roman"/>
                <w:sz w:val="24"/>
              </w:rPr>
              <w:t>"YES" shall be reported where the entity is subject to own funds requirements pursuant to CRR and CRD or provisions at least equivalent to Basel provisions.</w:t>
            </w:r>
          </w:p>
          <w:p w:rsidR="00BF0637" w:rsidRPr="00661595" w:rsidRDefault="00BF0637" w:rsidP="00BF0637">
            <w:pPr>
              <w:rPr>
                <w:rStyle w:val="InstructionsTabelleText"/>
                <w:rFonts w:ascii="Times New Roman" w:hAnsi="Times New Roman"/>
                <w:sz w:val="24"/>
              </w:rPr>
            </w:pPr>
            <w:r w:rsidRPr="00661595">
              <w:rPr>
                <w:rStyle w:val="InstructionsTabelleText"/>
                <w:rFonts w:ascii="Times New Roman" w:hAnsi="Times New Roman"/>
                <w:sz w:val="24"/>
              </w:rPr>
              <w:t>”NO” shall be reported otherwise.</w:t>
            </w:r>
          </w:p>
          <w:p w:rsidR="00BF0637" w:rsidRPr="00661595" w:rsidRDefault="00BF0637" w:rsidP="00BF0637">
            <w:pPr>
              <w:rPr>
                <w:rStyle w:val="InstructionsTabelleText"/>
                <w:rFonts w:ascii="Times New Roman" w:hAnsi="Times New Roman"/>
                <w:sz w:val="24"/>
              </w:rPr>
            </w:pPr>
          </w:p>
          <w:p w:rsidR="00BF0637" w:rsidRPr="00661595" w:rsidRDefault="00BF0637" w:rsidP="00BF0637">
            <w:pPr>
              <w:ind w:left="372" w:hanging="360"/>
              <w:contextualSpacing/>
              <w:rPr>
                <w:rStyle w:val="InstructionsTabelleText"/>
                <w:rFonts w:ascii="Times New Roman" w:hAnsi="Times New Roman"/>
                <w:sz w:val="24"/>
              </w:rPr>
            </w:pPr>
            <w:r w:rsidRPr="00661595">
              <w:rPr>
                <w:rStyle w:val="InstructionsTabelleText"/>
                <w:rFonts w:ascii="Wingdings" w:hAnsi="Wingdings"/>
                <w:sz w:val="24"/>
              </w:rPr>
              <w:t></w:t>
            </w:r>
            <w:r w:rsidRPr="00661595">
              <w:rPr>
                <w:rStyle w:val="InstructionsTabelleText"/>
                <w:rFonts w:ascii="Wingdings" w:hAnsi="Wingdings"/>
                <w:sz w:val="24"/>
              </w:rPr>
              <w:tab/>
            </w:r>
            <w:r w:rsidRPr="00661595">
              <w:rPr>
                <w:rStyle w:val="InstructionsTabelleText"/>
                <w:rFonts w:ascii="Times New Roman" w:hAnsi="Times New Roman"/>
                <w:sz w:val="24"/>
              </w:rPr>
              <w:t>Minority interests:</w:t>
            </w:r>
          </w:p>
          <w:p w:rsidR="00BF0637" w:rsidRPr="00661595" w:rsidRDefault="00BF0637" w:rsidP="00BF0637">
            <w:pPr>
              <w:rPr>
                <w:rStyle w:val="InstructionsTabelleText"/>
                <w:rFonts w:ascii="Times New Roman" w:hAnsi="Times New Roman"/>
                <w:sz w:val="24"/>
              </w:rPr>
            </w:pPr>
            <w:r w:rsidRPr="00661595">
              <w:rPr>
                <w:rFonts w:ascii="Times New Roman" w:hAnsi="Times New Roman"/>
                <w:sz w:val="24"/>
              </w:rPr>
              <w:t>Point (a)(ii) of Article 81(1) and point (a)(ii) of Article 82(1) CRR</w:t>
            </w:r>
          </w:p>
          <w:p w:rsidR="00BF0637" w:rsidRPr="00661595" w:rsidRDefault="00BF0637" w:rsidP="00BF0637">
            <w:pPr>
              <w:rPr>
                <w:rStyle w:val="InstructionsTabelleText"/>
                <w:rFonts w:ascii="Times New Roman" w:hAnsi="Times New Roman"/>
                <w:sz w:val="24"/>
              </w:rPr>
            </w:pPr>
            <w:r w:rsidRPr="00661595">
              <w:rPr>
                <w:rFonts w:ascii="Times New Roman" w:hAnsi="Times New Roman"/>
                <w:sz w:val="24"/>
              </w:rPr>
              <w:t>To the effects of minority interests and AT1 and T2 instruments issued by subsidiaries, the subsidiaries whose instruments can be eligible shall be institutions or undertakings subject to the requirements CRR by virtue of applicable national law.</w:t>
            </w:r>
          </w:p>
        </w:tc>
      </w:tr>
      <w:tr w:rsidR="00BF0637" w:rsidRPr="00661595" w:rsidTr="00672D2A">
        <w:tc>
          <w:tcPr>
            <w:tcW w:w="1188" w:type="dxa"/>
          </w:tcPr>
          <w:p w:rsidR="00BF0637" w:rsidRPr="00661595" w:rsidRDefault="00ED20CB" w:rsidP="00BF0637">
            <w:pPr>
              <w:rPr>
                <w:rStyle w:val="InstructionsTabelleText"/>
                <w:rFonts w:ascii="Times New Roman" w:hAnsi="Times New Roman"/>
                <w:sz w:val="24"/>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035</w:t>
            </w:r>
          </w:p>
        </w:tc>
        <w:tc>
          <w:tcPr>
            <w:tcW w:w="8640" w:type="dxa"/>
          </w:tcPr>
          <w:p w:rsidR="00BF0637" w:rsidRPr="00661595" w:rsidRDefault="00BF0637" w:rsidP="00BF0637">
            <w:pPr>
              <w:rPr>
                <w:rStyle w:val="InstructionsTabelleberschrift"/>
                <w:rFonts w:ascii="Times New Roman" w:hAnsi="Times New Roman"/>
                <w:sz w:val="24"/>
              </w:rPr>
            </w:pPr>
            <w:r w:rsidRPr="00661595">
              <w:rPr>
                <w:rStyle w:val="InstructionsTabelleberschrift"/>
                <w:rFonts w:ascii="Times New Roman" w:hAnsi="Times New Roman"/>
                <w:sz w:val="24"/>
              </w:rPr>
              <w:t>TYPE OF ENTITY</w:t>
            </w:r>
          </w:p>
          <w:p w:rsidR="00BF0637" w:rsidRPr="00661595" w:rsidRDefault="00BF0637" w:rsidP="00BF0637">
            <w:pPr>
              <w:rPr>
                <w:rStyle w:val="InstructionsTabelleText"/>
                <w:rFonts w:ascii="Times New Roman" w:hAnsi="Times New Roman"/>
                <w:bCs/>
                <w:sz w:val="24"/>
              </w:rPr>
            </w:pPr>
            <w:r w:rsidRPr="00661595">
              <w:rPr>
                <w:rStyle w:val="InstructionsTabelleText"/>
                <w:rFonts w:ascii="Times New Roman" w:hAnsi="Times New Roman"/>
                <w:bCs/>
                <w:sz w:val="24"/>
              </w:rPr>
              <w:t>The type of entity shall be reported based on the following categories:</w:t>
            </w:r>
          </w:p>
          <w:p w:rsidR="00BF0637" w:rsidRPr="00661595" w:rsidRDefault="00BF0637" w:rsidP="00BF0637">
            <w:pPr>
              <w:tabs>
                <w:tab w:val="left" w:pos="372"/>
              </w:tabs>
              <w:rPr>
                <w:rStyle w:val="InstructionsTabelleText"/>
                <w:rFonts w:ascii="Times New Roman" w:hAnsi="Times New Roman"/>
                <w:sz w:val="24"/>
              </w:rPr>
            </w:pPr>
            <w:r w:rsidRPr="00661595">
              <w:rPr>
                <w:rStyle w:val="InstructionsTabelleText"/>
                <w:rFonts w:ascii="Times New Roman" w:hAnsi="Times New Roman"/>
                <w:sz w:val="24"/>
              </w:rPr>
              <w:t>(a)</w:t>
            </w:r>
            <w:r w:rsidRPr="00661595">
              <w:rPr>
                <w:rStyle w:val="InstructionsTabelleText"/>
                <w:rFonts w:ascii="Times New Roman" w:hAnsi="Times New Roman"/>
                <w:sz w:val="24"/>
              </w:rPr>
              <w:tab/>
              <w:t>credit institution</w:t>
            </w:r>
          </w:p>
          <w:p w:rsidR="00BF0637" w:rsidRPr="00661595" w:rsidRDefault="00BF0637" w:rsidP="00BF0637">
            <w:pPr>
              <w:tabs>
                <w:tab w:val="left" w:pos="372"/>
              </w:tabs>
              <w:rPr>
                <w:rStyle w:val="InstructionsTabelleText"/>
                <w:rFonts w:ascii="Times New Roman" w:hAnsi="Times New Roman"/>
                <w:sz w:val="24"/>
              </w:rPr>
            </w:pPr>
            <w:r w:rsidRPr="00661595">
              <w:rPr>
                <w:rStyle w:val="InstructionsTabelleText"/>
                <w:rFonts w:ascii="Times New Roman" w:hAnsi="Times New Roman"/>
                <w:sz w:val="24"/>
              </w:rPr>
              <w:tab/>
              <w:t>Point (1) of Article 4(1)CRR;</w:t>
            </w:r>
          </w:p>
          <w:p w:rsidR="00BF0637" w:rsidRPr="00661595" w:rsidRDefault="00BF0637" w:rsidP="00BF0637">
            <w:pPr>
              <w:tabs>
                <w:tab w:val="left" w:pos="372"/>
              </w:tabs>
              <w:rPr>
                <w:rStyle w:val="InstructionsTabelleText"/>
                <w:rFonts w:ascii="Times New Roman" w:hAnsi="Times New Roman"/>
                <w:bCs/>
                <w:sz w:val="24"/>
              </w:rPr>
            </w:pPr>
            <w:r w:rsidRPr="00661595">
              <w:rPr>
                <w:rStyle w:val="InstructionsTabelleText"/>
                <w:rFonts w:ascii="Times New Roman" w:hAnsi="Times New Roman"/>
                <w:sz w:val="24"/>
              </w:rPr>
              <w:t>(b)</w:t>
            </w:r>
            <w:r w:rsidRPr="00661595">
              <w:rPr>
                <w:rStyle w:val="InstructionsTabelleText"/>
                <w:rFonts w:ascii="Times New Roman" w:hAnsi="Times New Roman"/>
                <w:bCs/>
                <w:sz w:val="24"/>
              </w:rPr>
              <w:tab/>
            </w:r>
            <w:r w:rsidRPr="00661595">
              <w:rPr>
                <w:rStyle w:val="InstructionsTabelleText"/>
                <w:rFonts w:ascii="Times New Roman" w:hAnsi="Times New Roman"/>
                <w:sz w:val="24"/>
              </w:rPr>
              <w:t>investment firm</w:t>
            </w:r>
          </w:p>
          <w:p w:rsidR="00BF0637" w:rsidRPr="00661595" w:rsidRDefault="00BF0637" w:rsidP="00BF0637">
            <w:pPr>
              <w:tabs>
                <w:tab w:val="left" w:pos="372"/>
              </w:tabs>
              <w:rPr>
                <w:rStyle w:val="InstructionsTabelleText"/>
                <w:rFonts w:ascii="Times New Roman" w:hAnsi="Times New Roman"/>
                <w:bCs/>
                <w:sz w:val="24"/>
              </w:rPr>
            </w:pPr>
            <w:r w:rsidRPr="00661595">
              <w:rPr>
                <w:rStyle w:val="InstructionsTabelleText"/>
                <w:rFonts w:ascii="Times New Roman" w:hAnsi="Times New Roman"/>
                <w:bCs/>
                <w:sz w:val="24"/>
              </w:rPr>
              <w:tab/>
              <w:t>Point (2) of Article 4(1) CRR;</w:t>
            </w:r>
          </w:p>
          <w:p w:rsidR="00BF0637" w:rsidRPr="00661595" w:rsidRDefault="00BF0637" w:rsidP="00BF0637">
            <w:pPr>
              <w:tabs>
                <w:tab w:val="left" w:pos="372"/>
              </w:tabs>
              <w:rPr>
                <w:rStyle w:val="InstructionsTabelleText"/>
                <w:rFonts w:ascii="Times New Roman" w:hAnsi="Times New Roman"/>
                <w:bCs/>
                <w:sz w:val="24"/>
              </w:rPr>
            </w:pPr>
            <w:r w:rsidRPr="00661595">
              <w:rPr>
                <w:rStyle w:val="InstructionsTabelleText"/>
                <w:rFonts w:ascii="Times New Roman" w:hAnsi="Times New Roman"/>
                <w:sz w:val="24"/>
              </w:rPr>
              <w:t>(c)</w:t>
            </w:r>
            <w:r w:rsidRPr="00661595">
              <w:rPr>
                <w:rStyle w:val="InstructionsTabelleText"/>
                <w:rFonts w:ascii="Times New Roman" w:hAnsi="Times New Roman"/>
                <w:bCs/>
                <w:sz w:val="24"/>
              </w:rPr>
              <w:tab/>
            </w:r>
            <w:r w:rsidRPr="00661595">
              <w:rPr>
                <w:rStyle w:val="InstructionsTabelleText"/>
                <w:rFonts w:ascii="Times New Roman" w:hAnsi="Times New Roman"/>
                <w:sz w:val="24"/>
              </w:rPr>
              <w:t>financial institution (other)</w:t>
            </w:r>
          </w:p>
          <w:p w:rsidR="00BF0637" w:rsidRPr="00661595" w:rsidRDefault="00BF0637" w:rsidP="00BF0637">
            <w:pPr>
              <w:tabs>
                <w:tab w:val="left" w:pos="372"/>
              </w:tabs>
              <w:rPr>
                <w:rStyle w:val="InstructionsTabelleText"/>
                <w:rFonts w:ascii="Times New Roman" w:hAnsi="Times New Roman"/>
                <w:bCs/>
                <w:sz w:val="24"/>
              </w:rPr>
            </w:pPr>
            <w:r w:rsidRPr="00661595">
              <w:rPr>
                <w:rStyle w:val="InstructionsTabelleText"/>
                <w:rFonts w:ascii="Times New Roman" w:hAnsi="Times New Roman"/>
                <w:bCs/>
                <w:sz w:val="24"/>
              </w:rPr>
              <w:tab/>
              <w:t>Points (20), (21) and (26) of Article 4(1)  CRR</w:t>
            </w:r>
          </w:p>
          <w:p w:rsidR="00BF0637" w:rsidRPr="00661595" w:rsidRDefault="00BF0637" w:rsidP="00BF0637">
            <w:pPr>
              <w:tabs>
                <w:tab w:val="left" w:pos="372"/>
              </w:tabs>
              <w:ind w:left="399" w:hanging="399"/>
              <w:rPr>
                <w:rStyle w:val="InstructionsTabelleText"/>
                <w:rFonts w:ascii="Times New Roman" w:hAnsi="Times New Roman"/>
                <w:bCs/>
                <w:sz w:val="24"/>
              </w:rPr>
            </w:pPr>
            <w:r w:rsidRPr="00661595">
              <w:rPr>
                <w:rStyle w:val="InstructionsTabelleText"/>
                <w:rFonts w:ascii="Times New Roman" w:hAnsi="Times New Roman"/>
                <w:bCs/>
                <w:sz w:val="24"/>
              </w:rPr>
              <w:tab/>
              <w:t xml:space="preserve">Financial institutions within the meaning of </w:t>
            </w:r>
            <w:r w:rsidR="00ED20CB" w:rsidRPr="00661595">
              <w:rPr>
                <w:rStyle w:val="InstructionsTabelleText"/>
                <w:rFonts w:ascii="Times New Roman" w:hAnsi="Times New Roman"/>
                <w:bCs/>
                <w:sz w:val="24"/>
              </w:rPr>
              <w:t xml:space="preserve">point (26) of </w:t>
            </w:r>
            <w:r w:rsidRPr="00661595">
              <w:rPr>
                <w:rStyle w:val="InstructionsTabelleText"/>
                <w:rFonts w:ascii="Times New Roman" w:hAnsi="Times New Roman"/>
                <w:bCs/>
                <w:sz w:val="24"/>
              </w:rPr>
              <w:t>Article 4(1) CRR which are not included in any of the categories (d), (f) or (g);</w:t>
            </w:r>
          </w:p>
          <w:p w:rsidR="00BF0637" w:rsidRPr="00661595" w:rsidRDefault="00BF0637" w:rsidP="00BF0637">
            <w:pPr>
              <w:tabs>
                <w:tab w:val="left" w:pos="372"/>
              </w:tabs>
              <w:rPr>
                <w:rStyle w:val="InstructionsTabelleText"/>
                <w:rFonts w:ascii="Times New Roman" w:hAnsi="Times New Roman"/>
                <w:bCs/>
                <w:sz w:val="24"/>
              </w:rPr>
            </w:pPr>
            <w:r w:rsidRPr="00661595">
              <w:rPr>
                <w:rStyle w:val="InstructionsTabelleText"/>
                <w:rFonts w:ascii="Times New Roman" w:hAnsi="Times New Roman"/>
                <w:sz w:val="24"/>
              </w:rPr>
              <w:t>(d)</w:t>
            </w:r>
            <w:r w:rsidRPr="00661595">
              <w:rPr>
                <w:rStyle w:val="InstructionsTabelleText"/>
                <w:rFonts w:ascii="Times New Roman" w:hAnsi="Times New Roman"/>
                <w:bCs/>
                <w:sz w:val="24"/>
              </w:rPr>
              <w:tab/>
            </w:r>
            <w:r w:rsidRPr="00661595">
              <w:rPr>
                <w:rStyle w:val="InstructionsTabelleText"/>
                <w:rFonts w:ascii="Times New Roman" w:hAnsi="Times New Roman"/>
                <w:sz w:val="24"/>
              </w:rPr>
              <w:t>(mixed) financial holding company</w:t>
            </w:r>
          </w:p>
          <w:p w:rsidR="00BF0637" w:rsidRPr="00661595" w:rsidRDefault="00BF0637" w:rsidP="00BF0637">
            <w:pPr>
              <w:tabs>
                <w:tab w:val="left" w:pos="372"/>
              </w:tabs>
              <w:rPr>
                <w:rStyle w:val="InstructionsTabelleText"/>
                <w:rFonts w:ascii="Times New Roman" w:hAnsi="Times New Roman"/>
                <w:bCs/>
                <w:sz w:val="24"/>
              </w:rPr>
            </w:pPr>
            <w:r w:rsidRPr="00661595">
              <w:rPr>
                <w:rStyle w:val="InstructionsTabelleText"/>
                <w:rFonts w:ascii="Times New Roman" w:hAnsi="Times New Roman"/>
                <w:bCs/>
                <w:sz w:val="24"/>
              </w:rPr>
              <w:tab/>
              <w:t>Points (20) and (21) of Article 4(1)CRR;</w:t>
            </w:r>
          </w:p>
          <w:p w:rsidR="00BF0637" w:rsidRPr="00661595" w:rsidRDefault="00BF0637" w:rsidP="00BF0637">
            <w:pPr>
              <w:tabs>
                <w:tab w:val="left" w:pos="372"/>
              </w:tabs>
              <w:rPr>
                <w:rStyle w:val="InstructionsTabelleText"/>
                <w:rFonts w:ascii="Times New Roman" w:hAnsi="Times New Roman"/>
                <w:bCs/>
                <w:sz w:val="24"/>
              </w:rPr>
            </w:pPr>
            <w:r w:rsidRPr="00661595">
              <w:rPr>
                <w:rStyle w:val="InstructionsTabelleText"/>
                <w:rFonts w:ascii="Times New Roman" w:hAnsi="Times New Roman"/>
                <w:bCs/>
                <w:sz w:val="24"/>
              </w:rPr>
              <w:t>(e)</w:t>
            </w:r>
            <w:r w:rsidRPr="00661595">
              <w:rPr>
                <w:rStyle w:val="InstructionsTabelleText"/>
                <w:rFonts w:ascii="Times New Roman" w:hAnsi="Times New Roman"/>
                <w:bCs/>
                <w:sz w:val="24"/>
              </w:rPr>
              <w:tab/>
            </w:r>
            <w:r w:rsidRPr="00661595">
              <w:rPr>
                <w:rStyle w:val="InstructionsTabelleText"/>
                <w:rFonts w:ascii="Times New Roman" w:hAnsi="Times New Roman"/>
                <w:sz w:val="24"/>
              </w:rPr>
              <w:t>ancillary services undertaking</w:t>
            </w:r>
          </w:p>
          <w:p w:rsidR="00BF0637" w:rsidRPr="00661595" w:rsidRDefault="00BF0637" w:rsidP="00BF0637">
            <w:pPr>
              <w:tabs>
                <w:tab w:val="left" w:pos="372"/>
              </w:tabs>
              <w:rPr>
                <w:rStyle w:val="InstructionsTabelleText"/>
                <w:rFonts w:ascii="Times New Roman" w:hAnsi="Times New Roman"/>
                <w:bCs/>
                <w:sz w:val="24"/>
              </w:rPr>
            </w:pPr>
            <w:r w:rsidRPr="00661595">
              <w:rPr>
                <w:rStyle w:val="InstructionsTabelleText"/>
                <w:rFonts w:ascii="Times New Roman" w:hAnsi="Times New Roman"/>
                <w:bCs/>
                <w:sz w:val="24"/>
              </w:rPr>
              <w:tab/>
              <w:t>Point (18) of Article 4(1) CRR;</w:t>
            </w:r>
          </w:p>
          <w:p w:rsidR="00BF0637" w:rsidRPr="00661595" w:rsidRDefault="00BF0637" w:rsidP="00BF0637">
            <w:pPr>
              <w:tabs>
                <w:tab w:val="left" w:pos="372"/>
              </w:tabs>
              <w:rPr>
                <w:rStyle w:val="InstructionsTabelleText"/>
                <w:rFonts w:ascii="Times New Roman" w:hAnsi="Times New Roman"/>
                <w:bCs/>
                <w:sz w:val="24"/>
              </w:rPr>
            </w:pPr>
            <w:r w:rsidRPr="00661595">
              <w:rPr>
                <w:rStyle w:val="InstructionsTabelleText"/>
                <w:rFonts w:ascii="Times New Roman" w:hAnsi="Times New Roman"/>
                <w:sz w:val="24"/>
              </w:rPr>
              <w:t>(f)</w:t>
            </w:r>
            <w:r w:rsidRPr="00661595">
              <w:rPr>
                <w:rStyle w:val="InstructionsTabelleText"/>
                <w:rFonts w:ascii="Times New Roman" w:hAnsi="Times New Roman"/>
                <w:bCs/>
                <w:sz w:val="24"/>
              </w:rPr>
              <w:tab/>
              <w:t>securitisation special purpose entity (SSPE)</w:t>
            </w:r>
            <w:r w:rsidRPr="00661595">
              <w:rPr>
                <w:rStyle w:val="InstructionsTabelleText"/>
                <w:rFonts w:ascii="Times New Roman" w:hAnsi="Times New Roman"/>
                <w:sz w:val="24"/>
              </w:rPr>
              <w:t>,</w:t>
            </w:r>
          </w:p>
          <w:p w:rsidR="00BF0637" w:rsidRPr="00661595" w:rsidRDefault="00BF0637" w:rsidP="00BF0637">
            <w:pPr>
              <w:tabs>
                <w:tab w:val="left" w:pos="372"/>
              </w:tabs>
              <w:rPr>
                <w:rStyle w:val="InstructionsTabelleText"/>
                <w:rFonts w:ascii="Times New Roman" w:hAnsi="Times New Roman"/>
                <w:bCs/>
                <w:sz w:val="24"/>
              </w:rPr>
            </w:pPr>
            <w:r w:rsidRPr="00661595">
              <w:rPr>
                <w:rStyle w:val="InstructionsTabelleText"/>
                <w:rFonts w:ascii="Times New Roman" w:hAnsi="Times New Roman"/>
                <w:bCs/>
                <w:sz w:val="24"/>
              </w:rPr>
              <w:tab/>
              <w:t>Point (66) of Article 4(1)CRR;</w:t>
            </w:r>
          </w:p>
          <w:p w:rsidR="00BF0637" w:rsidRPr="00661595" w:rsidRDefault="00BF0637" w:rsidP="00BF0637">
            <w:pPr>
              <w:tabs>
                <w:tab w:val="left" w:pos="372"/>
              </w:tabs>
              <w:rPr>
                <w:rStyle w:val="InstructionsTabelleText"/>
                <w:rFonts w:ascii="Times New Roman" w:hAnsi="Times New Roman"/>
                <w:bCs/>
                <w:sz w:val="24"/>
              </w:rPr>
            </w:pPr>
            <w:r w:rsidRPr="00661595">
              <w:rPr>
                <w:rStyle w:val="InstructionsTabelleText"/>
                <w:rFonts w:ascii="Times New Roman" w:hAnsi="Times New Roman"/>
                <w:sz w:val="24"/>
              </w:rPr>
              <w:t>(g)</w:t>
            </w:r>
            <w:r w:rsidRPr="00661595">
              <w:rPr>
                <w:rStyle w:val="InstructionsTabelleText"/>
                <w:rFonts w:ascii="Times New Roman" w:hAnsi="Times New Roman"/>
                <w:bCs/>
                <w:sz w:val="24"/>
              </w:rPr>
              <w:tab/>
            </w:r>
            <w:r w:rsidRPr="00661595">
              <w:rPr>
                <w:rStyle w:val="InstructionsTabelleText"/>
                <w:rFonts w:ascii="Times New Roman" w:hAnsi="Times New Roman"/>
                <w:sz w:val="24"/>
              </w:rPr>
              <w:t>covered bond company</w:t>
            </w:r>
          </w:p>
          <w:p w:rsidR="00BF0637" w:rsidRPr="00661595" w:rsidRDefault="00BF0637" w:rsidP="00BF0637">
            <w:pPr>
              <w:tabs>
                <w:tab w:val="left" w:pos="372"/>
              </w:tabs>
              <w:ind w:left="372"/>
              <w:rPr>
                <w:rStyle w:val="InstructionsTabelleText"/>
                <w:rFonts w:ascii="Times New Roman" w:hAnsi="Times New Roman"/>
                <w:bCs/>
                <w:sz w:val="24"/>
              </w:rPr>
            </w:pPr>
            <w:r w:rsidRPr="00661595">
              <w:rPr>
                <w:rStyle w:val="InstructionsTabelleText"/>
                <w:rFonts w:ascii="Times New Roman" w:hAnsi="Times New Roman"/>
                <w:bCs/>
                <w:sz w:val="24"/>
              </w:rPr>
              <w:t>Entity set up to issue covered bonds or to hold the collateral securing a covered bond, if not included in any of the categories (a), (b) or (d) to (f) above;</w:t>
            </w:r>
          </w:p>
          <w:p w:rsidR="00BF0637" w:rsidRPr="00661595" w:rsidRDefault="00BF0637" w:rsidP="00BF0637">
            <w:pPr>
              <w:tabs>
                <w:tab w:val="left" w:pos="372"/>
              </w:tabs>
              <w:rPr>
                <w:rStyle w:val="InstructionsTabelleText"/>
                <w:rFonts w:ascii="Times New Roman" w:hAnsi="Times New Roman"/>
                <w:sz w:val="24"/>
              </w:rPr>
            </w:pPr>
            <w:r w:rsidRPr="00661595">
              <w:rPr>
                <w:rStyle w:val="InstructionsTabelleText"/>
                <w:rFonts w:ascii="Times New Roman" w:hAnsi="Times New Roman"/>
                <w:bCs/>
                <w:sz w:val="24"/>
              </w:rPr>
              <w:t>(h)</w:t>
            </w:r>
            <w:r w:rsidRPr="00661595">
              <w:rPr>
                <w:rStyle w:val="InstructionsTabelleText"/>
                <w:rFonts w:ascii="Times New Roman" w:hAnsi="Times New Roman"/>
                <w:bCs/>
                <w:sz w:val="24"/>
              </w:rPr>
              <w:tab/>
            </w:r>
            <w:r w:rsidRPr="00661595">
              <w:rPr>
                <w:rStyle w:val="InstructionsTabelleText"/>
                <w:rFonts w:ascii="Times New Roman" w:hAnsi="Times New Roman"/>
                <w:sz w:val="24"/>
              </w:rPr>
              <w:t>other type of entity</w:t>
            </w:r>
          </w:p>
          <w:p w:rsidR="00BF0637" w:rsidRPr="00661595" w:rsidRDefault="00BF0637" w:rsidP="00BF0637">
            <w:pPr>
              <w:tabs>
                <w:tab w:val="left" w:pos="372"/>
              </w:tabs>
              <w:ind w:left="372"/>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Entity other than those referred to in points (a) to (g).</w:t>
            </w:r>
          </w:p>
          <w:p w:rsidR="00BF0637" w:rsidRPr="00661595" w:rsidRDefault="00BF0637" w:rsidP="00BF0637">
            <w:pPr>
              <w:tabs>
                <w:tab w:val="left" w:pos="372"/>
              </w:tabs>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Where an entity is not subject to CRR and CRD, but subject to provisions at least equivalent to Basel provisions, the relevant category shall be determined on a best effort basis.</w:t>
            </w:r>
          </w:p>
        </w:tc>
      </w:tr>
      <w:tr w:rsidR="00BF0637" w:rsidRPr="00661595" w:rsidTr="00672D2A">
        <w:tc>
          <w:tcPr>
            <w:tcW w:w="1188" w:type="dxa"/>
          </w:tcPr>
          <w:p w:rsidR="00BF0637" w:rsidRPr="00661595" w:rsidRDefault="00ED20CB" w:rsidP="00BF0637">
            <w:pPr>
              <w:rPr>
                <w:rStyle w:val="InstructionsTabelleText"/>
                <w:rFonts w:ascii="Times New Roman" w:hAnsi="Times New Roman"/>
                <w:sz w:val="24"/>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040</w:t>
            </w:r>
          </w:p>
        </w:tc>
        <w:tc>
          <w:tcPr>
            <w:tcW w:w="8640" w:type="dxa"/>
          </w:tcPr>
          <w:p w:rsidR="00BF0637" w:rsidRPr="00661595" w:rsidRDefault="00BF0637" w:rsidP="00BF0637">
            <w:pPr>
              <w:rPr>
                <w:rFonts w:ascii="Times New Roman" w:hAnsi="Times New Roman"/>
                <w:b/>
                <w:sz w:val="24"/>
                <w:u w:val="single"/>
              </w:rPr>
            </w:pPr>
            <w:r w:rsidRPr="00661595">
              <w:rPr>
                <w:rFonts w:ascii="Times New Roman" w:hAnsi="Times New Roman"/>
                <w:b/>
                <w:sz w:val="24"/>
                <w:u w:val="single"/>
              </w:rPr>
              <w:t xml:space="preserve">SCOPE OF DATA: </w:t>
            </w:r>
            <w:r w:rsidRPr="00661595">
              <w:rPr>
                <w:rFonts w:ascii="Times New Roman" w:hAnsi="Times New Roman"/>
                <w:b/>
                <w:caps/>
                <w:sz w:val="24"/>
                <w:u w:val="single"/>
              </w:rPr>
              <w:t>solo fully consolidated (SF) OR solo partially consolidated (SP)</w:t>
            </w:r>
          </w:p>
          <w:p w:rsidR="00BF0637" w:rsidRPr="00661595" w:rsidRDefault="00BF0637" w:rsidP="00BF0637">
            <w:pPr>
              <w:rPr>
                <w:rStyle w:val="Heading1Char"/>
                <w:rFonts w:ascii="Times New Roman" w:hAnsi="Times New Roman"/>
                <w:sz w:val="24"/>
                <w:szCs w:val="24"/>
              </w:rPr>
            </w:pPr>
            <w:r w:rsidRPr="00661595">
              <w:rPr>
                <w:rStyle w:val="InstructionsTabelleText"/>
                <w:rFonts w:ascii="Times New Roman" w:hAnsi="Times New Roman"/>
                <w:sz w:val="24"/>
              </w:rPr>
              <w:t xml:space="preserve">“SF” </w:t>
            </w:r>
            <w:r w:rsidRPr="00661595">
              <w:rPr>
                <w:rFonts w:ascii="Times New Roman" w:hAnsi="Times New Roman"/>
                <w:sz w:val="24"/>
              </w:rPr>
              <w:t>shall be reported for individual subsidiaries fully consolidated.</w:t>
            </w:r>
            <w:r w:rsidRPr="00661595">
              <w:rPr>
                <w:rStyle w:val="Heading1Char"/>
                <w:rFonts w:ascii="Times New Roman" w:hAnsi="Times New Roman"/>
                <w:sz w:val="24"/>
                <w:szCs w:val="24"/>
              </w:rPr>
              <w:t xml:space="preserve"> </w:t>
            </w:r>
          </w:p>
          <w:p w:rsidR="00BF0637" w:rsidRPr="00661595" w:rsidRDefault="00BF0637" w:rsidP="00BF0637">
            <w:pPr>
              <w:rPr>
                <w:rStyle w:val="InstructionsTabelleText"/>
                <w:rFonts w:ascii="Times New Roman" w:hAnsi="Times New Roman"/>
                <w:smallCaps/>
                <w:sz w:val="24"/>
              </w:rPr>
            </w:pPr>
            <w:r w:rsidRPr="00661595">
              <w:rPr>
                <w:rStyle w:val="InstructionsTabelleText"/>
                <w:rFonts w:ascii="Times New Roman" w:hAnsi="Times New Roman"/>
                <w:sz w:val="24"/>
              </w:rPr>
              <w:t xml:space="preserve">“SP” </w:t>
            </w:r>
            <w:r w:rsidRPr="00661595">
              <w:rPr>
                <w:rFonts w:ascii="Times New Roman" w:hAnsi="Times New Roman"/>
                <w:sz w:val="24"/>
              </w:rPr>
              <w:t>shall be reported for individual subsidiaries partially consolidated.</w:t>
            </w:r>
            <w:r w:rsidRPr="00661595">
              <w:rPr>
                <w:rStyle w:val="InstructionsTabelleText"/>
                <w:rFonts w:ascii="Times New Roman" w:hAnsi="Times New Roman"/>
                <w:i/>
                <w:sz w:val="24"/>
              </w:rPr>
              <w:t xml:space="preserve"> </w:t>
            </w:r>
          </w:p>
        </w:tc>
      </w:tr>
      <w:tr w:rsidR="00BF0637" w:rsidRPr="00661595" w:rsidTr="00672D2A">
        <w:tc>
          <w:tcPr>
            <w:tcW w:w="1188" w:type="dxa"/>
          </w:tcPr>
          <w:p w:rsidR="00BF0637" w:rsidRPr="00661595" w:rsidRDefault="00ED20CB" w:rsidP="00BF0637">
            <w:pPr>
              <w:rPr>
                <w:rStyle w:val="InstructionsTabelleText"/>
                <w:rFonts w:ascii="Times New Roman" w:hAnsi="Times New Roman"/>
                <w:sz w:val="24"/>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050</w:t>
            </w:r>
          </w:p>
        </w:tc>
        <w:tc>
          <w:tcPr>
            <w:tcW w:w="8640" w:type="dxa"/>
          </w:tcPr>
          <w:p w:rsidR="00BF0637" w:rsidRPr="00661595" w:rsidRDefault="00BF0637" w:rsidP="00BF0637">
            <w:pPr>
              <w:rPr>
                <w:rFonts w:ascii="Times New Roman" w:hAnsi="Times New Roman"/>
                <w:b/>
                <w:sz w:val="24"/>
                <w:u w:val="single"/>
              </w:rPr>
            </w:pPr>
            <w:r w:rsidRPr="00661595">
              <w:rPr>
                <w:rFonts w:ascii="Times New Roman" w:hAnsi="Times New Roman"/>
                <w:b/>
                <w:sz w:val="24"/>
                <w:u w:val="single"/>
              </w:rPr>
              <w:t xml:space="preserve">COUNTRY CODE </w:t>
            </w:r>
          </w:p>
          <w:p w:rsidR="00BF0637" w:rsidRPr="00661595" w:rsidRDefault="00BF0637" w:rsidP="00BF0637">
            <w:pPr>
              <w:rPr>
                <w:rStyle w:val="InstructionsTabelleText"/>
                <w:rFonts w:ascii="Times New Roman" w:hAnsi="Times New Roman"/>
                <w:sz w:val="24"/>
              </w:rPr>
            </w:pPr>
            <w:r w:rsidRPr="00661595">
              <w:rPr>
                <w:rStyle w:val="InstructionsTabelleText"/>
                <w:rFonts w:ascii="Times New Roman" w:hAnsi="Times New Roman"/>
                <w:sz w:val="24"/>
              </w:rPr>
              <w:t xml:space="preserve">Institutions shall report the two-letter country code referred to in ISO 3166-2. </w:t>
            </w:r>
          </w:p>
        </w:tc>
      </w:tr>
      <w:tr w:rsidR="00BF0637" w:rsidRPr="00661595" w:rsidTr="00672D2A">
        <w:tc>
          <w:tcPr>
            <w:tcW w:w="1188" w:type="dxa"/>
          </w:tcPr>
          <w:p w:rsidR="00BF0637" w:rsidRPr="00661595" w:rsidRDefault="00ED20CB" w:rsidP="00BF0637">
            <w:pPr>
              <w:rPr>
                <w:rStyle w:val="InstructionsTabelleText"/>
                <w:rFonts w:ascii="Times New Roman" w:hAnsi="Times New Roman"/>
                <w:sz w:val="24"/>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060</w:t>
            </w:r>
          </w:p>
        </w:tc>
        <w:tc>
          <w:tcPr>
            <w:tcW w:w="8640" w:type="dxa"/>
          </w:tcPr>
          <w:p w:rsidR="00BF0637" w:rsidRPr="00661595" w:rsidRDefault="00BF0637" w:rsidP="00BF0637">
            <w:pPr>
              <w:rPr>
                <w:rStyle w:val="InstructionsTabelleberschrift"/>
                <w:rFonts w:ascii="Times New Roman" w:hAnsi="Times New Roman"/>
                <w:sz w:val="24"/>
              </w:rPr>
            </w:pPr>
            <w:r w:rsidRPr="00661595">
              <w:rPr>
                <w:rStyle w:val="InstructionsTabelleberschrift"/>
                <w:rFonts w:ascii="Times New Roman" w:hAnsi="Times New Roman"/>
                <w:sz w:val="24"/>
              </w:rPr>
              <w:t>SHARE OF HOLDING (%)</w:t>
            </w:r>
          </w:p>
          <w:p w:rsidR="00BF0637" w:rsidRPr="00661595" w:rsidRDefault="00BF0637" w:rsidP="00BF0637">
            <w:pPr>
              <w:rPr>
                <w:rStyle w:val="InstructionsTabelleText"/>
                <w:rFonts w:ascii="Times New Roman" w:hAnsi="Times New Roman"/>
                <w:sz w:val="24"/>
              </w:rPr>
            </w:pPr>
            <w:r w:rsidRPr="00661595">
              <w:rPr>
                <w:rStyle w:val="InstructionsTabelleText"/>
                <w:rFonts w:ascii="Times New Roman" w:hAnsi="Times New Roman"/>
                <w:sz w:val="24"/>
              </w:rPr>
              <w:t xml:space="preserve">This percentage refers to the actual share of capital the parent undertaking holds in subsidiaries. In case of full consolidation of a direct subsidiary, the actual share is e.g. 70 %. In accordance with point </w:t>
            </w:r>
            <w:r w:rsidR="001B43BD" w:rsidRPr="00661595">
              <w:rPr>
                <w:rStyle w:val="InstructionsTabelleText"/>
                <w:rFonts w:ascii="Times New Roman" w:hAnsi="Times New Roman"/>
                <w:sz w:val="24"/>
              </w:rPr>
              <w:t>(</w:t>
            </w:r>
            <w:r w:rsidRPr="00661595">
              <w:rPr>
                <w:rStyle w:val="InstructionsTabelleText"/>
                <w:rFonts w:ascii="Times New Roman" w:hAnsi="Times New Roman"/>
                <w:sz w:val="24"/>
              </w:rPr>
              <w:t>16</w:t>
            </w:r>
            <w:r w:rsidR="001B43BD" w:rsidRPr="00661595">
              <w:rPr>
                <w:rStyle w:val="InstructionsTabelleText"/>
                <w:rFonts w:ascii="Times New Roman" w:hAnsi="Times New Roman"/>
                <w:sz w:val="24"/>
              </w:rPr>
              <w:t>)</w:t>
            </w:r>
            <w:r w:rsidRPr="00661595">
              <w:rPr>
                <w:rStyle w:val="InstructionsTabelleText"/>
                <w:rFonts w:ascii="Times New Roman" w:hAnsi="Times New Roman"/>
                <w:sz w:val="24"/>
              </w:rPr>
              <w:t xml:space="preserve"> of Article 4(1) CRR, the share of holding of a subsidiary to be reported results from a multiplication of the shares between the subsidiaries concerned.</w:t>
            </w:r>
          </w:p>
        </w:tc>
      </w:tr>
      <w:tr w:rsidR="00BF0637" w:rsidRPr="00661595" w:rsidTr="00672D2A">
        <w:tc>
          <w:tcPr>
            <w:tcW w:w="1188" w:type="dxa"/>
          </w:tcPr>
          <w:p w:rsidR="00BF0637" w:rsidRPr="00661595" w:rsidRDefault="00ED20CB" w:rsidP="00BF0637">
            <w:pPr>
              <w:rPr>
                <w:rStyle w:val="InstructionsTabelleText"/>
                <w:rFonts w:ascii="Times New Roman" w:hAnsi="Times New Roman"/>
                <w:sz w:val="24"/>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070-</w:t>
            </w: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240</w:t>
            </w:r>
          </w:p>
        </w:tc>
        <w:tc>
          <w:tcPr>
            <w:tcW w:w="8640" w:type="dxa"/>
          </w:tcPr>
          <w:p w:rsidR="00BF0637" w:rsidRPr="00661595" w:rsidRDefault="00BF0637" w:rsidP="00BF0637">
            <w:pPr>
              <w:rPr>
                <w:rStyle w:val="InstructionsTabelleberschrift"/>
                <w:rFonts w:ascii="Times New Roman" w:hAnsi="Times New Roman"/>
                <w:sz w:val="24"/>
              </w:rPr>
            </w:pPr>
            <w:r w:rsidRPr="00661595">
              <w:rPr>
                <w:rStyle w:val="InstructionsTabelleberschrift"/>
                <w:rFonts w:ascii="Times New Roman" w:hAnsi="Times New Roman"/>
                <w:sz w:val="24"/>
              </w:rPr>
              <w:t>INFORMATION ON ENTITIES SUBJECT TO OWN FUNDS REQUIREMENT</w:t>
            </w:r>
          </w:p>
          <w:p w:rsidR="00BF0637" w:rsidRPr="00661595" w:rsidRDefault="00BF0637" w:rsidP="00BF0637">
            <w:pPr>
              <w:rPr>
                <w:rStyle w:val="InstructionsTabelleText"/>
                <w:rFonts w:ascii="Times New Roman" w:hAnsi="Times New Roman"/>
                <w:sz w:val="24"/>
              </w:rPr>
            </w:pPr>
            <w:r w:rsidRPr="00661595">
              <w:rPr>
                <w:rStyle w:val="InstructionsTabelleText"/>
                <w:rFonts w:ascii="Times New Roman" w:hAnsi="Times New Roman"/>
                <w:sz w:val="24"/>
              </w:rPr>
              <w:t xml:space="preserve">The section of detailed information (i.e. columns </w:t>
            </w:r>
            <w:r w:rsidR="001B43BD" w:rsidRPr="00661595">
              <w:rPr>
                <w:rStyle w:val="InstructionsTabelleText"/>
                <w:rFonts w:ascii="Times New Roman" w:hAnsi="Times New Roman"/>
                <w:sz w:val="24"/>
              </w:rPr>
              <w:t>0</w:t>
            </w:r>
            <w:r w:rsidRPr="00661595">
              <w:rPr>
                <w:rStyle w:val="InstructionsTabelleText"/>
                <w:rFonts w:ascii="Times New Roman" w:hAnsi="Times New Roman"/>
                <w:sz w:val="24"/>
              </w:rPr>
              <w:t xml:space="preserve">070 to </w:t>
            </w:r>
            <w:r w:rsidR="001B43BD" w:rsidRPr="00661595">
              <w:rPr>
                <w:rStyle w:val="InstructionsTabelleText"/>
                <w:rFonts w:ascii="Times New Roman" w:hAnsi="Times New Roman"/>
                <w:sz w:val="24"/>
              </w:rPr>
              <w:t>0</w:t>
            </w:r>
            <w:r w:rsidRPr="00661595">
              <w:rPr>
                <w:rStyle w:val="InstructionsTabelleText"/>
                <w:rFonts w:ascii="Times New Roman" w:hAnsi="Times New Roman"/>
                <w:sz w:val="24"/>
              </w:rPr>
              <w:t>240) shall gather information only on those entities and subgroups which, being within the scope of consolidation (</w:t>
            </w:r>
            <w:r w:rsidRPr="00661595">
              <w:rPr>
                <w:rFonts w:ascii="Times New Roman" w:hAnsi="Times New Roman"/>
                <w:sz w:val="24"/>
              </w:rPr>
              <w:t>Chapter 2 of Title II of Part One CRR</w:t>
            </w:r>
            <w:r w:rsidRPr="00661595">
              <w:rPr>
                <w:rStyle w:val="InstructionsTabelleText"/>
                <w:rFonts w:ascii="Times New Roman" w:hAnsi="Times New Roman"/>
                <w:sz w:val="24"/>
              </w:rPr>
              <w:t xml:space="preserve">), are effectively subject to solvency requirements laid down in CRR or provisions at least equivalent to Basel provisions (i.e, reported yes in column </w:t>
            </w:r>
            <w:r w:rsidR="001B43BD" w:rsidRPr="00661595">
              <w:rPr>
                <w:rStyle w:val="InstructionsTabelleText"/>
                <w:rFonts w:ascii="Times New Roman" w:hAnsi="Times New Roman"/>
                <w:sz w:val="24"/>
              </w:rPr>
              <w:t>0</w:t>
            </w:r>
            <w:r w:rsidRPr="00661595">
              <w:rPr>
                <w:rStyle w:val="InstructionsTabelleText"/>
                <w:rFonts w:ascii="Times New Roman" w:hAnsi="Times New Roman"/>
                <w:sz w:val="24"/>
              </w:rPr>
              <w:t xml:space="preserve">030). </w:t>
            </w:r>
          </w:p>
          <w:p w:rsidR="00BF0637" w:rsidRPr="00661595" w:rsidRDefault="00BF0637" w:rsidP="00BF0637">
            <w:pPr>
              <w:rPr>
                <w:rFonts w:ascii="Times New Roman" w:hAnsi="Times New Roman"/>
                <w:sz w:val="24"/>
                <w:lang w:eastAsia="de-DE"/>
              </w:rPr>
            </w:pPr>
            <w:r w:rsidRPr="00661595">
              <w:rPr>
                <w:rFonts w:ascii="Times New Roman" w:hAnsi="Times New Roman"/>
                <w:sz w:val="24"/>
                <w:lang w:eastAsia="de-DE"/>
              </w:rPr>
              <w:t xml:space="preserve">Information shall be included about all individual institutions of a consolidated group that are subject to own funds requirements, regardless where they are located. </w:t>
            </w:r>
          </w:p>
          <w:p w:rsidR="00BF0637" w:rsidRPr="00661595" w:rsidRDefault="00BF0637" w:rsidP="00BF0637">
            <w:pPr>
              <w:rPr>
                <w:rFonts w:ascii="Times New Roman" w:hAnsi="Times New Roman"/>
                <w:sz w:val="24"/>
                <w:lang w:eastAsia="de-DE"/>
              </w:rPr>
            </w:pPr>
            <w:r w:rsidRPr="00661595">
              <w:rPr>
                <w:rFonts w:ascii="Times New Roman" w:hAnsi="Times New Roman"/>
                <w:sz w:val="24"/>
                <w:lang w:eastAsia="de-DE"/>
              </w:rPr>
              <w:t xml:space="preserve">The information reported in this part shall reflect the </w:t>
            </w:r>
            <w:r w:rsidRPr="00661595">
              <w:rPr>
                <w:rFonts w:ascii="Times New Roman" w:hAnsi="Times New Roman"/>
                <w:bCs/>
                <w:sz w:val="24"/>
                <w:lang w:eastAsia="de-DE"/>
              </w:rPr>
              <w:t>local solvency rules</w:t>
            </w:r>
            <w:r w:rsidRPr="00661595">
              <w:rPr>
                <w:rFonts w:ascii="Times New Roman" w:hAnsi="Times New Roman"/>
                <w:b/>
                <w:bCs/>
                <w:sz w:val="24"/>
                <w:lang w:eastAsia="de-DE"/>
              </w:rPr>
              <w:t xml:space="preserve"> </w:t>
            </w:r>
            <w:r w:rsidRPr="00661595">
              <w:rPr>
                <w:rFonts w:ascii="Times New Roman" w:hAnsi="Times New Roman"/>
                <w:bCs/>
                <w:sz w:val="24"/>
                <w:lang w:eastAsia="de-DE"/>
              </w:rPr>
              <w:t>of the jurisdiction</w:t>
            </w:r>
            <w:r w:rsidRPr="00661595">
              <w:rPr>
                <w:rFonts w:ascii="Times New Roman" w:hAnsi="Times New Roman"/>
                <w:b/>
                <w:bCs/>
                <w:sz w:val="24"/>
                <w:lang w:eastAsia="de-DE"/>
              </w:rPr>
              <w:t xml:space="preserve"> </w:t>
            </w:r>
            <w:r w:rsidRPr="00661595">
              <w:rPr>
                <w:rFonts w:ascii="Times New Roman" w:hAnsi="Times New Roman"/>
                <w:bCs/>
                <w:sz w:val="24"/>
                <w:lang w:eastAsia="de-DE"/>
              </w:rPr>
              <w:t xml:space="preserve">in which </w:t>
            </w:r>
            <w:r w:rsidRPr="00661595">
              <w:rPr>
                <w:rFonts w:ascii="Times New Roman" w:hAnsi="Times New Roman"/>
                <w:sz w:val="24"/>
                <w:lang w:eastAsia="de-DE"/>
              </w:rPr>
              <w:t>the institution is operating (therefore, for this template, it is not necessary to do a double calculation on an individual basis on the basis of the parent institution’s rules). When local solvency rules differ from CRR and a comparable breakdown is not given, the information shall be completed where data are available in the respective granularity. Therefore, this part is a factual template that summarises the calculations that the individual institutions of a group shall carry out, bearing in mind that some of those institutions may be subject to different solvency rules.</w:t>
            </w:r>
          </w:p>
          <w:p w:rsidR="00BF0637" w:rsidRPr="00661595" w:rsidRDefault="00BF0637" w:rsidP="00BF0637">
            <w:pPr>
              <w:rPr>
                <w:rStyle w:val="InstructionsTabelleText"/>
                <w:rFonts w:ascii="Times New Roman" w:hAnsi="Times New Roman"/>
                <w:b/>
                <w:sz w:val="24"/>
                <w:u w:val="single"/>
              </w:rPr>
            </w:pPr>
            <w:r w:rsidRPr="00661595">
              <w:rPr>
                <w:rStyle w:val="InstructionsTabelleText"/>
                <w:rFonts w:ascii="Times New Roman" w:hAnsi="Times New Roman"/>
                <w:b/>
                <w:sz w:val="24"/>
                <w:u w:val="single"/>
              </w:rPr>
              <w:t>Reporting of fixed overheads of investment firms:</w:t>
            </w:r>
          </w:p>
          <w:p w:rsidR="00BF0637" w:rsidRPr="00661595" w:rsidRDefault="00BF0637" w:rsidP="00BF0637">
            <w:pPr>
              <w:autoSpaceDE w:val="0"/>
              <w:autoSpaceDN w:val="0"/>
              <w:adjustRightInd w:val="0"/>
              <w:spacing w:after="0"/>
              <w:rPr>
                <w:rStyle w:val="InstructionsTabelleText"/>
                <w:rFonts w:ascii="Times New Roman" w:hAnsi="Times New Roman"/>
                <w:sz w:val="24"/>
              </w:rPr>
            </w:pPr>
            <w:r w:rsidRPr="00661595">
              <w:rPr>
                <w:rStyle w:val="InstructionsTabelleText"/>
                <w:rFonts w:ascii="Times New Roman" w:hAnsi="Times New Roman"/>
                <w:sz w:val="24"/>
              </w:rPr>
              <w:t>Investment firms shall include own funds requirements related to fixed overheads in their calculation of capital ratio pursuant to Articles 95, 96, 97 and 98 CRR.</w:t>
            </w:r>
          </w:p>
          <w:p w:rsidR="00BF0637" w:rsidRPr="00661595" w:rsidRDefault="00BF0637" w:rsidP="001B43BD">
            <w:pPr>
              <w:autoSpaceDE w:val="0"/>
              <w:autoSpaceDN w:val="0"/>
              <w:adjustRightInd w:val="0"/>
              <w:spacing w:after="0"/>
              <w:rPr>
                <w:rStyle w:val="InstructionsTabelleText"/>
                <w:rFonts w:ascii="Times New Roman" w:hAnsi="Times New Roman"/>
                <w:sz w:val="24"/>
              </w:rPr>
            </w:pPr>
            <w:r w:rsidRPr="00661595">
              <w:rPr>
                <w:rStyle w:val="InstructionsTabelleText"/>
                <w:rFonts w:ascii="Times New Roman" w:hAnsi="Times New Roman"/>
                <w:sz w:val="24"/>
              </w:rPr>
              <w:t xml:space="preserve">The part of the total risk exposure amount related to fixed overheads shall be reported in column </w:t>
            </w:r>
            <w:r w:rsidR="001B43BD" w:rsidRPr="00661595">
              <w:rPr>
                <w:rStyle w:val="InstructionsTabelleText"/>
                <w:rFonts w:ascii="Times New Roman" w:hAnsi="Times New Roman"/>
                <w:sz w:val="24"/>
              </w:rPr>
              <w:t>0</w:t>
            </w:r>
            <w:r w:rsidRPr="00661595">
              <w:rPr>
                <w:rStyle w:val="InstructionsTabelleText"/>
                <w:rFonts w:ascii="Times New Roman" w:hAnsi="Times New Roman"/>
                <w:sz w:val="24"/>
              </w:rPr>
              <w:t xml:space="preserve">100 of this template. </w:t>
            </w:r>
          </w:p>
        </w:tc>
      </w:tr>
      <w:tr w:rsidR="00BF0637" w:rsidRPr="00661595" w:rsidTr="00672D2A">
        <w:tc>
          <w:tcPr>
            <w:tcW w:w="1188" w:type="dxa"/>
          </w:tcPr>
          <w:p w:rsidR="00BF0637" w:rsidRPr="00661595" w:rsidRDefault="00ED20CB" w:rsidP="00BF0637">
            <w:pPr>
              <w:rPr>
                <w:rStyle w:val="InstructionsTabelleText"/>
                <w:rFonts w:ascii="Times New Roman" w:hAnsi="Times New Roman"/>
                <w:sz w:val="24"/>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070</w:t>
            </w:r>
          </w:p>
        </w:tc>
        <w:tc>
          <w:tcPr>
            <w:tcW w:w="8640" w:type="dxa"/>
          </w:tcPr>
          <w:p w:rsidR="00BF0637" w:rsidRPr="00661595" w:rsidRDefault="00BF0637" w:rsidP="00BF0637">
            <w:pPr>
              <w:rPr>
                <w:rStyle w:val="InstructionsTabelleberschrift"/>
                <w:rFonts w:ascii="Times New Roman" w:hAnsi="Times New Roman"/>
                <w:sz w:val="24"/>
              </w:rPr>
            </w:pPr>
            <w:r w:rsidRPr="00661595">
              <w:rPr>
                <w:rStyle w:val="InstructionsTabelleberschrift"/>
                <w:rFonts w:ascii="Times New Roman" w:hAnsi="Times New Roman"/>
                <w:sz w:val="24"/>
              </w:rPr>
              <w:t xml:space="preserve">TOTAL RISK EXPOSURE AMOUNT </w:t>
            </w:r>
          </w:p>
          <w:p w:rsidR="00BF0637" w:rsidRPr="00661595" w:rsidRDefault="00BF0637" w:rsidP="00BF0637">
            <w:pPr>
              <w:rPr>
                <w:rStyle w:val="InstructionsTabelleberschrift"/>
                <w:rFonts w:ascii="Times New Roman" w:hAnsi="Times New Roman"/>
                <w:sz w:val="24"/>
              </w:rPr>
            </w:pPr>
            <w:r w:rsidRPr="00661595">
              <w:rPr>
                <w:rStyle w:val="InstructionsTabelleText"/>
                <w:rFonts w:ascii="Times New Roman" w:hAnsi="Times New Roman"/>
                <w:sz w:val="24"/>
              </w:rPr>
              <w:t xml:space="preserve">The sum of the columns </w:t>
            </w:r>
            <w:r w:rsidR="001B43BD" w:rsidRPr="00661595">
              <w:rPr>
                <w:rStyle w:val="InstructionsTabelleText"/>
                <w:rFonts w:ascii="Times New Roman" w:hAnsi="Times New Roman"/>
                <w:sz w:val="24"/>
              </w:rPr>
              <w:t>0</w:t>
            </w:r>
            <w:r w:rsidRPr="00661595">
              <w:rPr>
                <w:rStyle w:val="InstructionsTabelleText"/>
                <w:rFonts w:ascii="Times New Roman" w:hAnsi="Times New Roman"/>
                <w:sz w:val="24"/>
              </w:rPr>
              <w:t xml:space="preserve">080 to </w:t>
            </w:r>
            <w:r w:rsidR="001B43BD" w:rsidRPr="00661595">
              <w:rPr>
                <w:rStyle w:val="InstructionsTabelleText"/>
                <w:rFonts w:ascii="Times New Roman" w:hAnsi="Times New Roman"/>
                <w:sz w:val="24"/>
              </w:rPr>
              <w:t>0</w:t>
            </w:r>
            <w:r w:rsidRPr="00661595">
              <w:rPr>
                <w:rStyle w:val="InstructionsTabelleText"/>
                <w:rFonts w:ascii="Times New Roman" w:hAnsi="Times New Roman"/>
                <w:sz w:val="24"/>
              </w:rPr>
              <w:t>110 shall be reported.</w:t>
            </w:r>
          </w:p>
        </w:tc>
      </w:tr>
      <w:tr w:rsidR="00BF0637" w:rsidRPr="00661595" w:rsidTr="00672D2A">
        <w:tc>
          <w:tcPr>
            <w:tcW w:w="1188" w:type="dxa"/>
          </w:tcPr>
          <w:p w:rsidR="00BF0637" w:rsidRPr="00661595" w:rsidRDefault="00ED20CB" w:rsidP="00BF0637">
            <w:pPr>
              <w:rPr>
                <w:rStyle w:val="InstructionsTabelleText"/>
                <w:rFonts w:ascii="Times New Roman" w:hAnsi="Times New Roman"/>
                <w:sz w:val="24"/>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080</w:t>
            </w:r>
          </w:p>
        </w:tc>
        <w:tc>
          <w:tcPr>
            <w:tcW w:w="8640" w:type="dxa"/>
          </w:tcPr>
          <w:p w:rsidR="00BF0637" w:rsidRPr="00661595" w:rsidRDefault="00BF0637" w:rsidP="00BF0637">
            <w:pPr>
              <w:rPr>
                <w:rStyle w:val="InstructionsTabelleberschrift"/>
                <w:rFonts w:ascii="Times New Roman" w:hAnsi="Times New Roman"/>
                <w:sz w:val="24"/>
              </w:rPr>
            </w:pPr>
            <w:r w:rsidRPr="00661595">
              <w:rPr>
                <w:rStyle w:val="InstructionsTabelleberschrift"/>
                <w:rFonts w:ascii="Times New Roman" w:hAnsi="Times New Roman"/>
                <w:sz w:val="24"/>
              </w:rPr>
              <w:t>CREDIT; COUNTERPARTY CREDIT; DILUTION RISKS, FREE DELIVERIES AND SETTLEMENT/DELIVERY RISK</w:t>
            </w:r>
          </w:p>
          <w:p w:rsidR="00BF0637" w:rsidRPr="00661595" w:rsidRDefault="00BF0637" w:rsidP="00BF0637">
            <w:pPr>
              <w:rPr>
                <w:rStyle w:val="InstructionsTabelleText"/>
                <w:rFonts w:ascii="Times New Roman" w:hAnsi="Times New Roman"/>
                <w:sz w:val="24"/>
              </w:rPr>
            </w:pPr>
            <w:r w:rsidRPr="00661595">
              <w:rPr>
                <w:rStyle w:val="InstructionsTabelleText"/>
                <w:rFonts w:ascii="Times New Roman" w:hAnsi="Times New Roman"/>
                <w:sz w:val="24"/>
              </w:rPr>
              <w:t xml:space="preserve">The amount to be reported in this column shall correspond to the sum of risk weighted exposure amounts that are equal or equivalent to the ones that must be reported in row </w:t>
            </w:r>
            <w:r w:rsidR="001B43BD" w:rsidRPr="00661595">
              <w:rPr>
                <w:rStyle w:val="InstructionsTabelleText"/>
                <w:rFonts w:ascii="Times New Roman" w:hAnsi="Times New Roman"/>
                <w:sz w:val="24"/>
              </w:rPr>
              <w:t>0</w:t>
            </w:r>
            <w:r w:rsidRPr="00661595">
              <w:rPr>
                <w:rStyle w:val="InstructionsTabelleText"/>
                <w:rFonts w:ascii="Times New Roman" w:hAnsi="Times New Roman"/>
                <w:sz w:val="24"/>
              </w:rPr>
              <w:t>040 “</w:t>
            </w:r>
            <w:r w:rsidRPr="00661595">
              <w:rPr>
                <w:rStyle w:val="InstructionsTabelleberschrift"/>
                <w:rFonts w:ascii="Times New Roman" w:hAnsi="Times New Roman"/>
                <w:b w:val="0"/>
                <w:sz w:val="24"/>
                <w:u w:val="none"/>
              </w:rPr>
              <w:t>RISK WEIGHTED EXPOSURE AMOUNTS</w:t>
            </w:r>
            <w:r w:rsidRPr="00661595">
              <w:rPr>
                <w:rStyle w:val="InstructionsTabelleText"/>
                <w:rFonts w:ascii="Times New Roman" w:hAnsi="Times New Roman"/>
                <w:sz w:val="24"/>
              </w:rPr>
              <w:t xml:space="preserve"> FOR CREDIT, COUNTERPARTY CREDIT AND DILUTION RISKS AND FREE DELIVERIES” and the amounts of own funds requirements that are equal or equivalent to the ones that must be reported in row </w:t>
            </w:r>
            <w:r w:rsidR="001B43BD" w:rsidRPr="00661595">
              <w:rPr>
                <w:rStyle w:val="InstructionsTabelleText"/>
                <w:rFonts w:ascii="Times New Roman" w:hAnsi="Times New Roman"/>
                <w:sz w:val="24"/>
              </w:rPr>
              <w:t>0</w:t>
            </w:r>
            <w:r w:rsidRPr="00661595">
              <w:rPr>
                <w:rStyle w:val="InstructionsTabelleText"/>
                <w:rFonts w:ascii="Times New Roman" w:hAnsi="Times New Roman"/>
                <w:sz w:val="24"/>
              </w:rPr>
              <w:t>490 “TOTAL RISK EXPOSURE AMOUNT FOR SETTLEMENT/DELIVERY RISKS” of template CA2.</w:t>
            </w:r>
          </w:p>
        </w:tc>
      </w:tr>
      <w:tr w:rsidR="00BF0637" w:rsidRPr="00661595" w:rsidTr="00672D2A">
        <w:tc>
          <w:tcPr>
            <w:tcW w:w="1188" w:type="dxa"/>
          </w:tcPr>
          <w:p w:rsidR="00BF0637" w:rsidRPr="00661595" w:rsidRDefault="00ED20CB" w:rsidP="00BF0637">
            <w:pPr>
              <w:rPr>
                <w:rStyle w:val="InstructionsTabelleText"/>
                <w:rFonts w:ascii="Times New Roman" w:hAnsi="Times New Roman"/>
                <w:sz w:val="24"/>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090</w:t>
            </w:r>
          </w:p>
        </w:tc>
        <w:tc>
          <w:tcPr>
            <w:tcW w:w="8640" w:type="dxa"/>
          </w:tcPr>
          <w:p w:rsidR="00BF0637" w:rsidRPr="00661595" w:rsidRDefault="00BF0637" w:rsidP="00BF0637">
            <w:pPr>
              <w:rPr>
                <w:rStyle w:val="InstructionsTabelleberschrift"/>
                <w:rFonts w:ascii="Times New Roman" w:hAnsi="Times New Roman"/>
                <w:sz w:val="24"/>
              </w:rPr>
            </w:pPr>
            <w:r w:rsidRPr="00661595">
              <w:rPr>
                <w:rStyle w:val="InstructionsTabelleberschrift"/>
                <w:rFonts w:ascii="Times New Roman" w:hAnsi="Times New Roman"/>
                <w:sz w:val="24"/>
              </w:rPr>
              <w:t>POSITION, FX AND COMMODITY RISKS</w:t>
            </w:r>
          </w:p>
          <w:p w:rsidR="00BF0637" w:rsidRPr="00661595" w:rsidRDefault="00BF0637" w:rsidP="00BF0637">
            <w:pPr>
              <w:rPr>
                <w:rStyle w:val="InstructionsTabelleText"/>
                <w:rFonts w:ascii="Times New Roman" w:hAnsi="Times New Roman"/>
                <w:sz w:val="24"/>
              </w:rPr>
            </w:pPr>
            <w:r w:rsidRPr="00661595">
              <w:rPr>
                <w:rStyle w:val="InstructionsTabelleText"/>
                <w:rFonts w:ascii="Times New Roman" w:hAnsi="Times New Roman"/>
                <w:sz w:val="24"/>
              </w:rPr>
              <w:t xml:space="preserve">The amount to be reported in this column shall correspond to the amount of own funds requirements that are equal or equivalent to the ones that must be reported in row </w:t>
            </w:r>
            <w:r w:rsidR="001B43BD" w:rsidRPr="00661595">
              <w:rPr>
                <w:rStyle w:val="InstructionsTabelleText"/>
                <w:rFonts w:ascii="Times New Roman" w:hAnsi="Times New Roman"/>
                <w:sz w:val="24"/>
              </w:rPr>
              <w:t>0</w:t>
            </w:r>
            <w:r w:rsidRPr="00661595">
              <w:rPr>
                <w:rStyle w:val="InstructionsTabelleText"/>
                <w:rFonts w:ascii="Times New Roman" w:hAnsi="Times New Roman"/>
                <w:sz w:val="24"/>
              </w:rPr>
              <w:t>520 “TOTAL RISK EXPOSURE AMOUNT FOR POSITION, FOREIGN EXCHANGE AND COMMODITIES RISKS” of template CA2.</w:t>
            </w:r>
          </w:p>
        </w:tc>
      </w:tr>
      <w:tr w:rsidR="00BF0637" w:rsidRPr="00661595" w:rsidTr="00672D2A">
        <w:tc>
          <w:tcPr>
            <w:tcW w:w="1188" w:type="dxa"/>
          </w:tcPr>
          <w:p w:rsidR="00BF0637" w:rsidRPr="00661595" w:rsidRDefault="00ED20CB" w:rsidP="00BF0637">
            <w:pPr>
              <w:rPr>
                <w:rStyle w:val="InstructionsTabelleText"/>
                <w:rFonts w:ascii="Times New Roman" w:hAnsi="Times New Roman"/>
                <w:sz w:val="24"/>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100</w:t>
            </w:r>
          </w:p>
        </w:tc>
        <w:tc>
          <w:tcPr>
            <w:tcW w:w="8640" w:type="dxa"/>
          </w:tcPr>
          <w:p w:rsidR="00BF0637" w:rsidRPr="00661595" w:rsidRDefault="00BF0637" w:rsidP="00BF0637">
            <w:pPr>
              <w:rPr>
                <w:rStyle w:val="InstructionsTabelleberschrift"/>
                <w:rFonts w:ascii="Times New Roman" w:hAnsi="Times New Roman"/>
                <w:sz w:val="24"/>
              </w:rPr>
            </w:pPr>
            <w:r w:rsidRPr="00661595">
              <w:rPr>
                <w:rStyle w:val="InstructionsTabelleberschrift"/>
                <w:rFonts w:ascii="Times New Roman" w:hAnsi="Times New Roman"/>
                <w:sz w:val="24"/>
              </w:rPr>
              <w:t>OPERATIONAL RISK</w:t>
            </w:r>
          </w:p>
          <w:p w:rsidR="00BF0637" w:rsidRPr="00661595" w:rsidRDefault="00BF0637" w:rsidP="00BF0637">
            <w:pPr>
              <w:rPr>
                <w:rStyle w:val="InstructionsTabelleText"/>
                <w:rFonts w:ascii="Times New Roman" w:hAnsi="Times New Roman"/>
                <w:sz w:val="24"/>
              </w:rPr>
            </w:pPr>
            <w:r w:rsidRPr="00661595">
              <w:rPr>
                <w:rStyle w:val="InstructionsTabelleText"/>
                <w:rFonts w:ascii="Times New Roman" w:hAnsi="Times New Roman"/>
                <w:sz w:val="24"/>
              </w:rPr>
              <w:t xml:space="preserve">The amount to be reported in this column shall correspond to the risk exposure amount that is equal or equivalent to the one that shall be reported in row </w:t>
            </w:r>
            <w:r w:rsidR="001B43BD" w:rsidRPr="00661595">
              <w:rPr>
                <w:rStyle w:val="InstructionsTabelleText"/>
                <w:rFonts w:ascii="Times New Roman" w:hAnsi="Times New Roman"/>
                <w:sz w:val="24"/>
              </w:rPr>
              <w:t>0</w:t>
            </w:r>
            <w:r w:rsidRPr="00661595">
              <w:rPr>
                <w:rStyle w:val="InstructionsTabelleText"/>
                <w:rFonts w:ascii="Times New Roman" w:hAnsi="Times New Roman"/>
                <w:sz w:val="24"/>
              </w:rPr>
              <w:t>590 “TOTAL RISK EXPOSURE AMOUNT FOR OPERATIONAL RISKS (OpR)” of the template CA2.</w:t>
            </w:r>
          </w:p>
          <w:p w:rsidR="00BF0637" w:rsidRPr="00661595" w:rsidRDefault="00BF0637" w:rsidP="00BF0637">
            <w:pPr>
              <w:rPr>
                <w:rStyle w:val="InstructionsTabelleText"/>
                <w:rFonts w:ascii="Times New Roman" w:hAnsi="Times New Roman"/>
                <w:sz w:val="24"/>
              </w:rPr>
            </w:pPr>
            <w:r w:rsidRPr="00661595">
              <w:rPr>
                <w:rStyle w:val="InstructionsTabelleText"/>
                <w:rFonts w:ascii="Times New Roman" w:hAnsi="Times New Roman"/>
                <w:sz w:val="24"/>
              </w:rPr>
              <w:t xml:space="preserve">Fixed overheads shall be included in this column including the row </w:t>
            </w:r>
            <w:r w:rsidR="001B43BD" w:rsidRPr="00661595">
              <w:rPr>
                <w:rStyle w:val="InstructionsTabelleText"/>
                <w:rFonts w:ascii="Times New Roman" w:hAnsi="Times New Roman"/>
                <w:sz w:val="24"/>
              </w:rPr>
              <w:t>0</w:t>
            </w:r>
            <w:r w:rsidRPr="00661595">
              <w:rPr>
                <w:rStyle w:val="InstructionsTabelleText"/>
                <w:rFonts w:ascii="Times New Roman" w:hAnsi="Times New Roman"/>
                <w:sz w:val="24"/>
              </w:rPr>
              <w:t>630 “ADDITIONAL RISK EXPOSURE AMOUNT DUE TO FIXED OVERHEADS” of template CA2.</w:t>
            </w:r>
          </w:p>
        </w:tc>
      </w:tr>
      <w:tr w:rsidR="00BF0637" w:rsidRPr="00661595" w:rsidTr="00672D2A">
        <w:tc>
          <w:tcPr>
            <w:tcW w:w="1188" w:type="dxa"/>
          </w:tcPr>
          <w:p w:rsidR="00BF0637" w:rsidRPr="00661595" w:rsidRDefault="00ED20CB" w:rsidP="00BF0637">
            <w:pPr>
              <w:rPr>
                <w:rStyle w:val="InstructionsTabelleText"/>
                <w:rFonts w:ascii="Times New Roman" w:hAnsi="Times New Roman"/>
                <w:sz w:val="24"/>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110</w:t>
            </w:r>
          </w:p>
        </w:tc>
        <w:tc>
          <w:tcPr>
            <w:tcW w:w="8640" w:type="dxa"/>
          </w:tcPr>
          <w:p w:rsidR="00BF0637" w:rsidRPr="00661595" w:rsidRDefault="00BF0637" w:rsidP="00BF0637">
            <w:pPr>
              <w:rPr>
                <w:rStyle w:val="InstructionsTabelleberschrift"/>
                <w:rFonts w:ascii="Times New Roman" w:hAnsi="Times New Roman"/>
                <w:sz w:val="24"/>
              </w:rPr>
            </w:pPr>
            <w:r w:rsidRPr="00661595">
              <w:rPr>
                <w:rStyle w:val="InstructionsTabelleberschrift"/>
                <w:rFonts w:ascii="Times New Roman" w:hAnsi="Times New Roman"/>
                <w:sz w:val="24"/>
              </w:rPr>
              <w:t>OTHER RISK EXPOSURE AMOUNTS</w:t>
            </w:r>
          </w:p>
          <w:p w:rsidR="00BF0637" w:rsidRPr="00661595" w:rsidRDefault="00BF0637" w:rsidP="00BF0637">
            <w:pPr>
              <w:rPr>
                <w:rStyle w:val="InstructionsTabelleText"/>
                <w:rFonts w:ascii="Times New Roman" w:hAnsi="Times New Roman"/>
                <w:sz w:val="24"/>
              </w:rPr>
            </w:pPr>
            <w:r w:rsidRPr="00661595">
              <w:rPr>
                <w:rStyle w:val="InstructionsTabelleText"/>
                <w:rFonts w:ascii="Times New Roman" w:hAnsi="Times New Roman"/>
                <w:sz w:val="24"/>
              </w:rPr>
              <w:t xml:space="preserve">The amount to be reported in this column shall correspond to the risk exposure amount not especially listed above. It shall be the sum of the amounts of rows </w:t>
            </w:r>
            <w:r w:rsidR="001B43BD" w:rsidRPr="00661595">
              <w:rPr>
                <w:rStyle w:val="InstructionsTabelleText"/>
                <w:rFonts w:ascii="Times New Roman" w:hAnsi="Times New Roman"/>
                <w:sz w:val="24"/>
              </w:rPr>
              <w:t>0</w:t>
            </w:r>
            <w:r w:rsidRPr="00661595">
              <w:rPr>
                <w:rStyle w:val="InstructionsTabelleText"/>
                <w:rFonts w:ascii="Times New Roman" w:hAnsi="Times New Roman"/>
                <w:sz w:val="24"/>
              </w:rPr>
              <w:t xml:space="preserve">640, </w:t>
            </w:r>
            <w:r w:rsidR="001B43BD" w:rsidRPr="00661595">
              <w:rPr>
                <w:rStyle w:val="InstructionsTabelleText"/>
                <w:rFonts w:ascii="Times New Roman" w:hAnsi="Times New Roman"/>
                <w:sz w:val="24"/>
              </w:rPr>
              <w:t>0</w:t>
            </w:r>
            <w:r w:rsidRPr="00661595">
              <w:rPr>
                <w:rStyle w:val="InstructionsTabelleText"/>
                <w:rFonts w:ascii="Times New Roman" w:hAnsi="Times New Roman"/>
                <w:sz w:val="24"/>
              </w:rPr>
              <w:t xml:space="preserve">680 and </w:t>
            </w:r>
            <w:r w:rsidR="001B43BD" w:rsidRPr="00661595">
              <w:rPr>
                <w:rStyle w:val="InstructionsTabelleText"/>
                <w:rFonts w:ascii="Times New Roman" w:hAnsi="Times New Roman"/>
                <w:sz w:val="24"/>
              </w:rPr>
              <w:t>0</w:t>
            </w:r>
            <w:r w:rsidRPr="00661595">
              <w:rPr>
                <w:rStyle w:val="InstructionsTabelleText"/>
                <w:rFonts w:ascii="Times New Roman" w:hAnsi="Times New Roman"/>
                <w:sz w:val="24"/>
              </w:rPr>
              <w:t>690 of template CA2.</w:t>
            </w:r>
          </w:p>
        </w:tc>
      </w:tr>
      <w:tr w:rsidR="00BF0637" w:rsidRPr="00661595" w:rsidTr="00672D2A">
        <w:tc>
          <w:tcPr>
            <w:tcW w:w="1188" w:type="dxa"/>
          </w:tcPr>
          <w:p w:rsidR="00BF0637" w:rsidRPr="00661595" w:rsidRDefault="00ED20CB" w:rsidP="00BF0637">
            <w:pPr>
              <w:rPr>
                <w:rStyle w:val="InstructionsTabelleText"/>
                <w:rFonts w:ascii="Times New Roman" w:hAnsi="Times New Roman"/>
                <w:sz w:val="24"/>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120-</w:t>
            </w: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240</w:t>
            </w:r>
          </w:p>
        </w:tc>
        <w:tc>
          <w:tcPr>
            <w:tcW w:w="8640" w:type="dxa"/>
          </w:tcPr>
          <w:p w:rsidR="00BF0637" w:rsidRPr="00661595" w:rsidRDefault="00BF0637" w:rsidP="00BF0637">
            <w:pPr>
              <w:rPr>
                <w:rStyle w:val="InstructionsTabelleberschrift"/>
                <w:rFonts w:ascii="Times New Roman" w:hAnsi="Times New Roman"/>
                <w:sz w:val="24"/>
              </w:rPr>
            </w:pPr>
            <w:r w:rsidRPr="00661595">
              <w:rPr>
                <w:rStyle w:val="InstructionsTabelleberschrift"/>
                <w:rFonts w:ascii="Times New Roman" w:hAnsi="Times New Roman"/>
                <w:sz w:val="24"/>
              </w:rPr>
              <w:t>DETAILED INFORMATION ON GROUP SOLVENCY OWN FUNDS</w:t>
            </w:r>
          </w:p>
          <w:p w:rsidR="00BF0637" w:rsidRPr="00661595" w:rsidRDefault="00BF0637" w:rsidP="00BF0637">
            <w:pPr>
              <w:rPr>
                <w:rStyle w:val="InstructionsTabelleText"/>
                <w:rFonts w:ascii="Times New Roman" w:hAnsi="Times New Roman"/>
                <w:sz w:val="24"/>
              </w:rPr>
            </w:pPr>
            <w:r w:rsidRPr="00661595">
              <w:rPr>
                <w:rStyle w:val="InstructionsTabelleText"/>
                <w:rFonts w:ascii="Times New Roman" w:hAnsi="Times New Roman"/>
                <w:sz w:val="24"/>
              </w:rPr>
              <w:t>The information reported in the following columns shall reflect the local solvency rules of the Member State in which the entity or subgroup is operating.</w:t>
            </w:r>
          </w:p>
        </w:tc>
      </w:tr>
      <w:tr w:rsidR="00BF0637" w:rsidRPr="00661595" w:rsidTr="00672D2A">
        <w:tc>
          <w:tcPr>
            <w:tcW w:w="1188" w:type="dxa"/>
          </w:tcPr>
          <w:p w:rsidR="00BF0637" w:rsidRPr="00661595" w:rsidRDefault="00ED20CB" w:rsidP="00BF0637">
            <w:pPr>
              <w:rPr>
                <w:rStyle w:val="InstructionsTabelleText"/>
                <w:rFonts w:ascii="Times New Roman" w:hAnsi="Times New Roman"/>
                <w:sz w:val="24"/>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120</w:t>
            </w:r>
          </w:p>
        </w:tc>
        <w:tc>
          <w:tcPr>
            <w:tcW w:w="8640" w:type="dxa"/>
          </w:tcPr>
          <w:p w:rsidR="00BF0637" w:rsidRPr="00661595" w:rsidRDefault="00BF0637" w:rsidP="00BF0637">
            <w:pPr>
              <w:rPr>
                <w:rStyle w:val="InstructionsTabelleberschrift"/>
                <w:rFonts w:ascii="Times New Roman" w:hAnsi="Times New Roman"/>
                <w:sz w:val="24"/>
              </w:rPr>
            </w:pPr>
            <w:r w:rsidRPr="00661595">
              <w:rPr>
                <w:rStyle w:val="InstructionsTabelleberschrift"/>
                <w:rFonts w:ascii="Times New Roman" w:hAnsi="Times New Roman"/>
                <w:sz w:val="24"/>
              </w:rPr>
              <w:t>OWN FUNDS</w:t>
            </w:r>
          </w:p>
          <w:p w:rsidR="00BF0637" w:rsidRPr="00661595" w:rsidRDefault="00BF0637" w:rsidP="00BF0637">
            <w:pPr>
              <w:rPr>
                <w:rStyle w:val="InstructionsTabelleberschrift"/>
                <w:rFonts w:ascii="Times New Roman" w:hAnsi="Times New Roman"/>
                <w:sz w:val="24"/>
              </w:rPr>
            </w:pPr>
            <w:r w:rsidRPr="00661595">
              <w:rPr>
                <w:rStyle w:val="InstructionsTabelleText"/>
                <w:rFonts w:ascii="Times New Roman" w:hAnsi="Times New Roman"/>
                <w:sz w:val="24"/>
              </w:rPr>
              <w:t xml:space="preserve">The amount to be reported in this column corresponds to the amount of own funds that are equal or equivalent to the ones that must be reported in row </w:t>
            </w:r>
            <w:r w:rsidR="001B43BD" w:rsidRPr="00661595">
              <w:rPr>
                <w:rStyle w:val="InstructionsTabelleText"/>
                <w:rFonts w:ascii="Times New Roman" w:hAnsi="Times New Roman"/>
                <w:sz w:val="24"/>
              </w:rPr>
              <w:t>0</w:t>
            </w:r>
            <w:r w:rsidRPr="00661595">
              <w:rPr>
                <w:rStyle w:val="InstructionsTabelleText"/>
                <w:rFonts w:ascii="Times New Roman" w:hAnsi="Times New Roman"/>
                <w:sz w:val="24"/>
              </w:rPr>
              <w:t>010 “OWN FUNDS” of the template CA1.</w:t>
            </w:r>
          </w:p>
        </w:tc>
      </w:tr>
      <w:tr w:rsidR="00BF0637" w:rsidRPr="00661595" w:rsidTr="00672D2A">
        <w:tc>
          <w:tcPr>
            <w:tcW w:w="1188" w:type="dxa"/>
          </w:tcPr>
          <w:p w:rsidR="00BF0637" w:rsidRPr="00661595" w:rsidRDefault="00ED20CB" w:rsidP="00BF0637">
            <w:pPr>
              <w:rPr>
                <w:rStyle w:val="InstructionsTabelleText"/>
                <w:rFonts w:ascii="Times New Roman" w:hAnsi="Times New Roman"/>
                <w:sz w:val="24"/>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130</w:t>
            </w:r>
          </w:p>
        </w:tc>
        <w:tc>
          <w:tcPr>
            <w:tcW w:w="8640" w:type="dxa"/>
          </w:tcPr>
          <w:p w:rsidR="00BF0637" w:rsidRPr="00661595" w:rsidRDefault="00BF0637" w:rsidP="00BF0637">
            <w:pPr>
              <w:rPr>
                <w:rStyle w:val="InstructionsTabelleberschrift"/>
                <w:rFonts w:ascii="Times New Roman" w:hAnsi="Times New Roman"/>
                <w:sz w:val="24"/>
              </w:rPr>
            </w:pPr>
            <w:r w:rsidRPr="00661595">
              <w:rPr>
                <w:rStyle w:val="InstructionsTabelleberschrift"/>
                <w:rFonts w:ascii="Times New Roman" w:hAnsi="Times New Roman"/>
                <w:sz w:val="24"/>
              </w:rPr>
              <w:t xml:space="preserve">OF WHICH: QUALIFYING OWN FUNDS </w:t>
            </w:r>
          </w:p>
          <w:p w:rsidR="00BF0637" w:rsidRPr="00661595" w:rsidRDefault="00BF0637" w:rsidP="00BF0637">
            <w:pPr>
              <w:rPr>
                <w:rStyle w:val="InstructionsTabelleText"/>
                <w:rFonts w:ascii="Times New Roman" w:hAnsi="Times New Roman"/>
                <w:sz w:val="24"/>
              </w:rPr>
            </w:pPr>
            <w:r w:rsidRPr="00661595">
              <w:rPr>
                <w:rStyle w:val="InstructionsTabelleText"/>
                <w:rFonts w:ascii="Times New Roman" w:hAnsi="Times New Roman"/>
                <w:sz w:val="24"/>
              </w:rPr>
              <w:t xml:space="preserve">Article 82 CRR </w:t>
            </w:r>
          </w:p>
          <w:p w:rsidR="00BF0637" w:rsidRPr="00661595" w:rsidRDefault="00BF0637" w:rsidP="00BF0637">
            <w:pPr>
              <w:rPr>
                <w:rStyle w:val="InstructionsTabelleText"/>
                <w:rFonts w:ascii="Times New Roman" w:hAnsi="Times New Roman"/>
                <w:sz w:val="24"/>
              </w:rPr>
            </w:pPr>
            <w:r w:rsidRPr="00661595">
              <w:rPr>
                <w:rStyle w:val="InstructionsTabelleText"/>
                <w:rFonts w:ascii="Times New Roman" w:hAnsi="Times New Roman"/>
                <w:sz w:val="24"/>
              </w:rPr>
              <w:t xml:space="preserve">This column shall only be provided for the subsidiaries reported on an individual basis that are fully consolidated and that are institutions. </w:t>
            </w:r>
          </w:p>
          <w:p w:rsidR="00BF0637" w:rsidRPr="00661595" w:rsidRDefault="00BF0637" w:rsidP="00BF0637">
            <w:pPr>
              <w:rPr>
                <w:rStyle w:val="InstructionsTabelleText"/>
                <w:rFonts w:ascii="Times New Roman" w:hAnsi="Times New Roman"/>
                <w:sz w:val="24"/>
              </w:rPr>
            </w:pPr>
            <w:r w:rsidRPr="00661595">
              <w:rPr>
                <w:rStyle w:val="InstructionsTabelleText"/>
                <w:rFonts w:ascii="Times New Roman" w:hAnsi="Times New Roman"/>
                <w:sz w:val="24"/>
              </w:rPr>
              <w:t>Qualifying holdings are, for the subsidiaries specified above, the instruments (plus related retained earnings, share premium accounts and other reserves) owned by persons other than the undertakings and included in the CRR consolidation.</w:t>
            </w:r>
          </w:p>
          <w:p w:rsidR="00BF0637" w:rsidRPr="00661595" w:rsidRDefault="00BF0637" w:rsidP="00BF0637">
            <w:pPr>
              <w:rPr>
                <w:rStyle w:val="InstructionsTabelleberschrift"/>
                <w:rFonts w:ascii="Times New Roman" w:hAnsi="Times New Roman"/>
                <w:sz w:val="24"/>
              </w:rPr>
            </w:pPr>
            <w:r w:rsidRPr="00661595">
              <w:rPr>
                <w:rStyle w:val="InstructionsTabelleText"/>
                <w:rFonts w:ascii="Times New Roman" w:hAnsi="Times New Roman"/>
                <w:sz w:val="24"/>
              </w:rPr>
              <w:t>The amount to be reported shall include the effects of any transitional provisions. It shall be the eligible amount on the date of reporting.</w:t>
            </w:r>
          </w:p>
        </w:tc>
      </w:tr>
      <w:tr w:rsidR="00BF0637" w:rsidRPr="00661595" w:rsidTr="00672D2A">
        <w:tc>
          <w:tcPr>
            <w:tcW w:w="1188" w:type="dxa"/>
          </w:tcPr>
          <w:p w:rsidR="00BF0637" w:rsidRPr="00661595" w:rsidRDefault="00ED20CB" w:rsidP="00BF0637">
            <w:pPr>
              <w:rPr>
                <w:rStyle w:val="InstructionsTabelleText"/>
                <w:rFonts w:ascii="Times New Roman" w:hAnsi="Times New Roman"/>
                <w:sz w:val="24"/>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140</w:t>
            </w:r>
          </w:p>
        </w:tc>
        <w:tc>
          <w:tcPr>
            <w:tcW w:w="8640" w:type="dxa"/>
          </w:tcPr>
          <w:p w:rsidR="00BF0637" w:rsidRPr="00661595" w:rsidRDefault="00BF0637" w:rsidP="00BF0637">
            <w:pPr>
              <w:rPr>
                <w:rStyle w:val="InstructionsTabelleberschrift"/>
                <w:rFonts w:ascii="Times New Roman" w:hAnsi="Times New Roman"/>
                <w:b w:val="0"/>
                <w:sz w:val="24"/>
              </w:rPr>
            </w:pPr>
            <w:r w:rsidRPr="00661595">
              <w:rPr>
                <w:rStyle w:val="InstructionsTabelleberschrift"/>
                <w:rFonts w:ascii="Times New Roman" w:hAnsi="Times New Roman"/>
                <w:sz w:val="24"/>
              </w:rPr>
              <w:t>RELATED OWN FUNDS INSTRUMENTS, RELATED RETAINED EARNINGS, SHARE PREMIUM ACCOUNTS AND OTHER RESERVES</w:t>
            </w:r>
          </w:p>
          <w:p w:rsidR="00BF0637" w:rsidRPr="00661595" w:rsidRDefault="00BF0637" w:rsidP="00BF0637">
            <w:pPr>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Point (b) of Article 87(1)CRR</w:t>
            </w:r>
          </w:p>
        </w:tc>
      </w:tr>
      <w:tr w:rsidR="00BF0637" w:rsidRPr="009B627A" w:rsidTr="00672D2A">
        <w:tc>
          <w:tcPr>
            <w:tcW w:w="1188" w:type="dxa"/>
          </w:tcPr>
          <w:p w:rsidR="00BF0637" w:rsidRPr="00661595" w:rsidRDefault="00ED20CB" w:rsidP="00BF0637">
            <w:pPr>
              <w:rPr>
                <w:rStyle w:val="InstructionsTabelleText"/>
                <w:rFonts w:ascii="Times New Roman" w:hAnsi="Times New Roman"/>
                <w:sz w:val="24"/>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150</w:t>
            </w:r>
          </w:p>
        </w:tc>
        <w:tc>
          <w:tcPr>
            <w:tcW w:w="8640" w:type="dxa"/>
          </w:tcPr>
          <w:p w:rsidR="00BF0637" w:rsidRPr="00661595" w:rsidRDefault="00BF0637" w:rsidP="00BF0637">
            <w:pPr>
              <w:rPr>
                <w:rStyle w:val="InstructionsTabelleberschrift"/>
                <w:rFonts w:ascii="Times New Roman" w:hAnsi="Times New Roman"/>
                <w:sz w:val="24"/>
                <w:lang w:val="fr-BE"/>
              </w:rPr>
            </w:pPr>
            <w:r w:rsidRPr="00661595">
              <w:rPr>
                <w:rStyle w:val="InstructionsTabelleberschrift"/>
                <w:rFonts w:ascii="Times New Roman" w:hAnsi="Times New Roman"/>
                <w:sz w:val="24"/>
                <w:lang w:val="fr-BE"/>
              </w:rPr>
              <w:t>TOTAL TIER 1 CAPITAL</w:t>
            </w:r>
          </w:p>
          <w:p w:rsidR="00BF0637" w:rsidRPr="00661595" w:rsidRDefault="00BF0637" w:rsidP="00BF0637">
            <w:pPr>
              <w:rPr>
                <w:rStyle w:val="InstructionsTabelleberschrift"/>
                <w:rFonts w:ascii="Times New Roman" w:hAnsi="Times New Roman"/>
                <w:sz w:val="24"/>
                <w:lang w:val="fr-BE"/>
              </w:rPr>
            </w:pPr>
            <w:r w:rsidRPr="00661595">
              <w:rPr>
                <w:rStyle w:val="InstructionsTabelleText"/>
                <w:rFonts w:ascii="Times New Roman" w:hAnsi="Times New Roman"/>
                <w:sz w:val="24"/>
                <w:lang w:val="fr-BE"/>
              </w:rPr>
              <w:t>Article 25 CRR</w:t>
            </w:r>
          </w:p>
        </w:tc>
      </w:tr>
      <w:tr w:rsidR="00BF0637" w:rsidRPr="00661595" w:rsidTr="00672D2A">
        <w:tc>
          <w:tcPr>
            <w:tcW w:w="1188" w:type="dxa"/>
          </w:tcPr>
          <w:p w:rsidR="00BF0637" w:rsidRPr="00661595" w:rsidRDefault="00ED20CB" w:rsidP="00BF0637">
            <w:pPr>
              <w:rPr>
                <w:rStyle w:val="InstructionsTabelleText"/>
                <w:rFonts w:ascii="Times New Roman" w:hAnsi="Times New Roman"/>
                <w:sz w:val="24"/>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160</w:t>
            </w:r>
          </w:p>
        </w:tc>
        <w:tc>
          <w:tcPr>
            <w:tcW w:w="8640" w:type="dxa"/>
          </w:tcPr>
          <w:p w:rsidR="00BF0637" w:rsidRPr="00661595" w:rsidRDefault="00BF0637" w:rsidP="00BF0637">
            <w:pPr>
              <w:rPr>
                <w:rStyle w:val="InstructionsTabelleberschrift"/>
                <w:rFonts w:ascii="Times New Roman" w:hAnsi="Times New Roman"/>
                <w:sz w:val="24"/>
              </w:rPr>
            </w:pPr>
            <w:r w:rsidRPr="00661595">
              <w:rPr>
                <w:rStyle w:val="InstructionsTabelleberschrift"/>
                <w:rFonts w:ascii="Times New Roman" w:hAnsi="Times New Roman"/>
                <w:sz w:val="24"/>
              </w:rPr>
              <w:t>OF WHICH: QUALIFYING TIER 1 CAPITAL</w:t>
            </w:r>
          </w:p>
          <w:p w:rsidR="00BF0637" w:rsidRPr="00661595" w:rsidRDefault="00BF0637" w:rsidP="00BF0637">
            <w:pPr>
              <w:rPr>
                <w:rStyle w:val="InstructionsTabelleText"/>
                <w:rFonts w:ascii="Times New Roman" w:hAnsi="Times New Roman"/>
                <w:sz w:val="24"/>
              </w:rPr>
            </w:pPr>
            <w:r w:rsidRPr="00661595">
              <w:rPr>
                <w:rStyle w:val="InstructionsTabelleText"/>
                <w:rFonts w:ascii="Times New Roman" w:hAnsi="Times New Roman"/>
                <w:sz w:val="24"/>
              </w:rPr>
              <w:t>Article 82 CRR</w:t>
            </w:r>
          </w:p>
          <w:p w:rsidR="00BF0637" w:rsidRPr="00661595" w:rsidRDefault="00BF0637" w:rsidP="00BF0637">
            <w:pPr>
              <w:rPr>
                <w:rStyle w:val="InstructionsTabelleText"/>
                <w:rFonts w:ascii="Times New Roman" w:hAnsi="Times New Roman"/>
                <w:sz w:val="24"/>
              </w:rPr>
            </w:pPr>
            <w:r w:rsidRPr="00661595">
              <w:rPr>
                <w:rStyle w:val="InstructionsTabelleText"/>
                <w:rFonts w:ascii="Times New Roman" w:hAnsi="Times New Roman"/>
                <w:sz w:val="24"/>
              </w:rPr>
              <w:t>This column shall only be provided for the subsidiaries reported on an individual basis that are fully consolidated and that are institutions.</w:t>
            </w:r>
          </w:p>
          <w:p w:rsidR="00BF0637" w:rsidRPr="00661595" w:rsidRDefault="00BF0637" w:rsidP="00BF0637">
            <w:pPr>
              <w:rPr>
                <w:rStyle w:val="InstructionsTabelleText"/>
                <w:rFonts w:ascii="Times New Roman" w:hAnsi="Times New Roman"/>
                <w:sz w:val="24"/>
              </w:rPr>
            </w:pPr>
            <w:r w:rsidRPr="00661595">
              <w:rPr>
                <w:rStyle w:val="InstructionsTabelleText"/>
                <w:rFonts w:ascii="Times New Roman" w:hAnsi="Times New Roman"/>
                <w:sz w:val="24"/>
              </w:rPr>
              <w:t>Qualifying holdings are, for the subsidiaries specified above, the instruments (plus related retained earnings and share premium accounts) owned by persons other than the undertakings included in the CRR consolidation.</w:t>
            </w:r>
          </w:p>
          <w:p w:rsidR="00BF0637" w:rsidRPr="00661595" w:rsidRDefault="00BF0637" w:rsidP="00BF0637">
            <w:pPr>
              <w:rPr>
                <w:rStyle w:val="InstructionsTabelleberschrift"/>
                <w:rFonts w:ascii="Times New Roman" w:hAnsi="Times New Roman"/>
                <w:sz w:val="24"/>
              </w:rPr>
            </w:pPr>
            <w:r w:rsidRPr="00661595">
              <w:rPr>
                <w:rStyle w:val="InstructionsTabelleText"/>
                <w:rFonts w:ascii="Times New Roman" w:hAnsi="Times New Roman"/>
                <w:sz w:val="24"/>
              </w:rPr>
              <w:t>The amount to be reported shall include the effects of any transitional provision. It shall be the eligible amount on the date of reporting.</w:t>
            </w:r>
          </w:p>
        </w:tc>
      </w:tr>
      <w:tr w:rsidR="00BF0637" w:rsidRPr="00661595" w:rsidTr="00672D2A">
        <w:tc>
          <w:tcPr>
            <w:tcW w:w="1188" w:type="dxa"/>
          </w:tcPr>
          <w:p w:rsidR="00BF0637" w:rsidRPr="00661595" w:rsidRDefault="00ED20CB" w:rsidP="00BF0637">
            <w:pPr>
              <w:rPr>
                <w:rStyle w:val="InstructionsTabelleText"/>
                <w:rFonts w:ascii="Times New Roman" w:hAnsi="Times New Roman"/>
                <w:sz w:val="24"/>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170</w:t>
            </w:r>
          </w:p>
        </w:tc>
        <w:tc>
          <w:tcPr>
            <w:tcW w:w="8640" w:type="dxa"/>
          </w:tcPr>
          <w:p w:rsidR="00BF0637" w:rsidRPr="00661595" w:rsidRDefault="00BF0637" w:rsidP="00BF0637">
            <w:pPr>
              <w:rPr>
                <w:rStyle w:val="InstructionsTabelleberschrift"/>
                <w:rFonts w:ascii="Times New Roman" w:hAnsi="Times New Roman"/>
                <w:b w:val="0"/>
                <w:sz w:val="24"/>
              </w:rPr>
            </w:pPr>
            <w:r w:rsidRPr="00661595">
              <w:rPr>
                <w:rStyle w:val="InstructionsTabelleberschrift"/>
                <w:rFonts w:ascii="Times New Roman" w:hAnsi="Times New Roman"/>
                <w:sz w:val="24"/>
              </w:rPr>
              <w:t>RELATED T1 INSTRUMENTS, RELATED RETAINED EARNINGS AND SHARE PREMIUM ACCOUNTS</w:t>
            </w:r>
          </w:p>
          <w:p w:rsidR="00BF0637" w:rsidRPr="00661595" w:rsidRDefault="00BF0637" w:rsidP="00BF0637">
            <w:pPr>
              <w:rPr>
                <w:rStyle w:val="InstructionsTabelleberschrift"/>
                <w:rFonts w:ascii="Times New Roman" w:hAnsi="Times New Roman"/>
                <w:sz w:val="24"/>
              </w:rPr>
            </w:pPr>
            <w:r w:rsidRPr="00661595">
              <w:rPr>
                <w:rStyle w:val="InstructionsTabelleberschrift"/>
                <w:rFonts w:ascii="Times New Roman" w:hAnsi="Times New Roman"/>
                <w:b w:val="0"/>
                <w:sz w:val="24"/>
                <w:u w:val="none"/>
              </w:rPr>
              <w:t>Point (b) of Article 85(1) CRR</w:t>
            </w:r>
          </w:p>
        </w:tc>
      </w:tr>
      <w:tr w:rsidR="00BF0637" w:rsidRPr="00661595" w:rsidTr="00672D2A">
        <w:tc>
          <w:tcPr>
            <w:tcW w:w="1188" w:type="dxa"/>
          </w:tcPr>
          <w:p w:rsidR="00BF0637" w:rsidRPr="00661595" w:rsidRDefault="00ED20CB" w:rsidP="00BF0637">
            <w:pPr>
              <w:rPr>
                <w:rStyle w:val="InstructionsTabelleText"/>
                <w:rFonts w:ascii="Times New Roman" w:hAnsi="Times New Roman"/>
                <w:sz w:val="24"/>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180</w:t>
            </w:r>
          </w:p>
        </w:tc>
        <w:tc>
          <w:tcPr>
            <w:tcW w:w="8640" w:type="dxa"/>
          </w:tcPr>
          <w:p w:rsidR="00BF0637" w:rsidRPr="00661595" w:rsidRDefault="00BF0637" w:rsidP="00BF0637">
            <w:pPr>
              <w:rPr>
                <w:rStyle w:val="InstructionsTabelleberschrift"/>
                <w:rFonts w:ascii="Times New Roman" w:hAnsi="Times New Roman"/>
                <w:sz w:val="24"/>
              </w:rPr>
            </w:pPr>
            <w:r w:rsidRPr="00661595">
              <w:rPr>
                <w:rStyle w:val="InstructionsTabelleberschrift"/>
                <w:rFonts w:ascii="Times New Roman" w:hAnsi="Times New Roman"/>
                <w:sz w:val="24"/>
              </w:rPr>
              <w:t>COMMON EQUITY TIER 1 CAPITAL</w:t>
            </w:r>
          </w:p>
          <w:p w:rsidR="00BF0637" w:rsidRPr="00661595" w:rsidRDefault="00BF0637" w:rsidP="00BF0637">
            <w:pPr>
              <w:rPr>
                <w:rStyle w:val="InstructionsTabelleberschrift"/>
                <w:rFonts w:ascii="Times New Roman" w:hAnsi="Times New Roman"/>
                <w:sz w:val="24"/>
              </w:rPr>
            </w:pPr>
            <w:r w:rsidRPr="00661595">
              <w:rPr>
                <w:rStyle w:val="InstructionsTabelleText"/>
                <w:rFonts w:ascii="Times New Roman" w:hAnsi="Times New Roman"/>
                <w:sz w:val="24"/>
              </w:rPr>
              <w:t>Article 50 CRR</w:t>
            </w:r>
          </w:p>
        </w:tc>
      </w:tr>
      <w:tr w:rsidR="00BF0637" w:rsidRPr="00661595" w:rsidTr="00672D2A">
        <w:tc>
          <w:tcPr>
            <w:tcW w:w="1188" w:type="dxa"/>
          </w:tcPr>
          <w:p w:rsidR="00BF0637" w:rsidRPr="00661595" w:rsidRDefault="00ED20CB" w:rsidP="00BF0637">
            <w:pPr>
              <w:rPr>
                <w:rStyle w:val="InstructionsTabelleText"/>
                <w:rFonts w:ascii="Times New Roman" w:hAnsi="Times New Roman"/>
                <w:sz w:val="24"/>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190</w:t>
            </w:r>
          </w:p>
        </w:tc>
        <w:tc>
          <w:tcPr>
            <w:tcW w:w="8640" w:type="dxa"/>
          </w:tcPr>
          <w:p w:rsidR="00BF0637" w:rsidRPr="00661595" w:rsidRDefault="00BF0637" w:rsidP="00BF0637">
            <w:pPr>
              <w:rPr>
                <w:rStyle w:val="InstructionsTabelleberschrift"/>
                <w:rFonts w:ascii="Times New Roman" w:hAnsi="Times New Roman"/>
                <w:sz w:val="24"/>
              </w:rPr>
            </w:pPr>
            <w:r w:rsidRPr="00661595">
              <w:rPr>
                <w:rStyle w:val="InstructionsTabelleberschrift"/>
                <w:rFonts w:ascii="Times New Roman" w:hAnsi="Times New Roman"/>
                <w:sz w:val="24"/>
              </w:rPr>
              <w:t>OF WHICH: MINORITY INTERESTS</w:t>
            </w:r>
          </w:p>
          <w:p w:rsidR="00BF0637" w:rsidRPr="00661595" w:rsidRDefault="00BF0637" w:rsidP="00BF0637">
            <w:pPr>
              <w:rPr>
                <w:rStyle w:val="InstructionsTabelleText"/>
                <w:rFonts w:ascii="Times New Roman" w:hAnsi="Times New Roman"/>
                <w:sz w:val="24"/>
              </w:rPr>
            </w:pPr>
            <w:r w:rsidRPr="00661595">
              <w:rPr>
                <w:rStyle w:val="InstructionsTabelleText"/>
                <w:rFonts w:ascii="Times New Roman" w:hAnsi="Times New Roman"/>
                <w:sz w:val="24"/>
              </w:rPr>
              <w:t>Article 81 CRR</w:t>
            </w:r>
          </w:p>
          <w:p w:rsidR="00BF0637" w:rsidRPr="00661595" w:rsidRDefault="00BF0637" w:rsidP="00BF0637">
            <w:pPr>
              <w:rPr>
                <w:rStyle w:val="InstructionsTabelleText"/>
                <w:rFonts w:ascii="Times New Roman" w:hAnsi="Times New Roman"/>
                <w:sz w:val="24"/>
              </w:rPr>
            </w:pPr>
            <w:r w:rsidRPr="00661595">
              <w:rPr>
                <w:rStyle w:val="InstructionsTabelleText"/>
                <w:rFonts w:ascii="Times New Roman" w:hAnsi="Times New Roman"/>
                <w:sz w:val="24"/>
              </w:rPr>
              <w:t>This column shall only be reported for subsidiaries that are fully consolidated and that are institutions, except for the subsidiaries referred to in Article 84(3) CRR. Each subsidiary shall be considered on a sub-consolidated basis for all the calculations required by Article 84 CRR, where relevant, in accordance with Article 84(2), otherwise on a solo basis.</w:t>
            </w:r>
          </w:p>
          <w:p w:rsidR="00BF0637" w:rsidRPr="00661595" w:rsidRDefault="00BF0637" w:rsidP="00BF0637">
            <w:pPr>
              <w:rPr>
                <w:rStyle w:val="InstructionsTabelleText"/>
                <w:rFonts w:ascii="Times New Roman" w:hAnsi="Times New Roman"/>
                <w:sz w:val="24"/>
              </w:rPr>
            </w:pPr>
            <w:r w:rsidRPr="00661595">
              <w:rPr>
                <w:rStyle w:val="InstructionsTabelleText"/>
                <w:rFonts w:ascii="Times New Roman" w:hAnsi="Times New Roman"/>
                <w:sz w:val="24"/>
              </w:rPr>
              <w:t>Minority interests are, for the subsidiaries specified above, the CET1 instruments (plus related retained earnings and share premium accounts) owned by persons other than the undertakings included in the CRR consolidation.</w:t>
            </w:r>
          </w:p>
          <w:p w:rsidR="00BF0637" w:rsidRPr="00661595" w:rsidRDefault="00BF0637" w:rsidP="00BF0637">
            <w:pPr>
              <w:rPr>
                <w:rStyle w:val="InstructionsTabelleberschrift"/>
                <w:rFonts w:ascii="Times New Roman" w:hAnsi="Times New Roman"/>
                <w:sz w:val="24"/>
              </w:rPr>
            </w:pPr>
            <w:r w:rsidRPr="00661595">
              <w:rPr>
                <w:rStyle w:val="InstructionsTabelleText"/>
                <w:rFonts w:ascii="Times New Roman" w:hAnsi="Times New Roman"/>
                <w:sz w:val="24"/>
              </w:rPr>
              <w:t>The amount to be reported shall include the effects of any transitional provisions. It shall be the eligible amount on the date of reporting.</w:t>
            </w:r>
          </w:p>
        </w:tc>
      </w:tr>
      <w:tr w:rsidR="00BF0637" w:rsidRPr="00661595" w:rsidTr="00672D2A">
        <w:tc>
          <w:tcPr>
            <w:tcW w:w="1188" w:type="dxa"/>
          </w:tcPr>
          <w:p w:rsidR="00BF0637" w:rsidRPr="00661595" w:rsidRDefault="00ED20CB" w:rsidP="00BF0637">
            <w:pPr>
              <w:rPr>
                <w:rStyle w:val="InstructionsTabelleText"/>
                <w:rFonts w:ascii="Times New Roman" w:hAnsi="Times New Roman"/>
                <w:sz w:val="24"/>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200</w:t>
            </w:r>
          </w:p>
        </w:tc>
        <w:tc>
          <w:tcPr>
            <w:tcW w:w="8640" w:type="dxa"/>
          </w:tcPr>
          <w:p w:rsidR="00BF0637" w:rsidRPr="00661595" w:rsidRDefault="00BF0637" w:rsidP="00BF0637">
            <w:pPr>
              <w:rPr>
                <w:rStyle w:val="InstructionsTabelleberschrift"/>
                <w:rFonts w:ascii="Times New Roman" w:hAnsi="Times New Roman"/>
                <w:b w:val="0"/>
                <w:sz w:val="24"/>
              </w:rPr>
            </w:pPr>
            <w:r w:rsidRPr="00661595">
              <w:rPr>
                <w:rStyle w:val="InstructionsTabelleberschrift"/>
                <w:rFonts w:ascii="Times New Roman" w:hAnsi="Times New Roman"/>
                <w:sz w:val="24"/>
              </w:rPr>
              <w:t>RELATED OWN FUNDS INSTRUMENTS, RELATED RETAINED EARNINGS, SHARE PREMIUM ACCOUNTS AND OTHER RESERVES</w:t>
            </w:r>
          </w:p>
          <w:p w:rsidR="00BF0637" w:rsidRPr="00661595" w:rsidRDefault="00BF0637" w:rsidP="00BF0637">
            <w:pPr>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Point (b) of Article 84(1) CRR</w:t>
            </w:r>
          </w:p>
        </w:tc>
      </w:tr>
      <w:tr w:rsidR="00BF0637" w:rsidRPr="00661595" w:rsidTr="00672D2A">
        <w:tc>
          <w:tcPr>
            <w:tcW w:w="1188" w:type="dxa"/>
          </w:tcPr>
          <w:p w:rsidR="00BF0637" w:rsidRPr="00661595" w:rsidRDefault="00ED20CB" w:rsidP="00BF0637">
            <w:pPr>
              <w:rPr>
                <w:rStyle w:val="InstructionsTabelleText"/>
                <w:rFonts w:ascii="Times New Roman" w:hAnsi="Times New Roman"/>
                <w:sz w:val="24"/>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210</w:t>
            </w:r>
          </w:p>
        </w:tc>
        <w:tc>
          <w:tcPr>
            <w:tcW w:w="8640" w:type="dxa"/>
          </w:tcPr>
          <w:p w:rsidR="00BF0637" w:rsidRPr="00661595" w:rsidRDefault="00BF0637" w:rsidP="00BF0637">
            <w:pPr>
              <w:rPr>
                <w:rStyle w:val="InstructionsTabelleberschrift"/>
                <w:rFonts w:ascii="Times New Roman" w:hAnsi="Times New Roman"/>
                <w:sz w:val="24"/>
              </w:rPr>
            </w:pPr>
            <w:r w:rsidRPr="00661595">
              <w:rPr>
                <w:rStyle w:val="InstructionsTabelleberschrift"/>
                <w:rFonts w:ascii="Times New Roman" w:hAnsi="Times New Roman"/>
                <w:sz w:val="24"/>
              </w:rPr>
              <w:t>ADDITIONAL TIER 1 CAPITAL</w:t>
            </w:r>
          </w:p>
          <w:p w:rsidR="00BF0637" w:rsidRPr="00661595" w:rsidRDefault="00BF0637" w:rsidP="00BF0637">
            <w:pPr>
              <w:rPr>
                <w:rStyle w:val="InstructionsTabelleberschrift"/>
                <w:rFonts w:ascii="Times New Roman" w:hAnsi="Times New Roman"/>
                <w:sz w:val="24"/>
              </w:rPr>
            </w:pPr>
            <w:r w:rsidRPr="00661595">
              <w:rPr>
                <w:rStyle w:val="InstructionsTabelleText"/>
                <w:rFonts w:ascii="Times New Roman" w:hAnsi="Times New Roman"/>
                <w:sz w:val="24"/>
              </w:rPr>
              <w:t>Article 61 CRR</w:t>
            </w:r>
          </w:p>
        </w:tc>
      </w:tr>
      <w:tr w:rsidR="00BF0637" w:rsidRPr="00661595" w:rsidTr="00672D2A">
        <w:tc>
          <w:tcPr>
            <w:tcW w:w="1188" w:type="dxa"/>
          </w:tcPr>
          <w:p w:rsidR="00BF0637" w:rsidRPr="00661595" w:rsidRDefault="00ED20CB" w:rsidP="00BF0637">
            <w:pPr>
              <w:rPr>
                <w:rStyle w:val="InstructionsTabelleText"/>
                <w:rFonts w:ascii="Times New Roman" w:hAnsi="Times New Roman"/>
                <w:sz w:val="24"/>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220</w:t>
            </w:r>
          </w:p>
        </w:tc>
        <w:tc>
          <w:tcPr>
            <w:tcW w:w="8640" w:type="dxa"/>
          </w:tcPr>
          <w:p w:rsidR="00BF0637" w:rsidRPr="00661595" w:rsidRDefault="00BF0637" w:rsidP="00BF0637">
            <w:pPr>
              <w:rPr>
                <w:rStyle w:val="InstructionsTabelleberschrift"/>
                <w:rFonts w:ascii="Times New Roman" w:hAnsi="Times New Roman"/>
                <w:sz w:val="24"/>
              </w:rPr>
            </w:pPr>
            <w:r w:rsidRPr="00661595">
              <w:rPr>
                <w:rStyle w:val="InstructionsTabelleberschrift"/>
                <w:rFonts w:ascii="Times New Roman" w:hAnsi="Times New Roman"/>
                <w:sz w:val="24"/>
              </w:rPr>
              <w:t>OF WHICH: QUALIFYING ADDITIONAL TIER 1 CAPITAL</w:t>
            </w:r>
          </w:p>
          <w:p w:rsidR="00BF0637" w:rsidRPr="00661595" w:rsidRDefault="00BF0637" w:rsidP="00BF0637">
            <w:pPr>
              <w:rPr>
                <w:rStyle w:val="InstructionsTabelleText"/>
                <w:rFonts w:ascii="Times New Roman" w:hAnsi="Times New Roman"/>
                <w:sz w:val="24"/>
              </w:rPr>
            </w:pPr>
            <w:r w:rsidRPr="00661595">
              <w:rPr>
                <w:rStyle w:val="InstructionsTabelleText"/>
                <w:rFonts w:ascii="Times New Roman" w:hAnsi="Times New Roman"/>
                <w:sz w:val="24"/>
              </w:rPr>
              <w:t>Articles 82 and 83 CRR</w:t>
            </w:r>
          </w:p>
          <w:p w:rsidR="00BF0637" w:rsidRPr="00661595" w:rsidRDefault="00BF0637" w:rsidP="00BF0637">
            <w:pPr>
              <w:rPr>
                <w:rStyle w:val="InstructionsTabelleText"/>
                <w:rFonts w:ascii="Times New Roman" w:hAnsi="Times New Roman"/>
                <w:sz w:val="24"/>
              </w:rPr>
            </w:pPr>
            <w:r w:rsidRPr="00661595">
              <w:rPr>
                <w:rStyle w:val="InstructionsTabelleText"/>
                <w:rFonts w:ascii="Times New Roman" w:hAnsi="Times New Roman"/>
                <w:sz w:val="24"/>
              </w:rPr>
              <w:t>This column shall only be provided for the subsidiaries that are fully consolidated and that are institutions, except for the subsidiaries referred to in Article 85(2) CRR. Each subsidiary shall be considered on a sub-consolidated basis for all the calculations required in Article 85 CRR, where relevant, in accordance with Article 85(2), otherwise on a solo basis.</w:t>
            </w:r>
          </w:p>
          <w:p w:rsidR="00BF0637" w:rsidRPr="00661595" w:rsidRDefault="00BF0637" w:rsidP="00BF0637">
            <w:pPr>
              <w:rPr>
                <w:rStyle w:val="InstructionsTabelleText"/>
                <w:rFonts w:ascii="Times New Roman" w:hAnsi="Times New Roman"/>
                <w:sz w:val="24"/>
              </w:rPr>
            </w:pPr>
            <w:r w:rsidRPr="00661595">
              <w:rPr>
                <w:rStyle w:val="InstructionsTabelleText"/>
                <w:rFonts w:ascii="Times New Roman" w:hAnsi="Times New Roman"/>
                <w:sz w:val="24"/>
              </w:rPr>
              <w:t>Minority interests are, for the subsidiaries specified above, the AT1 instruments (plus related retained earnings and share premium accounts) owned by persons other than the undertakings included in the CRR consolidation.</w:t>
            </w:r>
          </w:p>
          <w:p w:rsidR="00BF0637" w:rsidRPr="00661595" w:rsidRDefault="00BF0637" w:rsidP="00BF0637">
            <w:pPr>
              <w:rPr>
                <w:rStyle w:val="InstructionsTabelleberschrift"/>
                <w:rFonts w:ascii="Times New Roman" w:hAnsi="Times New Roman"/>
                <w:sz w:val="24"/>
              </w:rPr>
            </w:pPr>
            <w:r w:rsidRPr="00661595">
              <w:rPr>
                <w:rStyle w:val="InstructionsTabelleText"/>
                <w:rFonts w:ascii="Times New Roman" w:hAnsi="Times New Roman"/>
                <w:sz w:val="24"/>
              </w:rPr>
              <w:t>The amount to be reported shall include the effects of any transitional provisions. It shall be the eligible amount on the date of reporting.</w:t>
            </w:r>
          </w:p>
        </w:tc>
      </w:tr>
      <w:tr w:rsidR="00BF0637" w:rsidRPr="00661595" w:rsidTr="00672D2A">
        <w:tc>
          <w:tcPr>
            <w:tcW w:w="1188" w:type="dxa"/>
          </w:tcPr>
          <w:p w:rsidR="00BF0637" w:rsidRPr="00661595" w:rsidRDefault="00ED20CB" w:rsidP="00BF0637">
            <w:pPr>
              <w:rPr>
                <w:rStyle w:val="InstructionsTabelleText"/>
                <w:rFonts w:ascii="Times New Roman" w:hAnsi="Times New Roman"/>
                <w:sz w:val="24"/>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230</w:t>
            </w:r>
          </w:p>
        </w:tc>
        <w:tc>
          <w:tcPr>
            <w:tcW w:w="8640" w:type="dxa"/>
          </w:tcPr>
          <w:p w:rsidR="00BF0637" w:rsidRPr="00661595" w:rsidRDefault="00BF0637" w:rsidP="00BF0637">
            <w:pPr>
              <w:rPr>
                <w:rStyle w:val="InstructionsTabelleberschrift"/>
                <w:rFonts w:ascii="Times New Roman" w:hAnsi="Times New Roman"/>
                <w:sz w:val="24"/>
              </w:rPr>
            </w:pPr>
            <w:r w:rsidRPr="00661595">
              <w:rPr>
                <w:rStyle w:val="InstructionsTabelleberschrift"/>
                <w:rFonts w:ascii="Times New Roman" w:hAnsi="Times New Roman"/>
                <w:sz w:val="24"/>
              </w:rPr>
              <w:t>TIER 2 CAPITAL</w:t>
            </w:r>
          </w:p>
          <w:p w:rsidR="00BF0637" w:rsidRPr="00661595" w:rsidRDefault="00BF0637" w:rsidP="00BF0637">
            <w:pPr>
              <w:rPr>
                <w:rStyle w:val="InstructionsTabelleberschrift"/>
                <w:rFonts w:ascii="Times New Roman" w:hAnsi="Times New Roman"/>
                <w:sz w:val="24"/>
              </w:rPr>
            </w:pPr>
            <w:r w:rsidRPr="00661595">
              <w:rPr>
                <w:rStyle w:val="InstructionsTabelleText"/>
                <w:rFonts w:ascii="Times New Roman" w:hAnsi="Times New Roman"/>
                <w:bCs/>
                <w:sz w:val="24"/>
              </w:rPr>
              <w:t>Article 71 CRR</w:t>
            </w:r>
          </w:p>
        </w:tc>
      </w:tr>
      <w:tr w:rsidR="00BF0637" w:rsidRPr="00661595" w:rsidTr="00672D2A">
        <w:tc>
          <w:tcPr>
            <w:tcW w:w="1188" w:type="dxa"/>
          </w:tcPr>
          <w:p w:rsidR="00BF0637" w:rsidRPr="00661595" w:rsidRDefault="00ED20CB" w:rsidP="00BF0637">
            <w:pPr>
              <w:rPr>
                <w:rStyle w:val="InstructionsTabelleText"/>
                <w:rFonts w:ascii="Times New Roman" w:hAnsi="Times New Roman"/>
                <w:sz w:val="24"/>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240</w:t>
            </w:r>
          </w:p>
        </w:tc>
        <w:tc>
          <w:tcPr>
            <w:tcW w:w="8640" w:type="dxa"/>
          </w:tcPr>
          <w:p w:rsidR="00BF0637" w:rsidRPr="00661595" w:rsidRDefault="00BF0637" w:rsidP="00BF0637">
            <w:pPr>
              <w:rPr>
                <w:rStyle w:val="InstructionsTabelleberschrift"/>
                <w:rFonts w:ascii="Times New Roman" w:hAnsi="Times New Roman"/>
                <w:sz w:val="24"/>
              </w:rPr>
            </w:pPr>
            <w:r w:rsidRPr="00661595">
              <w:rPr>
                <w:rStyle w:val="InstructionsTabelleberschrift"/>
                <w:rFonts w:ascii="Times New Roman" w:hAnsi="Times New Roman"/>
                <w:sz w:val="24"/>
              </w:rPr>
              <w:t>OF WHICH: QUALIFYING TIER 2 CAPITAL</w:t>
            </w:r>
          </w:p>
          <w:p w:rsidR="00BF0637" w:rsidRPr="00661595" w:rsidRDefault="00BF0637" w:rsidP="00BF0637">
            <w:pPr>
              <w:rPr>
                <w:rStyle w:val="InstructionsTabelleText"/>
                <w:rFonts w:ascii="Times New Roman" w:hAnsi="Times New Roman"/>
                <w:sz w:val="24"/>
              </w:rPr>
            </w:pPr>
            <w:r w:rsidRPr="00661595">
              <w:rPr>
                <w:rStyle w:val="InstructionsTabelleText"/>
                <w:rFonts w:ascii="Times New Roman" w:hAnsi="Times New Roman"/>
                <w:sz w:val="24"/>
              </w:rPr>
              <w:t>Articles 82 and 83 CRR</w:t>
            </w:r>
          </w:p>
          <w:p w:rsidR="00BF0637" w:rsidRPr="00661595" w:rsidRDefault="00BF0637" w:rsidP="00BF0637">
            <w:pPr>
              <w:rPr>
                <w:rStyle w:val="InstructionsTabelleText"/>
                <w:rFonts w:ascii="Times New Roman" w:hAnsi="Times New Roman"/>
                <w:sz w:val="24"/>
              </w:rPr>
            </w:pPr>
            <w:r w:rsidRPr="00661595">
              <w:rPr>
                <w:rStyle w:val="InstructionsTabelleText"/>
                <w:rFonts w:ascii="Times New Roman" w:hAnsi="Times New Roman"/>
                <w:sz w:val="24"/>
              </w:rPr>
              <w:t xml:space="preserve">This column shall only be provided for the subsidiaries that are fully consolidated and that are institutions, except for subsidiaries referred to in Article 87(2) CRR. Each subsidiary shall be considered on a sub-consolidated basis for the purpose of all the calculations required in Article 87 CRR, if relevant, in accordance with Article 87(2) CRR, otherwise on a solo basis. </w:t>
            </w:r>
          </w:p>
          <w:p w:rsidR="00BF0637" w:rsidRPr="00661595" w:rsidRDefault="00BF0637" w:rsidP="00BF0637">
            <w:pPr>
              <w:rPr>
                <w:rStyle w:val="InstructionsTabelleText"/>
                <w:rFonts w:ascii="Times New Roman" w:hAnsi="Times New Roman"/>
                <w:sz w:val="24"/>
              </w:rPr>
            </w:pPr>
            <w:r w:rsidRPr="00661595">
              <w:rPr>
                <w:rStyle w:val="InstructionsTabelleText"/>
                <w:rFonts w:ascii="Times New Roman" w:hAnsi="Times New Roman"/>
                <w:sz w:val="24"/>
              </w:rPr>
              <w:t>Minority interests are, for the subsidiaries specified above, the T2 instruments (plus related retained earnings and share premium accounts) owned by persons other than the undertakings included in the CRR consolidation.</w:t>
            </w:r>
          </w:p>
          <w:p w:rsidR="00BF0637" w:rsidRPr="00661595" w:rsidRDefault="00BF0637" w:rsidP="001B43BD">
            <w:pPr>
              <w:rPr>
                <w:rStyle w:val="InstructionsTabelleText"/>
                <w:rFonts w:ascii="Times New Roman" w:hAnsi="Times New Roman"/>
                <w:sz w:val="24"/>
              </w:rPr>
            </w:pPr>
            <w:r w:rsidRPr="00661595">
              <w:rPr>
                <w:rStyle w:val="InstructionsTabelleText"/>
                <w:rFonts w:ascii="Times New Roman" w:hAnsi="Times New Roman"/>
                <w:sz w:val="24"/>
              </w:rPr>
              <w:t>The amount to be reported shall include the effects of any transitional provisions</w:t>
            </w:r>
            <w:r w:rsidR="001B43BD" w:rsidRPr="00661595">
              <w:rPr>
                <w:rStyle w:val="InstructionsTabelleText"/>
                <w:rFonts w:ascii="Times New Roman" w:hAnsi="Times New Roman"/>
                <w:sz w:val="24"/>
              </w:rPr>
              <w:t>.</w:t>
            </w:r>
            <w:r w:rsidRPr="00661595">
              <w:rPr>
                <w:rStyle w:val="InstructionsTabelleText"/>
                <w:rFonts w:ascii="Times New Roman" w:hAnsi="Times New Roman"/>
                <w:sz w:val="24"/>
              </w:rPr>
              <w:t xml:space="preserve"> It shall be the eligible amount on the </w:t>
            </w:r>
            <w:r w:rsidR="001B43BD" w:rsidRPr="00661595">
              <w:rPr>
                <w:rStyle w:val="InstructionsTabelleText"/>
                <w:rFonts w:ascii="Times New Roman" w:hAnsi="Times New Roman"/>
                <w:sz w:val="24"/>
              </w:rPr>
              <w:t>reference date</w:t>
            </w:r>
            <w:r w:rsidRPr="00661595">
              <w:rPr>
                <w:rStyle w:val="InstructionsTabelleText"/>
                <w:rFonts w:ascii="Times New Roman" w:hAnsi="Times New Roman"/>
                <w:sz w:val="24"/>
              </w:rPr>
              <w:t>.</w:t>
            </w:r>
          </w:p>
        </w:tc>
      </w:tr>
      <w:tr w:rsidR="00BF0637" w:rsidRPr="00661595" w:rsidTr="00672D2A">
        <w:tc>
          <w:tcPr>
            <w:tcW w:w="1188" w:type="dxa"/>
          </w:tcPr>
          <w:p w:rsidR="00BF0637" w:rsidRPr="00661595" w:rsidRDefault="00ED20CB" w:rsidP="00BF0637">
            <w:pPr>
              <w:rPr>
                <w:rStyle w:val="InstructionsTabelleText"/>
                <w:rFonts w:ascii="Times New Roman" w:hAnsi="Times New Roman"/>
                <w:sz w:val="24"/>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250-</w:t>
            </w: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400</w:t>
            </w:r>
          </w:p>
        </w:tc>
        <w:tc>
          <w:tcPr>
            <w:tcW w:w="8640" w:type="dxa"/>
          </w:tcPr>
          <w:p w:rsidR="00BF0637" w:rsidRPr="00661595" w:rsidRDefault="00BF0637" w:rsidP="00BF0637">
            <w:pPr>
              <w:rPr>
                <w:rStyle w:val="InstructionsTabelleberschrift"/>
                <w:rFonts w:ascii="Times New Roman" w:hAnsi="Times New Roman"/>
                <w:sz w:val="24"/>
              </w:rPr>
            </w:pPr>
            <w:r w:rsidRPr="00661595">
              <w:rPr>
                <w:rStyle w:val="InstructionsTabelleberschrift"/>
                <w:rFonts w:ascii="Times New Roman" w:hAnsi="Times New Roman"/>
                <w:sz w:val="24"/>
              </w:rPr>
              <w:t>INFORMATION ON THE CONTRIBUTION OF ENTITIES TO SOLVENCY OF THE GROUP</w:t>
            </w:r>
          </w:p>
        </w:tc>
      </w:tr>
      <w:tr w:rsidR="00BF0637" w:rsidRPr="00661595" w:rsidTr="00672D2A">
        <w:tc>
          <w:tcPr>
            <w:tcW w:w="1188" w:type="dxa"/>
          </w:tcPr>
          <w:p w:rsidR="00BF0637" w:rsidRPr="00661595" w:rsidRDefault="00ED20CB" w:rsidP="00BF0637">
            <w:pPr>
              <w:rPr>
                <w:rStyle w:val="InstructionsTabelleText"/>
                <w:rFonts w:ascii="Times New Roman" w:hAnsi="Times New Roman"/>
                <w:sz w:val="24"/>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250-</w:t>
            </w: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290</w:t>
            </w:r>
          </w:p>
        </w:tc>
        <w:tc>
          <w:tcPr>
            <w:tcW w:w="8640" w:type="dxa"/>
          </w:tcPr>
          <w:p w:rsidR="00BF0637" w:rsidRPr="00661595" w:rsidRDefault="00BF0637" w:rsidP="00BF0637">
            <w:pPr>
              <w:rPr>
                <w:rStyle w:val="InstructionsTabelleberschrift"/>
                <w:rFonts w:ascii="Times New Roman" w:hAnsi="Times New Roman"/>
                <w:sz w:val="24"/>
              </w:rPr>
            </w:pPr>
            <w:r w:rsidRPr="00661595">
              <w:rPr>
                <w:rStyle w:val="InstructionsTabelleberschrift"/>
                <w:rFonts w:ascii="Times New Roman" w:hAnsi="Times New Roman"/>
                <w:sz w:val="24"/>
              </w:rPr>
              <w:t>CONTRIBUTION TO RISKS</w:t>
            </w:r>
          </w:p>
          <w:p w:rsidR="00BF0637" w:rsidRPr="00661595" w:rsidRDefault="00BF0637" w:rsidP="00BF0637">
            <w:pPr>
              <w:rPr>
                <w:rStyle w:val="InstructionsTabelleberschrift"/>
                <w:rFonts w:ascii="Times New Roman" w:hAnsi="Times New Roman"/>
                <w:sz w:val="24"/>
              </w:rPr>
            </w:pPr>
            <w:r w:rsidRPr="00661595">
              <w:rPr>
                <w:rFonts w:ascii="Times New Roman" w:hAnsi="Times New Roman"/>
                <w:sz w:val="24"/>
                <w:lang w:eastAsia="de-DE"/>
              </w:rPr>
              <w:t xml:space="preserve">The information reported in the following columns shall be in accordance with the </w:t>
            </w:r>
            <w:r w:rsidRPr="00661595">
              <w:rPr>
                <w:rFonts w:ascii="Times New Roman" w:hAnsi="Times New Roman"/>
                <w:bCs/>
                <w:sz w:val="24"/>
                <w:lang w:eastAsia="de-DE"/>
              </w:rPr>
              <w:t>solvency rules applicable to the reporting institution.</w:t>
            </w:r>
          </w:p>
        </w:tc>
      </w:tr>
      <w:tr w:rsidR="00BF0637" w:rsidRPr="00661595" w:rsidTr="00672D2A">
        <w:tc>
          <w:tcPr>
            <w:tcW w:w="1188" w:type="dxa"/>
          </w:tcPr>
          <w:p w:rsidR="00BF0637" w:rsidRPr="00661595" w:rsidRDefault="00ED20CB" w:rsidP="00BF0637">
            <w:pPr>
              <w:rPr>
                <w:rStyle w:val="InstructionsTabelleText"/>
                <w:rFonts w:ascii="Times New Roman" w:hAnsi="Times New Roman"/>
                <w:sz w:val="24"/>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250</w:t>
            </w:r>
          </w:p>
        </w:tc>
        <w:tc>
          <w:tcPr>
            <w:tcW w:w="8640" w:type="dxa"/>
          </w:tcPr>
          <w:p w:rsidR="00BF0637" w:rsidRPr="00661595" w:rsidRDefault="00BF0637" w:rsidP="00BF0637">
            <w:pPr>
              <w:rPr>
                <w:rStyle w:val="InstructionsTabelleberschrift"/>
                <w:rFonts w:ascii="Times New Roman" w:hAnsi="Times New Roman"/>
                <w:sz w:val="24"/>
              </w:rPr>
            </w:pPr>
            <w:r w:rsidRPr="00661595">
              <w:rPr>
                <w:rStyle w:val="InstructionsTabelleberschrift"/>
                <w:rFonts w:ascii="Times New Roman" w:hAnsi="Times New Roman"/>
                <w:sz w:val="24"/>
              </w:rPr>
              <w:t>TOTAL RISK EXPOSURE AMOUNT</w:t>
            </w:r>
          </w:p>
          <w:p w:rsidR="00BF0637" w:rsidRPr="00661595" w:rsidRDefault="00BF0637" w:rsidP="00BF0637">
            <w:pPr>
              <w:rPr>
                <w:rStyle w:val="InstructionsTabelleberschrift"/>
                <w:rFonts w:ascii="Times New Roman" w:hAnsi="Times New Roman"/>
                <w:sz w:val="24"/>
              </w:rPr>
            </w:pPr>
            <w:r w:rsidRPr="00661595">
              <w:rPr>
                <w:rStyle w:val="InstructionsTabelleText"/>
                <w:rFonts w:ascii="Times New Roman" w:hAnsi="Times New Roman"/>
                <w:sz w:val="24"/>
              </w:rPr>
              <w:t xml:space="preserve">The sum of the columns </w:t>
            </w:r>
            <w:r w:rsidR="001B43BD" w:rsidRPr="00661595">
              <w:rPr>
                <w:rStyle w:val="InstructionsTabelleText"/>
                <w:rFonts w:ascii="Times New Roman" w:hAnsi="Times New Roman"/>
                <w:sz w:val="24"/>
              </w:rPr>
              <w:t>0</w:t>
            </w:r>
            <w:r w:rsidRPr="00661595">
              <w:rPr>
                <w:rStyle w:val="InstructionsTabelleText"/>
                <w:rFonts w:ascii="Times New Roman" w:hAnsi="Times New Roman"/>
                <w:sz w:val="24"/>
              </w:rPr>
              <w:t xml:space="preserve">260 to </w:t>
            </w:r>
            <w:r w:rsidR="001B43BD" w:rsidRPr="00661595">
              <w:rPr>
                <w:rStyle w:val="InstructionsTabelleText"/>
                <w:rFonts w:ascii="Times New Roman" w:hAnsi="Times New Roman"/>
                <w:sz w:val="24"/>
              </w:rPr>
              <w:t>0</w:t>
            </w:r>
            <w:r w:rsidRPr="00661595">
              <w:rPr>
                <w:rStyle w:val="InstructionsTabelleText"/>
                <w:rFonts w:ascii="Times New Roman" w:hAnsi="Times New Roman"/>
                <w:sz w:val="24"/>
              </w:rPr>
              <w:t>290 shall be reported.</w:t>
            </w:r>
          </w:p>
        </w:tc>
      </w:tr>
      <w:tr w:rsidR="00BF0637" w:rsidRPr="00661595" w:rsidTr="00672D2A">
        <w:tc>
          <w:tcPr>
            <w:tcW w:w="1188" w:type="dxa"/>
          </w:tcPr>
          <w:p w:rsidR="00BF0637" w:rsidRPr="00661595" w:rsidRDefault="00ED20CB" w:rsidP="00BF0637">
            <w:pPr>
              <w:rPr>
                <w:rStyle w:val="InstructionsTabelleText"/>
                <w:rFonts w:ascii="Times New Roman" w:hAnsi="Times New Roman"/>
                <w:sz w:val="24"/>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260</w:t>
            </w:r>
          </w:p>
        </w:tc>
        <w:tc>
          <w:tcPr>
            <w:tcW w:w="8640" w:type="dxa"/>
          </w:tcPr>
          <w:p w:rsidR="00BF0637" w:rsidRPr="00661595" w:rsidRDefault="00BF0637" w:rsidP="00BF0637">
            <w:pPr>
              <w:rPr>
                <w:rStyle w:val="InstructionsTabelleberschrift"/>
                <w:rFonts w:ascii="Times New Roman" w:hAnsi="Times New Roman"/>
                <w:sz w:val="24"/>
              </w:rPr>
            </w:pPr>
            <w:r w:rsidRPr="00661595">
              <w:rPr>
                <w:rStyle w:val="InstructionsTabelleberschrift"/>
                <w:rFonts w:ascii="Times New Roman" w:hAnsi="Times New Roman"/>
                <w:sz w:val="24"/>
              </w:rPr>
              <w:t>CREDIT; COUNTERPARTY CREDIT; DILUTION RISKS, FREE DELIVERIES AND SETTLEMENT/DELIVERY RISK</w:t>
            </w:r>
          </w:p>
          <w:p w:rsidR="00BF0637" w:rsidRPr="00661595" w:rsidRDefault="00BF0637" w:rsidP="00BF0637">
            <w:pPr>
              <w:rPr>
                <w:rStyle w:val="InstructionsTabelleText"/>
                <w:rFonts w:ascii="Times New Roman" w:hAnsi="Times New Roman"/>
                <w:sz w:val="24"/>
              </w:rPr>
            </w:pPr>
            <w:r w:rsidRPr="00661595">
              <w:rPr>
                <w:rStyle w:val="InstructionsTabelleText"/>
                <w:rFonts w:ascii="Times New Roman" w:hAnsi="Times New Roman"/>
                <w:sz w:val="24"/>
              </w:rPr>
              <w:t>The amount to be reported shall be the risk weighted exposure amounts for credit risk and own funds requirements of settlement/delivery risk in accordance with the CRR, excluding any amount related to transactions with other entities included in the group consolidated solvency ratio computation.</w:t>
            </w:r>
          </w:p>
        </w:tc>
      </w:tr>
      <w:tr w:rsidR="00BF0637" w:rsidRPr="00661595" w:rsidTr="00672D2A">
        <w:tc>
          <w:tcPr>
            <w:tcW w:w="1188" w:type="dxa"/>
          </w:tcPr>
          <w:p w:rsidR="00BF0637" w:rsidRPr="00661595" w:rsidRDefault="00ED20CB" w:rsidP="00BF0637">
            <w:pPr>
              <w:rPr>
                <w:rStyle w:val="InstructionsTabelleText"/>
                <w:rFonts w:ascii="Times New Roman" w:hAnsi="Times New Roman"/>
                <w:sz w:val="24"/>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270</w:t>
            </w:r>
          </w:p>
        </w:tc>
        <w:tc>
          <w:tcPr>
            <w:tcW w:w="8640" w:type="dxa"/>
          </w:tcPr>
          <w:p w:rsidR="00BF0637" w:rsidRPr="00661595" w:rsidRDefault="00BF0637" w:rsidP="00BF0637">
            <w:pPr>
              <w:rPr>
                <w:rStyle w:val="InstructionsTabelleberschrift"/>
                <w:rFonts w:ascii="Times New Roman" w:hAnsi="Times New Roman"/>
                <w:sz w:val="24"/>
              </w:rPr>
            </w:pPr>
            <w:r w:rsidRPr="00661595">
              <w:rPr>
                <w:rStyle w:val="InstructionsTabelleberschrift"/>
                <w:rFonts w:ascii="Times New Roman" w:hAnsi="Times New Roman"/>
                <w:sz w:val="24"/>
              </w:rPr>
              <w:t>POSITION, FX AND COMMODITY RISKS</w:t>
            </w:r>
          </w:p>
          <w:p w:rsidR="00BF0637" w:rsidRPr="00661595" w:rsidRDefault="00BF0637" w:rsidP="00BF0637">
            <w:pPr>
              <w:pStyle w:val="Texte2"/>
              <w:ind w:left="0"/>
              <w:rPr>
                <w:rStyle w:val="InstructionsTabelleText"/>
                <w:rFonts w:ascii="Times New Roman" w:hAnsi="Times New Roman"/>
                <w:sz w:val="24"/>
                <w:szCs w:val="24"/>
              </w:rPr>
            </w:pPr>
            <w:r w:rsidRPr="00661595">
              <w:rPr>
                <w:rStyle w:val="InstructionsTabelleText"/>
                <w:rFonts w:ascii="Times New Roman" w:hAnsi="Times New Roman"/>
                <w:sz w:val="24"/>
                <w:szCs w:val="24"/>
              </w:rPr>
              <w:t xml:space="preserve">Risk exposure amounts for market risks are to be computed at each entity level in accordance with the CRR. Entities shall report the contribution to the total risk exposure amounts for position, FX and commodity risk of the group. The sum of amounts reported here shall correspond to the amount reported in row </w:t>
            </w:r>
            <w:r w:rsidR="001B43BD" w:rsidRPr="00661595">
              <w:rPr>
                <w:rStyle w:val="InstructionsTabelleText"/>
                <w:rFonts w:ascii="Times New Roman" w:hAnsi="Times New Roman"/>
                <w:sz w:val="24"/>
                <w:szCs w:val="24"/>
              </w:rPr>
              <w:t>0</w:t>
            </w:r>
            <w:r w:rsidRPr="00661595">
              <w:rPr>
                <w:rStyle w:val="InstructionsTabelleText"/>
                <w:rFonts w:ascii="Times New Roman" w:hAnsi="Times New Roman"/>
                <w:sz w:val="24"/>
                <w:szCs w:val="24"/>
              </w:rPr>
              <w:t>520 “TOTAL RISK EXPOSURE AMOUNTS FOR POSITION, FOREIGN EXCHANGE AND COMMODITY RISKS” of the consolidated report.</w:t>
            </w:r>
          </w:p>
        </w:tc>
      </w:tr>
      <w:tr w:rsidR="00BF0637" w:rsidRPr="00661595" w:rsidTr="00672D2A">
        <w:tc>
          <w:tcPr>
            <w:tcW w:w="1188" w:type="dxa"/>
          </w:tcPr>
          <w:p w:rsidR="00BF0637" w:rsidRPr="00661595" w:rsidRDefault="00ED20CB" w:rsidP="00BF0637">
            <w:pPr>
              <w:rPr>
                <w:rStyle w:val="InstructionsTabelleText"/>
                <w:rFonts w:ascii="Times New Roman" w:hAnsi="Times New Roman"/>
                <w:sz w:val="24"/>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280</w:t>
            </w:r>
          </w:p>
        </w:tc>
        <w:tc>
          <w:tcPr>
            <w:tcW w:w="8640" w:type="dxa"/>
          </w:tcPr>
          <w:p w:rsidR="00BF0637" w:rsidRPr="00661595" w:rsidRDefault="00BF0637" w:rsidP="00BF0637">
            <w:pPr>
              <w:rPr>
                <w:rStyle w:val="InstructionsTabelleberschrift"/>
                <w:rFonts w:ascii="Times New Roman" w:hAnsi="Times New Roman"/>
                <w:sz w:val="24"/>
              </w:rPr>
            </w:pPr>
            <w:r w:rsidRPr="00661595">
              <w:rPr>
                <w:rStyle w:val="InstructionsTabelleberschrift"/>
                <w:rFonts w:ascii="Times New Roman" w:hAnsi="Times New Roman"/>
                <w:sz w:val="24"/>
              </w:rPr>
              <w:t>OPERATIONAL RISK</w:t>
            </w:r>
          </w:p>
          <w:p w:rsidR="00BF0637" w:rsidRPr="00661595" w:rsidRDefault="00BF0637" w:rsidP="00BF0637">
            <w:pPr>
              <w:rPr>
                <w:rStyle w:val="InstructionsTabelleText"/>
                <w:rFonts w:ascii="Times New Roman" w:hAnsi="Times New Roman"/>
                <w:sz w:val="24"/>
              </w:rPr>
            </w:pPr>
            <w:r w:rsidRPr="00661595">
              <w:rPr>
                <w:rStyle w:val="InstructionsTabelleText"/>
                <w:rFonts w:ascii="Times New Roman" w:hAnsi="Times New Roman"/>
                <w:sz w:val="24"/>
              </w:rPr>
              <w:t>In case of AMA, the reported risk exposure amounts for operational risk shall include the effect of diversification.</w:t>
            </w:r>
          </w:p>
          <w:p w:rsidR="00BF0637" w:rsidRPr="00661595" w:rsidRDefault="00BF0637" w:rsidP="00BF0637">
            <w:pPr>
              <w:rPr>
                <w:rStyle w:val="InstructionsTabelleText"/>
                <w:rFonts w:ascii="Times New Roman" w:hAnsi="Times New Roman"/>
                <w:sz w:val="24"/>
              </w:rPr>
            </w:pPr>
            <w:r w:rsidRPr="00661595">
              <w:rPr>
                <w:rFonts w:ascii="Times New Roman" w:hAnsi="Times New Roman"/>
                <w:caps/>
                <w:sz w:val="24"/>
              </w:rPr>
              <w:t>F</w:t>
            </w:r>
            <w:r w:rsidRPr="00661595">
              <w:rPr>
                <w:rFonts w:ascii="Times New Roman" w:hAnsi="Times New Roman"/>
                <w:sz w:val="24"/>
              </w:rPr>
              <w:t>ixed overheads shall be included in this column.</w:t>
            </w:r>
          </w:p>
        </w:tc>
      </w:tr>
      <w:tr w:rsidR="00BF0637" w:rsidRPr="00661595" w:rsidTr="00672D2A">
        <w:tc>
          <w:tcPr>
            <w:tcW w:w="1188" w:type="dxa"/>
          </w:tcPr>
          <w:p w:rsidR="00BF0637" w:rsidRPr="00661595" w:rsidRDefault="00ED20CB" w:rsidP="00BF0637">
            <w:pPr>
              <w:rPr>
                <w:rStyle w:val="InstructionsTabelleText"/>
                <w:rFonts w:ascii="Times New Roman" w:hAnsi="Times New Roman"/>
                <w:sz w:val="24"/>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290</w:t>
            </w:r>
          </w:p>
        </w:tc>
        <w:tc>
          <w:tcPr>
            <w:tcW w:w="8640" w:type="dxa"/>
          </w:tcPr>
          <w:p w:rsidR="00BF0637" w:rsidRPr="00661595" w:rsidRDefault="00BF0637" w:rsidP="00BF0637">
            <w:pPr>
              <w:rPr>
                <w:rStyle w:val="InstructionsTabelleberschrift"/>
                <w:rFonts w:ascii="Times New Roman" w:hAnsi="Times New Roman"/>
                <w:sz w:val="24"/>
              </w:rPr>
            </w:pPr>
            <w:r w:rsidRPr="00661595">
              <w:rPr>
                <w:rStyle w:val="InstructionsTabelleberschrift"/>
                <w:rFonts w:ascii="Times New Roman" w:hAnsi="Times New Roman"/>
                <w:sz w:val="24"/>
              </w:rPr>
              <w:t>OTHER RISK EXPOSURE AMOUNTS</w:t>
            </w:r>
          </w:p>
          <w:p w:rsidR="00BF0637" w:rsidRPr="00661595" w:rsidRDefault="00BF0637" w:rsidP="00BF0637">
            <w:pPr>
              <w:rPr>
                <w:rStyle w:val="InstructionsTabelleberschrift"/>
                <w:rFonts w:ascii="Times New Roman" w:hAnsi="Times New Roman"/>
                <w:sz w:val="24"/>
              </w:rPr>
            </w:pPr>
            <w:r w:rsidRPr="00661595">
              <w:rPr>
                <w:rStyle w:val="InstructionsTabelleText"/>
                <w:rFonts w:ascii="Times New Roman" w:hAnsi="Times New Roman"/>
                <w:sz w:val="24"/>
              </w:rPr>
              <w:t>The amount to be reported in this column shall correspond to the risk exposure amount for risks other than listed above.</w:t>
            </w:r>
          </w:p>
        </w:tc>
      </w:tr>
      <w:tr w:rsidR="00BF0637" w:rsidRPr="00661595" w:rsidTr="00672D2A">
        <w:tc>
          <w:tcPr>
            <w:tcW w:w="1188" w:type="dxa"/>
          </w:tcPr>
          <w:p w:rsidR="00BF0637" w:rsidRPr="00661595" w:rsidRDefault="00ED20CB" w:rsidP="00BF0637">
            <w:pPr>
              <w:rPr>
                <w:rStyle w:val="InstructionsTabelleText"/>
                <w:rFonts w:ascii="Times New Roman" w:hAnsi="Times New Roman"/>
                <w:sz w:val="24"/>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300-</w:t>
            </w: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400</w:t>
            </w:r>
          </w:p>
        </w:tc>
        <w:tc>
          <w:tcPr>
            <w:tcW w:w="8640" w:type="dxa"/>
          </w:tcPr>
          <w:p w:rsidR="00BF0637" w:rsidRPr="00661595" w:rsidRDefault="00BF0637" w:rsidP="00BF0637">
            <w:pPr>
              <w:rPr>
                <w:rStyle w:val="InstructionsTabelleberschrift"/>
                <w:rFonts w:ascii="Times New Roman" w:hAnsi="Times New Roman"/>
                <w:sz w:val="24"/>
              </w:rPr>
            </w:pPr>
            <w:r w:rsidRPr="00661595">
              <w:rPr>
                <w:rStyle w:val="InstructionsTabelleberschrift"/>
                <w:rFonts w:ascii="Times New Roman" w:hAnsi="Times New Roman"/>
                <w:sz w:val="24"/>
              </w:rPr>
              <w:t>CONTRIBUTION TO OWN FUNDS</w:t>
            </w:r>
          </w:p>
          <w:p w:rsidR="00BF0637" w:rsidRPr="00661595" w:rsidRDefault="00BF0637" w:rsidP="00BF0637">
            <w:pPr>
              <w:pStyle w:val="Texte2"/>
              <w:ind w:left="0"/>
              <w:rPr>
                <w:rStyle w:val="InstructionsTabelleText"/>
                <w:rFonts w:ascii="Times New Roman" w:hAnsi="Times New Roman"/>
                <w:sz w:val="24"/>
                <w:szCs w:val="24"/>
              </w:rPr>
            </w:pPr>
            <w:r w:rsidRPr="00661595">
              <w:rPr>
                <w:rStyle w:val="InstructionsTabelleText"/>
                <w:rFonts w:ascii="Times New Roman" w:hAnsi="Times New Roman"/>
                <w:sz w:val="24"/>
                <w:szCs w:val="24"/>
              </w:rPr>
              <w:t xml:space="preserve">This part of the template is not intended to impose on institutions a full computation of the total capital ratio at the level of each entity. </w:t>
            </w:r>
          </w:p>
          <w:p w:rsidR="00BF0637" w:rsidRPr="00661595" w:rsidRDefault="00BF0637" w:rsidP="00BF0637">
            <w:pPr>
              <w:pStyle w:val="Texte2"/>
              <w:ind w:left="0"/>
              <w:rPr>
                <w:rStyle w:val="InstructionsTabelleText"/>
                <w:rFonts w:ascii="Times New Roman" w:hAnsi="Times New Roman"/>
                <w:sz w:val="24"/>
                <w:szCs w:val="24"/>
              </w:rPr>
            </w:pPr>
            <w:r w:rsidRPr="00661595">
              <w:rPr>
                <w:rFonts w:ascii="Times New Roman" w:hAnsi="Times New Roman"/>
                <w:sz w:val="24"/>
                <w:szCs w:val="24"/>
                <w:lang w:eastAsia="de-DE"/>
              </w:rPr>
              <w:t xml:space="preserve">Columns </w:t>
            </w:r>
            <w:r w:rsidR="001B43BD" w:rsidRPr="00661595">
              <w:rPr>
                <w:rFonts w:ascii="Times New Roman" w:hAnsi="Times New Roman"/>
                <w:sz w:val="24"/>
                <w:szCs w:val="24"/>
                <w:lang w:eastAsia="de-DE"/>
              </w:rPr>
              <w:t>0</w:t>
            </w:r>
            <w:r w:rsidRPr="00661595">
              <w:rPr>
                <w:rFonts w:ascii="Times New Roman" w:hAnsi="Times New Roman"/>
                <w:sz w:val="24"/>
                <w:szCs w:val="24"/>
                <w:lang w:eastAsia="de-DE"/>
              </w:rPr>
              <w:t xml:space="preserve">300 to </w:t>
            </w:r>
            <w:r w:rsidR="001B43BD" w:rsidRPr="00661595">
              <w:rPr>
                <w:rFonts w:ascii="Times New Roman" w:hAnsi="Times New Roman"/>
                <w:sz w:val="24"/>
                <w:szCs w:val="24"/>
                <w:lang w:eastAsia="de-DE"/>
              </w:rPr>
              <w:t>0</w:t>
            </w:r>
            <w:r w:rsidRPr="00661595">
              <w:rPr>
                <w:rFonts w:ascii="Times New Roman" w:hAnsi="Times New Roman"/>
                <w:sz w:val="24"/>
                <w:szCs w:val="24"/>
                <w:lang w:eastAsia="de-DE"/>
              </w:rPr>
              <w:t>350 shall be reported for those consolidated entities which contribute to own funds by minority interest,</w:t>
            </w:r>
            <w:r w:rsidRPr="00661595">
              <w:t xml:space="preserve"> </w:t>
            </w:r>
            <w:r w:rsidRPr="00661595">
              <w:rPr>
                <w:rFonts w:ascii="Times New Roman" w:hAnsi="Times New Roman"/>
                <w:sz w:val="24"/>
                <w:szCs w:val="24"/>
                <w:lang w:eastAsia="de-DE"/>
              </w:rPr>
              <w:t xml:space="preserve">qualifying Tier 1 capital or qualifying own funds. Subject to the threshold referred to in the last paragraph of chapter 2.3 of Part II above, columns </w:t>
            </w:r>
            <w:r w:rsidR="001B43BD" w:rsidRPr="00661595">
              <w:rPr>
                <w:rFonts w:ascii="Times New Roman" w:hAnsi="Times New Roman"/>
                <w:sz w:val="24"/>
                <w:szCs w:val="24"/>
                <w:lang w:eastAsia="de-DE"/>
              </w:rPr>
              <w:t>0</w:t>
            </w:r>
            <w:r w:rsidRPr="00661595">
              <w:rPr>
                <w:rFonts w:ascii="Times New Roman" w:hAnsi="Times New Roman"/>
                <w:sz w:val="24"/>
                <w:szCs w:val="24"/>
                <w:lang w:eastAsia="de-DE"/>
              </w:rPr>
              <w:t xml:space="preserve">360 to </w:t>
            </w:r>
            <w:r w:rsidR="001B43BD" w:rsidRPr="00661595">
              <w:rPr>
                <w:rFonts w:ascii="Times New Roman" w:hAnsi="Times New Roman"/>
                <w:sz w:val="24"/>
                <w:szCs w:val="24"/>
                <w:lang w:eastAsia="de-DE"/>
              </w:rPr>
              <w:t>0</w:t>
            </w:r>
            <w:r w:rsidRPr="00661595">
              <w:rPr>
                <w:rFonts w:ascii="Times New Roman" w:hAnsi="Times New Roman"/>
                <w:sz w:val="24"/>
                <w:szCs w:val="24"/>
                <w:lang w:eastAsia="de-DE"/>
              </w:rPr>
              <w:t>400 shall be reported for all consolidated entities which contribute to the consolidated own funds.</w:t>
            </w:r>
          </w:p>
          <w:p w:rsidR="00BF0637" w:rsidRPr="00661595" w:rsidRDefault="00BF0637" w:rsidP="00BF0637">
            <w:pPr>
              <w:pStyle w:val="Texte2"/>
              <w:ind w:left="0"/>
              <w:rPr>
                <w:rStyle w:val="InstructionsTabelleText"/>
                <w:rFonts w:ascii="Times New Roman" w:hAnsi="Times New Roman"/>
                <w:sz w:val="24"/>
                <w:szCs w:val="24"/>
              </w:rPr>
            </w:pPr>
            <w:r w:rsidRPr="00661595">
              <w:rPr>
                <w:rStyle w:val="InstructionsTabelleText"/>
                <w:rFonts w:ascii="Times New Roman" w:hAnsi="Times New Roman"/>
                <w:sz w:val="24"/>
                <w:szCs w:val="24"/>
              </w:rPr>
              <w:t xml:space="preserve">Own funds brought to an entity by the rest of entities included within the scope of the reporting entity shall not to be taken into account, only the net contribution to the group own funds shall be reported in this column (mainly the own funds raised from third parties and accumulated reserves). </w:t>
            </w:r>
          </w:p>
          <w:p w:rsidR="00BF0637" w:rsidRPr="00661595" w:rsidRDefault="00BF0637" w:rsidP="00BF0637">
            <w:pPr>
              <w:pStyle w:val="Texte2"/>
              <w:spacing w:after="120"/>
              <w:ind w:left="0"/>
              <w:rPr>
                <w:rStyle w:val="InstructionsTabelleberschrift"/>
                <w:rFonts w:ascii="Times New Roman" w:hAnsi="Times New Roman"/>
                <w:b w:val="0"/>
                <w:bCs w:val="0"/>
                <w:sz w:val="24"/>
                <w:szCs w:val="24"/>
              </w:rPr>
            </w:pPr>
            <w:r w:rsidRPr="00661595">
              <w:rPr>
                <w:rStyle w:val="InstructionsTabelleText"/>
                <w:rFonts w:ascii="Times New Roman" w:hAnsi="Times New Roman"/>
                <w:sz w:val="24"/>
              </w:rPr>
              <w:t>The information reported in the following columns shall be in accordance with the solvency rules applicable to the reporting institution.</w:t>
            </w:r>
          </w:p>
        </w:tc>
      </w:tr>
      <w:tr w:rsidR="00BF0637" w:rsidRPr="00661595" w:rsidTr="00672D2A">
        <w:tc>
          <w:tcPr>
            <w:tcW w:w="1188" w:type="dxa"/>
          </w:tcPr>
          <w:p w:rsidR="00BF0637" w:rsidRPr="00661595" w:rsidRDefault="00ED20CB" w:rsidP="00BF0637">
            <w:pPr>
              <w:rPr>
                <w:rStyle w:val="InstructionsTabelleText"/>
                <w:rFonts w:ascii="Times New Roman" w:hAnsi="Times New Roman"/>
                <w:sz w:val="24"/>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300-</w:t>
            </w: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350</w:t>
            </w:r>
          </w:p>
        </w:tc>
        <w:tc>
          <w:tcPr>
            <w:tcW w:w="8640" w:type="dxa"/>
          </w:tcPr>
          <w:p w:rsidR="00BF0637" w:rsidRPr="00661595" w:rsidRDefault="00BF0637" w:rsidP="00BF0637">
            <w:pPr>
              <w:rPr>
                <w:rStyle w:val="InstructionsTabelleberschrift"/>
                <w:rFonts w:ascii="Times New Roman" w:hAnsi="Times New Roman"/>
                <w:sz w:val="24"/>
              </w:rPr>
            </w:pPr>
            <w:r w:rsidRPr="00661595">
              <w:rPr>
                <w:rStyle w:val="InstructionsTabelleberschrift"/>
                <w:rFonts w:ascii="Times New Roman" w:hAnsi="Times New Roman"/>
                <w:sz w:val="24"/>
              </w:rPr>
              <w:t>QUALIFYING OWN FUNDS INCLUDED IN CONSOLIDATED OWN FUNDS</w:t>
            </w:r>
          </w:p>
          <w:p w:rsidR="00BF0637" w:rsidRPr="00661595" w:rsidRDefault="00BF0637" w:rsidP="00BF0637">
            <w:pPr>
              <w:rPr>
                <w:rStyle w:val="InstructionsTabelleberschrift"/>
                <w:rFonts w:ascii="Times New Roman" w:hAnsi="Times New Roman"/>
                <w:sz w:val="24"/>
              </w:rPr>
            </w:pPr>
            <w:r w:rsidRPr="00661595">
              <w:rPr>
                <w:rStyle w:val="InstructionsTabelleText"/>
                <w:rFonts w:ascii="Times New Roman" w:hAnsi="Times New Roman"/>
                <w:sz w:val="24"/>
              </w:rPr>
              <w:t>The amount to be reported as “QUALIFYING OWN FUNDS INCLUDED IN CONSOLIDATED OWN FUNDS” shall be the amount as derived from Title II of Part Two CRR, excluding any fund brought in by other group entities.</w:t>
            </w:r>
          </w:p>
        </w:tc>
      </w:tr>
      <w:tr w:rsidR="00BF0637" w:rsidRPr="00661595" w:rsidTr="00672D2A">
        <w:tc>
          <w:tcPr>
            <w:tcW w:w="1188" w:type="dxa"/>
          </w:tcPr>
          <w:p w:rsidR="00BF0637" w:rsidRPr="00661595" w:rsidRDefault="00ED20CB" w:rsidP="00BF0637">
            <w:pPr>
              <w:rPr>
                <w:rStyle w:val="InstructionsTabelleText"/>
                <w:rFonts w:ascii="Times New Roman" w:hAnsi="Times New Roman"/>
                <w:sz w:val="24"/>
              </w:rPr>
            </w:pPr>
            <w:r w:rsidRPr="00661595">
              <w:rPr>
                <w:rFonts w:ascii="Times New Roman" w:hAnsi="Times New Roman"/>
                <w:sz w:val="24"/>
              </w:rPr>
              <w:t>0</w:t>
            </w:r>
            <w:r w:rsidR="00BF0637" w:rsidRPr="00661595">
              <w:rPr>
                <w:rFonts w:ascii="Times New Roman" w:hAnsi="Times New Roman"/>
                <w:sz w:val="24"/>
              </w:rPr>
              <w:t>300</w:t>
            </w:r>
          </w:p>
        </w:tc>
        <w:tc>
          <w:tcPr>
            <w:tcW w:w="8640" w:type="dxa"/>
          </w:tcPr>
          <w:p w:rsidR="00BF0637" w:rsidRPr="00661595" w:rsidRDefault="00BF0637" w:rsidP="00BF0637">
            <w:pPr>
              <w:rPr>
                <w:rStyle w:val="InstructionsTabelleberschrift"/>
                <w:rFonts w:ascii="Times New Roman" w:hAnsi="Times New Roman"/>
                <w:sz w:val="24"/>
              </w:rPr>
            </w:pPr>
            <w:r w:rsidRPr="00661595">
              <w:rPr>
                <w:rStyle w:val="InstructionsTabelleberschrift"/>
                <w:rFonts w:ascii="Times New Roman" w:hAnsi="Times New Roman"/>
                <w:sz w:val="24"/>
              </w:rPr>
              <w:t>QUALIFYING OWN FUNDS INCLUDED IN CONSOLIDATED OWN FUNDS</w:t>
            </w:r>
          </w:p>
          <w:p w:rsidR="00BF0637" w:rsidRPr="00661595" w:rsidRDefault="00BF0637" w:rsidP="00BF0637">
            <w:pPr>
              <w:rPr>
                <w:rStyle w:val="InstructionsTabelleText"/>
                <w:rFonts w:ascii="Times New Roman" w:hAnsi="Times New Roman"/>
                <w:sz w:val="24"/>
              </w:rPr>
            </w:pPr>
            <w:r w:rsidRPr="00661595">
              <w:rPr>
                <w:rStyle w:val="InstructionsTabelleText"/>
                <w:rFonts w:ascii="Times New Roman" w:hAnsi="Times New Roman"/>
                <w:sz w:val="24"/>
              </w:rPr>
              <w:t>Article 87 CRR</w:t>
            </w:r>
          </w:p>
        </w:tc>
      </w:tr>
      <w:tr w:rsidR="00BF0637" w:rsidRPr="00661595" w:rsidTr="00672D2A">
        <w:tc>
          <w:tcPr>
            <w:tcW w:w="1188" w:type="dxa"/>
          </w:tcPr>
          <w:p w:rsidR="00BF0637" w:rsidRPr="00661595" w:rsidRDefault="00ED20CB" w:rsidP="00BF0637">
            <w:pPr>
              <w:rPr>
                <w:rStyle w:val="InstructionsTabelleText"/>
                <w:rFonts w:ascii="Times New Roman" w:hAnsi="Times New Roman"/>
                <w:sz w:val="24"/>
              </w:rPr>
            </w:pPr>
            <w:r w:rsidRPr="00661595">
              <w:rPr>
                <w:rFonts w:ascii="Times New Roman" w:hAnsi="Times New Roman"/>
                <w:sz w:val="24"/>
              </w:rPr>
              <w:t>0</w:t>
            </w:r>
            <w:r w:rsidR="00BF0637" w:rsidRPr="00661595">
              <w:rPr>
                <w:rFonts w:ascii="Times New Roman" w:hAnsi="Times New Roman"/>
                <w:sz w:val="24"/>
              </w:rPr>
              <w:t>310</w:t>
            </w:r>
          </w:p>
        </w:tc>
        <w:tc>
          <w:tcPr>
            <w:tcW w:w="8640" w:type="dxa"/>
          </w:tcPr>
          <w:p w:rsidR="00BF0637" w:rsidRPr="00661595" w:rsidRDefault="00BF0637" w:rsidP="00BF0637">
            <w:pPr>
              <w:rPr>
                <w:rStyle w:val="InstructionsTabelleberschrift"/>
                <w:rFonts w:ascii="Times New Roman" w:hAnsi="Times New Roman"/>
                <w:sz w:val="24"/>
              </w:rPr>
            </w:pPr>
            <w:r w:rsidRPr="00661595">
              <w:rPr>
                <w:rStyle w:val="InstructionsTabelleberschrift"/>
                <w:rFonts w:ascii="Times New Roman" w:hAnsi="Times New Roman"/>
                <w:sz w:val="24"/>
              </w:rPr>
              <w:t>QUALIFYING TIER 1 INSTRUMENTS INCLUDED IN CONSOLIDATED TIER 1 CAPITAL</w:t>
            </w:r>
          </w:p>
          <w:p w:rsidR="00BF0637" w:rsidRPr="00661595" w:rsidRDefault="00BF0637" w:rsidP="00BF0637">
            <w:pPr>
              <w:rPr>
                <w:rStyle w:val="InstructionsTabelleText"/>
                <w:rFonts w:ascii="Times New Roman" w:hAnsi="Times New Roman"/>
                <w:sz w:val="24"/>
              </w:rPr>
            </w:pPr>
            <w:r w:rsidRPr="00661595">
              <w:rPr>
                <w:rStyle w:val="InstructionsTabelleText"/>
                <w:rFonts w:ascii="Times New Roman" w:hAnsi="Times New Roman"/>
                <w:sz w:val="24"/>
              </w:rPr>
              <w:t>Article 85 CRR</w:t>
            </w:r>
          </w:p>
        </w:tc>
      </w:tr>
      <w:tr w:rsidR="00BF0637" w:rsidRPr="00661595" w:rsidTr="00672D2A">
        <w:tc>
          <w:tcPr>
            <w:tcW w:w="1188" w:type="dxa"/>
          </w:tcPr>
          <w:p w:rsidR="00BF0637" w:rsidRPr="00661595" w:rsidRDefault="00ED20CB" w:rsidP="00BF0637">
            <w:pPr>
              <w:rPr>
                <w:rStyle w:val="InstructionsTabelleText"/>
                <w:rFonts w:ascii="Times New Roman" w:hAnsi="Times New Roman"/>
                <w:sz w:val="24"/>
              </w:rPr>
            </w:pPr>
            <w:r w:rsidRPr="00661595">
              <w:rPr>
                <w:rFonts w:ascii="Times New Roman" w:hAnsi="Times New Roman"/>
                <w:sz w:val="24"/>
              </w:rPr>
              <w:t>0</w:t>
            </w:r>
            <w:r w:rsidR="00BF0637" w:rsidRPr="00661595">
              <w:rPr>
                <w:rFonts w:ascii="Times New Roman" w:hAnsi="Times New Roman"/>
                <w:sz w:val="24"/>
              </w:rPr>
              <w:t>320</w:t>
            </w:r>
          </w:p>
        </w:tc>
        <w:tc>
          <w:tcPr>
            <w:tcW w:w="8640" w:type="dxa"/>
          </w:tcPr>
          <w:p w:rsidR="00BF0637" w:rsidRPr="00661595" w:rsidRDefault="00BF0637" w:rsidP="00BF0637">
            <w:pPr>
              <w:rPr>
                <w:rStyle w:val="InstructionsTabelleText"/>
                <w:rFonts w:ascii="Times New Roman" w:hAnsi="Times New Roman"/>
                <w:sz w:val="24"/>
              </w:rPr>
            </w:pPr>
            <w:r w:rsidRPr="00661595">
              <w:rPr>
                <w:rStyle w:val="InstructionsTabelleberschrift"/>
                <w:rFonts w:ascii="Times New Roman" w:hAnsi="Times New Roman"/>
                <w:sz w:val="24"/>
              </w:rPr>
              <w:t>MINORITY INTERESTS INCLUDED IN CONSOLIDATED COMMON</w:t>
            </w:r>
            <w:r w:rsidRPr="00661595">
              <w:rPr>
                <w:rStyle w:val="InstructionsTabelleberschrift"/>
                <w:rFonts w:ascii="Times New Roman" w:hAnsi="Times New Roman"/>
                <w:sz w:val="24"/>
              </w:rPr>
              <w:br/>
              <w:t>EQUITY TIER 1 CAPITAL</w:t>
            </w:r>
          </w:p>
          <w:p w:rsidR="00BF0637" w:rsidRPr="00661595" w:rsidRDefault="00BF0637" w:rsidP="00BF0637">
            <w:pPr>
              <w:rPr>
                <w:rStyle w:val="InstructionsTabelleText"/>
                <w:rFonts w:ascii="Times New Roman" w:hAnsi="Times New Roman"/>
                <w:sz w:val="24"/>
              </w:rPr>
            </w:pPr>
            <w:r w:rsidRPr="00661595">
              <w:rPr>
                <w:rStyle w:val="InstructionsTabelleText"/>
                <w:rFonts w:ascii="Times New Roman" w:hAnsi="Times New Roman"/>
                <w:sz w:val="24"/>
              </w:rPr>
              <w:t>Article 84 CRR</w:t>
            </w:r>
          </w:p>
          <w:p w:rsidR="00BF0637" w:rsidRPr="00661595" w:rsidRDefault="00BF0637" w:rsidP="00BF0637">
            <w:pPr>
              <w:rPr>
                <w:rStyle w:val="InstructionsTabelleText"/>
                <w:rFonts w:ascii="Times New Roman" w:hAnsi="Times New Roman"/>
                <w:sz w:val="24"/>
              </w:rPr>
            </w:pPr>
            <w:r w:rsidRPr="00661595">
              <w:rPr>
                <w:rStyle w:val="InstructionsTabelleText"/>
                <w:rFonts w:ascii="Times New Roman" w:hAnsi="Times New Roman"/>
                <w:sz w:val="24"/>
              </w:rPr>
              <w:t xml:space="preserve">The amount to be reported shall the amount of minority interests of a subsidiary that is included in consolidated CET1 in accordance with the CRR. </w:t>
            </w:r>
          </w:p>
        </w:tc>
      </w:tr>
      <w:tr w:rsidR="00BF0637" w:rsidRPr="00661595" w:rsidTr="00672D2A">
        <w:tc>
          <w:tcPr>
            <w:tcW w:w="1188" w:type="dxa"/>
          </w:tcPr>
          <w:p w:rsidR="00BF0637" w:rsidRPr="00661595" w:rsidRDefault="00ED20CB" w:rsidP="00BF0637">
            <w:pPr>
              <w:rPr>
                <w:rStyle w:val="InstructionsTabelleText"/>
                <w:rFonts w:ascii="Times New Roman" w:hAnsi="Times New Roman"/>
                <w:sz w:val="24"/>
              </w:rPr>
            </w:pPr>
            <w:r w:rsidRPr="00661595">
              <w:rPr>
                <w:rFonts w:ascii="Times New Roman" w:hAnsi="Times New Roman"/>
                <w:sz w:val="24"/>
              </w:rPr>
              <w:t>0</w:t>
            </w:r>
            <w:r w:rsidR="00BF0637" w:rsidRPr="00661595">
              <w:rPr>
                <w:rFonts w:ascii="Times New Roman" w:hAnsi="Times New Roman"/>
                <w:sz w:val="24"/>
              </w:rPr>
              <w:t>330</w:t>
            </w:r>
          </w:p>
        </w:tc>
        <w:tc>
          <w:tcPr>
            <w:tcW w:w="8640" w:type="dxa"/>
          </w:tcPr>
          <w:p w:rsidR="00BF0637" w:rsidRPr="00661595" w:rsidRDefault="00BF0637" w:rsidP="00BF0637">
            <w:pPr>
              <w:rPr>
                <w:rStyle w:val="InstructionsTabelleText"/>
                <w:rFonts w:ascii="Times New Roman" w:hAnsi="Times New Roman"/>
                <w:sz w:val="24"/>
              </w:rPr>
            </w:pPr>
            <w:r w:rsidRPr="00661595">
              <w:rPr>
                <w:rStyle w:val="InstructionsTabelleberschrift"/>
                <w:rFonts w:ascii="Times New Roman" w:hAnsi="Times New Roman"/>
                <w:sz w:val="24"/>
              </w:rPr>
              <w:t>QUALIFYING TIER 1 INSTRUMENTS INCLUDED IN CONSOLIDATED ADDITIONAL TIER 1 CAPITAL</w:t>
            </w:r>
          </w:p>
          <w:p w:rsidR="00BF0637" w:rsidRPr="00661595" w:rsidRDefault="00BF0637" w:rsidP="00BF0637">
            <w:pPr>
              <w:rPr>
                <w:rStyle w:val="InstructionsTabelleText"/>
                <w:rFonts w:ascii="Times New Roman" w:hAnsi="Times New Roman"/>
                <w:sz w:val="24"/>
              </w:rPr>
            </w:pPr>
            <w:r w:rsidRPr="00661595">
              <w:rPr>
                <w:rStyle w:val="InstructionsTabelleText"/>
                <w:rFonts w:ascii="Times New Roman" w:hAnsi="Times New Roman"/>
                <w:sz w:val="24"/>
              </w:rPr>
              <w:t>Article 86 CRR</w:t>
            </w:r>
          </w:p>
          <w:p w:rsidR="00BF0637" w:rsidRPr="00661595" w:rsidRDefault="00BF0637" w:rsidP="00BF0637">
            <w:pPr>
              <w:rPr>
                <w:rStyle w:val="InstructionsTabelleText"/>
                <w:rFonts w:ascii="Times New Roman" w:hAnsi="Times New Roman"/>
                <w:sz w:val="24"/>
              </w:rPr>
            </w:pPr>
            <w:r w:rsidRPr="00661595">
              <w:rPr>
                <w:rStyle w:val="InstructionsTabelleText"/>
                <w:rFonts w:ascii="Times New Roman" w:hAnsi="Times New Roman"/>
                <w:sz w:val="24"/>
              </w:rPr>
              <w:t>The amount to be reported shall the amount of qualifying T1 capital</w:t>
            </w:r>
            <w:r w:rsidRPr="00661595" w:rsidDel="001409D9">
              <w:rPr>
                <w:rStyle w:val="InstructionsTabelleText"/>
                <w:rFonts w:ascii="Times New Roman" w:hAnsi="Times New Roman"/>
                <w:sz w:val="24"/>
              </w:rPr>
              <w:t xml:space="preserve"> </w:t>
            </w:r>
            <w:r w:rsidRPr="00661595">
              <w:rPr>
                <w:rStyle w:val="InstructionsTabelleText"/>
                <w:rFonts w:ascii="Times New Roman" w:hAnsi="Times New Roman"/>
                <w:sz w:val="24"/>
              </w:rPr>
              <w:t xml:space="preserve">of a subsidiary that is included in consolidated AT1 in accordance with the CRR. </w:t>
            </w:r>
          </w:p>
        </w:tc>
      </w:tr>
      <w:tr w:rsidR="00BF0637" w:rsidRPr="00661595" w:rsidTr="00672D2A">
        <w:tc>
          <w:tcPr>
            <w:tcW w:w="1188" w:type="dxa"/>
          </w:tcPr>
          <w:p w:rsidR="00BF0637" w:rsidRPr="00661595" w:rsidRDefault="00ED20CB" w:rsidP="00BF0637">
            <w:pPr>
              <w:rPr>
                <w:rStyle w:val="InstructionsTabelleText"/>
                <w:rFonts w:ascii="Times New Roman" w:hAnsi="Times New Roman"/>
                <w:sz w:val="24"/>
              </w:rPr>
            </w:pPr>
            <w:r w:rsidRPr="00661595">
              <w:rPr>
                <w:rFonts w:ascii="Times New Roman" w:hAnsi="Times New Roman"/>
                <w:sz w:val="24"/>
              </w:rPr>
              <w:t>0</w:t>
            </w:r>
            <w:r w:rsidR="00BF0637" w:rsidRPr="00661595">
              <w:rPr>
                <w:rFonts w:ascii="Times New Roman" w:hAnsi="Times New Roman"/>
                <w:sz w:val="24"/>
              </w:rPr>
              <w:t>340</w:t>
            </w:r>
          </w:p>
        </w:tc>
        <w:tc>
          <w:tcPr>
            <w:tcW w:w="8640" w:type="dxa"/>
          </w:tcPr>
          <w:p w:rsidR="00BF0637" w:rsidRPr="00661595" w:rsidRDefault="00BF0637" w:rsidP="00BF0637">
            <w:pPr>
              <w:rPr>
                <w:rStyle w:val="InstructionsTabelleberschrift"/>
                <w:rFonts w:ascii="Times New Roman" w:hAnsi="Times New Roman"/>
                <w:sz w:val="24"/>
              </w:rPr>
            </w:pPr>
            <w:r w:rsidRPr="00661595">
              <w:rPr>
                <w:rStyle w:val="InstructionsTabelleberschrift"/>
                <w:rFonts w:ascii="Times New Roman" w:hAnsi="Times New Roman"/>
                <w:sz w:val="24"/>
              </w:rPr>
              <w:t>QUALIFYING OWN FUNDS INSTRUMENTS INCLUDED IN</w:t>
            </w:r>
            <w:r w:rsidRPr="00661595">
              <w:rPr>
                <w:rStyle w:val="InstructionsTabelleberschrift"/>
                <w:rFonts w:ascii="Times New Roman" w:hAnsi="Times New Roman"/>
                <w:sz w:val="24"/>
              </w:rPr>
              <w:br/>
              <w:t>CONSOLIDATED TIER 2 CAPITAL</w:t>
            </w:r>
          </w:p>
          <w:p w:rsidR="00BF0637" w:rsidRPr="00661595" w:rsidRDefault="00BF0637" w:rsidP="00BF0637">
            <w:pPr>
              <w:rPr>
                <w:rStyle w:val="InstructionsTabelleText"/>
                <w:rFonts w:ascii="Times New Roman" w:hAnsi="Times New Roman"/>
                <w:sz w:val="24"/>
              </w:rPr>
            </w:pPr>
            <w:r w:rsidRPr="00661595">
              <w:rPr>
                <w:rStyle w:val="InstructionsTabelleText"/>
                <w:rFonts w:ascii="Times New Roman" w:hAnsi="Times New Roman"/>
                <w:sz w:val="24"/>
              </w:rPr>
              <w:t>Article 88 CRR</w:t>
            </w:r>
          </w:p>
          <w:p w:rsidR="00BF0637" w:rsidRPr="00661595" w:rsidRDefault="00BF0637" w:rsidP="00BF0637">
            <w:pPr>
              <w:rPr>
                <w:rStyle w:val="InstructionsTabelleText"/>
                <w:rFonts w:ascii="Times New Roman" w:hAnsi="Times New Roman"/>
                <w:sz w:val="24"/>
              </w:rPr>
            </w:pPr>
            <w:r w:rsidRPr="00661595">
              <w:rPr>
                <w:rStyle w:val="InstructionsTabelleText"/>
                <w:rFonts w:ascii="Times New Roman" w:hAnsi="Times New Roman"/>
                <w:sz w:val="24"/>
              </w:rPr>
              <w:t>The amount to be reported shall the amount of qualifying own funds</w:t>
            </w:r>
            <w:r w:rsidRPr="00661595" w:rsidDel="001409D9">
              <w:rPr>
                <w:rStyle w:val="InstructionsTabelleText"/>
                <w:rFonts w:ascii="Times New Roman" w:hAnsi="Times New Roman"/>
                <w:sz w:val="24"/>
              </w:rPr>
              <w:t xml:space="preserve"> </w:t>
            </w:r>
            <w:r w:rsidRPr="00661595">
              <w:rPr>
                <w:rStyle w:val="InstructionsTabelleText"/>
                <w:rFonts w:ascii="Times New Roman" w:hAnsi="Times New Roman"/>
                <w:sz w:val="24"/>
              </w:rPr>
              <w:t xml:space="preserve">of a subsidiary that is included in consolidated T2 in accordance with the CRR. </w:t>
            </w:r>
          </w:p>
        </w:tc>
      </w:tr>
      <w:tr w:rsidR="00BF0637" w:rsidRPr="00661595" w:rsidTr="00672D2A">
        <w:tc>
          <w:tcPr>
            <w:tcW w:w="1188" w:type="dxa"/>
          </w:tcPr>
          <w:p w:rsidR="00BF0637" w:rsidRPr="00661595" w:rsidRDefault="00ED20CB" w:rsidP="00BF0637">
            <w:pPr>
              <w:rPr>
                <w:rFonts w:ascii="Times New Roman" w:hAnsi="Times New Roman"/>
                <w:sz w:val="24"/>
              </w:rPr>
            </w:pPr>
            <w:r w:rsidRPr="00661595">
              <w:rPr>
                <w:rFonts w:ascii="Times New Roman" w:hAnsi="Times New Roman"/>
                <w:sz w:val="24"/>
              </w:rPr>
              <w:t>0</w:t>
            </w:r>
            <w:r w:rsidR="00BF0637" w:rsidRPr="00661595">
              <w:rPr>
                <w:rFonts w:ascii="Times New Roman" w:hAnsi="Times New Roman"/>
                <w:sz w:val="24"/>
              </w:rPr>
              <w:t>350</w:t>
            </w:r>
          </w:p>
        </w:tc>
        <w:tc>
          <w:tcPr>
            <w:tcW w:w="8640" w:type="dxa"/>
          </w:tcPr>
          <w:p w:rsidR="00BF0637" w:rsidRPr="00661595" w:rsidRDefault="00BF0637" w:rsidP="00BF0637">
            <w:pPr>
              <w:rPr>
                <w:rStyle w:val="InstructionsTabelleberschrift"/>
                <w:rFonts w:ascii="Times New Roman" w:hAnsi="Times New Roman"/>
                <w:b w:val="0"/>
                <w:sz w:val="24"/>
              </w:rPr>
            </w:pPr>
            <w:r w:rsidRPr="00661595">
              <w:rPr>
                <w:rStyle w:val="InstructionsTabelleberschrift"/>
                <w:rFonts w:ascii="Times New Roman" w:hAnsi="Times New Roman"/>
                <w:sz w:val="24"/>
              </w:rPr>
              <w:t>MEMORANDUM ITEM: GOODWILL (-) / (+) NEGATIVE GOODWILL</w:t>
            </w:r>
          </w:p>
        </w:tc>
      </w:tr>
      <w:tr w:rsidR="00BF0637" w:rsidRPr="00661595" w:rsidTr="00672D2A">
        <w:tc>
          <w:tcPr>
            <w:tcW w:w="1188" w:type="dxa"/>
          </w:tcPr>
          <w:p w:rsidR="00BF0637" w:rsidRPr="00661595" w:rsidRDefault="00ED20CB" w:rsidP="00BF0637">
            <w:pPr>
              <w:rPr>
                <w:rFonts w:ascii="Times New Roman" w:hAnsi="Times New Roman"/>
                <w:sz w:val="24"/>
              </w:rPr>
            </w:pPr>
            <w:r w:rsidRPr="00661595">
              <w:rPr>
                <w:rFonts w:ascii="Times New Roman" w:hAnsi="Times New Roman"/>
                <w:sz w:val="24"/>
              </w:rPr>
              <w:t>0</w:t>
            </w:r>
            <w:r w:rsidR="00BF0637" w:rsidRPr="00661595">
              <w:rPr>
                <w:rFonts w:ascii="Times New Roman" w:hAnsi="Times New Roman"/>
                <w:sz w:val="24"/>
              </w:rPr>
              <w:t>360-</w:t>
            </w:r>
            <w:r w:rsidRPr="00661595">
              <w:rPr>
                <w:rFonts w:ascii="Times New Roman" w:hAnsi="Times New Roman"/>
                <w:sz w:val="24"/>
              </w:rPr>
              <w:t>0</w:t>
            </w:r>
            <w:r w:rsidR="00BF0637" w:rsidRPr="00661595">
              <w:rPr>
                <w:rFonts w:ascii="Times New Roman" w:hAnsi="Times New Roman"/>
                <w:sz w:val="24"/>
              </w:rPr>
              <w:t>400</w:t>
            </w:r>
          </w:p>
        </w:tc>
        <w:tc>
          <w:tcPr>
            <w:tcW w:w="8640" w:type="dxa"/>
          </w:tcPr>
          <w:p w:rsidR="00BF0637" w:rsidRPr="00661595" w:rsidRDefault="00BF0637" w:rsidP="00BF0637">
            <w:pPr>
              <w:rPr>
                <w:rStyle w:val="InstructionsTabelleberschrift"/>
                <w:rFonts w:ascii="Times New Roman" w:hAnsi="Times New Roman"/>
                <w:sz w:val="24"/>
              </w:rPr>
            </w:pPr>
            <w:r w:rsidRPr="00661595">
              <w:rPr>
                <w:rStyle w:val="InstructionsTabelleberschrift"/>
                <w:rFonts w:ascii="Times New Roman" w:hAnsi="Times New Roman"/>
                <w:sz w:val="24"/>
              </w:rPr>
              <w:t>CONSOLIDATED OWN FUNDS</w:t>
            </w:r>
          </w:p>
          <w:p w:rsidR="00BF0637" w:rsidRPr="00661595" w:rsidRDefault="00BF0637" w:rsidP="00BF0637">
            <w:pPr>
              <w:rPr>
                <w:rStyle w:val="InstructionsTabelleText"/>
                <w:rFonts w:ascii="Times New Roman" w:hAnsi="Times New Roman"/>
                <w:sz w:val="24"/>
              </w:rPr>
            </w:pPr>
            <w:r w:rsidRPr="00661595">
              <w:rPr>
                <w:rStyle w:val="InstructionsTabelleText"/>
                <w:rFonts w:ascii="Times New Roman" w:hAnsi="Times New Roman"/>
                <w:sz w:val="24"/>
              </w:rPr>
              <w:t>Article 18 CRR</w:t>
            </w:r>
          </w:p>
          <w:p w:rsidR="00BF0637" w:rsidRPr="00661595" w:rsidRDefault="00BF0637" w:rsidP="00BF0637">
            <w:pPr>
              <w:rPr>
                <w:rStyle w:val="InstructionsTabelleText"/>
                <w:rFonts w:ascii="Times New Roman" w:hAnsi="Times New Roman"/>
                <w:sz w:val="24"/>
              </w:rPr>
            </w:pPr>
            <w:r w:rsidRPr="00661595">
              <w:rPr>
                <w:rStyle w:val="InstructionsTabelleText"/>
                <w:rFonts w:ascii="Times New Roman" w:hAnsi="Times New Roman"/>
                <w:sz w:val="24"/>
              </w:rPr>
              <w:t>The amount to be reported as “CONSOLIDATED OWN FUNDS” shall be the amount as derived from the balance sheet, excluding any fund brought in by other group entities.</w:t>
            </w:r>
          </w:p>
        </w:tc>
      </w:tr>
      <w:tr w:rsidR="00BF0637" w:rsidRPr="00661595" w:rsidTr="00672D2A">
        <w:tc>
          <w:tcPr>
            <w:tcW w:w="1188" w:type="dxa"/>
          </w:tcPr>
          <w:p w:rsidR="00BF0637" w:rsidRPr="00661595" w:rsidRDefault="00ED20CB" w:rsidP="00BF0637">
            <w:pPr>
              <w:rPr>
                <w:rFonts w:ascii="Times New Roman" w:hAnsi="Times New Roman"/>
                <w:sz w:val="24"/>
              </w:rPr>
            </w:pPr>
            <w:r w:rsidRPr="00661595">
              <w:rPr>
                <w:rFonts w:ascii="Times New Roman" w:hAnsi="Times New Roman"/>
                <w:sz w:val="24"/>
              </w:rPr>
              <w:t>0</w:t>
            </w:r>
            <w:r w:rsidR="00BF0637" w:rsidRPr="00661595">
              <w:rPr>
                <w:rFonts w:ascii="Times New Roman" w:hAnsi="Times New Roman"/>
                <w:sz w:val="24"/>
              </w:rPr>
              <w:t>360</w:t>
            </w:r>
          </w:p>
        </w:tc>
        <w:tc>
          <w:tcPr>
            <w:tcW w:w="8640" w:type="dxa"/>
          </w:tcPr>
          <w:p w:rsidR="00BF0637" w:rsidRPr="00661595" w:rsidRDefault="00BF0637" w:rsidP="00BF0637">
            <w:pPr>
              <w:rPr>
                <w:rStyle w:val="InstructionsTabelleberschrift"/>
                <w:rFonts w:ascii="Times New Roman" w:hAnsi="Times New Roman"/>
                <w:sz w:val="24"/>
              </w:rPr>
            </w:pPr>
            <w:r w:rsidRPr="00661595">
              <w:rPr>
                <w:rStyle w:val="InstructionsTabelleberschrift"/>
                <w:rFonts w:ascii="Times New Roman" w:hAnsi="Times New Roman"/>
                <w:sz w:val="24"/>
              </w:rPr>
              <w:t>CONSOLIDATED OWN FUNDS</w:t>
            </w:r>
          </w:p>
        </w:tc>
      </w:tr>
      <w:tr w:rsidR="00BF0637" w:rsidRPr="00661595" w:rsidTr="00672D2A">
        <w:tc>
          <w:tcPr>
            <w:tcW w:w="1188" w:type="dxa"/>
          </w:tcPr>
          <w:p w:rsidR="00BF0637" w:rsidRPr="00661595" w:rsidRDefault="00ED20CB" w:rsidP="00BF0637">
            <w:pPr>
              <w:rPr>
                <w:rFonts w:ascii="Times New Roman" w:hAnsi="Times New Roman"/>
                <w:sz w:val="24"/>
              </w:rPr>
            </w:pPr>
            <w:r w:rsidRPr="00661595">
              <w:rPr>
                <w:rFonts w:ascii="Times New Roman" w:hAnsi="Times New Roman"/>
                <w:sz w:val="24"/>
              </w:rPr>
              <w:t>0</w:t>
            </w:r>
            <w:r w:rsidR="00BF0637" w:rsidRPr="00661595">
              <w:rPr>
                <w:rFonts w:ascii="Times New Roman" w:hAnsi="Times New Roman"/>
                <w:sz w:val="24"/>
              </w:rPr>
              <w:t>370</w:t>
            </w:r>
          </w:p>
        </w:tc>
        <w:tc>
          <w:tcPr>
            <w:tcW w:w="8640" w:type="dxa"/>
          </w:tcPr>
          <w:p w:rsidR="00BF0637" w:rsidRPr="00661595" w:rsidRDefault="00BF0637" w:rsidP="00BF0637">
            <w:pPr>
              <w:rPr>
                <w:rStyle w:val="InstructionsTabelleberschrift"/>
                <w:rFonts w:ascii="Times New Roman" w:hAnsi="Times New Roman"/>
                <w:sz w:val="24"/>
              </w:rPr>
            </w:pPr>
            <w:r w:rsidRPr="00661595">
              <w:rPr>
                <w:rStyle w:val="InstructionsTabelleberschrift"/>
                <w:rFonts w:ascii="Times New Roman" w:hAnsi="Times New Roman"/>
                <w:sz w:val="24"/>
              </w:rPr>
              <w:t>OF WHICH: COMMON EQUITY TIER 1</w:t>
            </w:r>
          </w:p>
        </w:tc>
      </w:tr>
      <w:tr w:rsidR="00BF0637" w:rsidRPr="00661595" w:rsidTr="00672D2A">
        <w:tc>
          <w:tcPr>
            <w:tcW w:w="1188" w:type="dxa"/>
          </w:tcPr>
          <w:p w:rsidR="00BF0637" w:rsidRPr="00661595" w:rsidDel="0081176B" w:rsidRDefault="00ED20CB" w:rsidP="00BF0637">
            <w:pPr>
              <w:rPr>
                <w:rFonts w:ascii="Times New Roman" w:hAnsi="Times New Roman"/>
                <w:sz w:val="24"/>
              </w:rPr>
            </w:pPr>
            <w:r w:rsidRPr="00661595">
              <w:rPr>
                <w:rFonts w:ascii="Times New Roman" w:hAnsi="Times New Roman"/>
                <w:sz w:val="24"/>
              </w:rPr>
              <w:t>0</w:t>
            </w:r>
            <w:r w:rsidR="00BF0637" w:rsidRPr="00661595">
              <w:rPr>
                <w:rFonts w:ascii="Times New Roman" w:hAnsi="Times New Roman"/>
                <w:sz w:val="24"/>
              </w:rPr>
              <w:t>380</w:t>
            </w:r>
          </w:p>
        </w:tc>
        <w:tc>
          <w:tcPr>
            <w:tcW w:w="8640" w:type="dxa"/>
          </w:tcPr>
          <w:p w:rsidR="00BF0637" w:rsidRPr="00661595" w:rsidDel="0081176B" w:rsidRDefault="00BF0637" w:rsidP="00BF0637">
            <w:pPr>
              <w:rPr>
                <w:rStyle w:val="InstructionsTabelleberschrift"/>
                <w:rFonts w:ascii="Times New Roman" w:hAnsi="Times New Roman"/>
                <w:sz w:val="24"/>
              </w:rPr>
            </w:pPr>
            <w:r w:rsidRPr="00661595">
              <w:rPr>
                <w:rStyle w:val="InstructionsTabelleberschrift"/>
                <w:rFonts w:ascii="Times New Roman" w:hAnsi="Times New Roman"/>
                <w:sz w:val="24"/>
              </w:rPr>
              <w:t>OF WHICH: ADDITIONAL TIER 1</w:t>
            </w:r>
          </w:p>
        </w:tc>
      </w:tr>
      <w:tr w:rsidR="00BF0637" w:rsidRPr="00661595" w:rsidTr="00672D2A">
        <w:tc>
          <w:tcPr>
            <w:tcW w:w="1188" w:type="dxa"/>
          </w:tcPr>
          <w:p w:rsidR="00BF0637" w:rsidRPr="00661595" w:rsidRDefault="00ED20CB" w:rsidP="00BF0637">
            <w:pPr>
              <w:rPr>
                <w:rFonts w:ascii="Times New Roman" w:hAnsi="Times New Roman"/>
                <w:sz w:val="24"/>
              </w:rPr>
            </w:pPr>
            <w:r w:rsidRPr="00661595">
              <w:rPr>
                <w:rFonts w:ascii="Times New Roman" w:hAnsi="Times New Roman"/>
                <w:sz w:val="24"/>
              </w:rPr>
              <w:t>0</w:t>
            </w:r>
            <w:r w:rsidR="00BF0637" w:rsidRPr="00661595">
              <w:rPr>
                <w:rFonts w:ascii="Times New Roman" w:hAnsi="Times New Roman"/>
                <w:sz w:val="24"/>
              </w:rPr>
              <w:t>390</w:t>
            </w:r>
          </w:p>
        </w:tc>
        <w:tc>
          <w:tcPr>
            <w:tcW w:w="8640" w:type="dxa"/>
          </w:tcPr>
          <w:p w:rsidR="00BF0637" w:rsidRPr="00661595" w:rsidRDefault="00BF0637" w:rsidP="00BF0637">
            <w:pPr>
              <w:rPr>
                <w:rStyle w:val="InstructionsTabelleText"/>
                <w:rFonts w:ascii="Times New Roman" w:hAnsi="Times New Roman"/>
                <w:sz w:val="24"/>
              </w:rPr>
            </w:pPr>
            <w:r w:rsidRPr="00661595">
              <w:rPr>
                <w:rStyle w:val="InstructionsTabelleberschrift"/>
                <w:rFonts w:ascii="Times New Roman" w:hAnsi="Times New Roman"/>
                <w:sz w:val="24"/>
              </w:rPr>
              <w:t>OF WHICH: CONRIBUTIONS TO CONSOLIDATED RESULT</w:t>
            </w:r>
          </w:p>
          <w:p w:rsidR="00BF0637" w:rsidRPr="00661595" w:rsidRDefault="00BF0637" w:rsidP="00BF0637">
            <w:pPr>
              <w:rPr>
                <w:rStyle w:val="InstructionsTabelleberschrift"/>
                <w:rFonts w:ascii="Times New Roman" w:hAnsi="Times New Roman"/>
                <w:sz w:val="24"/>
              </w:rPr>
            </w:pPr>
            <w:r w:rsidRPr="00661595">
              <w:rPr>
                <w:rStyle w:val="InstructionsTabelleText"/>
                <w:rFonts w:ascii="Times New Roman" w:hAnsi="Times New Roman"/>
                <w:sz w:val="24"/>
              </w:rPr>
              <w:t>The contribution of each entity to the consolidated result (profit or loss (-)) shall be reported. That includes the results attributable to minority interests.</w:t>
            </w:r>
          </w:p>
        </w:tc>
      </w:tr>
      <w:tr w:rsidR="00BF0637" w:rsidRPr="00661595" w:rsidTr="00672D2A">
        <w:tc>
          <w:tcPr>
            <w:tcW w:w="1188" w:type="dxa"/>
          </w:tcPr>
          <w:p w:rsidR="00BF0637" w:rsidRPr="00661595" w:rsidRDefault="00ED20CB" w:rsidP="00BF0637">
            <w:pPr>
              <w:rPr>
                <w:rFonts w:ascii="Times New Roman" w:hAnsi="Times New Roman"/>
                <w:sz w:val="24"/>
              </w:rPr>
            </w:pPr>
            <w:r w:rsidRPr="00661595">
              <w:rPr>
                <w:rFonts w:ascii="Times New Roman" w:hAnsi="Times New Roman"/>
                <w:sz w:val="24"/>
              </w:rPr>
              <w:t>0</w:t>
            </w:r>
            <w:r w:rsidR="00BF0637" w:rsidRPr="00661595">
              <w:rPr>
                <w:rFonts w:ascii="Times New Roman" w:hAnsi="Times New Roman"/>
                <w:sz w:val="24"/>
              </w:rPr>
              <w:t>400</w:t>
            </w:r>
          </w:p>
        </w:tc>
        <w:tc>
          <w:tcPr>
            <w:tcW w:w="8640" w:type="dxa"/>
          </w:tcPr>
          <w:p w:rsidR="00BF0637" w:rsidRPr="00661595" w:rsidRDefault="00BF0637" w:rsidP="00BF0637">
            <w:pPr>
              <w:rPr>
                <w:rStyle w:val="InstructionsTabelleberschrift"/>
                <w:rFonts w:ascii="Times New Roman" w:hAnsi="Times New Roman"/>
                <w:sz w:val="24"/>
              </w:rPr>
            </w:pPr>
            <w:r w:rsidRPr="00661595">
              <w:rPr>
                <w:rStyle w:val="InstructionsTabelleberschrift"/>
                <w:rFonts w:ascii="Times New Roman" w:hAnsi="Times New Roman"/>
                <w:sz w:val="24"/>
              </w:rPr>
              <w:t>OF WHICH: (-) GOODWILL / (+) NEGATIVE GOODWILL</w:t>
            </w:r>
          </w:p>
          <w:p w:rsidR="00BF0637" w:rsidRPr="00661595" w:rsidRDefault="00BF0637" w:rsidP="00BF0637">
            <w:pPr>
              <w:rPr>
                <w:rStyle w:val="InstructionsTabelleberschrift"/>
                <w:rFonts w:ascii="Times New Roman" w:hAnsi="Times New Roman"/>
                <w:sz w:val="24"/>
              </w:rPr>
            </w:pPr>
            <w:r w:rsidRPr="00661595">
              <w:rPr>
                <w:rStyle w:val="InstructionsTabelleText"/>
                <w:rFonts w:ascii="Times New Roman" w:hAnsi="Times New Roman"/>
                <w:sz w:val="24"/>
              </w:rPr>
              <w:t>G</w:t>
            </w:r>
            <w:r w:rsidRPr="00661595" w:rsidDel="0081176B">
              <w:rPr>
                <w:rStyle w:val="InstructionsTabelleText"/>
                <w:rFonts w:ascii="Times New Roman" w:hAnsi="Times New Roman"/>
                <w:sz w:val="24"/>
              </w:rPr>
              <w:t xml:space="preserve">oodwill or negative goodwill of the reporting entity on the subsidiary </w:t>
            </w:r>
            <w:r w:rsidRPr="00661595">
              <w:rPr>
                <w:rStyle w:val="InstructionsTabelleText"/>
                <w:rFonts w:ascii="Times New Roman" w:hAnsi="Times New Roman"/>
                <w:sz w:val="24"/>
              </w:rPr>
              <w:t>shall be</w:t>
            </w:r>
            <w:r w:rsidRPr="00661595" w:rsidDel="0081176B">
              <w:rPr>
                <w:rStyle w:val="InstructionsTabelleText"/>
                <w:rFonts w:ascii="Times New Roman" w:hAnsi="Times New Roman"/>
                <w:sz w:val="24"/>
              </w:rPr>
              <w:t xml:space="preserve"> reported here.</w:t>
            </w:r>
          </w:p>
        </w:tc>
      </w:tr>
      <w:tr w:rsidR="00BF0637" w:rsidRPr="00661595" w:rsidTr="00672D2A">
        <w:tc>
          <w:tcPr>
            <w:tcW w:w="1188" w:type="dxa"/>
          </w:tcPr>
          <w:p w:rsidR="00BF0637" w:rsidRPr="00661595" w:rsidRDefault="00ED20CB" w:rsidP="00BF0637">
            <w:pPr>
              <w:rPr>
                <w:rStyle w:val="InstructionsTabelleText"/>
                <w:rFonts w:ascii="Times New Roman" w:hAnsi="Times New Roman"/>
                <w:sz w:val="24"/>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410-</w:t>
            </w: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480</w:t>
            </w:r>
          </w:p>
        </w:tc>
        <w:tc>
          <w:tcPr>
            <w:tcW w:w="8640" w:type="dxa"/>
          </w:tcPr>
          <w:p w:rsidR="00BF0637" w:rsidRPr="00661595" w:rsidRDefault="00BF0637" w:rsidP="00BF0637">
            <w:pPr>
              <w:rPr>
                <w:rStyle w:val="InstructionsTabelleberschrift"/>
                <w:rFonts w:ascii="Times New Roman" w:hAnsi="Times New Roman"/>
                <w:sz w:val="24"/>
              </w:rPr>
            </w:pPr>
            <w:r w:rsidRPr="00661595">
              <w:rPr>
                <w:rStyle w:val="InstructionsTabelleberschrift"/>
                <w:rFonts w:ascii="Times New Roman" w:hAnsi="Times New Roman"/>
                <w:sz w:val="24"/>
              </w:rPr>
              <w:t>CAPITAL BUFFERS</w:t>
            </w:r>
          </w:p>
          <w:p w:rsidR="00BF0637" w:rsidRPr="00661595" w:rsidRDefault="00BF0637" w:rsidP="00BF0637">
            <w:pPr>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The structure of the reporting of capital buffers for the GS template shall follow the general structure of the template CA4, using the same reporting concepts. When reporting the capital buffers for the GS template, the relevant amounts shall be reported in accordance with the provisions applicable to determine the buffer requirement for the consolidated situation of a group. Therefore, the reported amounts of capital buffers shall represent the contributions of each entity to group capital buffers. The amounts reported shall be based on the national provisions transposing CRD and on CRR, including any transitional provisions provided for therein.</w:t>
            </w:r>
          </w:p>
        </w:tc>
      </w:tr>
      <w:tr w:rsidR="00BF0637" w:rsidRPr="00661595" w:rsidTr="00672D2A">
        <w:tc>
          <w:tcPr>
            <w:tcW w:w="1188" w:type="dxa"/>
          </w:tcPr>
          <w:p w:rsidR="00BF0637" w:rsidRPr="00661595" w:rsidRDefault="00ED20CB" w:rsidP="00BF0637">
            <w:pPr>
              <w:rPr>
                <w:rStyle w:val="InstructionsTabelleText"/>
                <w:rFonts w:ascii="Times New Roman" w:hAnsi="Times New Roman"/>
                <w:sz w:val="24"/>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410</w:t>
            </w:r>
          </w:p>
        </w:tc>
        <w:tc>
          <w:tcPr>
            <w:tcW w:w="8640" w:type="dxa"/>
          </w:tcPr>
          <w:p w:rsidR="00BF0637" w:rsidRPr="00661595" w:rsidRDefault="00BF0637" w:rsidP="00BF0637">
            <w:pPr>
              <w:rPr>
                <w:rStyle w:val="InstructionsTabelleberschrift"/>
                <w:rFonts w:ascii="Times New Roman" w:hAnsi="Times New Roman"/>
                <w:sz w:val="24"/>
              </w:rPr>
            </w:pPr>
            <w:r w:rsidRPr="00661595">
              <w:rPr>
                <w:rStyle w:val="InstructionsTabelleberschrift"/>
                <w:rFonts w:ascii="Times New Roman" w:hAnsi="Times New Roman"/>
                <w:sz w:val="24"/>
              </w:rPr>
              <w:t>COMBINED BUFFER REQUIREMENT</w:t>
            </w:r>
          </w:p>
          <w:p w:rsidR="00BF0637" w:rsidRPr="00661595" w:rsidRDefault="00BF0637" w:rsidP="00BF0637">
            <w:pPr>
              <w:tabs>
                <w:tab w:val="left" w:pos="3510"/>
              </w:tabs>
              <w:rPr>
                <w:rStyle w:val="InstructionsTabelleberschrift"/>
                <w:rFonts w:ascii="Times New Roman" w:hAnsi="Times New Roman"/>
                <w:sz w:val="24"/>
              </w:rPr>
            </w:pPr>
            <w:r w:rsidRPr="00661595">
              <w:rPr>
                <w:rStyle w:val="InstructionsTabelleText"/>
                <w:rFonts w:ascii="Times New Roman" w:hAnsi="Times New Roman"/>
                <w:sz w:val="24"/>
              </w:rPr>
              <w:t>Point (6) of Article 128 CRD</w:t>
            </w:r>
          </w:p>
        </w:tc>
      </w:tr>
      <w:tr w:rsidR="00BF0637" w:rsidRPr="00661595" w:rsidTr="00672D2A">
        <w:tc>
          <w:tcPr>
            <w:tcW w:w="1188" w:type="dxa"/>
          </w:tcPr>
          <w:p w:rsidR="00BF0637" w:rsidRPr="00661595" w:rsidRDefault="00ED20CB" w:rsidP="00BF0637">
            <w:pPr>
              <w:rPr>
                <w:rStyle w:val="InstructionsTabelleText"/>
                <w:rFonts w:ascii="Times New Roman" w:hAnsi="Times New Roman"/>
                <w:sz w:val="24"/>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420</w:t>
            </w:r>
          </w:p>
        </w:tc>
        <w:tc>
          <w:tcPr>
            <w:tcW w:w="8640" w:type="dxa"/>
          </w:tcPr>
          <w:p w:rsidR="00BF0637" w:rsidRPr="00661595" w:rsidRDefault="00BF0637" w:rsidP="00BF0637">
            <w:pPr>
              <w:rPr>
                <w:rStyle w:val="InstructionsTabelleberschrift"/>
                <w:rFonts w:ascii="Times New Roman" w:hAnsi="Times New Roman"/>
                <w:sz w:val="24"/>
              </w:rPr>
            </w:pPr>
            <w:r w:rsidRPr="00661595">
              <w:rPr>
                <w:rStyle w:val="InstructionsTabelleberschrift"/>
                <w:rFonts w:ascii="Times New Roman" w:hAnsi="Times New Roman"/>
                <w:sz w:val="24"/>
              </w:rPr>
              <w:t>CAPITAL CONSERVATION BUFFER</w:t>
            </w:r>
          </w:p>
          <w:p w:rsidR="00BF0637" w:rsidRPr="00661595" w:rsidRDefault="00BF0637" w:rsidP="00BF0637">
            <w:pPr>
              <w:rPr>
                <w:rStyle w:val="InstructionsTabelleText"/>
                <w:rFonts w:ascii="Times New Roman" w:hAnsi="Times New Roman"/>
                <w:sz w:val="24"/>
              </w:rPr>
            </w:pPr>
            <w:r w:rsidRPr="00661595">
              <w:rPr>
                <w:rStyle w:val="InstructionsTabelleText"/>
                <w:rFonts w:ascii="Times New Roman" w:hAnsi="Times New Roman"/>
                <w:sz w:val="24"/>
              </w:rPr>
              <w:t>Point (1) of Article 128 and Article 129 CRD</w:t>
            </w:r>
          </w:p>
          <w:p w:rsidR="00BF0637" w:rsidRPr="00661595" w:rsidRDefault="00BF0637" w:rsidP="00487A02">
            <w:pPr>
              <w:pStyle w:val="InstructionsText"/>
              <w:rPr>
                <w:rStyle w:val="InstructionsTabelleText"/>
                <w:rFonts w:ascii="Times New Roman" w:hAnsi="Times New Roman"/>
                <w:sz w:val="24"/>
                <w:lang w:eastAsia="en-US"/>
              </w:rPr>
            </w:pPr>
            <w:r w:rsidRPr="00661595">
              <w:t>In accordance with Article 129(1) CRD, the capital conservation buffer is an additional amount of Common Equity Tier 1 capital. Due to the fact that the capital conservation buffer rate of 2.5% is stable, an amount shall be reported in this cell.</w:t>
            </w:r>
          </w:p>
        </w:tc>
      </w:tr>
      <w:tr w:rsidR="00BF0637" w:rsidRPr="00661595" w:rsidTr="00672D2A">
        <w:tc>
          <w:tcPr>
            <w:tcW w:w="1188" w:type="dxa"/>
          </w:tcPr>
          <w:p w:rsidR="00BF0637" w:rsidRPr="00661595" w:rsidRDefault="00ED20CB" w:rsidP="00BF0637">
            <w:pPr>
              <w:rPr>
                <w:rStyle w:val="InstructionsTabelleText"/>
                <w:rFonts w:ascii="Times New Roman" w:hAnsi="Times New Roman"/>
                <w:sz w:val="24"/>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430</w:t>
            </w:r>
          </w:p>
        </w:tc>
        <w:tc>
          <w:tcPr>
            <w:tcW w:w="8640" w:type="dxa"/>
          </w:tcPr>
          <w:p w:rsidR="00BF0637" w:rsidRPr="00661595" w:rsidRDefault="00BF0637" w:rsidP="00BF0637">
            <w:pPr>
              <w:rPr>
                <w:rStyle w:val="InstructionsTabelleberschrift"/>
                <w:rFonts w:ascii="Times New Roman" w:hAnsi="Times New Roman"/>
                <w:sz w:val="24"/>
              </w:rPr>
            </w:pPr>
            <w:r w:rsidRPr="00661595">
              <w:rPr>
                <w:rStyle w:val="InstructionsTabelleberschrift"/>
                <w:rFonts w:ascii="Times New Roman" w:hAnsi="Times New Roman"/>
                <w:sz w:val="24"/>
              </w:rPr>
              <w:t>INSTITUTION SPECIFIC COUNTERCYCLICAL CAPITAL BUFFER</w:t>
            </w:r>
          </w:p>
          <w:p w:rsidR="00BF0637" w:rsidRPr="00661595" w:rsidRDefault="00BF0637" w:rsidP="00BF0637">
            <w:pPr>
              <w:rPr>
                <w:rStyle w:val="InstructionsTabelleText"/>
                <w:rFonts w:ascii="Times New Roman" w:hAnsi="Times New Roman"/>
                <w:sz w:val="24"/>
              </w:rPr>
            </w:pPr>
            <w:r w:rsidRPr="00661595">
              <w:rPr>
                <w:rStyle w:val="InstructionsTabelleText"/>
                <w:rFonts w:ascii="Times New Roman" w:hAnsi="Times New Roman"/>
                <w:sz w:val="24"/>
              </w:rPr>
              <w:t>Point (2) of Article 128, Article 130 and Articles 135 to 140 CRD</w:t>
            </w:r>
          </w:p>
          <w:p w:rsidR="00BF0637" w:rsidRPr="00661595" w:rsidRDefault="001B43BD" w:rsidP="00487A02">
            <w:pPr>
              <w:pStyle w:val="InstructionsText"/>
              <w:rPr>
                <w:rStyle w:val="InstructionsTabelleText"/>
                <w:rFonts w:ascii="Times New Roman" w:hAnsi="Times New Roman"/>
                <w:sz w:val="24"/>
                <w:lang w:eastAsia="en-US"/>
              </w:rPr>
            </w:pPr>
            <w:r w:rsidRPr="00661595">
              <w:t>T</w:t>
            </w:r>
            <w:r w:rsidR="00BF0637" w:rsidRPr="00661595">
              <w:t>he concrete amount of the countercyclical buffer shall be reported</w:t>
            </w:r>
            <w:r w:rsidRPr="00661595">
              <w:t xml:space="preserve"> in this cell</w:t>
            </w:r>
            <w:r w:rsidR="00BF0637" w:rsidRPr="00661595">
              <w:t>.</w:t>
            </w:r>
          </w:p>
        </w:tc>
      </w:tr>
      <w:tr w:rsidR="00BF0637" w:rsidRPr="00661595" w:rsidTr="00672D2A">
        <w:tc>
          <w:tcPr>
            <w:tcW w:w="1188" w:type="dxa"/>
          </w:tcPr>
          <w:p w:rsidR="00BF0637" w:rsidRPr="00661595" w:rsidDel="00D70027" w:rsidRDefault="00ED20CB" w:rsidP="00BF0637">
            <w:pPr>
              <w:rPr>
                <w:rStyle w:val="InstructionsTabelleText"/>
                <w:rFonts w:ascii="Times New Roman" w:hAnsi="Times New Roman"/>
                <w:sz w:val="24"/>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440</w:t>
            </w:r>
          </w:p>
        </w:tc>
        <w:tc>
          <w:tcPr>
            <w:tcW w:w="8640" w:type="dxa"/>
          </w:tcPr>
          <w:p w:rsidR="00BF0637" w:rsidRPr="00661595" w:rsidRDefault="00BF0637" w:rsidP="00BF0637">
            <w:pPr>
              <w:rPr>
                <w:rStyle w:val="InstructionsTabelleberschrift"/>
                <w:rFonts w:ascii="Times New Roman" w:hAnsi="Times New Roman"/>
                <w:sz w:val="24"/>
              </w:rPr>
            </w:pPr>
            <w:r w:rsidRPr="00661595">
              <w:rPr>
                <w:rStyle w:val="InstructionsTabelleberschrift"/>
                <w:rFonts w:ascii="Times New Roman" w:hAnsi="Times New Roman"/>
                <w:sz w:val="24"/>
              </w:rPr>
              <w:t>CONSERVATION BUFFER DUE TO MACRO-PRUDENTIAL OR SYSTEMIC RISK IDENTIFIED AT THE LEVEL OF A MEMBER STATE</w:t>
            </w:r>
          </w:p>
          <w:p w:rsidR="00BF0637" w:rsidRPr="00661595" w:rsidRDefault="00BF0637" w:rsidP="00BF0637">
            <w:pPr>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Point (d)(iv) of Article 458(2) CRR</w:t>
            </w:r>
          </w:p>
          <w:p w:rsidR="00BF0637" w:rsidRPr="00661595" w:rsidRDefault="001B43BD" w:rsidP="00487A02">
            <w:pPr>
              <w:pStyle w:val="InstructionsText"/>
              <w:rPr>
                <w:rStyle w:val="InstructionsTabelleberschrift"/>
                <w:rFonts w:ascii="Times New Roman" w:hAnsi="Times New Roman"/>
                <w:sz w:val="24"/>
                <w:lang w:eastAsia="en-US"/>
              </w:rPr>
            </w:pPr>
            <w:r w:rsidRPr="00661595">
              <w:t>T</w:t>
            </w:r>
            <w:r w:rsidR="00BF0637" w:rsidRPr="00661595">
              <w:t>he amount of the conservation buffer due to macro-prudential or systemic risk identified at the level of a Member State, which can be requested in accordance with Article 458 CRR in addition to the capital conservation buffer, shall be reported</w:t>
            </w:r>
            <w:r w:rsidRPr="00661595">
              <w:t xml:space="preserve"> in this cell.</w:t>
            </w:r>
          </w:p>
        </w:tc>
      </w:tr>
      <w:tr w:rsidR="00BF0637" w:rsidRPr="00661595" w:rsidTr="00672D2A">
        <w:tc>
          <w:tcPr>
            <w:tcW w:w="1188" w:type="dxa"/>
          </w:tcPr>
          <w:p w:rsidR="00BF0637" w:rsidRPr="00661595" w:rsidRDefault="00ED20CB" w:rsidP="00BF0637">
            <w:pPr>
              <w:rPr>
                <w:rStyle w:val="InstructionsTabelleText"/>
                <w:rFonts w:ascii="Times New Roman" w:hAnsi="Times New Roman"/>
                <w:sz w:val="24"/>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450</w:t>
            </w:r>
          </w:p>
        </w:tc>
        <w:tc>
          <w:tcPr>
            <w:tcW w:w="8640" w:type="dxa"/>
          </w:tcPr>
          <w:p w:rsidR="00BF0637" w:rsidRPr="00661595" w:rsidRDefault="00BF0637" w:rsidP="00BF0637">
            <w:pPr>
              <w:rPr>
                <w:rStyle w:val="InstructionsTabelleberschrift"/>
                <w:rFonts w:ascii="Times New Roman" w:hAnsi="Times New Roman"/>
                <w:sz w:val="24"/>
              </w:rPr>
            </w:pPr>
            <w:r w:rsidRPr="00661595">
              <w:rPr>
                <w:rStyle w:val="InstructionsTabelleberschrift"/>
                <w:rFonts w:ascii="Times New Roman" w:hAnsi="Times New Roman"/>
                <w:sz w:val="24"/>
              </w:rPr>
              <w:t>SYSTEMIC RISK BUFFER</w:t>
            </w:r>
          </w:p>
          <w:p w:rsidR="00BF0637" w:rsidRPr="00661595" w:rsidRDefault="00BF0637" w:rsidP="00487A02">
            <w:pPr>
              <w:pStyle w:val="InstructionsText"/>
            </w:pPr>
            <w:r w:rsidRPr="00661595">
              <w:t xml:space="preserve">Point (5) of Article 128, Articles 133 and 134 CRD </w:t>
            </w:r>
          </w:p>
          <w:p w:rsidR="00BF0637" w:rsidRPr="00661595" w:rsidRDefault="001B43BD" w:rsidP="001B43BD">
            <w:pPr>
              <w:rPr>
                <w:rStyle w:val="InstructionsTabelleberschrift"/>
                <w:rFonts w:ascii="Times New Roman" w:hAnsi="Times New Roman"/>
                <w:sz w:val="24"/>
              </w:rPr>
            </w:pPr>
            <w:r w:rsidRPr="00661595">
              <w:rPr>
                <w:rFonts w:ascii="Times New Roman" w:hAnsi="Times New Roman"/>
                <w:sz w:val="24"/>
              </w:rPr>
              <w:t>T</w:t>
            </w:r>
            <w:r w:rsidR="00BF0637" w:rsidRPr="00661595">
              <w:rPr>
                <w:rFonts w:ascii="Times New Roman" w:hAnsi="Times New Roman"/>
                <w:sz w:val="24"/>
              </w:rPr>
              <w:t>he amount of the systemic risk buffer shall be reported</w:t>
            </w:r>
            <w:r w:rsidRPr="00661595">
              <w:rPr>
                <w:rFonts w:ascii="Times New Roman" w:hAnsi="Times New Roman"/>
                <w:sz w:val="24"/>
              </w:rPr>
              <w:t xml:space="preserve"> in this cell</w:t>
            </w:r>
            <w:r w:rsidR="00BF0637" w:rsidRPr="00661595">
              <w:rPr>
                <w:rFonts w:ascii="Times New Roman" w:hAnsi="Times New Roman"/>
                <w:sz w:val="24"/>
              </w:rPr>
              <w:t>.</w:t>
            </w:r>
          </w:p>
        </w:tc>
      </w:tr>
      <w:tr w:rsidR="00BF0637" w:rsidRPr="00661595" w:rsidTr="00672D2A">
        <w:tc>
          <w:tcPr>
            <w:tcW w:w="1188" w:type="dxa"/>
          </w:tcPr>
          <w:p w:rsidR="00BF0637" w:rsidRPr="00661595" w:rsidRDefault="00ED20CB" w:rsidP="00BF0637">
            <w:pPr>
              <w:rPr>
                <w:rStyle w:val="InstructionsTabelleText"/>
                <w:rFonts w:ascii="Times New Roman" w:hAnsi="Times New Roman"/>
                <w:sz w:val="24"/>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470</w:t>
            </w:r>
          </w:p>
        </w:tc>
        <w:tc>
          <w:tcPr>
            <w:tcW w:w="8640" w:type="dxa"/>
          </w:tcPr>
          <w:p w:rsidR="00BF0637" w:rsidRPr="00661595" w:rsidRDefault="00BF0637" w:rsidP="00BF0637">
            <w:pPr>
              <w:tabs>
                <w:tab w:val="left" w:pos="6660"/>
              </w:tabs>
              <w:rPr>
                <w:rStyle w:val="InstructionsTabelleberschrift"/>
                <w:rFonts w:ascii="Times New Roman" w:hAnsi="Times New Roman"/>
                <w:sz w:val="24"/>
              </w:rPr>
            </w:pPr>
            <w:r w:rsidRPr="00661595">
              <w:rPr>
                <w:rStyle w:val="InstructionsTabelleberschrift"/>
                <w:rFonts w:ascii="Times New Roman" w:hAnsi="Times New Roman"/>
                <w:sz w:val="24"/>
              </w:rPr>
              <w:t>GLOBAL SYSTEMICALLY IMPORTANT INSTITUTION BUFFER</w:t>
            </w:r>
            <w:r w:rsidRPr="00661595">
              <w:rPr>
                <w:rStyle w:val="InstructionsTabelleberschrift"/>
                <w:rFonts w:ascii="Times New Roman" w:hAnsi="Times New Roman"/>
                <w:sz w:val="24"/>
              </w:rPr>
              <w:tab/>
            </w:r>
          </w:p>
          <w:p w:rsidR="00BF0637" w:rsidRPr="00661595" w:rsidRDefault="00BF0637" w:rsidP="00487A02">
            <w:pPr>
              <w:pStyle w:val="InstructionsText"/>
              <w:rPr>
                <w:rStyle w:val="InstructionsTabelleberschrift"/>
                <w:rFonts w:ascii="Times New Roman" w:hAnsi="Times New Roman"/>
                <w:b w:val="0"/>
                <w:sz w:val="24"/>
                <w:u w:val="none"/>
                <w:lang w:eastAsia="en-US"/>
              </w:rPr>
            </w:pPr>
            <w:r w:rsidRPr="00661595">
              <w:rPr>
                <w:rStyle w:val="InstructionsTabelleberschrift"/>
                <w:rFonts w:ascii="Times New Roman" w:hAnsi="Times New Roman"/>
                <w:b w:val="0"/>
                <w:sz w:val="24"/>
                <w:u w:val="none"/>
              </w:rPr>
              <w:t>Point (3) of Article 128 and Article 131 CRD</w:t>
            </w:r>
          </w:p>
          <w:p w:rsidR="00BF0637" w:rsidRPr="00661595" w:rsidRDefault="001B43BD" w:rsidP="00487A02">
            <w:pPr>
              <w:pStyle w:val="InstructionsText"/>
              <w:rPr>
                <w:rStyle w:val="InstructionsTabelleberschrift"/>
                <w:rFonts w:ascii="Times New Roman" w:hAnsi="Times New Roman"/>
                <w:sz w:val="24"/>
                <w:lang w:eastAsia="en-US"/>
              </w:rPr>
            </w:pPr>
            <w:r w:rsidRPr="00661595">
              <w:t>T</w:t>
            </w:r>
            <w:r w:rsidR="00BF0637" w:rsidRPr="00661595">
              <w:t>he amount of the Global Systemically Important Institution buffer shall be reported</w:t>
            </w:r>
            <w:r w:rsidRPr="00661595">
              <w:t xml:space="preserve"> in this cell</w:t>
            </w:r>
            <w:r w:rsidR="00BF0637" w:rsidRPr="00661595">
              <w:t>.</w:t>
            </w:r>
          </w:p>
        </w:tc>
      </w:tr>
      <w:tr w:rsidR="00BF0637" w:rsidRPr="00661595" w:rsidTr="00672D2A">
        <w:tc>
          <w:tcPr>
            <w:tcW w:w="1188" w:type="dxa"/>
          </w:tcPr>
          <w:p w:rsidR="00BF0637" w:rsidRPr="00661595" w:rsidRDefault="00ED20CB" w:rsidP="00BF0637">
            <w:pPr>
              <w:rPr>
                <w:rStyle w:val="InstructionsTabelleText"/>
                <w:rFonts w:ascii="Times New Roman" w:hAnsi="Times New Roman"/>
                <w:sz w:val="24"/>
              </w:rPr>
            </w:pPr>
            <w:r w:rsidRPr="00661595">
              <w:rPr>
                <w:rStyle w:val="InstructionsTabelleText"/>
                <w:rFonts w:ascii="Times New Roman" w:hAnsi="Times New Roman"/>
                <w:sz w:val="24"/>
              </w:rPr>
              <w:t>0</w:t>
            </w:r>
            <w:r w:rsidR="00BF0637" w:rsidRPr="00661595">
              <w:rPr>
                <w:rStyle w:val="InstructionsTabelleText"/>
                <w:rFonts w:ascii="Times New Roman" w:hAnsi="Times New Roman"/>
                <w:sz w:val="24"/>
              </w:rPr>
              <w:t>480</w:t>
            </w:r>
          </w:p>
        </w:tc>
        <w:tc>
          <w:tcPr>
            <w:tcW w:w="8640" w:type="dxa"/>
          </w:tcPr>
          <w:p w:rsidR="00BF0637" w:rsidRPr="00661595" w:rsidRDefault="00BF0637" w:rsidP="00BF0637">
            <w:pPr>
              <w:tabs>
                <w:tab w:val="left" w:pos="6315"/>
              </w:tabs>
              <w:rPr>
                <w:rStyle w:val="InstructionsTabelleberschrift"/>
                <w:rFonts w:ascii="Times New Roman" w:hAnsi="Times New Roman"/>
                <w:sz w:val="24"/>
              </w:rPr>
            </w:pPr>
            <w:r w:rsidRPr="00661595">
              <w:rPr>
                <w:rStyle w:val="InstructionsTabelleberschrift"/>
                <w:rFonts w:ascii="Times New Roman" w:hAnsi="Times New Roman"/>
                <w:sz w:val="24"/>
              </w:rPr>
              <w:t>OTHER SYSTEMICALLY IMPORTANT INSTITUTION BUFFER</w:t>
            </w:r>
            <w:r w:rsidRPr="00661595">
              <w:rPr>
                <w:rStyle w:val="InstructionsTabelleberschrift"/>
                <w:rFonts w:ascii="Times New Roman" w:hAnsi="Times New Roman"/>
                <w:sz w:val="24"/>
              </w:rPr>
              <w:tab/>
            </w:r>
          </w:p>
          <w:p w:rsidR="00BF0637" w:rsidRPr="00661595" w:rsidRDefault="00BF0637" w:rsidP="00487A02">
            <w:pPr>
              <w:pStyle w:val="InstructionsText"/>
            </w:pPr>
            <w:r w:rsidRPr="00661595">
              <w:t>Point (4) of Article 128 and Article 131 CRD</w:t>
            </w:r>
          </w:p>
          <w:p w:rsidR="00BF0637" w:rsidRPr="00661595" w:rsidRDefault="001B43BD" w:rsidP="00487A02">
            <w:pPr>
              <w:pStyle w:val="InstructionsText"/>
              <w:rPr>
                <w:rStyle w:val="InstructionsTabelleberschrift"/>
                <w:rFonts w:ascii="Times New Roman" w:hAnsi="Times New Roman"/>
                <w:sz w:val="24"/>
              </w:rPr>
            </w:pPr>
            <w:r w:rsidRPr="00661595">
              <w:t>T</w:t>
            </w:r>
            <w:r w:rsidR="00BF0637" w:rsidRPr="00661595">
              <w:t>he amount of the Other Systemically Important Institution buffer shall be reported</w:t>
            </w:r>
            <w:r w:rsidRPr="00661595">
              <w:t xml:space="preserve"> in this cell</w:t>
            </w:r>
            <w:r w:rsidR="00BF0637" w:rsidRPr="00661595">
              <w:t>.</w:t>
            </w:r>
          </w:p>
        </w:tc>
      </w:tr>
    </w:tbl>
    <w:p w:rsidR="00FC1030" w:rsidRPr="00661595" w:rsidRDefault="00FC1030" w:rsidP="00487A02">
      <w:pPr>
        <w:pStyle w:val="InstructionsText"/>
      </w:pPr>
    </w:p>
    <w:p w:rsidR="00464F34" w:rsidRPr="00661595" w:rsidRDefault="00B43C2A" w:rsidP="0023700C">
      <w:pPr>
        <w:pStyle w:val="Instructionsberschrift2"/>
        <w:numPr>
          <w:ilvl w:val="0"/>
          <w:numId w:val="0"/>
        </w:numPr>
        <w:ind w:left="357" w:hanging="357"/>
        <w:rPr>
          <w:rFonts w:ascii="Times New Roman" w:hAnsi="Times New Roman" w:cs="Times New Roman"/>
          <w:sz w:val="24"/>
          <w:lang w:val="en-GB"/>
        </w:rPr>
      </w:pPr>
      <w:bookmarkStart w:id="115" w:name="_Toc310415013"/>
      <w:bookmarkStart w:id="116" w:name="_Toc360188344"/>
      <w:bookmarkStart w:id="117" w:name="_Toc473560893"/>
      <w:bookmarkStart w:id="118" w:name="_Toc57831533"/>
      <w:r w:rsidRPr="00661595">
        <w:rPr>
          <w:rFonts w:ascii="Times New Roman" w:hAnsi="Times New Roman" w:cs="Times New Roman"/>
          <w:sz w:val="24"/>
          <w:u w:val="none"/>
          <w:lang w:val="en-GB"/>
        </w:rPr>
        <w:t>3.</w:t>
      </w:r>
      <w:r w:rsidRPr="00661595">
        <w:rPr>
          <w:rFonts w:ascii="Times New Roman" w:hAnsi="Times New Roman" w:cs="Times New Roman"/>
          <w:sz w:val="24"/>
          <w:u w:val="none"/>
          <w:lang w:val="en-GB"/>
        </w:rPr>
        <w:tab/>
      </w:r>
      <w:r w:rsidR="00464F34" w:rsidRPr="00661595">
        <w:rPr>
          <w:rFonts w:ascii="Times New Roman" w:hAnsi="Times New Roman" w:cs="Times New Roman"/>
          <w:sz w:val="24"/>
          <w:lang w:val="en-GB"/>
        </w:rPr>
        <w:t>Credit Risk Templates</w:t>
      </w:r>
      <w:bookmarkEnd w:id="115"/>
      <w:bookmarkEnd w:id="116"/>
      <w:bookmarkEnd w:id="117"/>
      <w:bookmarkEnd w:id="118"/>
    </w:p>
    <w:p w:rsidR="00464F34"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119" w:name="_Toc360188345"/>
      <w:bookmarkStart w:id="120" w:name="_Toc473560894"/>
      <w:bookmarkStart w:id="121" w:name="_Toc57831534"/>
      <w:bookmarkStart w:id="122" w:name="_Toc262568022"/>
      <w:bookmarkStart w:id="123" w:name="_Toc295829848"/>
      <w:bookmarkStart w:id="124" w:name="_Toc310415014"/>
      <w:r w:rsidRPr="00661595">
        <w:rPr>
          <w:rFonts w:ascii="Times New Roman" w:hAnsi="Times New Roman" w:cs="Times New Roman"/>
          <w:sz w:val="24"/>
          <w:u w:val="none"/>
          <w:lang w:val="en-GB"/>
        </w:rPr>
        <w:t>3.1.</w:t>
      </w:r>
      <w:r w:rsidRPr="00661595">
        <w:rPr>
          <w:rFonts w:ascii="Times New Roman" w:hAnsi="Times New Roman" w:cs="Times New Roman"/>
          <w:sz w:val="24"/>
          <w:u w:val="none"/>
          <w:lang w:val="en-GB"/>
        </w:rPr>
        <w:tab/>
      </w:r>
      <w:r w:rsidR="00464F34" w:rsidRPr="00661595">
        <w:rPr>
          <w:rFonts w:ascii="Times New Roman" w:hAnsi="Times New Roman" w:cs="Times New Roman"/>
          <w:sz w:val="24"/>
          <w:lang w:val="en-GB"/>
        </w:rPr>
        <w:t>General remarks</w:t>
      </w:r>
      <w:bookmarkEnd w:id="119"/>
      <w:bookmarkEnd w:id="120"/>
      <w:bookmarkEnd w:id="121"/>
      <w:r w:rsidR="00464F34" w:rsidRPr="00661595">
        <w:rPr>
          <w:rFonts w:ascii="Times New Roman" w:hAnsi="Times New Roman" w:cs="Times New Roman"/>
          <w:sz w:val="24"/>
          <w:lang w:val="en-GB"/>
        </w:rPr>
        <w:t xml:space="preserve"> </w:t>
      </w:r>
      <w:bookmarkEnd w:id="122"/>
      <w:bookmarkEnd w:id="123"/>
      <w:bookmarkEnd w:id="124"/>
    </w:p>
    <w:p w:rsidR="00464F34" w:rsidRPr="00661595" w:rsidRDefault="00D11E4C" w:rsidP="00487A02">
      <w:pPr>
        <w:pStyle w:val="InstructionsText2"/>
        <w:numPr>
          <w:ilvl w:val="0"/>
          <w:numId w:val="0"/>
        </w:numPr>
        <w:ind w:left="1353" w:hanging="360"/>
      </w:pPr>
      <w:fldSimple w:instr=" seq paragraphs ">
        <w:r w:rsidR="00771068">
          <w:rPr>
            <w:noProof/>
          </w:rPr>
          <w:t>39</w:t>
        </w:r>
      </w:fldSimple>
      <w:r w:rsidR="00125707" w:rsidRPr="00661595">
        <w:t>.</w:t>
      </w:r>
      <w:r w:rsidR="00125707" w:rsidRPr="00661595">
        <w:tab/>
      </w:r>
      <w:r w:rsidR="00480A69" w:rsidRPr="00661595">
        <w:t xml:space="preserve">There </w:t>
      </w:r>
      <w:r w:rsidR="00464F34" w:rsidRPr="00661595">
        <w:t>a</w:t>
      </w:r>
      <w:r w:rsidR="00480A69" w:rsidRPr="00661595">
        <w:t>re</w:t>
      </w:r>
      <w:r w:rsidR="00464F34" w:rsidRPr="00661595">
        <w:t xml:space="preserve"> different set</w:t>
      </w:r>
      <w:r w:rsidR="00480A69" w:rsidRPr="00661595">
        <w:t>s</w:t>
      </w:r>
      <w:r w:rsidR="00464F34" w:rsidRPr="00661595">
        <w:t xml:space="preserve"> of templates for the </w:t>
      </w:r>
      <w:r w:rsidR="00CA21CA" w:rsidRPr="00661595">
        <w:t xml:space="preserve">Standardised </w:t>
      </w:r>
      <w:r w:rsidR="009A4399" w:rsidRPr="00661595">
        <w:t xml:space="preserve">approach </w:t>
      </w:r>
      <w:r w:rsidR="00464F34" w:rsidRPr="00661595">
        <w:t xml:space="preserve">and the </w:t>
      </w:r>
      <w:r w:rsidR="008241B9" w:rsidRPr="00661595">
        <w:t xml:space="preserve">IRB </w:t>
      </w:r>
      <w:r w:rsidR="009A4399" w:rsidRPr="00661595">
        <w:t xml:space="preserve">approach </w:t>
      </w:r>
      <w:r w:rsidR="00480A69" w:rsidRPr="00661595">
        <w:t xml:space="preserve">for credit risk. Additionally, </w:t>
      </w:r>
      <w:r w:rsidR="00464F34" w:rsidRPr="00661595">
        <w:t>separate template</w:t>
      </w:r>
      <w:r w:rsidR="00480A69" w:rsidRPr="00661595">
        <w:t>s</w:t>
      </w:r>
      <w:r w:rsidR="00464F34" w:rsidRPr="00661595">
        <w:t xml:space="preserve"> for the geographical breakdown of positions subject to cred</w:t>
      </w:r>
      <w:r w:rsidR="00480A69" w:rsidRPr="00661595">
        <w:t>it risk shall</w:t>
      </w:r>
      <w:r w:rsidR="00464F34" w:rsidRPr="00661595">
        <w:t xml:space="preserve"> be reported if the relevant threshold </w:t>
      </w:r>
      <w:r w:rsidR="00480A69" w:rsidRPr="00661595">
        <w:t>set out in Article 5(</w:t>
      </w:r>
      <w:r w:rsidR="00CB3146" w:rsidRPr="00661595">
        <w:t>5</w:t>
      </w:r>
      <w:r w:rsidR="00480A69" w:rsidRPr="00661595">
        <w:t>)</w:t>
      </w:r>
      <w:r w:rsidR="001E0C80" w:rsidRPr="00661595">
        <w:t xml:space="preserve"> of this Implementing Regulation</w:t>
      </w:r>
      <w:r w:rsidR="00480A69" w:rsidRPr="00661595">
        <w:t xml:space="preserve"> </w:t>
      </w:r>
      <w:r w:rsidR="00464F34" w:rsidRPr="00661595">
        <w:t xml:space="preserve">is exceeded. </w:t>
      </w:r>
    </w:p>
    <w:p w:rsidR="00464F34"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125" w:name="_Toc262568023"/>
      <w:bookmarkStart w:id="126" w:name="_Toc295829849"/>
      <w:bookmarkStart w:id="127" w:name="_Toc310415015"/>
      <w:bookmarkStart w:id="128" w:name="_Toc360188346"/>
      <w:bookmarkStart w:id="129" w:name="_Toc473560895"/>
      <w:bookmarkStart w:id="130" w:name="_Toc57831535"/>
      <w:r w:rsidRPr="00661595">
        <w:rPr>
          <w:rFonts w:ascii="Times New Roman" w:hAnsi="Times New Roman" w:cs="Times New Roman"/>
          <w:sz w:val="24"/>
          <w:u w:val="none"/>
          <w:lang w:val="en-GB"/>
        </w:rPr>
        <w:t>3.1.1.</w:t>
      </w:r>
      <w:r w:rsidRPr="00661595">
        <w:rPr>
          <w:rFonts w:ascii="Times New Roman" w:hAnsi="Times New Roman" w:cs="Times New Roman"/>
          <w:sz w:val="24"/>
          <w:u w:val="none"/>
          <w:lang w:val="en-GB"/>
        </w:rPr>
        <w:tab/>
      </w:r>
      <w:r w:rsidR="00464F34" w:rsidRPr="00661595">
        <w:rPr>
          <w:rFonts w:ascii="Times New Roman" w:hAnsi="Times New Roman" w:cs="Times New Roman"/>
          <w:sz w:val="24"/>
          <w:lang w:val="en-GB"/>
        </w:rPr>
        <w:t>Reporting of CRM techniques with substitution effect</w:t>
      </w:r>
      <w:bookmarkEnd w:id="125"/>
      <w:bookmarkEnd w:id="126"/>
      <w:bookmarkEnd w:id="127"/>
      <w:bookmarkEnd w:id="128"/>
      <w:bookmarkEnd w:id="129"/>
      <w:bookmarkEnd w:id="130"/>
    </w:p>
    <w:p w:rsidR="00464F34" w:rsidRPr="00661595" w:rsidRDefault="00D11E4C" w:rsidP="00487A02">
      <w:pPr>
        <w:pStyle w:val="InstructionsText2"/>
        <w:numPr>
          <w:ilvl w:val="0"/>
          <w:numId w:val="0"/>
        </w:numPr>
        <w:ind w:left="1353" w:hanging="360"/>
      </w:pPr>
      <w:fldSimple w:instr=" seq paragraphs ">
        <w:r w:rsidR="00771068">
          <w:rPr>
            <w:noProof/>
          </w:rPr>
          <w:t>40</w:t>
        </w:r>
      </w:fldSimple>
      <w:r w:rsidR="00125707" w:rsidRPr="00661595">
        <w:t>.</w:t>
      </w:r>
      <w:r w:rsidR="00125707" w:rsidRPr="00661595">
        <w:tab/>
      </w:r>
      <w:r w:rsidR="00283C5E" w:rsidRPr="00661595">
        <w:t>E</w:t>
      </w:r>
      <w:r w:rsidR="00464F34" w:rsidRPr="00661595">
        <w:t xml:space="preserve">xposures to obligors (immediate counterparties) and </w:t>
      </w:r>
      <w:r w:rsidR="00AF3C69" w:rsidRPr="00661595">
        <w:t>guarantors</w:t>
      </w:r>
      <w:r w:rsidR="00464F34" w:rsidRPr="00661595">
        <w:t xml:space="preserve"> which are assigned to the same exposure class shall be </w:t>
      </w:r>
      <w:r w:rsidR="00283C5E" w:rsidRPr="00661595">
        <w:t xml:space="preserve">reported </w:t>
      </w:r>
      <w:r w:rsidR="00464F34" w:rsidRPr="00661595">
        <w:t xml:space="preserve">as an inflow as well as </w:t>
      </w:r>
      <w:r w:rsidR="00C95414" w:rsidRPr="00661595">
        <w:t>an</w:t>
      </w:r>
      <w:r w:rsidR="00464F34" w:rsidRPr="00661595">
        <w:t xml:space="preserve"> outflow to the same exposure class.</w:t>
      </w:r>
    </w:p>
    <w:p w:rsidR="00464F34" w:rsidRPr="00661595" w:rsidRDefault="00D11E4C" w:rsidP="00487A02">
      <w:pPr>
        <w:pStyle w:val="InstructionsText2"/>
        <w:numPr>
          <w:ilvl w:val="0"/>
          <w:numId w:val="0"/>
        </w:numPr>
        <w:ind w:left="1353" w:hanging="360"/>
      </w:pPr>
      <w:fldSimple w:instr=" seq paragraphs ">
        <w:r w:rsidR="00771068">
          <w:rPr>
            <w:noProof/>
          </w:rPr>
          <w:t>41</w:t>
        </w:r>
      </w:fldSimple>
      <w:r w:rsidR="00125707" w:rsidRPr="00661595">
        <w:t>.</w:t>
      </w:r>
      <w:r w:rsidR="00125707" w:rsidRPr="00661595">
        <w:tab/>
      </w:r>
      <w:r w:rsidR="001C7AB7" w:rsidRPr="00661595">
        <w:t>The e</w:t>
      </w:r>
      <w:r w:rsidR="00464F34" w:rsidRPr="00661595">
        <w:t xml:space="preserve">xposure type </w:t>
      </w:r>
      <w:r w:rsidR="00283C5E" w:rsidRPr="00661595">
        <w:t xml:space="preserve">shall </w:t>
      </w:r>
      <w:r w:rsidR="00464F34" w:rsidRPr="00661595">
        <w:t>not change because of unfunded credit protection</w:t>
      </w:r>
      <w:r w:rsidR="001C7AB7" w:rsidRPr="00661595">
        <w:t>.</w:t>
      </w:r>
    </w:p>
    <w:p w:rsidR="00464F34" w:rsidRPr="00661595" w:rsidRDefault="00D11E4C" w:rsidP="00487A02">
      <w:pPr>
        <w:pStyle w:val="InstructionsText2"/>
        <w:numPr>
          <w:ilvl w:val="0"/>
          <w:numId w:val="0"/>
        </w:numPr>
        <w:ind w:left="1353" w:hanging="360"/>
      </w:pPr>
      <w:fldSimple w:instr=" seq paragraphs ">
        <w:r w:rsidR="00771068">
          <w:rPr>
            <w:noProof/>
          </w:rPr>
          <w:t>42</w:t>
        </w:r>
      </w:fldSimple>
      <w:r w:rsidR="00125707" w:rsidRPr="00661595">
        <w:t>.</w:t>
      </w:r>
      <w:r w:rsidR="00125707" w:rsidRPr="00661595">
        <w:tab/>
      </w:r>
      <w:r w:rsidR="00464F34" w:rsidRPr="00661595">
        <w:t xml:space="preserve">If an exposure is secured by an unfunded credit protection, the secured part </w:t>
      </w:r>
      <w:r w:rsidR="00283C5E" w:rsidRPr="00661595">
        <w:t xml:space="preserve">shall be </w:t>
      </w:r>
      <w:r w:rsidR="00464F34" w:rsidRPr="00661595">
        <w:t xml:space="preserve">assigned as an outflow e.g. in the exposure class of the obligor and as an inflow in the exposure class of the </w:t>
      </w:r>
      <w:r w:rsidR="00AF3C69" w:rsidRPr="00661595">
        <w:t>guarantor</w:t>
      </w:r>
      <w:r w:rsidR="00464F34" w:rsidRPr="00661595">
        <w:t xml:space="preserve">. However, the type of the exposure </w:t>
      </w:r>
      <w:r w:rsidR="00283C5E" w:rsidRPr="00661595">
        <w:t xml:space="preserve">shall </w:t>
      </w:r>
      <w:r w:rsidR="00464F34" w:rsidRPr="00661595">
        <w:t>not change due to the change of the exposure class.</w:t>
      </w:r>
    </w:p>
    <w:p w:rsidR="00464F34" w:rsidRPr="00661595" w:rsidRDefault="00D11E4C" w:rsidP="00487A02">
      <w:pPr>
        <w:pStyle w:val="InstructionsText2"/>
        <w:numPr>
          <w:ilvl w:val="0"/>
          <w:numId w:val="0"/>
        </w:numPr>
        <w:ind w:left="1353" w:hanging="360"/>
      </w:pPr>
      <w:fldSimple w:instr=" seq paragraphs ">
        <w:r w:rsidR="00771068">
          <w:rPr>
            <w:noProof/>
          </w:rPr>
          <w:t>43</w:t>
        </w:r>
      </w:fldSimple>
      <w:r w:rsidR="00125707" w:rsidRPr="00661595">
        <w:t>.</w:t>
      </w:r>
      <w:r w:rsidR="00125707" w:rsidRPr="00661595">
        <w:tab/>
      </w:r>
      <w:r w:rsidR="00464F34" w:rsidRPr="00661595">
        <w:t xml:space="preserve">The substitution effect in the COREP reporting framework </w:t>
      </w:r>
      <w:r w:rsidR="00C93697" w:rsidRPr="00661595">
        <w:t>shall</w:t>
      </w:r>
      <w:r w:rsidR="00464F34" w:rsidRPr="00661595">
        <w:t xml:space="preserve"> reflect the risk weighting treatment effectively applicable to the covered part of the exposure. As such, the covered part of the exposure </w:t>
      </w:r>
      <w:r w:rsidR="00283C5E" w:rsidRPr="00661595">
        <w:t xml:space="preserve">shall be </w:t>
      </w:r>
      <w:r w:rsidR="00464F34" w:rsidRPr="00661595">
        <w:t>risk weighte</w:t>
      </w:r>
      <w:r w:rsidR="00C93697" w:rsidRPr="00661595">
        <w:t xml:space="preserve">d </w:t>
      </w:r>
      <w:r w:rsidR="00BB22D4" w:rsidRPr="00661595">
        <w:t>in accordance with</w:t>
      </w:r>
      <w:r w:rsidR="00C93697" w:rsidRPr="00661595">
        <w:t xml:space="preserve"> the S</w:t>
      </w:r>
      <w:r w:rsidR="00283C5E" w:rsidRPr="00661595">
        <w:t xml:space="preserve">tandardised </w:t>
      </w:r>
      <w:r w:rsidR="009A4399" w:rsidRPr="00661595">
        <w:t xml:space="preserve">approach </w:t>
      </w:r>
      <w:r w:rsidR="00C93697" w:rsidRPr="00661595">
        <w:t xml:space="preserve">and shall </w:t>
      </w:r>
      <w:r w:rsidR="00464F34" w:rsidRPr="00661595">
        <w:t xml:space="preserve">be reported in the CR SA template. </w:t>
      </w:r>
    </w:p>
    <w:p w:rsidR="00464F34"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131" w:name="_Toc262568024"/>
      <w:bookmarkStart w:id="132" w:name="_Toc295829850"/>
      <w:bookmarkStart w:id="133" w:name="_Toc310415016"/>
      <w:bookmarkStart w:id="134" w:name="_Toc360188347"/>
      <w:bookmarkStart w:id="135" w:name="_Toc473560896"/>
      <w:bookmarkStart w:id="136" w:name="_Toc57831536"/>
      <w:r w:rsidRPr="00661595">
        <w:rPr>
          <w:rFonts w:ascii="Times New Roman" w:hAnsi="Times New Roman" w:cs="Times New Roman"/>
          <w:sz w:val="24"/>
          <w:u w:val="none"/>
          <w:lang w:val="en-GB"/>
        </w:rPr>
        <w:t>3.1.2.</w:t>
      </w:r>
      <w:r w:rsidRPr="00661595">
        <w:rPr>
          <w:rFonts w:ascii="Times New Roman" w:hAnsi="Times New Roman" w:cs="Times New Roman"/>
          <w:sz w:val="24"/>
          <w:u w:val="none"/>
          <w:lang w:val="en-GB"/>
        </w:rPr>
        <w:tab/>
      </w:r>
      <w:r w:rsidR="00464F34" w:rsidRPr="00661595">
        <w:rPr>
          <w:rFonts w:ascii="Times New Roman" w:hAnsi="Times New Roman" w:cs="Times New Roman"/>
          <w:sz w:val="24"/>
          <w:lang w:val="en-GB"/>
        </w:rPr>
        <w:t>Reporting of Counterparty Credit Risk</w:t>
      </w:r>
      <w:bookmarkEnd w:id="131"/>
      <w:bookmarkEnd w:id="132"/>
      <w:bookmarkEnd w:id="133"/>
      <w:bookmarkEnd w:id="134"/>
      <w:bookmarkEnd w:id="135"/>
      <w:bookmarkEnd w:id="136"/>
    </w:p>
    <w:p w:rsidR="00464F34" w:rsidRPr="00661595" w:rsidRDefault="00D11E4C" w:rsidP="00487A02">
      <w:pPr>
        <w:pStyle w:val="InstructionsText2"/>
        <w:numPr>
          <w:ilvl w:val="0"/>
          <w:numId w:val="0"/>
        </w:numPr>
        <w:ind w:left="1353" w:hanging="360"/>
      </w:pPr>
      <w:fldSimple w:instr=" seq paragraphs ">
        <w:r w:rsidR="00771068">
          <w:rPr>
            <w:noProof/>
          </w:rPr>
          <w:t>44</w:t>
        </w:r>
      </w:fldSimple>
      <w:r w:rsidR="00125707" w:rsidRPr="00661595">
        <w:t>.</w:t>
      </w:r>
      <w:r w:rsidR="00125707" w:rsidRPr="00661595">
        <w:tab/>
      </w:r>
      <w:r w:rsidR="00464F34" w:rsidRPr="00661595">
        <w:t xml:space="preserve">Exposures stemming from Counterparty Credit Risk positions shall be reported in templates CR SA or CR IRB independent from whether they are Banking Book items or Trading Book items. </w:t>
      </w:r>
    </w:p>
    <w:p w:rsidR="00464F34"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137" w:name="_Toc292456202"/>
      <w:bookmarkStart w:id="138" w:name="_Toc295829851"/>
      <w:bookmarkStart w:id="139" w:name="_Toc310415017"/>
      <w:bookmarkStart w:id="140" w:name="_Toc360188348"/>
      <w:bookmarkStart w:id="141" w:name="_Toc473560897"/>
      <w:bookmarkStart w:id="142" w:name="_Toc57831537"/>
      <w:r w:rsidRPr="00661595">
        <w:rPr>
          <w:rFonts w:ascii="Times New Roman" w:hAnsi="Times New Roman" w:cs="Times New Roman"/>
          <w:sz w:val="24"/>
          <w:u w:val="none"/>
          <w:lang w:val="en-GB"/>
        </w:rPr>
        <w:t>3.2.</w:t>
      </w:r>
      <w:r w:rsidRPr="00661595">
        <w:rPr>
          <w:rFonts w:ascii="Times New Roman" w:hAnsi="Times New Roman" w:cs="Times New Roman"/>
          <w:sz w:val="24"/>
          <w:u w:val="none"/>
          <w:lang w:val="en-GB"/>
        </w:rPr>
        <w:tab/>
      </w:r>
      <w:r w:rsidR="00FC20DD" w:rsidRPr="00661595">
        <w:rPr>
          <w:rFonts w:ascii="Times New Roman" w:hAnsi="Times New Roman" w:cs="Times New Roman"/>
          <w:sz w:val="24"/>
          <w:lang w:val="en-GB"/>
        </w:rPr>
        <w:t xml:space="preserve">C 07.00 - </w:t>
      </w:r>
      <w:r w:rsidR="00464F34" w:rsidRPr="00661595">
        <w:rPr>
          <w:rFonts w:ascii="Times New Roman" w:hAnsi="Times New Roman" w:cs="Times New Roman"/>
          <w:sz w:val="24"/>
          <w:lang w:val="en-GB"/>
        </w:rPr>
        <w:t xml:space="preserve">Credit and counterparty credit risks and free deliveries: Standardised </w:t>
      </w:r>
      <w:r w:rsidR="009A4399" w:rsidRPr="00661595">
        <w:rPr>
          <w:rFonts w:ascii="Times New Roman" w:hAnsi="Times New Roman" w:cs="Times New Roman"/>
          <w:sz w:val="24"/>
          <w:lang w:val="en-GB"/>
        </w:rPr>
        <w:t xml:space="preserve">approach </w:t>
      </w:r>
      <w:r w:rsidR="00464F34" w:rsidRPr="00661595">
        <w:rPr>
          <w:rFonts w:ascii="Times New Roman" w:hAnsi="Times New Roman" w:cs="Times New Roman"/>
          <w:sz w:val="24"/>
          <w:lang w:val="en-GB"/>
        </w:rPr>
        <w:t xml:space="preserve">to </w:t>
      </w:r>
      <w:r w:rsidR="000758FE" w:rsidRPr="00661595">
        <w:rPr>
          <w:rFonts w:ascii="Times New Roman" w:hAnsi="Times New Roman" w:cs="Times New Roman"/>
          <w:sz w:val="24"/>
          <w:lang w:val="en-GB"/>
        </w:rPr>
        <w:t>Capital</w:t>
      </w:r>
      <w:r w:rsidR="00464F34" w:rsidRPr="00661595">
        <w:rPr>
          <w:rFonts w:ascii="Times New Roman" w:hAnsi="Times New Roman" w:cs="Times New Roman"/>
          <w:sz w:val="24"/>
          <w:lang w:val="en-GB"/>
        </w:rPr>
        <w:t xml:space="preserve"> Requirements</w:t>
      </w:r>
      <w:bookmarkEnd w:id="137"/>
      <w:bookmarkEnd w:id="138"/>
      <w:bookmarkEnd w:id="139"/>
      <w:bookmarkEnd w:id="140"/>
      <w:r w:rsidR="00FC20DD" w:rsidRPr="00661595">
        <w:rPr>
          <w:rFonts w:ascii="Times New Roman" w:hAnsi="Times New Roman" w:cs="Times New Roman"/>
          <w:sz w:val="24"/>
          <w:lang w:val="en-GB"/>
        </w:rPr>
        <w:t xml:space="preserve"> (CR SA)</w:t>
      </w:r>
      <w:bookmarkEnd w:id="141"/>
      <w:bookmarkEnd w:id="142"/>
    </w:p>
    <w:p w:rsidR="00464F34"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143" w:name="_Toc262568026"/>
      <w:bookmarkStart w:id="144" w:name="_Toc264038424"/>
      <w:bookmarkStart w:id="145" w:name="_Toc292456203"/>
      <w:bookmarkStart w:id="146" w:name="_Toc295829852"/>
      <w:bookmarkStart w:id="147" w:name="_Toc310415018"/>
      <w:bookmarkStart w:id="148" w:name="_Toc360188349"/>
      <w:bookmarkStart w:id="149" w:name="_Toc473560898"/>
      <w:bookmarkStart w:id="150" w:name="_Toc57831538"/>
      <w:r w:rsidRPr="00661595">
        <w:rPr>
          <w:rFonts w:ascii="Times New Roman" w:hAnsi="Times New Roman" w:cs="Times New Roman"/>
          <w:sz w:val="24"/>
          <w:u w:val="none"/>
          <w:lang w:val="en-GB"/>
        </w:rPr>
        <w:t>3.2.1.</w:t>
      </w:r>
      <w:r w:rsidRPr="00661595">
        <w:rPr>
          <w:rFonts w:ascii="Times New Roman" w:hAnsi="Times New Roman" w:cs="Times New Roman"/>
          <w:sz w:val="24"/>
          <w:u w:val="none"/>
          <w:lang w:val="en-GB"/>
        </w:rPr>
        <w:tab/>
      </w:r>
      <w:r w:rsidR="00464F34" w:rsidRPr="00661595">
        <w:rPr>
          <w:rFonts w:ascii="Times New Roman" w:hAnsi="Times New Roman" w:cs="Times New Roman"/>
          <w:sz w:val="24"/>
          <w:lang w:val="en-GB"/>
        </w:rPr>
        <w:t>General remarks</w:t>
      </w:r>
      <w:bookmarkEnd w:id="143"/>
      <w:bookmarkEnd w:id="144"/>
      <w:bookmarkEnd w:id="145"/>
      <w:bookmarkEnd w:id="146"/>
      <w:bookmarkEnd w:id="147"/>
      <w:bookmarkEnd w:id="148"/>
      <w:bookmarkEnd w:id="149"/>
      <w:bookmarkEnd w:id="150"/>
    </w:p>
    <w:p w:rsidR="00464F34" w:rsidRPr="00661595" w:rsidRDefault="00D11E4C" w:rsidP="00487A02">
      <w:pPr>
        <w:pStyle w:val="InstructionsText2"/>
        <w:numPr>
          <w:ilvl w:val="0"/>
          <w:numId w:val="0"/>
        </w:numPr>
        <w:ind w:left="1353" w:hanging="360"/>
      </w:pPr>
      <w:fldSimple w:instr=" seq paragraphs ">
        <w:r w:rsidR="00771068">
          <w:rPr>
            <w:noProof/>
          </w:rPr>
          <w:t>45</w:t>
        </w:r>
      </w:fldSimple>
      <w:r w:rsidR="00125707" w:rsidRPr="00661595">
        <w:t>.</w:t>
      </w:r>
      <w:r w:rsidR="00125707" w:rsidRPr="00661595">
        <w:tab/>
      </w:r>
      <w:r w:rsidR="00464F34" w:rsidRPr="00661595">
        <w:t xml:space="preserve">The CR SA templates provide the necessary information on the calculation of own funds requirements for credit risk </w:t>
      </w:r>
      <w:r w:rsidR="00BB22D4" w:rsidRPr="00661595">
        <w:t>in accordance with</w:t>
      </w:r>
      <w:r w:rsidR="00464F34" w:rsidRPr="00661595">
        <w:t xml:space="preserve"> the </w:t>
      </w:r>
      <w:r w:rsidR="00BB22D4" w:rsidRPr="00661595">
        <w:t>S</w:t>
      </w:r>
      <w:r w:rsidR="00464F34" w:rsidRPr="00661595">
        <w:t xml:space="preserve">tandardised </w:t>
      </w:r>
      <w:r w:rsidR="009A4399" w:rsidRPr="00661595">
        <w:t>approach</w:t>
      </w:r>
      <w:r w:rsidR="00464F34" w:rsidRPr="00661595">
        <w:t>. In particular, they provide detailed information on:</w:t>
      </w:r>
    </w:p>
    <w:p w:rsidR="00464F34" w:rsidRPr="00661595" w:rsidRDefault="00125707" w:rsidP="00487A02">
      <w:pPr>
        <w:pStyle w:val="InstructionsText2"/>
        <w:numPr>
          <w:ilvl w:val="0"/>
          <w:numId w:val="0"/>
        </w:numPr>
        <w:ind w:left="1353" w:hanging="360"/>
      </w:pPr>
      <w:r w:rsidRPr="00661595">
        <w:t>a)</w:t>
      </w:r>
      <w:r w:rsidRPr="00661595">
        <w:tab/>
      </w:r>
      <w:r w:rsidR="00464F34" w:rsidRPr="00661595">
        <w:t>the distribution of the exposure values according to the different, exposure types, risk weights and exposure classes ;</w:t>
      </w:r>
    </w:p>
    <w:p w:rsidR="00464F34" w:rsidRPr="00661595" w:rsidRDefault="00125707" w:rsidP="00487A02">
      <w:pPr>
        <w:pStyle w:val="InstructionsText2"/>
        <w:numPr>
          <w:ilvl w:val="0"/>
          <w:numId w:val="0"/>
        </w:numPr>
        <w:ind w:left="1353" w:hanging="360"/>
      </w:pPr>
      <w:r w:rsidRPr="00661595">
        <w:t>b)</w:t>
      </w:r>
      <w:r w:rsidRPr="00661595">
        <w:tab/>
      </w:r>
      <w:r w:rsidR="00464F34" w:rsidRPr="00661595">
        <w:t xml:space="preserve">the amount and type of credit risk mitigation techniques used for mitigating the risks. </w:t>
      </w:r>
    </w:p>
    <w:p w:rsidR="00464F34"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151" w:name="_Toc262568027"/>
      <w:bookmarkStart w:id="152" w:name="_Toc264038425"/>
      <w:bookmarkStart w:id="153" w:name="_Toc292456204"/>
      <w:bookmarkStart w:id="154" w:name="_Toc295829853"/>
      <w:bookmarkStart w:id="155" w:name="_Toc310415019"/>
      <w:bookmarkStart w:id="156" w:name="_Toc360188350"/>
      <w:bookmarkStart w:id="157" w:name="_Toc473560899"/>
      <w:bookmarkStart w:id="158" w:name="_Toc57831539"/>
      <w:r w:rsidRPr="00661595">
        <w:rPr>
          <w:rFonts w:ascii="Times New Roman" w:hAnsi="Times New Roman" w:cs="Times New Roman"/>
          <w:sz w:val="24"/>
          <w:u w:val="none"/>
          <w:lang w:val="en-GB"/>
        </w:rPr>
        <w:t>3.2.2.</w:t>
      </w:r>
      <w:r w:rsidRPr="00661595">
        <w:rPr>
          <w:rFonts w:ascii="Times New Roman" w:hAnsi="Times New Roman" w:cs="Times New Roman"/>
          <w:sz w:val="24"/>
          <w:u w:val="none"/>
          <w:lang w:val="en-GB"/>
        </w:rPr>
        <w:tab/>
      </w:r>
      <w:r w:rsidR="00464F34" w:rsidRPr="00661595">
        <w:rPr>
          <w:rFonts w:ascii="Times New Roman" w:hAnsi="Times New Roman" w:cs="Times New Roman"/>
          <w:sz w:val="24"/>
          <w:lang w:val="en-GB"/>
        </w:rPr>
        <w:t>Scope of the CR SA template</w:t>
      </w:r>
      <w:bookmarkEnd w:id="151"/>
      <w:bookmarkEnd w:id="152"/>
      <w:bookmarkEnd w:id="153"/>
      <w:bookmarkEnd w:id="154"/>
      <w:bookmarkEnd w:id="155"/>
      <w:bookmarkEnd w:id="156"/>
      <w:bookmarkEnd w:id="157"/>
      <w:bookmarkEnd w:id="158"/>
    </w:p>
    <w:p w:rsidR="00464F34" w:rsidRPr="00661595" w:rsidRDefault="00D11E4C" w:rsidP="00487A02">
      <w:pPr>
        <w:pStyle w:val="InstructionsText2"/>
        <w:numPr>
          <w:ilvl w:val="0"/>
          <w:numId w:val="0"/>
        </w:numPr>
        <w:ind w:left="1353" w:hanging="360"/>
      </w:pPr>
      <w:fldSimple w:instr=" seq paragraphs ">
        <w:r w:rsidR="00771068">
          <w:rPr>
            <w:noProof/>
          </w:rPr>
          <w:t>46</w:t>
        </w:r>
      </w:fldSimple>
      <w:r w:rsidR="00125707" w:rsidRPr="00661595">
        <w:t>.</w:t>
      </w:r>
      <w:r w:rsidR="00125707" w:rsidRPr="00661595">
        <w:tab/>
      </w:r>
      <w:r w:rsidR="00BB22D4" w:rsidRPr="00661595">
        <w:t>In accordance with</w:t>
      </w:r>
      <w:r w:rsidR="00464F34" w:rsidRPr="00661595">
        <w:t xml:space="preserve"> Article 112 </w:t>
      </w:r>
      <w:r w:rsidR="00C7103D" w:rsidRPr="00661595">
        <w:t>CRR</w:t>
      </w:r>
      <w:r w:rsidR="00464F34" w:rsidRPr="00661595">
        <w:t xml:space="preserve"> each SA exposure shall be assigned to one of the 16 SA exposure classes to calculate the own funds</w:t>
      </w:r>
      <w:r w:rsidR="00730040" w:rsidRPr="00661595">
        <w:t xml:space="preserve"> </w:t>
      </w:r>
      <w:r w:rsidR="00464F34" w:rsidRPr="00661595">
        <w:t>requirements.</w:t>
      </w:r>
    </w:p>
    <w:p w:rsidR="00464F34" w:rsidRPr="00661595" w:rsidRDefault="00D11E4C" w:rsidP="00487A02">
      <w:pPr>
        <w:pStyle w:val="InstructionsText2"/>
        <w:numPr>
          <w:ilvl w:val="0"/>
          <w:numId w:val="0"/>
        </w:numPr>
        <w:ind w:left="1353" w:hanging="360"/>
      </w:pPr>
      <w:fldSimple w:instr=" seq paragraphs ">
        <w:r w:rsidR="00771068">
          <w:rPr>
            <w:noProof/>
          </w:rPr>
          <w:t>47</w:t>
        </w:r>
      </w:fldSimple>
      <w:r w:rsidR="00125707" w:rsidRPr="00661595">
        <w:t>.</w:t>
      </w:r>
      <w:r w:rsidR="00125707" w:rsidRPr="00661595">
        <w:tab/>
      </w:r>
      <w:r w:rsidR="00464F34" w:rsidRPr="00661595">
        <w:t>The information in CR SA is</w:t>
      </w:r>
      <w:r w:rsidR="00AA7658" w:rsidRPr="00661595">
        <w:t xml:space="preserve"> required</w:t>
      </w:r>
      <w:r w:rsidR="00464F34" w:rsidRPr="00661595">
        <w:t xml:space="preserve"> for the total exposure classes and indivi</w:t>
      </w:r>
      <w:r w:rsidR="00D618CD" w:rsidRPr="00661595">
        <w:softHyphen/>
      </w:r>
      <w:r w:rsidR="00464F34" w:rsidRPr="00661595">
        <w:t xml:space="preserve">dually for each of the exposure classes </w:t>
      </w:r>
      <w:r w:rsidR="00283C5E" w:rsidRPr="00661595">
        <w:t>under</w:t>
      </w:r>
      <w:r w:rsidR="00464F34" w:rsidRPr="00661595">
        <w:t xml:space="preserve"> the </w:t>
      </w:r>
      <w:r w:rsidR="00283C5E" w:rsidRPr="00661595">
        <w:t>S</w:t>
      </w:r>
      <w:r w:rsidR="00464F34" w:rsidRPr="00661595">
        <w:t xml:space="preserve">tandardised </w:t>
      </w:r>
      <w:r w:rsidR="009A4399" w:rsidRPr="00661595">
        <w:t>approach</w:t>
      </w:r>
      <w:r w:rsidR="00464F34" w:rsidRPr="00661595">
        <w:t xml:space="preserve">. The total figures as well as the information of each exposure class are reported in a separate dimension. </w:t>
      </w:r>
    </w:p>
    <w:p w:rsidR="00464F34" w:rsidRPr="00661595" w:rsidRDefault="00D11E4C" w:rsidP="00487A02">
      <w:pPr>
        <w:pStyle w:val="InstructionsText2"/>
        <w:numPr>
          <w:ilvl w:val="0"/>
          <w:numId w:val="0"/>
        </w:numPr>
        <w:ind w:left="1353" w:hanging="360"/>
      </w:pPr>
      <w:fldSimple w:instr=" seq paragraphs ">
        <w:r w:rsidR="00771068">
          <w:rPr>
            <w:noProof/>
          </w:rPr>
          <w:t>48</w:t>
        </w:r>
      </w:fldSimple>
      <w:r w:rsidR="00125707" w:rsidRPr="00661595">
        <w:t>.</w:t>
      </w:r>
      <w:r w:rsidR="00125707" w:rsidRPr="00661595">
        <w:tab/>
      </w:r>
      <w:r w:rsidR="00464F34" w:rsidRPr="00661595">
        <w:t>However the following positions are not within the scope of CR SA:</w:t>
      </w:r>
    </w:p>
    <w:p w:rsidR="00464F34" w:rsidRPr="00661595" w:rsidRDefault="00125707" w:rsidP="00487A02">
      <w:pPr>
        <w:pStyle w:val="InstructionsText2"/>
        <w:numPr>
          <w:ilvl w:val="0"/>
          <w:numId w:val="0"/>
        </w:numPr>
        <w:ind w:left="1353" w:hanging="360"/>
      </w:pPr>
      <w:r w:rsidRPr="00661595">
        <w:t>(a)</w:t>
      </w:r>
      <w:r w:rsidRPr="00661595">
        <w:tab/>
      </w:r>
      <w:r w:rsidR="00464F34" w:rsidRPr="00661595">
        <w:t xml:space="preserve">Exposures assigned to exposure class ‘items representing securitisation positions’ </w:t>
      </w:r>
      <w:r w:rsidR="00283C5E" w:rsidRPr="00661595">
        <w:t xml:space="preserve">as referred to in point (m) of </w:t>
      </w:r>
      <w:r w:rsidR="00464F34" w:rsidRPr="00661595">
        <w:t xml:space="preserve">Article 112 </w:t>
      </w:r>
      <w:r w:rsidR="00C7103D" w:rsidRPr="00661595">
        <w:t>CRR</w:t>
      </w:r>
      <w:r w:rsidR="00D618CD" w:rsidRPr="00661595">
        <w:t>,</w:t>
      </w:r>
      <w:r w:rsidR="00464F34" w:rsidRPr="00661595">
        <w:t xml:space="preserve"> which shall be reported in the CR SEC templates.</w:t>
      </w:r>
    </w:p>
    <w:p w:rsidR="00464F34" w:rsidRPr="00661595" w:rsidRDefault="00125707" w:rsidP="00487A02">
      <w:pPr>
        <w:pStyle w:val="InstructionsText2"/>
        <w:numPr>
          <w:ilvl w:val="0"/>
          <w:numId w:val="0"/>
        </w:numPr>
        <w:ind w:left="1353" w:hanging="360"/>
      </w:pPr>
      <w:r w:rsidRPr="00661595">
        <w:t>(b)</w:t>
      </w:r>
      <w:r w:rsidRPr="00661595">
        <w:tab/>
      </w:r>
      <w:r w:rsidR="00464F34" w:rsidRPr="00661595">
        <w:t>Exposures deducted from own funds.</w:t>
      </w:r>
    </w:p>
    <w:p w:rsidR="00464F34" w:rsidRPr="00661595" w:rsidRDefault="00D11E4C" w:rsidP="00487A02">
      <w:pPr>
        <w:pStyle w:val="InstructionsText2"/>
        <w:numPr>
          <w:ilvl w:val="0"/>
          <w:numId w:val="0"/>
        </w:numPr>
        <w:ind w:left="1353" w:hanging="360"/>
      </w:pPr>
      <w:fldSimple w:instr=" seq paragraphs ">
        <w:r w:rsidR="00771068">
          <w:rPr>
            <w:noProof/>
          </w:rPr>
          <w:t>49</w:t>
        </w:r>
      </w:fldSimple>
      <w:r w:rsidR="00125707" w:rsidRPr="00661595">
        <w:t>.</w:t>
      </w:r>
      <w:r w:rsidR="00125707" w:rsidRPr="00661595">
        <w:tab/>
      </w:r>
      <w:r w:rsidR="00464F34" w:rsidRPr="00661595">
        <w:t xml:space="preserve">The scope of the CR SA template </w:t>
      </w:r>
      <w:r w:rsidR="00283C5E" w:rsidRPr="00661595">
        <w:t xml:space="preserve">shall </w:t>
      </w:r>
      <w:r w:rsidR="00464F34" w:rsidRPr="00661595">
        <w:t>cover the following own funds</w:t>
      </w:r>
      <w:r w:rsidR="00730040" w:rsidRPr="00661595">
        <w:t xml:space="preserve"> </w:t>
      </w:r>
      <w:r w:rsidR="00464F34" w:rsidRPr="00661595">
        <w:t>requirements:</w:t>
      </w:r>
    </w:p>
    <w:p w:rsidR="00464F34" w:rsidRPr="00661595" w:rsidRDefault="00125707" w:rsidP="00487A02">
      <w:pPr>
        <w:pStyle w:val="InstructionsText2"/>
        <w:numPr>
          <w:ilvl w:val="0"/>
          <w:numId w:val="0"/>
        </w:numPr>
        <w:ind w:left="1353" w:hanging="360"/>
      </w:pPr>
      <w:r w:rsidRPr="00661595">
        <w:t>(a)</w:t>
      </w:r>
      <w:r w:rsidRPr="00661595">
        <w:tab/>
      </w:r>
      <w:r w:rsidR="00464F34" w:rsidRPr="00661595">
        <w:t xml:space="preserve">Credit risk in accordance with Chapter 2 (Standardised </w:t>
      </w:r>
      <w:r w:rsidR="009A4399" w:rsidRPr="00661595">
        <w:t>approach</w:t>
      </w:r>
      <w:r w:rsidR="00464F34" w:rsidRPr="00661595">
        <w:t xml:space="preserve">) of Title II of Part Three </w:t>
      </w:r>
      <w:r w:rsidR="00C7103D" w:rsidRPr="00661595">
        <w:t>CRR</w:t>
      </w:r>
      <w:r w:rsidR="00464F34" w:rsidRPr="00661595">
        <w:t xml:space="preserve"> in the banking book, among which Counterparty credit risk in accordance with Chapter</w:t>
      </w:r>
      <w:r w:rsidR="00E32BAE">
        <w:t>s 4 and</w:t>
      </w:r>
      <w:r w:rsidR="00464F34" w:rsidRPr="00661595">
        <w:t xml:space="preserve"> 6 (Counterparty credit risk) of Title II of Part Three </w:t>
      </w:r>
      <w:r w:rsidR="00C7103D" w:rsidRPr="00661595">
        <w:t>CRR</w:t>
      </w:r>
      <w:r w:rsidR="00464F34" w:rsidRPr="00661595">
        <w:t xml:space="preserve"> in the banking book;</w:t>
      </w:r>
    </w:p>
    <w:p w:rsidR="00464F34" w:rsidRPr="00661595" w:rsidRDefault="00125707" w:rsidP="00487A02">
      <w:pPr>
        <w:pStyle w:val="InstructionsText2"/>
        <w:numPr>
          <w:ilvl w:val="0"/>
          <w:numId w:val="0"/>
        </w:numPr>
        <w:ind w:left="1353" w:hanging="360"/>
      </w:pPr>
      <w:r w:rsidRPr="00661595">
        <w:t>(b)</w:t>
      </w:r>
      <w:r w:rsidRPr="00661595">
        <w:tab/>
      </w:r>
      <w:r w:rsidR="00464F34" w:rsidRPr="00661595">
        <w:t>Counterparty credit risk in accordance with Chapter</w:t>
      </w:r>
      <w:r w:rsidR="0029716F" w:rsidRPr="00661595">
        <w:t>s</w:t>
      </w:r>
      <w:r w:rsidR="00BF0637" w:rsidRPr="00661595">
        <w:t xml:space="preserve"> 4 and</w:t>
      </w:r>
      <w:r w:rsidR="00464F34" w:rsidRPr="00661595">
        <w:t xml:space="preserve"> 6 (Counterparty credit risk) of Title II of Part Three </w:t>
      </w:r>
      <w:r w:rsidR="00C7103D" w:rsidRPr="00661595">
        <w:t>CRR</w:t>
      </w:r>
      <w:r w:rsidR="00464F34" w:rsidRPr="00661595">
        <w:t xml:space="preserve"> in the trading book;</w:t>
      </w:r>
    </w:p>
    <w:p w:rsidR="00464F34" w:rsidRPr="00661595" w:rsidRDefault="00125707" w:rsidP="00487A02">
      <w:pPr>
        <w:pStyle w:val="InstructionsText2"/>
        <w:numPr>
          <w:ilvl w:val="0"/>
          <w:numId w:val="0"/>
        </w:numPr>
        <w:ind w:left="1353" w:hanging="360"/>
      </w:pPr>
      <w:r w:rsidRPr="00661595">
        <w:t>(c)</w:t>
      </w:r>
      <w:r w:rsidRPr="00661595">
        <w:tab/>
      </w:r>
      <w:r w:rsidR="00464F34" w:rsidRPr="00661595">
        <w:t xml:space="preserve">Settlement risk arising from free deliveries in accordance with Article 379 </w:t>
      </w:r>
      <w:r w:rsidR="00C7103D" w:rsidRPr="00661595">
        <w:t>CRR</w:t>
      </w:r>
      <w:r w:rsidR="00464F34" w:rsidRPr="00661595">
        <w:t xml:space="preserve"> in respect of all the business activities.</w:t>
      </w:r>
    </w:p>
    <w:p w:rsidR="00464F34" w:rsidRPr="00661595" w:rsidRDefault="00D11E4C" w:rsidP="00487A02">
      <w:pPr>
        <w:pStyle w:val="InstructionsText2"/>
        <w:numPr>
          <w:ilvl w:val="0"/>
          <w:numId w:val="0"/>
        </w:numPr>
        <w:ind w:left="1353" w:hanging="360"/>
      </w:pPr>
      <w:fldSimple w:instr=" seq paragraphs ">
        <w:r w:rsidR="00771068">
          <w:rPr>
            <w:noProof/>
          </w:rPr>
          <w:t>50</w:t>
        </w:r>
      </w:fldSimple>
      <w:r w:rsidR="00125707" w:rsidRPr="00661595">
        <w:t>.</w:t>
      </w:r>
      <w:r w:rsidR="00125707" w:rsidRPr="00661595">
        <w:tab/>
      </w:r>
      <w:r w:rsidR="00464F34" w:rsidRPr="00661595">
        <w:t xml:space="preserve">The template </w:t>
      </w:r>
      <w:r w:rsidR="00283C5E" w:rsidRPr="00661595">
        <w:t xml:space="preserve">shall include </w:t>
      </w:r>
      <w:r w:rsidR="00464F34" w:rsidRPr="00661595">
        <w:t xml:space="preserve">all exposures for which the own funds requirements are calculated </w:t>
      </w:r>
      <w:r w:rsidR="00BB22D4" w:rsidRPr="00661595">
        <w:t>in accordance with</w:t>
      </w:r>
      <w:r w:rsidR="00464F34" w:rsidRPr="00661595">
        <w:t xml:space="preserve"> </w:t>
      </w:r>
      <w:r w:rsidR="00283C5E" w:rsidRPr="00661595">
        <w:t>Chapter 2 of Title II of P</w:t>
      </w:r>
      <w:r w:rsidR="00464F34" w:rsidRPr="00661595">
        <w:t xml:space="preserve">art </w:t>
      </w:r>
      <w:r w:rsidR="00283C5E" w:rsidRPr="00661595">
        <w:t xml:space="preserve">Three </w:t>
      </w:r>
      <w:r w:rsidR="00C7103D" w:rsidRPr="00661595">
        <w:t>CRR</w:t>
      </w:r>
      <w:r w:rsidR="00464F34" w:rsidRPr="00661595">
        <w:t xml:space="preserve"> in conjunction with </w:t>
      </w:r>
      <w:r w:rsidR="00283C5E" w:rsidRPr="00661595">
        <w:t xml:space="preserve">Chapters 4 and </w:t>
      </w:r>
      <w:r w:rsidR="0060043C" w:rsidRPr="00661595">
        <w:t>6</w:t>
      </w:r>
      <w:r w:rsidR="00283C5E" w:rsidRPr="00661595">
        <w:t xml:space="preserve"> of Title II of P</w:t>
      </w:r>
      <w:r w:rsidR="00464F34" w:rsidRPr="00661595">
        <w:t xml:space="preserve">art </w:t>
      </w:r>
      <w:r w:rsidR="00283C5E" w:rsidRPr="00661595">
        <w:t xml:space="preserve">Three </w:t>
      </w:r>
      <w:r w:rsidR="00C7103D" w:rsidRPr="00661595">
        <w:t>CRR</w:t>
      </w:r>
      <w:r w:rsidR="00464F34" w:rsidRPr="00661595">
        <w:t xml:space="preserve">. Institutions that apply Article 94(1) </w:t>
      </w:r>
      <w:r w:rsidR="00C7103D" w:rsidRPr="00661595">
        <w:t>CRR</w:t>
      </w:r>
      <w:r w:rsidR="00464F34" w:rsidRPr="00661595">
        <w:t xml:space="preserve"> also need to report their trading book positions </w:t>
      </w:r>
      <w:r w:rsidR="00BF0637" w:rsidRPr="00661595">
        <w:t xml:space="preserve">referred to in </w:t>
      </w:r>
      <w:r w:rsidR="00922F04" w:rsidRPr="00661595">
        <w:t>point (b) of Article 92(3)</w:t>
      </w:r>
      <w:r w:rsidR="0044539D" w:rsidRPr="00661595">
        <w:t xml:space="preserve"> </w:t>
      </w:r>
      <w:r w:rsidR="00BF0637" w:rsidRPr="00661595">
        <w:t xml:space="preserve">CRR </w:t>
      </w:r>
      <w:r w:rsidR="00464F34" w:rsidRPr="00661595">
        <w:t xml:space="preserve">in this template when they apply </w:t>
      </w:r>
      <w:r w:rsidR="00283C5E" w:rsidRPr="00661595">
        <w:t>Chapter 2 of Title II of P</w:t>
      </w:r>
      <w:r w:rsidR="00464F34" w:rsidRPr="00661595">
        <w:t xml:space="preserve">art </w:t>
      </w:r>
      <w:r w:rsidR="00283C5E" w:rsidRPr="00661595">
        <w:t xml:space="preserve">Three </w:t>
      </w:r>
      <w:r w:rsidR="00C7103D" w:rsidRPr="00661595">
        <w:t>CRR</w:t>
      </w:r>
      <w:r w:rsidR="00464F34" w:rsidRPr="00661595">
        <w:t xml:space="preserve"> to calculate the own funds requirements thereof (</w:t>
      </w:r>
      <w:r w:rsidR="00283C5E" w:rsidRPr="00661595">
        <w:t>Chapters 2 and 6 of Title II of P</w:t>
      </w:r>
      <w:r w:rsidR="00464F34" w:rsidRPr="00661595">
        <w:t xml:space="preserve">art </w:t>
      </w:r>
      <w:r w:rsidR="00283C5E" w:rsidRPr="00661595">
        <w:t>Three</w:t>
      </w:r>
      <w:r w:rsidR="00464F34" w:rsidRPr="00661595">
        <w:t xml:space="preserve"> and </w:t>
      </w:r>
      <w:r w:rsidR="00283C5E" w:rsidRPr="00661595">
        <w:t>T</w:t>
      </w:r>
      <w:r w:rsidR="00464F34" w:rsidRPr="00661595">
        <w:t xml:space="preserve">itle V </w:t>
      </w:r>
      <w:r w:rsidR="00283C5E" w:rsidRPr="00661595">
        <w:t xml:space="preserve">of Part Three </w:t>
      </w:r>
      <w:r w:rsidR="00C7103D" w:rsidRPr="00661595">
        <w:t>CRR</w:t>
      </w:r>
      <w:r w:rsidR="00464F34" w:rsidRPr="00661595">
        <w:t xml:space="preserve">). Therefore the template </w:t>
      </w:r>
      <w:r w:rsidR="00283C5E" w:rsidRPr="00661595">
        <w:t xml:space="preserve">shall </w:t>
      </w:r>
      <w:r w:rsidR="00464F34" w:rsidRPr="00661595">
        <w:t xml:space="preserve">not only </w:t>
      </w:r>
      <w:r w:rsidR="00283C5E" w:rsidRPr="00661595">
        <w:t xml:space="preserve">provide </w:t>
      </w:r>
      <w:r w:rsidR="00464F34" w:rsidRPr="00661595">
        <w:t>detailed information on the type of the exposure (e.g. on balance sheet/ off balance sheet items), but also information on the allocation of risk weights within the respective exposure class.</w:t>
      </w:r>
    </w:p>
    <w:bookmarkStart w:id="159" w:name="_Toc264033212"/>
    <w:bookmarkStart w:id="160" w:name="_Toc294166813"/>
    <w:bookmarkStart w:id="161" w:name="_Toc294256386"/>
    <w:bookmarkStart w:id="162" w:name="_Toc294256487"/>
    <w:bookmarkStart w:id="163" w:name="_Toc294267371"/>
    <w:bookmarkStart w:id="164" w:name="_Toc294267476"/>
    <w:bookmarkStart w:id="165" w:name="_Toc294267607"/>
    <w:bookmarkStart w:id="166" w:name="_Toc294267709"/>
    <w:bookmarkStart w:id="167" w:name="_Toc294274817"/>
    <w:bookmarkStart w:id="168" w:name="_Toc294280261"/>
    <w:bookmarkStart w:id="169" w:name="_Toc294281586"/>
    <w:bookmarkStart w:id="170" w:name="_Toc294281806"/>
    <w:bookmarkStart w:id="171" w:name="_Toc294282020"/>
    <w:bookmarkStart w:id="172" w:name="_Toc294282223"/>
    <w:bookmarkStart w:id="173" w:name="_Toc294714158"/>
    <w:bookmarkStart w:id="174" w:name="_Toc295314184"/>
    <w:bookmarkStart w:id="175" w:name="_Toc295829573"/>
    <w:bookmarkStart w:id="176" w:name="_Toc295829856"/>
    <w:bookmarkStart w:id="177" w:name="_Toc301772744"/>
    <w:bookmarkStart w:id="178" w:name="_Toc301772822"/>
    <w:bookmarkStart w:id="179" w:name="_Toc302657761"/>
    <w:bookmarkStart w:id="180" w:name="_Toc302657880"/>
    <w:bookmarkStart w:id="181" w:name="_Toc307582992"/>
    <w:bookmarkStart w:id="182" w:name="_Toc307583014"/>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p w:rsidR="00464F34" w:rsidRPr="00661595" w:rsidRDefault="0056002D" w:rsidP="00487A02">
      <w:pPr>
        <w:pStyle w:val="InstructionsText2"/>
        <w:numPr>
          <w:ilvl w:val="0"/>
          <w:numId w:val="0"/>
        </w:numPr>
        <w:ind w:left="1353" w:hanging="360"/>
      </w:pPr>
      <w:r>
        <w:fldChar w:fldCharType="begin"/>
      </w:r>
      <w:r>
        <w:instrText xml:space="preserve"> seq paragraphs </w:instrText>
      </w:r>
      <w:r>
        <w:fldChar w:fldCharType="separate"/>
      </w:r>
      <w:r w:rsidR="00771068">
        <w:rPr>
          <w:noProof/>
        </w:rPr>
        <w:t>51</w:t>
      </w:r>
      <w:r>
        <w:fldChar w:fldCharType="end"/>
      </w:r>
      <w:r w:rsidR="00125707" w:rsidRPr="00661595">
        <w:t>.</w:t>
      </w:r>
      <w:r w:rsidR="00125707" w:rsidRPr="00661595">
        <w:tab/>
      </w:r>
      <w:r w:rsidR="00464F34" w:rsidRPr="00661595">
        <w:t>In addition</w:t>
      </w:r>
      <w:r w:rsidR="0060043C" w:rsidRPr="00661595">
        <w:t>,</w:t>
      </w:r>
      <w:r w:rsidR="00464F34" w:rsidRPr="00661595">
        <w:t xml:space="preserve"> CR SA includes memorandum items in rows </w:t>
      </w:r>
      <w:r w:rsidR="00FF15C6" w:rsidRPr="00661595">
        <w:t>0</w:t>
      </w:r>
      <w:r w:rsidR="00CF2D64" w:rsidRPr="00661595">
        <w:t xml:space="preserve">290 </w:t>
      </w:r>
      <w:r w:rsidR="00464F34" w:rsidRPr="00661595">
        <w:t xml:space="preserve">to </w:t>
      </w:r>
      <w:r w:rsidR="00FF15C6" w:rsidRPr="00661595">
        <w:t>0</w:t>
      </w:r>
      <w:r w:rsidR="00CF2D64" w:rsidRPr="00661595">
        <w:t xml:space="preserve">320 </w:t>
      </w:r>
      <w:r w:rsidR="00464F34" w:rsidRPr="00661595">
        <w:t xml:space="preserve">to collect further information about exposures secured by mortgages on immovable property and exposures in default. </w:t>
      </w:r>
    </w:p>
    <w:p w:rsidR="00464F34" w:rsidRPr="00661595" w:rsidRDefault="00D11E4C" w:rsidP="00487A02">
      <w:pPr>
        <w:pStyle w:val="InstructionsText2"/>
        <w:numPr>
          <w:ilvl w:val="0"/>
          <w:numId w:val="0"/>
        </w:numPr>
        <w:ind w:left="1353" w:hanging="360"/>
      </w:pPr>
      <w:fldSimple w:instr=" seq paragraphs ">
        <w:r w:rsidR="00771068">
          <w:rPr>
            <w:noProof/>
          </w:rPr>
          <w:t>52</w:t>
        </w:r>
      </w:fldSimple>
      <w:r w:rsidR="00125707" w:rsidRPr="00661595">
        <w:t>.</w:t>
      </w:r>
      <w:r w:rsidR="00125707" w:rsidRPr="00661595">
        <w:tab/>
      </w:r>
      <w:r w:rsidR="00464F34" w:rsidRPr="00661595">
        <w:t>Th</w:t>
      </w:r>
      <w:r w:rsidR="00283C5E" w:rsidRPr="00661595">
        <w:t>o</w:t>
      </w:r>
      <w:r w:rsidR="00464F34" w:rsidRPr="00661595">
        <w:t xml:space="preserve">se memorandum items shall only be reported for the following exposure classes: </w:t>
      </w:r>
    </w:p>
    <w:p w:rsidR="00464F34" w:rsidRPr="00661595" w:rsidRDefault="00125707" w:rsidP="00487A02">
      <w:pPr>
        <w:pStyle w:val="InstructionsText2"/>
        <w:numPr>
          <w:ilvl w:val="0"/>
          <w:numId w:val="0"/>
        </w:numPr>
        <w:ind w:left="1353" w:hanging="360"/>
      </w:pPr>
      <w:r w:rsidRPr="00661595">
        <w:t>(a)</w:t>
      </w:r>
      <w:r w:rsidRPr="00661595">
        <w:tab/>
      </w:r>
      <w:r w:rsidR="00464F34" w:rsidRPr="00661595">
        <w:t>Central governments or central banks (</w:t>
      </w:r>
      <w:r w:rsidR="00283C5E" w:rsidRPr="00661595">
        <w:t xml:space="preserve">point (a) of </w:t>
      </w:r>
      <w:r w:rsidR="00464F34" w:rsidRPr="00661595">
        <w:t xml:space="preserve">Article 112 </w:t>
      </w:r>
      <w:r w:rsidR="00C7103D" w:rsidRPr="00661595">
        <w:t>CRR</w:t>
      </w:r>
      <w:r w:rsidR="00464F34" w:rsidRPr="00661595">
        <w:t>)</w:t>
      </w:r>
      <w:r w:rsidR="00283C5E" w:rsidRPr="00661595">
        <w:t>;</w:t>
      </w:r>
    </w:p>
    <w:p w:rsidR="00464F34" w:rsidRPr="00661595" w:rsidRDefault="00125707" w:rsidP="00487A02">
      <w:pPr>
        <w:pStyle w:val="InstructionsText2"/>
        <w:numPr>
          <w:ilvl w:val="0"/>
          <w:numId w:val="0"/>
        </w:numPr>
        <w:ind w:left="1353" w:hanging="360"/>
      </w:pPr>
      <w:r w:rsidRPr="00661595">
        <w:t>(b)</w:t>
      </w:r>
      <w:r w:rsidRPr="00661595">
        <w:tab/>
      </w:r>
      <w:r w:rsidR="00464F34" w:rsidRPr="00661595">
        <w:t>Regional governments or local authorities (</w:t>
      </w:r>
      <w:r w:rsidR="00283C5E" w:rsidRPr="00661595">
        <w:t xml:space="preserve">point (b) of </w:t>
      </w:r>
      <w:r w:rsidR="00464F34" w:rsidRPr="00661595">
        <w:t xml:space="preserve">Article 112 </w:t>
      </w:r>
      <w:r w:rsidR="00C7103D" w:rsidRPr="00661595">
        <w:t>CRR</w:t>
      </w:r>
      <w:r w:rsidR="00464F34" w:rsidRPr="00661595">
        <w:t>)</w:t>
      </w:r>
      <w:r w:rsidR="00C44C83" w:rsidRPr="00661595">
        <w:t>;</w:t>
      </w:r>
    </w:p>
    <w:p w:rsidR="00464F34" w:rsidRPr="00661595" w:rsidRDefault="00125707" w:rsidP="00487A02">
      <w:pPr>
        <w:pStyle w:val="InstructionsText2"/>
        <w:numPr>
          <w:ilvl w:val="0"/>
          <w:numId w:val="0"/>
        </w:numPr>
        <w:ind w:left="1353" w:hanging="360"/>
      </w:pPr>
      <w:r w:rsidRPr="00661595">
        <w:t>(c)</w:t>
      </w:r>
      <w:r w:rsidRPr="00661595">
        <w:tab/>
      </w:r>
      <w:r w:rsidR="00464F34" w:rsidRPr="00661595">
        <w:t>Public sector entities (</w:t>
      </w:r>
      <w:r w:rsidR="00283C5E" w:rsidRPr="00661595">
        <w:t xml:space="preserve">point (c) of </w:t>
      </w:r>
      <w:r w:rsidR="00464F34" w:rsidRPr="00661595">
        <w:t xml:space="preserve">Article 112 </w:t>
      </w:r>
      <w:r w:rsidR="00C7103D" w:rsidRPr="00661595">
        <w:t>CRR</w:t>
      </w:r>
      <w:r w:rsidR="00464F34" w:rsidRPr="00661595">
        <w:t>)</w:t>
      </w:r>
      <w:r w:rsidR="00283C5E" w:rsidRPr="00661595">
        <w:t>;</w:t>
      </w:r>
    </w:p>
    <w:p w:rsidR="00464F34" w:rsidRPr="00661595" w:rsidRDefault="00125707" w:rsidP="00487A02">
      <w:pPr>
        <w:pStyle w:val="InstructionsText2"/>
        <w:numPr>
          <w:ilvl w:val="0"/>
          <w:numId w:val="0"/>
        </w:numPr>
        <w:ind w:left="1353" w:hanging="360"/>
      </w:pPr>
      <w:r w:rsidRPr="00661595">
        <w:t>(d)</w:t>
      </w:r>
      <w:r w:rsidRPr="00661595">
        <w:tab/>
      </w:r>
      <w:r w:rsidR="00464F34" w:rsidRPr="00661595">
        <w:t>Institutions (</w:t>
      </w:r>
      <w:r w:rsidR="00283C5E" w:rsidRPr="00661595">
        <w:t xml:space="preserve">point (f) of </w:t>
      </w:r>
      <w:r w:rsidR="00464F34" w:rsidRPr="00661595">
        <w:t xml:space="preserve">Article 112 </w:t>
      </w:r>
      <w:r w:rsidR="00C7103D" w:rsidRPr="00661595">
        <w:t>CRR</w:t>
      </w:r>
      <w:r w:rsidR="00464F34" w:rsidRPr="00661595">
        <w:t>)</w:t>
      </w:r>
      <w:r w:rsidR="00283C5E" w:rsidRPr="00661595">
        <w:t>;</w:t>
      </w:r>
    </w:p>
    <w:p w:rsidR="00464F34" w:rsidRPr="00661595" w:rsidRDefault="00125707" w:rsidP="00487A02">
      <w:pPr>
        <w:pStyle w:val="InstructionsText2"/>
        <w:numPr>
          <w:ilvl w:val="0"/>
          <w:numId w:val="0"/>
        </w:numPr>
        <w:ind w:left="1353" w:hanging="360"/>
      </w:pPr>
      <w:r w:rsidRPr="00661595">
        <w:t>(e)</w:t>
      </w:r>
      <w:r w:rsidRPr="00661595">
        <w:tab/>
      </w:r>
      <w:r w:rsidR="00464F34" w:rsidRPr="00661595">
        <w:t>Corporates (</w:t>
      </w:r>
      <w:r w:rsidR="00283C5E" w:rsidRPr="00661595">
        <w:t xml:space="preserve">point (g) of </w:t>
      </w:r>
      <w:r w:rsidR="00464F34" w:rsidRPr="00661595">
        <w:t xml:space="preserve">Article 112 </w:t>
      </w:r>
      <w:r w:rsidR="00C7103D" w:rsidRPr="00661595">
        <w:t>CRR</w:t>
      </w:r>
      <w:r w:rsidR="00464F34" w:rsidRPr="00661595">
        <w:t>)</w:t>
      </w:r>
      <w:r w:rsidR="00283C5E" w:rsidRPr="00661595">
        <w:t>;</w:t>
      </w:r>
    </w:p>
    <w:p w:rsidR="00464F34" w:rsidRPr="00661595" w:rsidRDefault="00125707" w:rsidP="00487A02">
      <w:pPr>
        <w:pStyle w:val="InstructionsText2"/>
        <w:numPr>
          <w:ilvl w:val="0"/>
          <w:numId w:val="0"/>
        </w:numPr>
        <w:ind w:left="1353" w:hanging="360"/>
      </w:pPr>
      <w:r w:rsidRPr="00661595">
        <w:t>(f)</w:t>
      </w:r>
      <w:r w:rsidRPr="00661595">
        <w:tab/>
      </w:r>
      <w:r w:rsidR="00464F34" w:rsidRPr="00661595">
        <w:t>Retail (</w:t>
      </w:r>
      <w:r w:rsidR="00283C5E" w:rsidRPr="00661595">
        <w:t xml:space="preserve">point (h) of </w:t>
      </w:r>
      <w:r w:rsidR="00464F34" w:rsidRPr="00661595">
        <w:t xml:space="preserve">Article 112 </w:t>
      </w:r>
      <w:r w:rsidR="00C7103D" w:rsidRPr="00661595">
        <w:t>CRR</w:t>
      </w:r>
      <w:r w:rsidR="00464F34" w:rsidRPr="00661595">
        <w:t>).</w:t>
      </w:r>
    </w:p>
    <w:p w:rsidR="00464F34" w:rsidRPr="00661595" w:rsidRDefault="00D11E4C" w:rsidP="00487A02">
      <w:pPr>
        <w:pStyle w:val="InstructionsText2"/>
        <w:numPr>
          <w:ilvl w:val="0"/>
          <w:numId w:val="0"/>
        </w:numPr>
        <w:ind w:left="1353" w:hanging="360"/>
      </w:pPr>
      <w:fldSimple w:instr=" seq paragraphs ">
        <w:r w:rsidR="00771068">
          <w:rPr>
            <w:noProof/>
          </w:rPr>
          <w:t>53</w:t>
        </w:r>
      </w:fldSimple>
      <w:r w:rsidR="00125707" w:rsidRPr="00661595">
        <w:t>.</w:t>
      </w:r>
      <w:r w:rsidR="00125707" w:rsidRPr="00661595">
        <w:tab/>
      </w:r>
      <w:r w:rsidR="00464F34" w:rsidRPr="00661595">
        <w:t xml:space="preserve">The reporting of the memorandum items </w:t>
      </w:r>
      <w:r w:rsidR="00283C5E" w:rsidRPr="00661595">
        <w:t xml:space="preserve">shall </w:t>
      </w:r>
      <w:r w:rsidR="00464F34" w:rsidRPr="00661595">
        <w:t xml:space="preserve">affect neither the calculation of the risk weighted exposure amounts of the exposure classes </w:t>
      </w:r>
      <w:r w:rsidR="00283C5E" w:rsidRPr="00661595">
        <w:t>referred to in</w:t>
      </w:r>
      <w:r w:rsidR="00464F34" w:rsidRPr="00661595">
        <w:t xml:space="preserve"> </w:t>
      </w:r>
      <w:r w:rsidR="00283C5E" w:rsidRPr="00661595">
        <w:t xml:space="preserve">points (a) to (c) and (f) to (h) of </w:t>
      </w:r>
      <w:r w:rsidR="00464F34" w:rsidRPr="00661595">
        <w:t xml:space="preserve">Article 112 </w:t>
      </w:r>
      <w:r w:rsidR="00C7103D" w:rsidRPr="00661595">
        <w:t>CRR</w:t>
      </w:r>
      <w:r w:rsidR="00464F34" w:rsidRPr="00661595">
        <w:t xml:space="preserve"> nor of the exposure classes </w:t>
      </w:r>
      <w:r w:rsidR="00283C5E" w:rsidRPr="00661595">
        <w:t xml:space="preserve">referred to in points (i) and (j) of </w:t>
      </w:r>
      <w:r w:rsidR="00464F34" w:rsidRPr="00661595">
        <w:t xml:space="preserve">Article 112 </w:t>
      </w:r>
      <w:r w:rsidR="00C7103D" w:rsidRPr="00661595">
        <w:t>CRR</w:t>
      </w:r>
      <w:r w:rsidR="00464F34" w:rsidRPr="00661595">
        <w:t xml:space="preserve"> reported in </w:t>
      </w:r>
      <w:r w:rsidR="001C24B0" w:rsidRPr="00661595">
        <w:t xml:space="preserve">template </w:t>
      </w:r>
      <w:r w:rsidR="00464F34" w:rsidRPr="00661595">
        <w:t xml:space="preserve">CR SA. </w:t>
      </w:r>
    </w:p>
    <w:p w:rsidR="00464F34" w:rsidRPr="00661595" w:rsidRDefault="00D11E4C" w:rsidP="00487A02">
      <w:pPr>
        <w:pStyle w:val="InstructionsText2"/>
        <w:numPr>
          <w:ilvl w:val="0"/>
          <w:numId w:val="0"/>
        </w:numPr>
        <w:ind w:left="1353" w:hanging="360"/>
      </w:pPr>
      <w:fldSimple w:instr=" seq paragraphs ">
        <w:r w:rsidR="00771068">
          <w:rPr>
            <w:noProof/>
          </w:rPr>
          <w:t>54</w:t>
        </w:r>
      </w:fldSimple>
      <w:r w:rsidR="00125707" w:rsidRPr="00661595">
        <w:t>.</w:t>
      </w:r>
      <w:r w:rsidR="00125707" w:rsidRPr="00661595">
        <w:tab/>
      </w:r>
      <w:r w:rsidR="00464F34" w:rsidRPr="00661595">
        <w:t xml:space="preserve">The memorandum rows provide additional information about the obligor structure of the exposure classes 'in default' or 'secured by immovable property'. </w:t>
      </w:r>
      <w:r w:rsidR="008932B5" w:rsidRPr="00661595">
        <w:t>E</w:t>
      </w:r>
      <w:r w:rsidR="00464F34" w:rsidRPr="00661595">
        <w:t>xposures shall be reported</w:t>
      </w:r>
      <w:r w:rsidR="003C3168" w:rsidRPr="00661595">
        <w:t xml:space="preserve"> in these rows</w:t>
      </w:r>
      <w:r w:rsidR="00464F34" w:rsidRPr="00661595">
        <w:t xml:space="preserve"> where</w:t>
      </w:r>
      <w:r w:rsidR="00417984" w:rsidRPr="00661595">
        <w:t xml:space="preserve"> </w:t>
      </w:r>
      <w:r w:rsidR="00464F34" w:rsidRPr="00661595">
        <w:t xml:space="preserve">the obligors would have been reported in the exposure classes ‘Central governments or central banks’, ‘Regional governments or local authorities’, ‘Public sector entities’, ‘Institutions’, ‘Corporates’ and ‘Retail’ of CR SA, if those exposures were not assigned to the exposure classes 'in default' or 'secured by immovable property'. </w:t>
      </w:r>
      <w:r w:rsidR="001C24B0" w:rsidRPr="00661595">
        <w:t>T</w:t>
      </w:r>
      <w:r w:rsidR="008932B5" w:rsidRPr="00661595">
        <w:t>he figures reported</w:t>
      </w:r>
      <w:r w:rsidR="001C24B0" w:rsidRPr="00661595">
        <w:t>, however,</w:t>
      </w:r>
      <w:r w:rsidR="008932B5" w:rsidRPr="00661595">
        <w:t xml:space="preserve"> are the same as used to calculate the risk weighted exposure amounts in the exposure classes ‘in default’ or </w:t>
      </w:r>
      <w:r w:rsidR="00F811C6" w:rsidRPr="00661595">
        <w:t>'</w:t>
      </w:r>
      <w:r w:rsidR="008932B5" w:rsidRPr="00661595">
        <w:t>secured by immovable property</w:t>
      </w:r>
      <w:r w:rsidR="00F811C6" w:rsidRPr="00661595">
        <w:t>'</w:t>
      </w:r>
      <w:r w:rsidR="008932B5" w:rsidRPr="00661595">
        <w:t>.</w:t>
      </w:r>
    </w:p>
    <w:p w:rsidR="00464F34" w:rsidRPr="00661595" w:rsidRDefault="00D11E4C" w:rsidP="00487A02">
      <w:pPr>
        <w:pStyle w:val="InstructionsText2"/>
        <w:numPr>
          <w:ilvl w:val="0"/>
          <w:numId w:val="0"/>
        </w:numPr>
        <w:ind w:left="1353" w:hanging="360"/>
      </w:pPr>
      <w:fldSimple w:instr=" seq paragraphs ">
        <w:r w:rsidR="00771068">
          <w:rPr>
            <w:noProof/>
          </w:rPr>
          <w:t>55</w:t>
        </w:r>
      </w:fldSimple>
      <w:r w:rsidR="00125707" w:rsidRPr="00661595">
        <w:t>.</w:t>
      </w:r>
      <w:r w:rsidR="00125707" w:rsidRPr="00661595">
        <w:tab/>
      </w:r>
      <w:r w:rsidR="00464F34" w:rsidRPr="00661595">
        <w:t xml:space="preserve">E.g. if an exposure, the risk exposure amounts of which are calculated </w:t>
      </w:r>
      <w:r w:rsidR="001C24B0" w:rsidRPr="00661595">
        <w:t>in accordance with</w:t>
      </w:r>
      <w:r w:rsidR="00464F34" w:rsidRPr="00661595">
        <w:t xml:space="preserve"> Article 127 </w:t>
      </w:r>
      <w:r w:rsidR="00C7103D" w:rsidRPr="00661595">
        <w:t>CRR</w:t>
      </w:r>
      <w:r w:rsidR="00464F34" w:rsidRPr="00661595">
        <w:t xml:space="preserve"> and the value adjustments are less than 20%, then th</w:t>
      </w:r>
      <w:r w:rsidR="001C24B0" w:rsidRPr="00661595">
        <w:t>at</w:t>
      </w:r>
      <w:r w:rsidR="00464F34" w:rsidRPr="00661595">
        <w:t xml:space="preserve"> information </w:t>
      </w:r>
      <w:r w:rsidR="001C24B0" w:rsidRPr="00661595">
        <w:t xml:space="preserve">shall be </w:t>
      </w:r>
      <w:r w:rsidR="00464F34" w:rsidRPr="00661595">
        <w:t xml:space="preserve">reported in CR SA, row </w:t>
      </w:r>
      <w:r w:rsidR="00FF15C6" w:rsidRPr="00661595">
        <w:t>0</w:t>
      </w:r>
      <w:r w:rsidR="00CF2D64" w:rsidRPr="00661595">
        <w:t xml:space="preserve">320 </w:t>
      </w:r>
      <w:r w:rsidR="00464F34" w:rsidRPr="00661595">
        <w:t>in the total and in the exposure class ‘in default’. If this exposure, before it defaulted, was an exposure to an institution</w:t>
      </w:r>
      <w:r w:rsidR="001C24B0" w:rsidRPr="00661595">
        <w:t>,</w:t>
      </w:r>
      <w:r w:rsidR="00464F34" w:rsidRPr="00661595">
        <w:t xml:space="preserve"> then th</w:t>
      </w:r>
      <w:r w:rsidR="001C24B0" w:rsidRPr="00661595">
        <w:t>at</w:t>
      </w:r>
      <w:r w:rsidR="00464F34" w:rsidRPr="00661595">
        <w:t xml:space="preserve"> information shall also be reported in row </w:t>
      </w:r>
      <w:r w:rsidR="00FF15C6" w:rsidRPr="00661595">
        <w:t>0</w:t>
      </w:r>
      <w:r w:rsidR="00CF2D64" w:rsidRPr="00661595">
        <w:t xml:space="preserve">320 </w:t>
      </w:r>
      <w:r w:rsidR="00464F34" w:rsidRPr="00661595">
        <w:t>of exposure class 'institutions'.</w:t>
      </w:r>
    </w:p>
    <w:p w:rsidR="00464F34"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183" w:name="_Toc262568030"/>
      <w:bookmarkStart w:id="184" w:name="_Toc264038428"/>
      <w:bookmarkStart w:id="185" w:name="_Toc292456207"/>
      <w:bookmarkStart w:id="186" w:name="_Toc295829858"/>
      <w:bookmarkStart w:id="187" w:name="_Toc57831540"/>
      <w:r w:rsidRPr="00661595">
        <w:rPr>
          <w:rFonts w:ascii="Times New Roman" w:hAnsi="Times New Roman" w:cs="Times New Roman"/>
          <w:sz w:val="24"/>
          <w:u w:val="none"/>
          <w:lang w:val="en-GB"/>
        </w:rPr>
        <w:t>3.2.3.</w:t>
      </w:r>
      <w:r w:rsidRPr="00661595">
        <w:rPr>
          <w:rFonts w:ascii="Times New Roman" w:hAnsi="Times New Roman" w:cs="Times New Roman"/>
          <w:sz w:val="24"/>
          <w:u w:val="none"/>
          <w:lang w:val="en-GB"/>
        </w:rPr>
        <w:tab/>
      </w:r>
      <w:r w:rsidR="00464F34" w:rsidRPr="00661595">
        <w:rPr>
          <w:rFonts w:ascii="Times New Roman" w:hAnsi="Times New Roman" w:cs="Times New Roman"/>
          <w:sz w:val="24"/>
          <w:lang w:val="en-GB"/>
        </w:rPr>
        <w:t xml:space="preserve"> </w:t>
      </w:r>
      <w:bookmarkStart w:id="188" w:name="_Toc310415022"/>
      <w:bookmarkStart w:id="189" w:name="_Toc360188351"/>
      <w:bookmarkStart w:id="190" w:name="_Toc473560900"/>
      <w:r w:rsidR="00464F34" w:rsidRPr="00661595">
        <w:rPr>
          <w:rFonts w:ascii="Times New Roman" w:hAnsi="Times New Roman" w:cs="Times New Roman"/>
          <w:sz w:val="24"/>
          <w:lang w:val="en-GB"/>
        </w:rPr>
        <w:t xml:space="preserve">Assignment of exposures to exposure classes under the Standardised </w:t>
      </w:r>
      <w:r w:rsidR="009A4399" w:rsidRPr="00661595">
        <w:rPr>
          <w:rFonts w:ascii="Times New Roman" w:hAnsi="Times New Roman" w:cs="Times New Roman"/>
          <w:sz w:val="24"/>
          <w:lang w:val="en-GB"/>
        </w:rPr>
        <w:t>a</w:t>
      </w:r>
      <w:r w:rsidR="00464F34" w:rsidRPr="00661595">
        <w:rPr>
          <w:rFonts w:ascii="Times New Roman" w:hAnsi="Times New Roman" w:cs="Times New Roman"/>
          <w:sz w:val="24"/>
          <w:lang w:val="en-GB"/>
        </w:rPr>
        <w:t>pproach</w:t>
      </w:r>
      <w:bookmarkEnd w:id="183"/>
      <w:bookmarkEnd w:id="184"/>
      <w:bookmarkEnd w:id="185"/>
      <w:bookmarkEnd w:id="186"/>
      <w:bookmarkEnd w:id="187"/>
      <w:bookmarkEnd w:id="188"/>
      <w:bookmarkEnd w:id="189"/>
      <w:bookmarkEnd w:id="190"/>
    </w:p>
    <w:p w:rsidR="00464F34" w:rsidRPr="00661595" w:rsidRDefault="00D11E4C" w:rsidP="00487A02">
      <w:pPr>
        <w:pStyle w:val="InstructionsText2"/>
        <w:numPr>
          <w:ilvl w:val="0"/>
          <w:numId w:val="0"/>
        </w:numPr>
        <w:ind w:left="1353" w:hanging="360"/>
      </w:pPr>
      <w:fldSimple w:instr=" seq paragraphs ">
        <w:r w:rsidR="00771068">
          <w:rPr>
            <w:noProof/>
          </w:rPr>
          <w:t>56</w:t>
        </w:r>
      </w:fldSimple>
      <w:r w:rsidR="00125707" w:rsidRPr="00661595">
        <w:t>.</w:t>
      </w:r>
      <w:r w:rsidR="00125707" w:rsidRPr="00661595">
        <w:tab/>
      </w:r>
      <w:r w:rsidR="00464F34" w:rsidRPr="00661595">
        <w:t xml:space="preserve">In order to ensure a consistent categorisation of exposures into the different exposure classes </w:t>
      </w:r>
      <w:r w:rsidR="007574C3" w:rsidRPr="00661595">
        <w:t>referred to</w:t>
      </w:r>
      <w:r w:rsidR="00464F34" w:rsidRPr="00661595">
        <w:t xml:space="preserve"> in Article 112 </w:t>
      </w:r>
      <w:r w:rsidR="00C7103D" w:rsidRPr="00661595">
        <w:t>CRR</w:t>
      </w:r>
      <w:r w:rsidR="00464F34" w:rsidRPr="00661595">
        <w:t xml:space="preserve"> the following sequential approach shall</w:t>
      </w:r>
      <w:r w:rsidR="00730040" w:rsidRPr="00661595">
        <w:t xml:space="preserve"> </w:t>
      </w:r>
      <w:r w:rsidR="00464F34" w:rsidRPr="00661595">
        <w:t xml:space="preserve">be applied: </w:t>
      </w:r>
    </w:p>
    <w:p w:rsidR="00464F34" w:rsidRPr="00661595" w:rsidRDefault="00125707" w:rsidP="00487A02">
      <w:pPr>
        <w:pStyle w:val="InstructionsText2"/>
        <w:numPr>
          <w:ilvl w:val="0"/>
          <w:numId w:val="0"/>
        </w:numPr>
        <w:ind w:left="1353" w:hanging="360"/>
      </w:pPr>
      <w:r w:rsidRPr="00661595">
        <w:t>(a)</w:t>
      </w:r>
      <w:r w:rsidRPr="00661595">
        <w:tab/>
      </w:r>
      <w:r w:rsidR="00464F34" w:rsidRPr="00661595">
        <w:t xml:space="preserve">In </w:t>
      </w:r>
      <w:r w:rsidR="007574C3" w:rsidRPr="00661595">
        <w:t xml:space="preserve">a </w:t>
      </w:r>
      <w:r w:rsidR="00464F34" w:rsidRPr="00661595">
        <w:t>first step</w:t>
      </w:r>
      <w:r w:rsidR="007574C3" w:rsidRPr="00661595">
        <w:t>,</w:t>
      </w:r>
      <w:r w:rsidR="00464F34" w:rsidRPr="00661595">
        <w:t xml:space="preserve"> the Original exposure pre</w:t>
      </w:r>
      <w:r w:rsidR="007574C3" w:rsidRPr="00661595">
        <w:t>-</w:t>
      </w:r>
      <w:r w:rsidR="00464F34" w:rsidRPr="00661595">
        <w:t xml:space="preserve">conversion factors </w:t>
      </w:r>
      <w:r w:rsidR="007574C3" w:rsidRPr="00661595">
        <w:t xml:space="preserve">shall be </w:t>
      </w:r>
      <w:r w:rsidR="00464F34" w:rsidRPr="00661595">
        <w:t xml:space="preserve">classified into the corresponding (original) exposure class referred to in Article 112 </w:t>
      </w:r>
      <w:r w:rsidR="00C7103D" w:rsidRPr="00661595">
        <w:t>CRR</w:t>
      </w:r>
      <w:r w:rsidR="00464F34" w:rsidRPr="00661595">
        <w:t xml:space="preserve">, without prejudice to the specific treatment (risk weight) that each specific exposure </w:t>
      </w:r>
      <w:r w:rsidR="00B811B0" w:rsidRPr="00661595">
        <w:t>shall</w:t>
      </w:r>
      <w:r w:rsidR="00464F34" w:rsidRPr="00661595">
        <w:t xml:space="preserve"> receive within the assigned exposure class.</w:t>
      </w:r>
    </w:p>
    <w:p w:rsidR="00464F34" w:rsidRPr="00661595" w:rsidRDefault="00125707" w:rsidP="00487A02">
      <w:pPr>
        <w:pStyle w:val="InstructionsText2"/>
        <w:numPr>
          <w:ilvl w:val="0"/>
          <w:numId w:val="0"/>
        </w:numPr>
        <w:ind w:left="1353" w:hanging="360"/>
      </w:pPr>
      <w:r w:rsidRPr="00661595">
        <w:t>(b)</w:t>
      </w:r>
      <w:r w:rsidRPr="00661595">
        <w:tab/>
      </w:r>
      <w:r w:rsidR="00464F34" w:rsidRPr="00661595">
        <w:t>In a second step the exposures may be redistributed to other exposure classes due to the application of credit risk mitigation (CRM) techniques with substitution effects on the exposure (e.g. guarantees, credit derivatives, financial collateral simple method) via inflows and outflows.</w:t>
      </w:r>
    </w:p>
    <w:p w:rsidR="00464F34" w:rsidRPr="00661595" w:rsidRDefault="00D11E4C" w:rsidP="00487A02">
      <w:pPr>
        <w:pStyle w:val="InstructionsText2"/>
        <w:numPr>
          <w:ilvl w:val="0"/>
          <w:numId w:val="0"/>
        </w:numPr>
        <w:ind w:left="1353" w:hanging="360"/>
      </w:pPr>
      <w:fldSimple w:instr=" seq paragraphs ">
        <w:r w:rsidR="00771068">
          <w:rPr>
            <w:noProof/>
          </w:rPr>
          <w:t>57</w:t>
        </w:r>
      </w:fldSimple>
      <w:r w:rsidR="00125707" w:rsidRPr="00661595">
        <w:t>.</w:t>
      </w:r>
      <w:r w:rsidR="00125707" w:rsidRPr="00661595">
        <w:tab/>
      </w:r>
      <w:r w:rsidR="00464F34" w:rsidRPr="00661595">
        <w:t xml:space="preserve">The following criteria </w:t>
      </w:r>
      <w:r w:rsidR="007574C3" w:rsidRPr="00661595">
        <w:t xml:space="preserve">shall </w:t>
      </w:r>
      <w:r w:rsidR="00464F34" w:rsidRPr="00661595">
        <w:t xml:space="preserve">apply </w:t>
      </w:r>
      <w:r w:rsidR="007574C3" w:rsidRPr="00661595">
        <w:t xml:space="preserve">to </w:t>
      </w:r>
      <w:r w:rsidR="00464F34" w:rsidRPr="00661595">
        <w:t>for the classification of the Original exposure pre</w:t>
      </w:r>
      <w:r w:rsidR="007574C3" w:rsidRPr="00661595">
        <w:t>-</w:t>
      </w:r>
      <w:r w:rsidR="00464F34" w:rsidRPr="00661595">
        <w:t xml:space="preserve">conversion factors into the different exposure classes (first step) without prejudice to the subsequent redistribution caused by the use of CRM techniques with substitution effects on the exposure or to the treatment (risk weight) that each specific exposure </w:t>
      </w:r>
      <w:r w:rsidR="00C93697" w:rsidRPr="00661595">
        <w:t>shall</w:t>
      </w:r>
      <w:r w:rsidR="00464F34" w:rsidRPr="00661595">
        <w:t xml:space="preserve"> receive within the assigned exposure class.</w:t>
      </w:r>
    </w:p>
    <w:p w:rsidR="00464F34" w:rsidRPr="00661595" w:rsidRDefault="00D11E4C" w:rsidP="00487A02">
      <w:pPr>
        <w:pStyle w:val="InstructionsText2"/>
        <w:numPr>
          <w:ilvl w:val="0"/>
          <w:numId w:val="0"/>
        </w:numPr>
        <w:ind w:left="1353" w:hanging="360"/>
      </w:pPr>
      <w:fldSimple w:instr=" seq paragraphs ">
        <w:r w:rsidR="00771068">
          <w:rPr>
            <w:noProof/>
          </w:rPr>
          <w:t>58</w:t>
        </w:r>
      </w:fldSimple>
      <w:r w:rsidR="00125707" w:rsidRPr="00661595">
        <w:t>.</w:t>
      </w:r>
      <w:r w:rsidR="00125707" w:rsidRPr="00661595">
        <w:tab/>
      </w:r>
      <w:r w:rsidR="00464F34" w:rsidRPr="00661595">
        <w:t>For the purpose of classifying the original exposure pre</w:t>
      </w:r>
      <w:r w:rsidR="007574C3" w:rsidRPr="00661595">
        <w:t>-</w:t>
      </w:r>
      <w:r w:rsidR="00464F34" w:rsidRPr="00661595">
        <w:t xml:space="preserve">conversion factor in the first step, the CRM techniques associated to the exposure shall not be considered (note that they </w:t>
      </w:r>
      <w:r w:rsidR="00B811B0" w:rsidRPr="00661595">
        <w:t>shall</w:t>
      </w:r>
      <w:r w:rsidR="00464F34" w:rsidRPr="00661595">
        <w:t xml:space="preserve"> be considered explicitly in the second phase) unless a protection effect is intrinsically part of the definition of an exposure class as it is the case in the exposure class </w:t>
      </w:r>
      <w:r w:rsidR="007574C3" w:rsidRPr="00661595">
        <w:t xml:space="preserve">referred to in point (i) of </w:t>
      </w:r>
      <w:r w:rsidR="00464F34" w:rsidRPr="00661595">
        <w:t xml:space="preserve">Article 112 </w:t>
      </w:r>
      <w:r w:rsidR="00C7103D" w:rsidRPr="00661595">
        <w:t>CRR</w:t>
      </w:r>
      <w:r w:rsidR="00464F34" w:rsidRPr="00661595">
        <w:t xml:space="preserve"> (exposures secured by mortgages on immovable property).</w:t>
      </w:r>
    </w:p>
    <w:p w:rsidR="00464F34" w:rsidRPr="00661595" w:rsidRDefault="00D11E4C" w:rsidP="00487A02">
      <w:pPr>
        <w:pStyle w:val="InstructionsText2"/>
        <w:numPr>
          <w:ilvl w:val="0"/>
          <w:numId w:val="0"/>
        </w:numPr>
        <w:ind w:left="1353" w:hanging="360"/>
      </w:pPr>
      <w:fldSimple w:instr=" seq paragraphs ">
        <w:r w:rsidR="00771068">
          <w:rPr>
            <w:noProof/>
          </w:rPr>
          <w:t>59</w:t>
        </w:r>
      </w:fldSimple>
      <w:r w:rsidR="00125707" w:rsidRPr="00661595">
        <w:t>.</w:t>
      </w:r>
      <w:r w:rsidR="00125707" w:rsidRPr="00661595">
        <w:tab/>
      </w:r>
      <w:r w:rsidR="00464F34" w:rsidRPr="00661595">
        <w:t xml:space="preserve">Article 112 </w:t>
      </w:r>
      <w:r w:rsidR="00C7103D" w:rsidRPr="00661595">
        <w:t>CRR</w:t>
      </w:r>
      <w:r w:rsidR="00464F34" w:rsidRPr="00661595">
        <w:t xml:space="preserve"> does not provide criteria for disjoining the exposure classes. This might imply that one exposure could potentially be classified in different exposure classes if no prioritisation in the assessment criteria for the classification is provided. The most obvious </w:t>
      </w:r>
      <w:r w:rsidR="00C93697" w:rsidRPr="00661595">
        <w:t>case</w:t>
      </w:r>
      <w:r w:rsidR="00464F34" w:rsidRPr="00661595">
        <w:t xml:space="preserve"> arises between exposures to institutions and corporate with a short-term credit assessment (</w:t>
      </w:r>
      <w:r w:rsidR="007574C3" w:rsidRPr="00661595">
        <w:t xml:space="preserve">point (n) of </w:t>
      </w:r>
      <w:r w:rsidR="00464F34" w:rsidRPr="00661595">
        <w:t xml:space="preserve">Article 112 </w:t>
      </w:r>
      <w:r w:rsidR="00C7103D" w:rsidRPr="00661595">
        <w:t>CRR</w:t>
      </w:r>
      <w:r w:rsidR="00464F34" w:rsidRPr="00661595">
        <w:t>) and exposures to institutions (</w:t>
      </w:r>
      <w:r w:rsidR="007574C3" w:rsidRPr="00661595">
        <w:t xml:space="preserve">point (f) of </w:t>
      </w:r>
      <w:r w:rsidR="00464F34" w:rsidRPr="00661595">
        <w:t xml:space="preserve">Article 112 </w:t>
      </w:r>
      <w:r w:rsidR="00C7103D" w:rsidRPr="00661595">
        <w:t>CRR</w:t>
      </w:r>
      <w:r w:rsidR="00464F34" w:rsidRPr="00661595">
        <w:t>)/ exposures to corporates (</w:t>
      </w:r>
      <w:r w:rsidR="007574C3" w:rsidRPr="00661595">
        <w:t xml:space="preserve">point (g) of </w:t>
      </w:r>
      <w:r w:rsidR="00464F34" w:rsidRPr="00661595">
        <w:t xml:space="preserve">Article 112 </w:t>
      </w:r>
      <w:r w:rsidR="00C7103D" w:rsidRPr="00661595">
        <w:t>CRR</w:t>
      </w:r>
      <w:r w:rsidR="00464F34" w:rsidRPr="00661595">
        <w:t>). In th</w:t>
      </w:r>
      <w:r w:rsidR="007574C3" w:rsidRPr="00661595">
        <w:t>at</w:t>
      </w:r>
      <w:r w:rsidR="00464F34" w:rsidRPr="00661595">
        <w:t xml:space="preserve"> </w:t>
      </w:r>
      <w:r w:rsidR="00C93697" w:rsidRPr="00661595">
        <w:t>case</w:t>
      </w:r>
      <w:r w:rsidR="007574C3" w:rsidRPr="00661595">
        <w:t>,</w:t>
      </w:r>
      <w:r w:rsidR="00464F34" w:rsidRPr="00661595">
        <w:t xml:space="preserve"> it is clear that there is an implicit prioritisation in CRR since it </w:t>
      </w:r>
      <w:r w:rsidR="00C93697" w:rsidRPr="00661595">
        <w:t>shall</w:t>
      </w:r>
      <w:r w:rsidR="00464F34" w:rsidRPr="00661595">
        <w:t xml:space="preserve"> be assessed first if a certain exposure </w:t>
      </w:r>
      <w:r w:rsidR="007574C3" w:rsidRPr="00661595">
        <w:t xml:space="preserve">is </w:t>
      </w:r>
      <w:r w:rsidR="00464F34" w:rsidRPr="00661595">
        <w:t>fit for being assigned to Short-term exposures to institutions and corporate</w:t>
      </w:r>
      <w:r w:rsidR="007574C3" w:rsidRPr="00661595">
        <w:t>s</w:t>
      </w:r>
      <w:r w:rsidR="00464F34" w:rsidRPr="00661595">
        <w:t xml:space="preserve"> and only afterwards </w:t>
      </w:r>
      <w:r w:rsidR="00CA21CA" w:rsidRPr="00661595">
        <w:t xml:space="preserve">assessed if it fits </w:t>
      </w:r>
      <w:r w:rsidR="00464F34" w:rsidRPr="00661595">
        <w:t xml:space="preserve">for </w:t>
      </w:r>
      <w:r w:rsidR="00CA21CA" w:rsidRPr="00661595">
        <w:t xml:space="preserve">being assigned to </w:t>
      </w:r>
      <w:r w:rsidR="00464F34" w:rsidRPr="00661595">
        <w:t xml:space="preserve">exposures to institutions </w:t>
      </w:r>
      <w:r w:rsidR="00CA21CA" w:rsidRPr="00661595">
        <w:t xml:space="preserve">or </w:t>
      </w:r>
      <w:r w:rsidR="00464F34" w:rsidRPr="00661595">
        <w:t xml:space="preserve">exposures to corporates. Otherwise it is obvious that the exposure class </w:t>
      </w:r>
      <w:r w:rsidR="007574C3" w:rsidRPr="00661595">
        <w:t xml:space="preserve">referred to </w:t>
      </w:r>
      <w:r w:rsidR="00464F34" w:rsidRPr="00661595">
        <w:t xml:space="preserve">in </w:t>
      </w:r>
      <w:r w:rsidR="007574C3" w:rsidRPr="00661595">
        <w:t xml:space="preserve">point (n) of </w:t>
      </w:r>
      <w:r w:rsidR="00464F34" w:rsidRPr="00661595">
        <w:t xml:space="preserve">Article 112 </w:t>
      </w:r>
      <w:r w:rsidR="00C7103D" w:rsidRPr="00661595">
        <w:t>CRR</w:t>
      </w:r>
      <w:r w:rsidR="00464F34" w:rsidRPr="00661595">
        <w:t xml:space="preserve"> </w:t>
      </w:r>
      <w:r w:rsidR="00B811B0" w:rsidRPr="00661595">
        <w:t>shall</w:t>
      </w:r>
      <w:r w:rsidR="00464F34" w:rsidRPr="00661595">
        <w:t xml:space="preserve"> never be assigned an exposure. The example provided is one of the most obvious examples but </w:t>
      </w:r>
      <w:r w:rsidR="00CA21CA" w:rsidRPr="00661595">
        <w:t xml:space="preserve">is </w:t>
      </w:r>
      <w:r w:rsidR="00464F34" w:rsidRPr="00661595">
        <w:t xml:space="preserve">not the only one. It is worth noting that the criteria used for establishing the exposure classes under the </w:t>
      </w:r>
      <w:r w:rsidR="00CA21CA" w:rsidRPr="00661595">
        <w:t>S</w:t>
      </w:r>
      <w:r w:rsidR="00464F34" w:rsidRPr="00661595">
        <w:t xml:space="preserve">tandardised </w:t>
      </w:r>
      <w:r w:rsidR="009A4399" w:rsidRPr="00661595">
        <w:t xml:space="preserve">approach </w:t>
      </w:r>
      <w:r w:rsidR="00464F34" w:rsidRPr="00661595">
        <w:t xml:space="preserve">are different (institutional categorisation, term of the exposure, past due status, etc.) which is the underlying reason for </w:t>
      </w:r>
      <w:r w:rsidR="00167619" w:rsidRPr="00661595">
        <w:t>non-disjoint</w:t>
      </w:r>
      <w:r w:rsidR="00464F34" w:rsidRPr="00661595">
        <w:t xml:space="preserve"> groupings.</w:t>
      </w:r>
    </w:p>
    <w:p w:rsidR="00464F34" w:rsidRPr="00661595" w:rsidRDefault="00D11E4C" w:rsidP="00487A02">
      <w:pPr>
        <w:pStyle w:val="InstructionsText2"/>
        <w:numPr>
          <w:ilvl w:val="0"/>
          <w:numId w:val="0"/>
        </w:numPr>
        <w:ind w:left="1353" w:hanging="360"/>
      </w:pPr>
      <w:fldSimple w:instr=" seq paragraphs ">
        <w:r w:rsidR="00771068">
          <w:rPr>
            <w:noProof/>
          </w:rPr>
          <w:t>60</w:t>
        </w:r>
      </w:fldSimple>
      <w:r w:rsidR="00125707" w:rsidRPr="00661595">
        <w:t>.</w:t>
      </w:r>
      <w:r w:rsidR="00125707" w:rsidRPr="00661595">
        <w:tab/>
      </w:r>
      <w:r w:rsidR="00464F34" w:rsidRPr="00661595">
        <w:t>For a homogeneous and comparable reporting it is necessary to specify prioritisation assessment criteria for the assignment of the Original exposure pre</w:t>
      </w:r>
      <w:r w:rsidR="007574C3" w:rsidRPr="00661595">
        <w:t>-</w:t>
      </w:r>
      <w:r w:rsidR="00464F34" w:rsidRPr="00661595">
        <w:t xml:space="preserve">conversion factor by exposure classes, without prejudice to the specific treatment (risk weight) that each specific exposure </w:t>
      </w:r>
      <w:r w:rsidR="00C93697" w:rsidRPr="00661595">
        <w:t>shall</w:t>
      </w:r>
      <w:r w:rsidR="00464F34" w:rsidRPr="00661595">
        <w:t xml:space="preserve"> receive within the assigned exposure class. The prioritisation criteria presented below</w:t>
      </w:r>
      <w:r w:rsidR="00CA21CA" w:rsidRPr="00661595">
        <w:t>,</w:t>
      </w:r>
      <w:r w:rsidR="00464F34" w:rsidRPr="00661595">
        <w:t xml:space="preserve"> using a decision tree scheme</w:t>
      </w:r>
      <w:r w:rsidR="00CA21CA" w:rsidRPr="00661595">
        <w:t>,</w:t>
      </w:r>
      <w:r w:rsidR="00464F34" w:rsidRPr="00661595">
        <w:t xml:space="preserve"> are based on the assessment of the conditions explicitly laid down in CRR for an exposure to fit in a certain exposure class and, if </w:t>
      </w:r>
      <w:r w:rsidR="00CA21CA" w:rsidRPr="00661595">
        <w:t xml:space="preserve">that </w:t>
      </w:r>
      <w:r w:rsidR="00464F34" w:rsidRPr="00661595">
        <w:t xml:space="preserve">is the case, on any decision on the part of the reporting institutions or the supervisor on the applicability of certain exposure classes. </w:t>
      </w:r>
      <w:r w:rsidR="00CA21CA" w:rsidRPr="00661595">
        <w:t>Therefore</w:t>
      </w:r>
      <w:r w:rsidR="00464F34" w:rsidRPr="00661595">
        <w:t xml:space="preserve">, the outcome of the exposure assignment process for reporting purposes </w:t>
      </w:r>
      <w:r w:rsidR="00CA21CA" w:rsidRPr="00661595">
        <w:t xml:space="preserve">shall </w:t>
      </w:r>
      <w:r w:rsidR="00464F34" w:rsidRPr="00661595">
        <w:t>be in line with CRR provisions. Th</w:t>
      </w:r>
      <w:r w:rsidR="00CA21CA" w:rsidRPr="00661595">
        <w:t>at</w:t>
      </w:r>
      <w:r w:rsidR="00464F34" w:rsidRPr="00661595">
        <w:t xml:space="preserve"> does not </w:t>
      </w:r>
      <w:r w:rsidR="00CA21CA" w:rsidRPr="00661595">
        <w:t xml:space="preserve">prohibit </w:t>
      </w:r>
      <w:r w:rsidR="00464F34" w:rsidRPr="00661595">
        <w:t xml:space="preserve">institutions </w:t>
      </w:r>
      <w:r w:rsidR="00167619" w:rsidRPr="00661595">
        <w:t>from</w:t>
      </w:r>
      <w:r w:rsidR="00464F34" w:rsidRPr="00661595">
        <w:t xml:space="preserve"> apply</w:t>
      </w:r>
      <w:r w:rsidR="00167619" w:rsidRPr="00661595">
        <w:t>ing</w:t>
      </w:r>
      <w:r w:rsidR="00464F34" w:rsidRPr="00661595">
        <w:t xml:space="preserve"> other internal assignment procedures that may also be consistent with all relevant CRR provisions and its interpretations issued by the appropriate fora.</w:t>
      </w:r>
    </w:p>
    <w:p w:rsidR="00464F34" w:rsidRPr="00661595" w:rsidRDefault="00D11E4C" w:rsidP="00487A02">
      <w:pPr>
        <w:pStyle w:val="InstructionsText2"/>
        <w:numPr>
          <w:ilvl w:val="0"/>
          <w:numId w:val="0"/>
        </w:numPr>
        <w:ind w:left="1353" w:hanging="360"/>
      </w:pPr>
      <w:fldSimple w:instr=" seq paragraphs ">
        <w:r w:rsidR="00771068">
          <w:rPr>
            <w:noProof/>
          </w:rPr>
          <w:t>61</w:t>
        </w:r>
      </w:fldSimple>
      <w:r w:rsidR="00125707" w:rsidRPr="00661595">
        <w:t>.</w:t>
      </w:r>
      <w:r w:rsidR="00125707" w:rsidRPr="00661595">
        <w:tab/>
      </w:r>
      <w:r w:rsidR="00464F34" w:rsidRPr="00661595">
        <w:t xml:space="preserve">An exposure class </w:t>
      </w:r>
      <w:r w:rsidR="00B811B0" w:rsidRPr="00661595">
        <w:t>shall</w:t>
      </w:r>
      <w:r w:rsidR="00464F34" w:rsidRPr="00661595">
        <w:t xml:space="preserve"> be given priority to others in the assessment ranking in the decision tree (i.e. it </w:t>
      </w:r>
      <w:r w:rsidR="00B811B0" w:rsidRPr="00661595">
        <w:t>shall</w:t>
      </w:r>
      <w:r w:rsidR="00464F34" w:rsidRPr="00661595">
        <w:t xml:space="preserve"> be first assessed if an exposure can be assigned to </w:t>
      </w:r>
      <w:r w:rsidR="00CA21CA" w:rsidRPr="00661595">
        <w:t>an exposure class</w:t>
      </w:r>
      <w:r w:rsidR="00464F34" w:rsidRPr="00661595">
        <w:t>, without prejudice to the outcome of that assessment) if otherwise no exposures would potentially be assigned to it. Th</w:t>
      </w:r>
      <w:r w:rsidR="00CA21CA" w:rsidRPr="00661595">
        <w:t>at</w:t>
      </w:r>
      <w:r w:rsidR="00464F34" w:rsidRPr="00661595">
        <w:t xml:space="preserve"> </w:t>
      </w:r>
      <w:r w:rsidR="00CA21CA" w:rsidRPr="00661595">
        <w:t xml:space="preserve">will </w:t>
      </w:r>
      <w:r w:rsidR="00464F34" w:rsidRPr="00661595">
        <w:t>be the case whe</w:t>
      </w:r>
      <w:r w:rsidR="00167619" w:rsidRPr="00661595">
        <w:t>re</w:t>
      </w:r>
      <w:r w:rsidR="00464F34" w:rsidRPr="00661595">
        <w:t xml:space="preserve"> in the absence of prioritisation criteria one exposure class </w:t>
      </w:r>
      <w:r w:rsidR="00CA21CA" w:rsidRPr="00661595">
        <w:t>is</w:t>
      </w:r>
      <w:r w:rsidR="00464F34" w:rsidRPr="00661595">
        <w:t xml:space="preserve"> a subset of others. </w:t>
      </w:r>
      <w:r w:rsidR="00CA21CA" w:rsidRPr="00661595">
        <w:t>Therefore,</w:t>
      </w:r>
      <w:r w:rsidR="00464F34" w:rsidRPr="00661595">
        <w:t xml:space="preserve"> the criteria graphically depicted in the following decision tree would work on a sequential process.</w:t>
      </w:r>
    </w:p>
    <w:p w:rsidR="00464F34" w:rsidRPr="00661595" w:rsidRDefault="00D11E4C" w:rsidP="00487A02">
      <w:pPr>
        <w:pStyle w:val="InstructionsText2"/>
        <w:numPr>
          <w:ilvl w:val="0"/>
          <w:numId w:val="0"/>
        </w:numPr>
        <w:ind w:left="1353" w:hanging="360"/>
      </w:pPr>
      <w:fldSimple w:instr=" seq paragraphs ">
        <w:r w:rsidR="00771068">
          <w:rPr>
            <w:noProof/>
          </w:rPr>
          <w:t>62</w:t>
        </w:r>
      </w:fldSimple>
      <w:r w:rsidR="00125707" w:rsidRPr="00661595">
        <w:t>.</w:t>
      </w:r>
      <w:r w:rsidR="00125707" w:rsidRPr="00661595">
        <w:tab/>
      </w:r>
      <w:r w:rsidR="00464F34" w:rsidRPr="00661595">
        <w:t xml:space="preserve">With this background the assessment ranking in the decision tree mentioned </w:t>
      </w:r>
      <w:r w:rsidR="001C7AB7" w:rsidRPr="00661595">
        <w:t>below</w:t>
      </w:r>
      <w:r w:rsidR="00464F34" w:rsidRPr="00661595">
        <w:t xml:space="preserve"> </w:t>
      </w:r>
      <w:r w:rsidR="00CA21CA" w:rsidRPr="00661595">
        <w:t xml:space="preserve">shall </w:t>
      </w:r>
      <w:r w:rsidR="00464F34" w:rsidRPr="00661595">
        <w:t xml:space="preserve">follow </w:t>
      </w:r>
      <w:r w:rsidR="001C7AB7" w:rsidRPr="00661595">
        <w:t>the following</w:t>
      </w:r>
      <w:r w:rsidR="00464F34" w:rsidRPr="00661595">
        <w:t xml:space="preserve"> order:</w:t>
      </w:r>
    </w:p>
    <w:p w:rsidR="00464F34" w:rsidRPr="00661595" w:rsidRDefault="00464F34" w:rsidP="00487A02">
      <w:pPr>
        <w:pStyle w:val="InstructionsText"/>
      </w:pPr>
      <w:r w:rsidRPr="00661595">
        <w:t>1. Securitisation positions;</w:t>
      </w:r>
    </w:p>
    <w:p w:rsidR="00464F34" w:rsidRPr="00661595" w:rsidRDefault="00464F34" w:rsidP="00487A02">
      <w:pPr>
        <w:pStyle w:val="InstructionsText"/>
      </w:pPr>
      <w:r w:rsidRPr="00661595">
        <w:t>2. Items associated with particular high risk;</w:t>
      </w:r>
    </w:p>
    <w:p w:rsidR="00464F34" w:rsidRPr="00661595" w:rsidRDefault="00464F34" w:rsidP="00487A02">
      <w:pPr>
        <w:pStyle w:val="InstructionsText"/>
      </w:pPr>
      <w:r w:rsidRPr="00661595">
        <w:t>3. Equity exposures</w:t>
      </w:r>
    </w:p>
    <w:p w:rsidR="00464F34" w:rsidRPr="00661595" w:rsidRDefault="00464F34" w:rsidP="00487A02">
      <w:pPr>
        <w:pStyle w:val="InstructionsText"/>
      </w:pPr>
      <w:r w:rsidRPr="00661595">
        <w:t>4. Exposures in default;</w:t>
      </w:r>
    </w:p>
    <w:p w:rsidR="00464F34" w:rsidRPr="00661595" w:rsidRDefault="00464F34" w:rsidP="00487A02">
      <w:pPr>
        <w:pStyle w:val="InstructionsText"/>
      </w:pPr>
      <w:r w:rsidRPr="00661595">
        <w:t xml:space="preserve">5. Exposures in the form of </w:t>
      </w:r>
      <w:r w:rsidR="000F2EC8" w:rsidRPr="00661595">
        <w:t xml:space="preserve">units or shares in </w:t>
      </w:r>
      <w:r w:rsidRPr="00661595">
        <w:t xml:space="preserve">collective investment undertakings (‘CIU’)/ </w:t>
      </w:r>
      <w:r w:rsidR="000F2EC8" w:rsidRPr="00661595">
        <w:t xml:space="preserve">Exposures </w:t>
      </w:r>
      <w:r w:rsidRPr="00661595">
        <w:t>in the form of covered bonds (disjoint exposure classes);</w:t>
      </w:r>
    </w:p>
    <w:p w:rsidR="00464F34" w:rsidRPr="00661595" w:rsidRDefault="00464F34" w:rsidP="00487A02">
      <w:pPr>
        <w:pStyle w:val="InstructionsText"/>
      </w:pPr>
      <w:r w:rsidRPr="00661595">
        <w:t>6. Exposures secured by mortgages on immovable property;</w:t>
      </w:r>
    </w:p>
    <w:p w:rsidR="00464F34" w:rsidRPr="00661595" w:rsidRDefault="00464F34" w:rsidP="00487A02">
      <w:pPr>
        <w:pStyle w:val="InstructionsText"/>
      </w:pPr>
      <w:r w:rsidRPr="00661595">
        <w:t>7. Other items;</w:t>
      </w:r>
    </w:p>
    <w:p w:rsidR="00464F34" w:rsidRPr="00661595" w:rsidRDefault="00464F34" w:rsidP="00487A02">
      <w:pPr>
        <w:pStyle w:val="InstructionsText"/>
      </w:pPr>
      <w:r w:rsidRPr="00661595">
        <w:t>8. Exposures to institutions and corporates with a short-term credit assessment;</w:t>
      </w:r>
    </w:p>
    <w:p w:rsidR="00464F34" w:rsidRPr="00661595" w:rsidRDefault="00464F34" w:rsidP="00487A02">
      <w:pPr>
        <w:pStyle w:val="InstructionsText"/>
      </w:pPr>
      <w:r w:rsidRPr="00661595">
        <w:t>9. All other exposure classes (disjoint exposure classes)</w:t>
      </w:r>
      <w:r w:rsidR="001C7AB7" w:rsidRPr="00661595">
        <w:t xml:space="preserve"> which include </w:t>
      </w:r>
      <w:r w:rsidRPr="00661595">
        <w:t>Exposures to central governments or central banks;</w:t>
      </w:r>
      <w:r w:rsidR="001C7AB7" w:rsidRPr="00661595">
        <w:t xml:space="preserve"> </w:t>
      </w:r>
      <w:r w:rsidRPr="00661595">
        <w:t>Exposures to regional governments or local authorities;</w:t>
      </w:r>
      <w:r w:rsidR="001C7AB7" w:rsidRPr="00661595">
        <w:t xml:space="preserve"> </w:t>
      </w:r>
      <w:r w:rsidRPr="00661595">
        <w:t>Exposures to public sector entities;</w:t>
      </w:r>
      <w:r w:rsidR="001C7AB7" w:rsidRPr="00661595">
        <w:t xml:space="preserve"> </w:t>
      </w:r>
      <w:r w:rsidRPr="00661595">
        <w:t>Exposures to multilateral development banks;</w:t>
      </w:r>
      <w:r w:rsidR="001C7AB7" w:rsidRPr="00661595">
        <w:t xml:space="preserve"> </w:t>
      </w:r>
      <w:r w:rsidRPr="00661595">
        <w:t>Exposures to international organisations;</w:t>
      </w:r>
      <w:r w:rsidR="001C7AB7" w:rsidRPr="00661595">
        <w:t xml:space="preserve"> </w:t>
      </w:r>
      <w:r w:rsidRPr="00661595">
        <w:t>Exposures to institutions;</w:t>
      </w:r>
      <w:r w:rsidR="001C7AB7" w:rsidRPr="00661595">
        <w:t xml:space="preserve"> </w:t>
      </w:r>
      <w:r w:rsidRPr="00661595">
        <w:t>Exposures to corporate</w:t>
      </w:r>
      <w:r w:rsidR="001C7AB7" w:rsidRPr="00661595">
        <w:t xml:space="preserve"> and</w:t>
      </w:r>
      <w:r w:rsidRPr="00661595">
        <w:t xml:space="preserve"> Retail exposures.</w:t>
      </w:r>
    </w:p>
    <w:p w:rsidR="00464F34" w:rsidRPr="00661595" w:rsidRDefault="00D11E4C" w:rsidP="00487A02">
      <w:pPr>
        <w:pStyle w:val="InstructionsText2"/>
        <w:numPr>
          <w:ilvl w:val="0"/>
          <w:numId w:val="0"/>
        </w:numPr>
        <w:ind w:left="1353" w:hanging="360"/>
      </w:pPr>
      <w:fldSimple w:instr=" seq paragraphs ">
        <w:r w:rsidR="00771068">
          <w:rPr>
            <w:noProof/>
          </w:rPr>
          <w:t>63</w:t>
        </w:r>
      </w:fldSimple>
      <w:r w:rsidR="00125707" w:rsidRPr="00661595">
        <w:t>.</w:t>
      </w:r>
      <w:r w:rsidR="00125707" w:rsidRPr="00661595">
        <w:tab/>
      </w:r>
      <w:r w:rsidR="00464F34" w:rsidRPr="00661595">
        <w:t xml:space="preserve">In the case of exposures in the form of </w:t>
      </w:r>
      <w:r w:rsidR="00887A83" w:rsidRPr="00661595">
        <w:t xml:space="preserve">units or shares in </w:t>
      </w:r>
      <w:r w:rsidR="00464F34" w:rsidRPr="00661595">
        <w:t xml:space="preserve">collective investment undertakings </w:t>
      </w:r>
      <w:r w:rsidR="00C93697" w:rsidRPr="00661595">
        <w:t>and where</w:t>
      </w:r>
      <w:r w:rsidR="00464F34" w:rsidRPr="00661595">
        <w:t xml:space="preserve"> the look through approach </w:t>
      </w:r>
      <w:r w:rsidR="00BF0637" w:rsidRPr="00661595">
        <w:t>or the mandate</w:t>
      </w:r>
      <w:r w:rsidR="0029716F" w:rsidRPr="00661595">
        <w:t>-based</w:t>
      </w:r>
      <w:r w:rsidR="00BF0637" w:rsidRPr="00661595">
        <w:t xml:space="preserve"> approach  (points (1) and (2) of Article 132</w:t>
      </w:r>
      <w:r w:rsidR="00922F04" w:rsidRPr="00661595">
        <w:t>a</w:t>
      </w:r>
      <w:r w:rsidR="00BF0637" w:rsidRPr="00661595">
        <w:t xml:space="preserve"> CRR) is used, the underlying individual (in the case of the look through approach) and individual group of (in the case of the mandate</w:t>
      </w:r>
      <w:r w:rsidR="0029716F" w:rsidRPr="00661595">
        <w:t>-</w:t>
      </w:r>
      <w:r w:rsidR="00BF0637" w:rsidRPr="00661595">
        <w:t xml:space="preserve">based approach) </w:t>
      </w:r>
      <w:r w:rsidR="00464F34" w:rsidRPr="00661595">
        <w:t xml:space="preserve">exposures </w:t>
      </w:r>
      <w:r w:rsidR="00C93697" w:rsidRPr="00661595">
        <w:t>shall</w:t>
      </w:r>
      <w:r w:rsidR="00464F34" w:rsidRPr="00661595">
        <w:t xml:space="preserve"> be considered and classified into their corresponding risk weight line according to their treatment</w:t>
      </w:r>
      <w:r w:rsidR="00BF0637" w:rsidRPr="00661595">
        <w:t xml:space="preserve">. However, </w:t>
      </w:r>
      <w:r w:rsidR="00464F34" w:rsidRPr="00661595">
        <w:t xml:space="preserve"> all the individual exposures </w:t>
      </w:r>
      <w:r w:rsidR="00C93697" w:rsidRPr="00661595">
        <w:t>shall</w:t>
      </w:r>
      <w:r w:rsidR="00464F34" w:rsidRPr="00661595">
        <w:t xml:space="preserve"> be classified within the exposure class of </w:t>
      </w:r>
      <w:r w:rsidR="00CA21CA" w:rsidRPr="00661595">
        <w:t>E</w:t>
      </w:r>
      <w:r w:rsidR="00464F34" w:rsidRPr="00661595">
        <w:t xml:space="preserve">xposures in the form of </w:t>
      </w:r>
      <w:r w:rsidR="00887A83" w:rsidRPr="00661595">
        <w:t xml:space="preserve">units or shares in </w:t>
      </w:r>
      <w:r w:rsidR="00464F34" w:rsidRPr="00661595">
        <w:t>collective investment undertakings (‘CIU’).</w:t>
      </w:r>
    </w:p>
    <w:p w:rsidR="00464F34" w:rsidRPr="00661595" w:rsidRDefault="00D11E4C" w:rsidP="00487A02">
      <w:pPr>
        <w:pStyle w:val="InstructionsText2"/>
        <w:numPr>
          <w:ilvl w:val="0"/>
          <w:numId w:val="0"/>
        </w:numPr>
        <w:ind w:left="1353" w:hanging="360"/>
      </w:pPr>
      <w:fldSimple w:instr=" seq paragraphs ">
        <w:r w:rsidR="00771068">
          <w:rPr>
            <w:noProof/>
          </w:rPr>
          <w:t>64</w:t>
        </w:r>
      </w:fldSimple>
      <w:r w:rsidR="00125707" w:rsidRPr="00661595">
        <w:t>.</w:t>
      </w:r>
      <w:r w:rsidR="00125707" w:rsidRPr="00661595">
        <w:tab/>
      </w:r>
      <w:r w:rsidR="00464F34" w:rsidRPr="00661595">
        <w:t xml:space="preserve"> “nth” to default credit derivatives</w:t>
      </w:r>
      <w:r w:rsidR="00CA21CA" w:rsidRPr="00661595">
        <w:t>, as</w:t>
      </w:r>
      <w:r w:rsidR="00464F34" w:rsidRPr="00661595">
        <w:t xml:space="preserve"> specified in Article 134(6) </w:t>
      </w:r>
      <w:r w:rsidR="00C7103D" w:rsidRPr="00661595">
        <w:t>CRR</w:t>
      </w:r>
      <w:r w:rsidR="00464F34" w:rsidRPr="00661595">
        <w:t xml:space="preserve"> </w:t>
      </w:r>
      <w:r w:rsidR="00CA21CA" w:rsidRPr="00661595">
        <w:t>that</w:t>
      </w:r>
      <w:r w:rsidR="00464F34" w:rsidRPr="00661595">
        <w:t xml:space="preserve"> are rated </w:t>
      </w:r>
      <w:r w:rsidR="00C93697" w:rsidRPr="00661595">
        <w:t>shall</w:t>
      </w:r>
      <w:r w:rsidR="00464F34" w:rsidRPr="00661595">
        <w:t xml:space="preserve"> be directly classified as securitisation positions. If they are not rated, they </w:t>
      </w:r>
      <w:r w:rsidR="00C93697" w:rsidRPr="00661595">
        <w:t>shall</w:t>
      </w:r>
      <w:r w:rsidR="00464F34" w:rsidRPr="00661595">
        <w:t xml:space="preserve"> be considered in the “Other items” exposure class. In th</w:t>
      </w:r>
      <w:r w:rsidR="00CA21CA" w:rsidRPr="00661595">
        <w:t>at</w:t>
      </w:r>
      <w:r w:rsidR="00464F34" w:rsidRPr="00661595">
        <w:t xml:space="preserve"> latter case</w:t>
      </w:r>
      <w:r w:rsidR="00CA21CA" w:rsidRPr="00661595">
        <w:t>,</w:t>
      </w:r>
      <w:r w:rsidR="00464F34" w:rsidRPr="00661595">
        <w:t xml:space="preserve"> the nominal amount of the contract </w:t>
      </w:r>
      <w:r w:rsidR="00B811B0" w:rsidRPr="00661595">
        <w:t>shall</w:t>
      </w:r>
      <w:r w:rsidR="00464F34" w:rsidRPr="00661595">
        <w:t xml:space="preserve"> be reported as the Original exposure pre</w:t>
      </w:r>
      <w:r w:rsidR="007574C3" w:rsidRPr="00661595">
        <w:t>-</w:t>
      </w:r>
      <w:r w:rsidR="00464F34" w:rsidRPr="00661595">
        <w:t xml:space="preserve">conversion factors in the line for “Other risk weights” (the risk weight used </w:t>
      </w:r>
      <w:r w:rsidR="00B811B0" w:rsidRPr="00661595">
        <w:t>shall</w:t>
      </w:r>
      <w:r w:rsidR="00464F34" w:rsidRPr="00661595">
        <w:t xml:space="preserve"> be that specified by the sum indicated under Article 134(6) </w:t>
      </w:r>
      <w:r w:rsidR="00C7103D" w:rsidRPr="00661595">
        <w:t>CRR</w:t>
      </w:r>
      <w:r w:rsidR="00464F34" w:rsidRPr="00661595">
        <w:t xml:space="preserve">. </w:t>
      </w:r>
    </w:p>
    <w:p w:rsidR="00464F34" w:rsidRPr="00661595" w:rsidRDefault="00D11E4C" w:rsidP="00487A02">
      <w:pPr>
        <w:pStyle w:val="InstructionsText2"/>
        <w:numPr>
          <w:ilvl w:val="0"/>
          <w:numId w:val="0"/>
        </w:numPr>
        <w:ind w:left="1353" w:hanging="360"/>
      </w:pPr>
      <w:fldSimple w:instr=" seq paragraphs ">
        <w:r w:rsidR="00771068">
          <w:rPr>
            <w:noProof/>
          </w:rPr>
          <w:t>65</w:t>
        </w:r>
      </w:fldSimple>
      <w:r w:rsidR="00125707" w:rsidRPr="00661595">
        <w:t>.</w:t>
      </w:r>
      <w:r w:rsidR="00125707" w:rsidRPr="00661595">
        <w:tab/>
      </w:r>
      <w:r w:rsidR="00464F34" w:rsidRPr="00661595">
        <w:t xml:space="preserve">In a second step, as a consequence of credit risk mitigation techniques with substitution effects, exposures </w:t>
      </w:r>
      <w:r w:rsidR="00C95414" w:rsidRPr="00661595">
        <w:t>shall</w:t>
      </w:r>
      <w:r w:rsidR="00464F34" w:rsidRPr="00661595">
        <w:t xml:space="preserve"> be reallocated to the exposure class of the protection provider.</w:t>
      </w:r>
    </w:p>
    <w:p w:rsidR="00464F34" w:rsidRPr="00661595" w:rsidRDefault="00464F34" w:rsidP="00487A02">
      <w:pPr>
        <w:pStyle w:val="InstructionsText"/>
      </w:pPr>
      <w:r w:rsidRPr="00661595">
        <w:br w:type="page"/>
        <w:t xml:space="preserve">DECISION TREE ON HOW TO </w:t>
      </w:r>
      <w:r w:rsidR="00EA11F0" w:rsidRPr="00661595">
        <w:t>ASSIGN</w:t>
      </w:r>
      <w:r w:rsidRPr="00661595">
        <w:t xml:space="preserve"> THE ORIGINAL EXPOSURE PRE</w:t>
      </w:r>
      <w:r w:rsidR="007574C3" w:rsidRPr="00661595">
        <w:t>-</w:t>
      </w:r>
      <w:r w:rsidRPr="00661595">
        <w:t xml:space="preserve">CONVERSION FACTORS TO THE EXPOSURE CLASSES OF THE STANDARDISED APPROACH </w:t>
      </w:r>
      <w:r w:rsidR="00BB22D4" w:rsidRPr="00661595">
        <w:t>IN ACCORDANCE WITH</w:t>
      </w:r>
      <w:r w:rsidRPr="00661595">
        <w:t xml:space="preserve"> </w:t>
      </w:r>
      <w:r w:rsidR="0060043C" w:rsidRPr="00661595">
        <w:t xml:space="preserve">THE </w:t>
      </w:r>
      <w:r w:rsidRPr="00661595">
        <w:t xml:space="preserve">CRR </w:t>
      </w:r>
    </w:p>
    <w:p w:rsidR="00464F34" w:rsidRPr="00661595" w:rsidRDefault="00464F34" w:rsidP="00487A02">
      <w:pPr>
        <w:pStyle w:val="InstructionsText"/>
      </w:pPr>
    </w:p>
    <w:tbl>
      <w:tblPr>
        <w:tblW w:w="0" w:type="auto"/>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5"/>
        <w:gridCol w:w="1394"/>
        <w:gridCol w:w="3960"/>
      </w:tblGrid>
      <w:tr w:rsidR="003A1B96" w:rsidRPr="00661595" w:rsidTr="00672D2A">
        <w:tc>
          <w:tcPr>
            <w:tcW w:w="3761" w:type="dxa"/>
            <w:shd w:val="clear" w:color="auto" w:fill="auto"/>
          </w:tcPr>
          <w:p w:rsidR="003A1B96" w:rsidRPr="00661595" w:rsidRDefault="003A1B96" w:rsidP="007574C3">
            <w:pPr>
              <w:spacing w:before="0" w:after="0"/>
              <w:jc w:val="left"/>
              <w:rPr>
                <w:sz w:val="24"/>
              </w:rPr>
            </w:pPr>
            <w:r w:rsidRPr="00661595">
              <w:rPr>
                <w:rFonts w:ascii="Times New Roman" w:hAnsi="Times New Roman"/>
                <w:sz w:val="24"/>
              </w:rPr>
              <w:t>Original exposure pre</w:t>
            </w:r>
            <w:r w:rsidR="007574C3" w:rsidRPr="00661595">
              <w:rPr>
                <w:rFonts w:ascii="Times New Roman" w:hAnsi="Times New Roman"/>
                <w:sz w:val="24"/>
              </w:rPr>
              <w:t>-</w:t>
            </w:r>
            <w:r w:rsidRPr="00661595">
              <w:rPr>
                <w:rFonts w:ascii="Times New Roman" w:hAnsi="Times New Roman"/>
                <w:sz w:val="24"/>
              </w:rPr>
              <w:t>conversion factors</w:t>
            </w:r>
          </w:p>
        </w:tc>
        <w:tc>
          <w:tcPr>
            <w:tcW w:w="1417" w:type="dxa"/>
            <w:shd w:val="clear" w:color="auto" w:fill="auto"/>
          </w:tcPr>
          <w:p w:rsidR="003A1B96" w:rsidRPr="00661595" w:rsidRDefault="003A1B96" w:rsidP="00487A02">
            <w:pPr>
              <w:pStyle w:val="InstructionsText"/>
            </w:pPr>
          </w:p>
        </w:tc>
        <w:tc>
          <w:tcPr>
            <w:tcW w:w="4077" w:type="dxa"/>
            <w:shd w:val="clear" w:color="auto" w:fill="auto"/>
          </w:tcPr>
          <w:p w:rsidR="003A1B96" w:rsidRPr="00661595" w:rsidRDefault="003A1B96" w:rsidP="00487A02">
            <w:pPr>
              <w:pStyle w:val="InstructionsText"/>
            </w:pPr>
          </w:p>
        </w:tc>
      </w:tr>
      <w:tr w:rsidR="00581FA5" w:rsidRPr="00661595" w:rsidTr="00672D2A">
        <w:tc>
          <w:tcPr>
            <w:tcW w:w="3761" w:type="dxa"/>
            <w:shd w:val="clear" w:color="auto" w:fill="auto"/>
          </w:tcPr>
          <w:p w:rsidR="00581FA5" w:rsidRPr="00661595" w:rsidRDefault="00581FA5" w:rsidP="00487A02">
            <w:pPr>
              <w:pStyle w:val="InstructionsText"/>
            </w:pPr>
            <w:r w:rsidRPr="00661595">
              <w:t xml:space="preserve">Does it fit for being assigned to the exposure class of </w:t>
            </w:r>
            <w:r w:rsidR="00CA21CA" w:rsidRPr="00661595">
              <w:t xml:space="preserve">point (m) of </w:t>
            </w:r>
            <w:r w:rsidRPr="00661595">
              <w:t>Article 112</w:t>
            </w:r>
            <w:r w:rsidR="00167619" w:rsidRPr="00661595">
              <w:t xml:space="preserve"> CRR</w:t>
            </w:r>
            <w:r w:rsidRPr="00661595">
              <w:t>?</w:t>
            </w:r>
          </w:p>
        </w:tc>
        <w:tc>
          <w:tcPr>
            <w:tcW w:w="1417" w:type="dxa"/>
            <w:shd w:val="clear" w:color="auto" w:fill="auto"/>
          </w:tcPr>
          <w:p w:rsidR="00BD52C3" w:rsidRPr="00661595" w:rsidRDefault="00BD52C3" w:rsidP="00487A02">
            <w:pPr>
              <w:pStyle w:val="InstructionsText"/>
            </w:pPr>
            <w:r w:rsidRPr="00661595">
              <w:t xml:space="preserve">YES </w:t>
            </w:r>
            <w:r w:rsidR="002540B2" w:rsidRPr="00661595">
              <w:rPr>
                <w:noProof/>
                <w:lang w:val="en-US" w:eastAsia="en-US"/>
              </w:rPr>
              <w:drawing>
                <wp:inline distT="0" distB="0" distL="0" distR="0" wp14:anchorId="6145FAD8" wp14:editId="54B50B22">
                  <wp:extent cx="371475" cy="276225"/>
                  <wp:effectExtent l="0" t="0" r="9525" b="9525"/>
                  <wp:docPr id="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475" cy="276225"/>
                          </a:xfrm>
                          <a:prstGeom prst="rect">
                            <a:avLst/>
                          </a:prstGeom>
                          <a:noFill/>
                          <a:ln>
                            <a:noFill/>
                          </a:ln>
                        </pic:spPr>
                      </pic:pic>
                    </a:graphicData>
                  </a:graphic>
                </wp:inline>
              </w:drawing>
            </w:r>
          </w:p>
          <w:p w:rsidR="00581FA5" w:rsidRPr="00661595" w:rsidRDefault="00581FA5" w:rsidP="00487A02">
            <w:pPr>
              <w:pStyle w:val="InstructionsText"/>
            </w:pPr>
          </w:p>
        </w:tc>
        <w:tc>
          <w:tcPr>
            <w:tcW w:w="4077" w:type="dxa"/>
            <w:shd w:val="clear" w:color="auto" w:fill="auto"/>
          </w:tcPr>
          <w:p w:rsidR="00581FA5" w:rsidRPr="00661595" w:rsidRDefault="00581FA5" w:rsidP="00487A02">
            <w:pPr>
              <w:pStyle w:val="InstructionsText"/>
            </w:pPr>
            <w:r w:rsidRPr="00661595">
              <w:t>Securitisation positions</w:t>
            </w:r>
          </w:p>
        </w:tc>
      </w:tr>
      <w:tr w:rsidR="005B3B7C" w:rsidRPr="00661595" w:rsidTr="00672D2A">
        <w:tc>
          <w:tcPr>
            <w:tcW w:w="3761" w:type="dxa"/>
            <w:shd w:val="clear" w:color="auto" w:fill="auto"/>
          </w:tcPr>
          <w:p w:rsidR="00581FA5" w:rsidRPr="00661595" w:rsidRDefault="00581FA5" w:rsidP="00487A02">
            <w:pPr>
              <w:pStyle w:val="InstructionsText"/>
            </w:pPr>
            <w:r w:rsidRPr="00661595">
              <w:t xml:space="preserve">NO </w:t>
            </w:r>
            <w:r w:rsidR="002540B2" w:rsidRPr="00661595">
              <w:rPr>
                <w:noProof/>
                <w:lang w:val="en-US" w:eastAsia="en-US"/>
              </w:rPr>
              <w:drawing>
                <wp:inline distT="0" distB="0" distL="0" distR="0" wp14:anchorId="4078E8F3" wp14:editId="798D84B2">
                  <wp:extent cx="819150" cy="352425"/>
                  <wp:effectExtent l="0" t="0" r="0" b="9525"/>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19150" cy="352425"/>
                          </a:xfrm>
                          <a:prstGeom prst="rect">
                            <a:avLst/>
                          </a:prstGeom>
                          <a:noFill/>
                          <a:ln>
                            <a:noFill/>
                          </a:ln>
                        </pic:spPr>
                      </pic:pic>
                    </a:graphicData>
                  </a:graphic>
                </wp:inline>
              </w:drawing>
            </w:r>
          </w:p>
          <w:p w:rsidR="005B3B7C" w:rsidRPr="00661595" w:rsidRDefault="005B3B7C" w:rsidP="00487A02">
            <w:pPr>
              <w:pStyle w:val="InstructionsText"/>
            </w:pPr>
          </w:p>
        </w:tc>
        <w:tc>
          <w:tcPr>
            <w:tcW w:w="1417" w:type="dxa"/>
            <w:shd w:val="clear" w:color="auto" w:fill="auto"/>
          </w:tcPr>
          <w:p w:rsidR="005B3B7C" w:rsidRPr="00661595" w:rsidRDefault="005B3B7C" w:rsidP="00487A02">
            <w:pPr>
              <w:pStyle w:val="InstructionsText"/>
            </w:pPr>
          </w:p>
        </w:tc>
        <w:tc>
          <w:tcPr>
            <w:tcW w:w="4077" w:type="dxa"/>
            <w:shd w:val="clear" w:color="auto" w:fill="auto"/>
          </w:tcPr>
          <w:p w:rsidR="005B3B7C" w:rsidRPr="00661595" w:rsidRDefault="005B3B7C" w:rsidP="00487A02">
            <w:pPr>
              <w:pStyle w:val="InstructionsText"/>
            </w:pPr>
          </w:p>
        </w:tc>
      </w:tr>
      <w:tr w:rsidR="003A1B96" w:rsidRPr="00661595" w:rsidTr="00672D2A">
        <w:tc>
          <w:tcPr>
            <w:tcW w:w="3761" w:type="dxa"/>
            <w:shd w:val="clear" w:color="auto" w:fill="auto"/>
          </w:tcPr>
          <w:p w:rsidR="003A1B96" w:rsidRPr="00661595" w:rsidRDefault="003A1B96" w:rsidP="00487A02">
            <w:pPr>
              <w:pStyle w:val="InstructionsText"/>
            </w:pPr>
            <w:r w:rsidRPr="00661595">
              <w:t xml:space="preserve">Does it fit for being assigned to the exposure class of </w:t>
            </w:r>
            <w:r w:rsidR="00CA21CA" w:rsidRPr="00661595">
              <w:t xml:space="preserve">point (k) of </w:t>
            </w:r>
            <w:r w:rsidRPr="00661595">
              <w:t>Article 112</w:t>
            </w:r>
            <w:r w:rsidR="00167619" w:rsidRPr="00661595">
              <w:t xml:space="preserve"> CRR</w:t>
            </w:r>
            <w:r w:rsidRPr="00661595">
              <w:t>?</w:t>
            </w:r>
          </w:p>
        </w:tc>
        <w:tc>
          <w:tcPr>
            <w:tcW w:w="1417" w:type="dxa"/>
            <w:shd w:val="clear" w:color="auto" w:fill="auto"/>
          </w:tcPr>
          <w:p w:rsidR="00AC3054" w:rsidRPr="00661595" w:rsidRDefault="00974E3F" w:rsidP="00487A02">
            <w:pPr>
              <w:pStyle w:val="InstructionsText"/>
            </w:pPr>
            <w:r w:rsidRPr="00661595">
              <w:t>YES</w:t>
            </w:r>
            <w:r w:rsidR="00AC3054" w:rsidRPr="00661595">
              <w:t xml:space="preserve"> </w:t>
            </w:r>
            <w:r w:rsidR="002540B2" w:rsidRPr="00661595">
              <w:rPr>
                <w:noProof/>
                <w:lang w:val="en-US" w:eastAsia="en-US"/>
              </w:rPr>
              <w:drawing>
                <wp:inline distT="0" distB="0" distL="0" distR="0" wp14:anchorId="45289960" wp14:editId="4190C354">
                  <wp:extent cx="371475" cy="276225"/>
                  <wp:effectExtent l="0" t="0" r="9525" b="9525"/>
                  <wp:docPr id="3"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475" cy="276225"/>
                          </a:xfrm>
                          <a:prstGeom prst="rect">
                            <a:avLst/>
                          </a:prstGeom>
                          <a:noFill/>
                          <a:ln>
                            <a:noFill/>
                          </a:ln>
                        </pic:spPr>
                      </pic:pic>
                    </a:graphicData>
                  </a:graphic>
                </wp:inline>
              </w:drawing>
            </w:r>
          </w:p>
          <w:p w:rsidR="00BD52C3" w:rsidRPr="00661595" w:rsidRDefault="00BD52C3" w:rsidP="00487A02">
            <w:pPr>
              <w:pStyle w:val="InstructionsText"/>
            </w:pPr>
          </w:p>
          <w:p w:rsidR="003A1B96" w:rsidRPr="00661595" w:rsidRDefault="003A1B96" w:rsidP="00487A02">
            <w:pPr>
              <w:pStyle w:val="InstructionsText"/>
            </w:pPr>
          </w:p>
        </w:tc>
        <w:tc>
          <w:tcPr>
            <w:tcW w:w="4077" w:type="dxa"/>
            <w:shd w:val="clear" w:color="auto" w:fill="auto"/>
          </w:tcPr>
          <w:p w:rsidR="003A1B96" w:rsidRPr="00661595" w:rsidRDefault="003A1B96" w:rsidP="00487A02">
            <w:pPr>
              <w:pStyle w:val="InstructionsText"/>
            </w:pPr>
            <w:r w:rsidRPr="00661595">
              <w:t xml:space="preserve">Items associated with particular high risk (see </w:t>
            </w:r>
            <w:r w:rsidR="00CA21CA" w:rsidRPr="00661595">
              <w:t xml:space="preserve">also </w:t>
            </w:r>
            <w:r w:rsidRPr="00661595">
              <w:t>Article 128</w:t>
            </w:r>
            <w:r w:rsidR="00167619" w:rsidRPr="00661595">
              <w:t xml:space="preserve"> CRR</w:t>
            </w:r>
            <w:r w:rsidRPr="00661595">
              <w:t>)</w:t>
            </w:r>
          </w:p>
        </w:tc>
      </w:tr>
      <w:tr w:rsidR="003A1B96" w:rsidRPr="00661595" w:rsidTr="00672D2A">
        <w:tc>
          <w:tcPr>
            <w:tcW w:w="3761" w:type="dxa"/>
            <w:shd w:val="clear" w:color="auto" w:fill="auto"/>
          </w:tcPr>
          <w:p w:rsidR="007241D3" w:rsidRPr="00661595" w:rsidRDefault="007241D3" w:rsidP="00487A02">
            <w:pPr>
              <w:pStyle w:val="InstructionsText"/>
            </w:pPr>
            <w:r w:rsidRPr="00661595">
              <w:t xml:space="preserve">NO </w:t>
            </w:r>
            <w:r w:rsidR="002540B2" w:rsidRPr="00661595">
              <w:rPr>
                <w:noProof/>
                <w:lang w:val="en-US" w:eastAsia="en-US"/>
              </w:rPr>
              <w:drawing>
                <wp:inline distT="0" distB="0" distL="0" distR="0" wp14:anchorId="69A243FB" wp14:editId="1116E58E">
                  <wp:extent cx="819150" cy="352425"/>
                  <wp:effectExtent l="0" t="0" r="0" b="9525"/>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19150" cy="352425"/>
                          </a:xfrm>
                          <a:prstGeom prst="rect">
                            <a:avLst/>
                          </a:prstGeom>
                          <a:noFill/>
                          <a:ln>
                            <a:noFill/>
                          </a:ln>
                        </pic:spPr>
                      </pic:pic>
                    </a:graphicData>
                  </a:graphic>
                </wp:inline>
              </w:drawing>
            </w:r>
          </w:p>
          <w:p w:rsidR="003A1B96" w:rsidRPr="00661595" w:rsidRDefault="003A1B96" w:rsidP="00487A02">
            <w:pPr>
              <w:pStyle w:val="InstructionsText"/>
            </w:pPr>
          </w:p>
        </w:tc>
        <w:tc>
          <w:tcPr>
            <w:tcW w:w="1417" w:type="dxa"/>
            <w:shd w:val="clear" w:color="auto" w:fill="auto"/>
          </w:tcPr>
          <w:p w:rsidR="003A1B96" w:rsidRPr="00661595" w:rsidRDefault="003A1B96" w:rsidP="00487A02">
            <w:pPr>
              <w:pStyle w:val="InstructionsText"/>
            </w:pPr>
          </w:p>
        </w:tc>
        <w:tc>
          <w:tcPr>
            <w:tcW w:w="4077" w:type="dxa"/>
            <w:shd w:val="clear" w:color="auto" w:fill="auto"/>
          </w:tcPr>
          <w:p w:rsidR="003A1B96" w:rsidRPr="00661595" w:rsidRDefault="003A1B96" w:rsidP="00487A02">
            <w:pPr>
              <w:pStyle w:val="InstructionsText"/>
            </w:pPr>
          </w:p>
        </w:tc>
      </w:tr>
      <w:tr w:rsidR="003A1B96" w:rsidRPr="00661595" w:rsidTr="00672D2A">
        <w:tc>
          <w:tcPr>
            <w:tcW w:w="3761" w:type="dxa"/>
            <w:shd w:val="clear" w:color="auto" w:fill="auto"/>
          </w:tcPr>
          <w:p w:rsidR="003A1B96" w:rsidRPr="00661595" w:rsidRDefault="003A1B96" w:rsidP="00487A02">
            <w:pPr>
              <w:pStyle w:val="InstructionsText"/>
            </w:pPr>
            <w:r w:rsidRPr="00661595">
              <w:t xml:space="preserve">Does it fit for being assigned to the exposure class of </w:t>
            </w:r>
            <w:r w:rsidR="00CA21CA" w:rsidRPr="00661595">
              <w:t xml:space="preserve">point (p) of </w:t>
            </w:r>
            <w:r w:rsidRPr="00661595">
              <w:t>Article 112</w:t>
            </w:r>
            <w:r w:rsidR="00167619" w:rsidRPr="00661595">
              <w:t xml:space="preserve"> CRR</w:t>
            </w:r>
            <w:r w:rsidRPr="00661595">
              <w:t>?</w:t>
            </w:r>
          </w:p>
        </w:tc>
        <w:tc>
          <w:tcPr>
            <w:tcW w:w="1417" w:type="dxa"/>
            <w:shd w:val="clear" w:color="auto" w:fill="auto"/>
          </w:tcPr>
          <w:p w:rsidR="00BD52C3" w:rsidRPr="00661595" w:rsidRDefault="00BD52C3" w:rsidP="00487A02">
            <w:pPr>
              <w:pStyle w:val="InstructionsText"/>
            </w:pPr>
            <w:r w:rsidRPr="00661595">
              <w:t xml:space="preserve">YES </w:t>
            </w:r>
            <w:r w:rsidR="002540B2" w:rsidRPr="00661595">
              <w:rPr>
                <w:noProof/>
                <w:lang w:val="en-US" w:eastAsia="en-US"/>
              </w:rPr>
              <w:drawing>
                <wp:inline distT="0" distB="0" distL="0" distR="0" wp14:anchorId="3671253E" wp14:editId="2DAE9F41">
                  <wp:extent cx="371475" cy="276225"/>
                  <wp:effectExtent l="0" t="0" r="9525" b="9525"/>
                  <wp:docPr id="5"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475" cy="276225"/>
                          </a:xfrm>
                          <a:prstGeom prst="rect">
                            <a:avLst/>
                          </a:prstGeom>
                          <a:noFill/>
                          <a:ln>
                            <a:noFill/>
                          </a:ln>
                        </pic:spPr>
                      </pic:pic>
                    </a:graphicData>
                  </a:graphic>
                </wp:inline>
              </w:drawing>
            </w:r>
          </w:p>
          <w:p w:rsidR="003A1B96" w:rsidRPr="00661595" w:rsidRDefault="003A1B96" w:rsidP="00487A02">
            <w:pPr>
              <w:pStyle w:val="InstructionsText"/>
            </w:pPr>
          </w:p>
        </w:tc>
        <w:tc>
          <w:tcPr>
            <w:tcW w:w="4077" w:type="dxa"/>
            <w:shd w:val="clear" w:color="auto" w:fill="auto"/>
          </w:tcPr>
          <w:p w:rsidR="003A1B96" w:rsidRPr="00661595" w:rsidRDefault="003A1B96" w:rsidP="00487A02">
            <w:pPr>
              <w:pStyle w:val="InstructionsText"/>
            </w:pPr>
            <w:r w:rsidRPr="00661595">
              <w:t xml:space="preserve">Equity exposures (see </w:t>
            </w:r>
            <w:r w:rsidR="00CA21CA" w:rsidRPr="00661595">
              <w:t xml:space="preserve">also </w:t>
            </w:r>
            <w:r w:rsidRPr="00661595">
              <w:t>Article 133</w:t>
            </w:r>
            <w:r w:rsidR="00167619" w:rsidRPr="00661595">
              <w:t xml:space="preserve"> CRR</w:t>
            </w:r>
            <w:r w:rsidRPr="00661595">
              <w:t>)</w:t>
            </w:r>
          </w:p>
        </w:tc>
      </w:tr>
      <w:tr w:rsidR="003A1B96" w:rsidRPr="00661595" w:rsidTr="00672D2A">
        <w:tc>
          <w:tcPr>
            <w:tcW w:w="3761" w:type="dxa"/>
            <w:shd w:val="clear" w:color="auto" w:fill="auto"/>
          </w:tcPr>
          <w:p w:rsidR="007241D3" w:rsidRPr="00661595" w:rsidRDefault="007241D3" w:rsidP="00487A02">
            <w:pPr>
              <w:pStyle w:val="InstructionsText"/>
            </w:pPr>
            <w:r w:rsidRPr="00661595">
              <w:t xml:space="preserve">NO </w:t>
            </w:r>
            <w:r w:rsidR="002540B2" w:rsidRPr="00661595">
              <w:rPr>
                <w:noProof/>
                <w:lang w:val="en-US" w:eastAsia="en-US"/>
              </w:rPr>
              <w:drawing>
                <wp:inline distT="0" distB="0" distL="0" distR="0" wp14:anchorId="1F205163" wp14:editId="35DF1576">
                  <wp:extent cx="819150" cy="352425"/>
                  <wp:effectExtent l="0" t="0" r="0" b="9525"/>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19150" cy="352425"/>
                          </a:xfrm>
                          <a:prstGeom prst="rect">
                            <a:avLst/>
                          </a:prstGeom>
                          <a:noFill/>
                          <a:ln>
                            <a:noFill/>
                          </a:ln>
                        </pic:spPr>
                      </pic:pic>
                    </a:graphicData>
                  </a:graphic>
                </wp:inline>
              </w:drawing>
            </w:r>
          </w:p>
          <w:p w:rsidR="003A1B96" w:rsidRPr="00661595" w:rsidRDefault="003A1B96" w:rsidP="00487A02">
            <w:pPr>
              <w:pStyle w:val="InstructionsText"/>
            </w:pPr>
          </w:p>
        </w:tc>
        <w:tc>
          <w:tcPr>
            <w:tcW w:w="1417" w:type="dxa"/>
            <w:shd w:val="clear" w:color="auto" w:fill="auto"/>
          </w:tcPr>
          <w:p w:rsidR="003A1B96" w:rsidRPr="00661595" w:rsidRDefault="003A1B96" w:rsidP="00487A02">
            <w:pPr>
              <w:pStyle w:val="InstructionsText"/>
            </w:pPr>
          </w:p>
        </w:tc>
        <w:tc>
          <w:tcPr>
            <w:tcW w:w="4077" w:type="dxa"/>
            <w:shd w:val="clear" w:color="auto" w:fill="auto"/>
          </w:tcPr>
          <w:p w:rsidR="003A1B96" w:rsidRPr="00661595" w:rsidRDefault="003A1B96" w:rsidP="00487A02">
            <w:pPr>
              <w:pStyle w:val="InstructionsText"/>
            </w:pPr>
          </w:p>
        </w:tc>
      </w:tr>
      <w:tr w:rsidR="00581FA5" w:rsidRPr="00661595" w:rsidTr="00672D2A">
        <w:tc>
          <w:tcPr>
            <w:tcW w:w="3761" w:type="dxa"/>
            <w:shd w:val="clear" w:color="auto" w:fill="auto"/>
          </w:tcPr>
          <w:p w:rsidR="00581FA5" w:rsidRPr="00661595" w:rsidRDefault="00581FA5" w:rsidP="00487A02">
            <w:pPr>
              <w:pStyle w:val="InstructionsText"/>
            </w:pPr>
            <w:r w:rsidRPr="00661595">
              <w:t xml:space="preserve">Does it fit for being assigned to the exposure class of </w:t>
            </w:r>
            <w:r w:rsidR="00CA21CA" w:rsidRPr="00661595">
              <w:t xml:space="preserve">point (j) of </w:t>
            </w:r>
            <w:r w:rsidRPr="00661595">
              <w:t>Article 112</w:t>
            </w:r>
            <w:r w:rsidR="00167619" w:rsidRPr="00661595">
              <w:t xml:space="preserve"> CRR</w:t>
            </w:r>
            <w:r w:rsidRPr="00661595">
              <w:t>?</w:t>
            </w:r>
          </w:p>
        </w:tc>
        <w:tc>
          <w:tcPr>
            <w:tcW w:w="1417" w:type="dxa"/>
            <w:shd w:val="clear" w:color="auto" w:fill="auto"/>
          </w:tcPr>
          <w:p w:rsidR="00BD52C3" w:rsidRPr="00661595" w:rsidRDefault="00BD52C3" w:rsidP="00487A02">
            <w:pPr>
              <w:pStyle w:val="InstructionsText"/>
            </w:pPr>
            <w:r w:rsidRPr="00661595">
              <w:t xml:space="preserve">YES </w:t>
            </w:r>
            <w:r w:rsidR="002540B2" w:rsidRPr="00661595">
              <w:rPr>
                <w:noProof/>
                <w:lang w:val="en-US" w:eastAsia="en-US"/>
              </w:rPr>
              <w:drawing>
                <wp:inline distT="0" distB="0" distL="0" distR="0" wp14:anchorId="4A47292E" wp14:editId="2703B755">
                  <wp:extent cx="371475" cy="276225"/>
                  <wp:effectExtent l="0" t="0" r="9525" b="9525"/>
                  <wp:docPr id="7"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475" cy="276225"/>
                          </a:xfrm>
                          <a:prstGeom prst="rect">
                            <a:avLst/>
                          </a:prstGeom>
                          <a:noFill/>
                          <a:ln>
                            <a:noFill/>
                          </a:ln>
                        </pic:spPr>
                      </pic:pic>
                    </a:graphicData>
                  </a:graphic>
                </wp:inline>
              </w:drawing>
            </w:r>
          </w:p>
          <w:p w:rsidR="00581FA5" w:rsidRPr="00661595" w:rsidRDefault="00581FA5" w:rsidP="00487A02">
            <w:pPr>
              <w:pStyle w:val="InstructionsText"/>
            </w:pPr>
          </w:p>
        </w:tc>
        <w:tc>
          <w:tcPr>
            <w:tcW w:w="4077" w:type="dxa"/>
            <w:shd w:val="clear" w:color="auto" w:fill="auto"/>
          </w:tcPr>
          <w:p w:rsidR="00581FA5" w:rsidRPr="00661595" w:rsidRDefault="00581FA5" w:rsidP="00487A02">
            <w:pPr>
              <w:pStyle w:val="InstructionsText"/>
            </w:pPr>
            <w:r w:rsidRPr="00661595">
              <w:t>Exposures in default</w:t>
            </w:r>
          </w:p>
        </w:tc>
      </w:tr>
      <w:tr w:rsidR="00581FA5" w:rsidRPr="00661595" w:rsidTr="00672D2A">
        <w:tc>
          <w:tcPr>
            <w:tcW w:w="3761" w:type="dxa"/>
            <w:shd w:val="clear" w:color="auto" w:fill="auto"/>
          </w:tcPr>
          <w:p w:rsidR="007241D3" w:rsidRPr="00661595" w:rsidRDefault="007241D3" w:rsidP="00487A02">
            <w:pPr>
              <w:pStyle w:val="InstructionsText"/>
            </w:pPr>
            <w:r w:rsidRPr="00661595">
              <w:t xml:space="preserve">NO </w:t>
            </w:r>
            <w:r w:rsidR="002540B2" w:rsidRPr="00661595">
              <w:rPr>
                <w:noProof/>
                <w:lang w:val="en-US" w:eastAsia="en-US"/>
              </w:rPr>
              <w:drawing>
                <wp:inline distT="0" distB="0" distL="0" distR="0" wp14:anchorId="549D07C0" wp14:editId="273F42B8">
                  <wp:extent cx="819150" cy="352425"/>
                  <wp:effectExtent l="0" t="0" r="0" b="9525"/>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19150" cy="352425"/>
                          </a:xfrm>
                          <a:prstGeom prst="rect">
                            <a:avLst/>
                          </a:prstGeom>
                          <a:noFill/>
                          <a:ln>
                            <a:noFill/>
                          </a:ln>
                        </pic:spPr>
                      </pic:pic>
                    </a:graphicData>
                  </a:graphic>
                </wp:inline>
              </w:drawing>
            </w:r>
          </w:p>
          <w:p w:rsidR="00581FA5" w:rsidRPr="00661595" w:rsidRDefault="00581FA5" w:rsidP="00487A02">
            <w:pPr>
              <w:pStyle w:val="InstructionsText"/>
            </w:pPr>
          </w:p>
        </w:tc>
        <w:tc>
          <w:tcPr>
            <w:tcW w:w="1417" w:type="dxa"/>
            <w:shd w:val="clear" w:color="auto" w:fill="auto"/>
          </w:tcPr>
          <w:p w:rsidR="00581FA5" w:rsidRPr="00661595" w:rsidRDefault="00581FA5" w:rsidP="00487A02">
            <w:pPr>
              <w:pStyle w:val="InstructionsText"/>
            </w:pPr>
          </w:p>
        </w:tc>
        <w:tc>
          <w:tcPr>
            <w:tcW w:w="4077" w:type="dxa"/>
            <w:shd w:val="clear" w:color="auto" w:fill="auto"/>
          </w:tcPr>
          <w:p w:rsidR="00581FA5" w:rsidRPr="00661595" w:rsidRDefault="00581FA5" w:rsidP="00487A02">
            <w:pPr>
              <w:pStyle w:val="InstructionsText"/>
            </w:pPr>
          </w:p>
        </w:tc>
      </w:tr>
      <w:tr w:rsidR="00581FA5" w:rsidRPr="00661595" w:rsidTr="00672D2A">
        <w:tc>
          <w:tcPr>
            <w:tcW w:w="3761" w:type="dxa"/>
            <w:shd w:val="clear" w:color="auto" w:fill="auto"/>
          </w:tcPr>
          <w:p w:rsidR="00581FA5" w:rsidRPr="00661595" w:rsidRDefault="00581FA5" w:rsidP="00487A02">
            <w:pPr>
              <w:pStyle w:val="InstructionsText"/>
            </w:pPr>
            <w:r w:rsidRPr="00661595">
              <w:t xml:space="preserve">Does it fit for being assigned to the exposure classes of </w:t>
            </w:r>
            <w:r w:rsidR="00CA21CA" w:rsidRPr="00661595">
              <w:t xml:space="preserve">points (l) and (o) of </w:t>
            </w:r>
            <w:r w:rsidRPr="00661595">
              <w:t>Article 112</w:t>
            </w:r>
            <w:r w:rsidR="00167619" w:rsidRPr="00661595">
              <w:t xml:space="preserve"> CRR</w:t>
            </w:r>
            <w:r w:rsidRPr="00661595">
              <w:t>?</w:t>
            </w:r>
          </w:p>
        </w:tc>
        <w:tc>
          <w:tcPr>
            <w:tcW w:w="1417" w:type="dxa"/>
            <w:shd w:val="clear" w:color="auto" w:fill="auto"/>
          </w:tcPr>
          <w:p w:rsidR="00BD52C3" w:rsidRPr="00661595" w:rsidRDefault="00BD52C3" w:rsidP="00487A02">
            <w:pPr>
              <w:pStyle w:val="InstructionsText"/>
            </w:pPr>
            <w:r w:rsidRPr="00661595">
              <w:t xml:space="preserve">YES </w:t>
            </w:r>
            <w:r w:rsidR="002540B2" w:rsidRPr="00661595">
              <w:rPr>
                <w:noProof/>
                <w:lang w:val="en-US" w:eastAsia="en-US"/>
              </w:rPr>
              <w:drawing>
                <wp:inline distT="0" distB="0" distL="0" distR="0" wp14:anchorId="40EF4AE2" wp14:editId="3718A93A">
                  <wp:extent cx="371475" cy="276225"/>
                  <wp:effectExtent l="0" t="0" r="9525" b="9525"/>
                  <wp:docPr id="9"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475" cy="276225"/>
                          </a:xfrm>
                          <a:prstGeom prst="rect">
                            <a:avLst/>
                          </a:prstGeom>
                          <a:noFill/>
                          <a:ln>
                            <a:noFill/>
                          </a:ln>
                        </pic:spPr>
                      </pic:pic>
                    </a:graphicData>
                  </a:graphic>
                </wp:inline>
              </w:drawing>
            </w:r>
          </w:p>
          <w:p w:rsidR="00581FA5" w:rsidRPr="00661595" w:rsidRDefault="00581FA5" w:rsidP="00487A02">
            <w:pPr>
              <w:pStyle w:val="InstructionsText"/>
            </w:pPr>
          </w:p>
        </w:tc>
        <w:tc>
          <w:tcPr>
            <w:tcW w:w="4077" w:type="dxa"/>
            <w:shd w:val="clear" w:color="auto" w:fill="auto"/>
          </w:tcPr>
          <w:p w:rsidR="00581FA5" w:rsidRPr="00661595" w:rsidRDefault="00581FA5" w:rsidP="00487A02">
            <w:pPr>
              <w:pStyle w:val="InstructionsText"/>
            </w:pPr>
            <w:r w:rsidRPr="00661595">
              <w:t>Exposures in the form of units or shares in collective investment undertakings (CIU)</w:t>
            </w:r>
          </w:p>
          <w:p w:rsidR="00581FA5" w:rsidRPr="00661595" w:rsidRDefault="00581FA5" w:rsidP="00487A02">
            <w:pPr>
              <w:pStyle w:val="InstructionsText"/>
            </w:pPr>
            <w:r w:rsidRPr="00661595">
              <w:t xml:space="preserve">Exposures in the form of covered bonds (see </w:t>
            </w:r>
            <w:r w:rsidR="00CA21CA" w:rsidRPr="00661595">
              <w:t xml:space="preserve">also </w:t>
            </w:r>
            <w:r w:rsidRPr="00661595">
              <w:t>Article 129</w:t>
            </w:r>
            <w:r w:rsidR="00167619" w:rsidRPr="00661595">
              <w:t xml:space="preserve"> CRR</w:t>
            </w:r>
            <w:r w:rsidRPr="00661595">
              <w:t>)</w:t>
            </w:r>
          </w:p>
          <w:p w:rsidR="00581FA5" w:rsidRPr="00661595" w:rsidRDefault="00581FA5" w:rsidP="00487A02">
            <w:pPr>
              <w:pStyle w:val="InstructionsText"/>
            </w:pPr>
            <w:r w:rsidRPr="00661595">
              <w:t>These two exposure classes are disjoint among themselves (see comments on the look-through approach in the answer above). Therefore the assignment to one of them is straightforward.</w:t>
            </w:r>
          </w:p>
        </w:tc>
      </w:tr>
      <w:tr w:rsidR="00581FA5" w:rsidRPr="00661595" w:rsidTr="00672D2A">
        <w:tc>
          <w:tcPr>
            <w:tcW w:w="3761" w:type="dxa"/>
            <w:shd w:val="clear" w:color="auto" w:fill="auto"/>
          </w:tcPr>
          <w:p w:rsidR="007241D3" w:rsidRPr="00661595" w:rsidRDefault="007241D3" w:rsidP="00487A02">
            <w:pPr>
              <w:pStyle w:val="InstructionsText"/>
            </w:pPr>
            <w:r w:rsidRPr="00661595">
              <w:t xml:space="preserve">NO </w:t>
            </w:r>
            <w:r w:rsidR="002540B2" w:rsidRPr="00661595">
              <w:rPr>
                <w:noProof/>
                <w:lang w:val="en-US" w:eastAsia="en-US"/>
              </w:rPr>
              <w:drawing>
                <wp:inline distT="0" distB="0" distL="0" distR="0" wp14:anchorId="4820E9D7" wp14:editId="31B7B9CB">
                  <wp:extent cx="819150" cy="352425"/>
                  <wp:effectExtent l="0" t="0" r="0" b="9525"/>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19150" cy="352425"/>
                          </a:xfrm>
                          <a:prstGeom prst="rect">
                            <a:avLst/>
                          </a:prstGeom>
                          <a:noFill/>
                          <a:ln>
                            <a:noFill/>
                          </a:ln>
                        </pic:spPr>
                      </pic:pic>
                    </a:graphicData>
                  </a:graphic>
                </wp:inline>
              </w:drawing>
            </w:r>
          </w:p>
          <w:p w:rsidR="00581FA5" w:rsidRPr="00661595" w:rsidRDefault="00581FA5" w:rsidP="00487A02">
            <w:pPr>
              <w:pStyle w:val="InstructionsText"/>
            </w:pPr>
          </w:p>
        </w:tc>
        <w:tc>
          <w:tcPr>
            <w:tcW w:w="1417" w:type="dxa"/>
            <w:shd w:val="clear" w:color="auto" w:fill="auto"/>
          </w:tcPr>
          <w:p w:rsidR="00581FA5" w:rsidRPr="00661595" w:rsidRDefault="00581FA5" w:rsidP="00487A02">
            <w:pPr>
              <w:pStyle w:val="InstructionsText"/>
            </w:pPr>
          </w:p>
        </w:tc>
        <w:tc>
          <w:tcPr>
            <w:tcW w:w="4077" w:type="dxa"/>
            <w:shd w:val="clear" w:color="auto" w:fill="auto"/>
          </w:tcPr>
          <w:p w:rsidR="00581FA5" w:rsidRPr="00661595" w:rsidRDefault="00581FA5" w:rsidP="00487A02">
            <w:pPr>
              <w:pStyle w:val="InstructionsText"/>
            </w:pPr>
          </w:p>
        </w:tc>
      </w:tr>
      <w:tr w:rsidR="00581FA5" w:rsidRPr="00661595" w:rsidTr="00672D2A">
        <w:tc>
          <w:tcPr>
            <w:tcW w:w="3761" w:type="dxa"/>
            <w:shd w:val="clear" w:color="auto" w:fill="auto"/>
          </w:tcPr>
          <w:p w:rsidR="00581FA5" w:rsidRPr="00661595" w:rsidRDefault="00581FA5" w:rsidP="00487A02">
            <w:pPr>
              <w:pStyle w:val="InstructionsText"/>
            </w:pPr>
            <w:r w:rsidRPr="00661595">
              <w:t xml:space="preserve">Does it fit for being assigned to the exposure class of </w:t>
            </w:r>
            <w:r w:rsidR="00CA21CA" w:rsidRPr="00661595">
              <w:t xml:space="preserve">point (i) of </w:t>
            </w:r>
            <w:r w:rsidRPr="00661595">
              <w:t>Article 112</w:t>
            </w:r>
            <w:r w:rsidR="00167619" w:rsidRPr="00661595">
              <w:t xml:space="preserve"> CRR</w:t>
            </w:r>
            <w:r w:rsidRPr="00661595">
              <w:t>?</w:t>
            </w:r>
          </w:p>
        </w:tc>
        <w:tc>
          <w:tcPr>
            <w:tcW w:w="1417" w:type="dxa"/>
            <w:shd w:val="clear" w:color="auto" w:fill="auto"/>
          </w:tcPr>
          <w:p w:rsidR="00BD52C3" w:rsidRPr="00661595" w:rsidRDefault="00BD52C3" w:rsidP="00487A02">
            <w:pPr>
              <w:pStyle w:val="InstructionsText"/>
            </w:pPr>
            <w:r w:rsidRPr="00661595">
              <w:t xml:space="preserve">YES </w:t>
            </w:r>
            <w:r w:rsidR="002540B2" w:rsidRPr="00661595">
              <w:rPr>
                <w:noProof/>
                <w:lang w:val="en-US" w:eastAsia="en-US"/>
              </w:rPr>
              <w:drawing>
                <wp:inline distT="0" distB="0" distL="0" distR="0" wp14:anchorId="705F6EAB" wp14:editId="182592BB">
                  <wp:extent cx="371475" cy="276225"/>
                  <wp:effectExtent l="0" t="0" r="9525" b="9525"/>
                  <wp:docPr id="11"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475" cy="276225"/>
                          </a:xfrm>
                          <a:prstGeom prst="rect">
                            <a:avLst/>
                          </a:prstGeom>
                          <a:noFill/>
                          <a:ln>
                            <a:noFill/>
                          </a:ln>
                        </pic:spPr>
                      </pic:pic>
                    </a:graphicData>
                  </a:graphic>
                </wp:inline>
              </w:drawing>
            </w:r>
          </w:p>
          <w:p w:rsidR="00581FA5" w:rsidRPr="00661595" w:rsidRDefault="00581FA5" w:rsidP="00487A02">
            <w:pPr>
              <w:pStyle w:val="InstructionsText"/>
            </w:pPr>
          </w:p>
        </w:tc>
        <w:tc>
          <w:tcPr>
            <w:tcW w:w="4077" w:type="dxa"/>
            <w:shd w:val="clear" w:color="auto" w:fill="auto"/>
          </w:tcPr>
          <w:p w:rsidR="00581FA5" w:rsidRPr="00661595" w:rsidRDefault="00581FA5" w:rsidP="00487A02">
            <w:pPr>
              <w:pStyle w:val="InstructionsText"/>
            </w:pPr>
            <w:r w:rsidRPr="00661595">
              <w:t xml:space="preserve">Exposures secured by mortgages on immovable property (see </w:t>
            </w:r>
            <w:r w:rsidR="00CA21CA" w:rsidRPr="00661595">
              <w:t xml:space="preserve">also </w:t>
            </w:r>
            <w:r w:rsidRPr="00661595">
              <w:t>Article 124</w:t>
            </w:r>
            <w:r w:rsidR="00167619" w:rsidRPr="00661595">
              <w:t xml:space="preserve"> CRR</w:t>
            </w:r>
            <w:r w:rsidRPr="00661595">
              <w:t>)</w:t>
            </w:r>
          </w:p>
        </w:tc>
      </w:tr>
      <w:tr w:rsidR="00581FA5" w:rsidRPr="00661595" w:rsidTr="00672D2A">
        <w:tc>
          <w:tcPr>
            <w:tcW w:w="3761" w:type="dxa"/>
            <w:shd w:val="clear" w:color="auto" w:fill="auto"/>
          </w:tcPr>
          <w:p w:rsidR="007241D3" w:rsidRPr="00661595" w:rsidRDefault="007241D3" w:rsidP="00487A02">
            <w:pPr>
              <w:pStyle w:val="InstructionsText"/>
            </w:pPr>
            <w:r w:rsidRPr="00661595">
              <w:t xml:space="preserve">NO </w:t>
            </w:r>
            <w:r w:rsidR="002540B2" w:rsidRPr="00661595">
              <w:rPr>
                <w:noProof/>
                <w:lang w:val="en-US" w:eastAsia="en-US"/>
              </w:rPr>
              <w:drawing>
                <wp:inline distT="0" distB="0" distL="0" distR="0" wp14:anchorId="747AC61B" wp14:editId="250EE02A">
                  <wp:extent cx="819150" cy="352425"/>
                  <wp:effectExtent l="0" t="0" r="0" b="9525"/>
                  <wp:docPr id="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19150" cy="352425"/>
                          </a:xfrm>
                          <a:prstGeom prst="rect">
                            <a:avLst/>
                          </a:prstGeom>
                          <a:noFill/>
                          <a:ln>
                            <a:noFill/>
                          </a:ln>
                        </pic:spPr>
                      </pic:pic>
                    </a:graphicData>
                  </a:graphic>
                </wp:inline>
              </w:drawing>
            </w:r>
          </w:p>
          <w:p w:rsidR="00581FA5" w:rsidRPr="00661595" w:rsidRDefault="00581FA5" w:rsidP="00487A02">
            <w:pPr>
              <w:pStyle w:val="InstructionsText"/>
            </w:pPr>
          </w:p>
        </w:tc>
        <w:tc>
          <w:tcPr>
            <w:tcW w:w="1417" w:type="dxa"/>
            <w:shd w:val="clear" w:color="auto" w:fill="auto"/>
          </w:tcPr>
          <w:p w:rsidR="00581FA5" w:rsidRPr="00661595" w:rsidRDefault="00581FA5" w:rsidP="00487A02">
            <w:pPr>
              <w:pStyle w:val="InstructionsText"/>
            </w:pPr>
          </w:p>
        </w:tc>
        <w:tc>
          <w:tcPr>
            <w:tcW w:w="4077" w:type="dxa"/>
            <w:shd w:val="clear" w:color="auto" w:fill="auto"/>
          </w:tcPr>
          <w:p w:rsidR="00581FA5" w:rsidRPr="00661595" w:rsidRDefault="00581FA5" w:rsidP="00487A02">
            <w:pPr>
              <w:pStyle w:val="InstructionsText"/>
            </w:pPr>
          </w:p>
        </w:tc>
      </w:tr>
      <w:tr w:rsidR="00581FA5" w:rsidRPr="00661595" w:rsidTr="00672D2A">
        <w:tc>
          <w:tcPr>
            <w:tcW w:w="3761" w:type="dxa"/>
            <w:shd w:val="clear" w:color="auto" w:fill="auto"/>
          </w:tcPr>
          <w:p w:rsidR="00581FA5" w:rsidRPr="00661595" w:rsidRDefault="00581FA5" w:rsidP="00487A02">
            <w:pPr>
              <w:pStyle w:val="InstructionsText"/>
            </w:pPr>
            <w:r w:rsidRPr="00661595">
              <w:t xml:space="preserve">Does it fit for being assigned to the exposure class of </w:t>
            </w:r>
            <w:r w:rsidR="00CA21CA" w:rsidRPr="00661595">
              <w:t xml:space="preserve">point (q) of </w:t>
            </w:r>
            <w:r w:rsidRPr="00661595">
              <w:t>Article 112</w:t>
            </w:r>
            <w:r w:rsidR="00167619" w:rsidRPr="00661595">
              <w:t xml:space="preserve"> CRR</w:t>
            </w:r>
            <w:r w:rsidRPr="00661595">
              <w:t>?</w:t>
            </w:r>
          </w:p>
        </w:tc>
        <w:tc>
          <w:tcPr>
            <w:tcW w:w="1417" w:type="dxa"/>
            <w:shd w:val="clear" w:color="auto" w:fill="auto"/>
          </w:tcPr>
          <w:p w:rsidR="00BD52C3" w:rsidRPr="00661595" w:rsidRDefault="00BD52C3" w:rsidP="00487A02">
            <w:pPr>
              <w:pStyle w:val="InstructionsText"/>
            </w:pPr>
            <w:r w:rsidRPr="00661595">
              <w:t xml:space="preserve">YES </w:t>
            </w:r>
            <w:r w:rsidR="002540B2" w:rsidRPr="00661595">
              <w:rPr>
                <w:noProof/>
                <w:lang w:val="en-US" w:eastAsia="en-US"/>
              </w:rPr>
              <w:drawing>
                <wp:inline distT="0" distB="0" distL="0" distR="0" wp14:anchorId="46BA6387" wp14:editId="77891BB0">
                  <wp:extent cx="371475" cy="276225"/>
                  <wp:effectExtent l="0" t="0" r="9525" b="9525"/>
                  <wp:docPr id="13"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475" cy="276225"/>
                          </a:xfrm>
                          <a:prstGeom prst="rect">
                            <a:avLst/>
                          </a:prstGeom>
                          <a:noFill/>
                          <a:ln>
                            <a:noFill/>
                          </a:ln>
                        </pic:spPr>
                      </pic:pic>
                    </a:graphicData>
                  </a:graphic>
                </wp:inline>
              </w:drawing>
            </w:r>
          </w:p>
          <w:p w:rsidR="00581FA5" w:rsidRPr="00661595" w:rsidRDefault="00581FA5" w:rsidP="00487A02">
            <w:pPr>
              <w:pStyle w:val="InstructionsText"/>
            </w:pPr>
          </w:p>
        </w:tc>
        <w:tc>
          <w:tcPr>
            <w:tcW w:w="4077" w:type="dxa"/>
            <w:shd w:val="clear" w:color="auto" w:fill="auto"/>
          </w:tcPr>
          <w:p w:rsidR="00581FA5" w:rsidRPr="00661595" w:rsidRDefault="00581FA5" w:rsidP="00487A02">
            <w:pPr>
              <w:pStyle w:val="InstructionsText"/>
            </w:pPr>
            <w:r w:rsidRPr="00661595">
              <w:t>Other items</w:t>
            </w:r>
          </w:p>
        </w:tc>
      </w:tr>
      <w:tr w:rsidR="00581FA5" w:rsidRPr="00661595" w:rsidTr="00672D2A">
        <w:tc>
          <w:tcPr>
            <w:tcW w:w="3761" w:type="dxa"/>
            <w:shd w:val="clear" w:color="auto" w:fill="auto"/>
          </w:tcPr>
          <w:p w:rsidR="007241D3" w:rsidRPr="00661595" w:rsidRDefault="007241D3" w:rsidP="00487A02">
            <w:pPr>
              <w:pStyle w:val="InstructionsText"/>
            </w:pPr>
            <w:r w:rsidRPr="00661595">
              <w:t xml:space="preserve">NO </w:t>
            </w:r>
            <w:r w:rsidR="002540B2" w:rsidRPr="00661595">
              <w:rPr>
                <w:noProof/>
                <w:lang w:val="en-US" w:eastAsia="en-US"/>
              </w:rPr>
              <w:drawing>
                <wp:inline distT="0" distB="0" distL="0" distR="0" wp14:anchorId="61F8337C" wp14:editId="09DC0254">
                  <wp:extent cx="819150" cy="352425"/>
                  <wp:effectExtent l="0" t="0" r="0" b="9525"/>
                  <wp:docPr id="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19150" cy="352425"/>
                          </a:xfrm>
                          <a:prstGeom prst="rect">
                            <a:avLst/>
                          </a:prstGeom>
                          <a:noFill/>
                          <a:ln>
                            <a:noFill/>
                          </a:ln>
                        </pic:spPr>
                      </pic:pic>
                    </a:graphicData>
                  </a:graphic>
                </wp:inline>
              </w:drawing>
            </w:r>
          </w:p>
          <w:p w:rsidR="00581FA5" w:rsidRPr="00661595" w:rsidRDefault="00581FA5" w:rsidP="00487A02">
            <w:pPr>
              <w:pStyle w:val="InstructionsText"/>
            </w:pPr>
          </w:p>
        </w:tc>
        <w:tc>
          <w:tcPr>
            <w:tcW w:w="1417" w:type="dxa"/>
            <w:shd w:val="clear" w:color="auto" w:fill="auto"/>
          </w:tcPr>
          <w:p w:rsidR="00581FA5" w:rsidRPr="00661595" w:rsidRDefault="00581FA5" w:rsidP="00487A02">
            <w:pPr>
              <w:pStyle w:val="InstructionsText"/>
            </w:pPr>
          </w:p>
        </w:tc>
        <w:tc>
          <w:tcPr>
            <w:tcW w:w="4077" w:type="dxa"/>
            <w:shd w:val="clear" w:color="auto" w:fill="auto"/>
          </w:tcPr>
          <w:p w:rsidR="00581FA5" w:rsidRPr="00661595" w:rsidRDefault="00581FA5" w:rsidP="00487A02">
            <w:pPr>
              <w:pStyle w:val="InstructionsText"/>
            </w:pPr>
          </w:p>
        </w:tc>
      </w:tr>
      <w:tr w:rsidR="00581FA5" w:rsidRPr="00661595" w:rsidTr="00672D2A">
        <w:tc>
          <w:tcPr>
            <w:tcW w:w="3761" w:type="dxa"/>
            <w:shd w:val="clear" w:color="auto" w:fill="auto"/>
          </w:tcPr>
          <w:p w:rsidR="00581FA5" w:rsidRPr="00661595" w:rsidRDefault="00581FA5" w:rsidP="00487A02">
            <w:pPr>
              <w:pStyle w:val="InstructionsText"/>
            </w:pPr>
            <w:r w:rsidRPr="00661595">
              <w:t xml:space="preserve">Does it fit for being assigned to the exposure class of </w:t>
            </w:r>
            <w:r w:rsidR="00CA21CA" w:rsidRPr="00661595">
              <w:t xml:space="preserve">point (n) of </w:t>
            </w:r>
            <w:r w:rsidRPr="00661595">
              <w:t>Article 112</w:t>
            </w:r>
            <w:r w:rsidR="00167619" w:rsidRPr="00661595">
              <w:t xml:space="preserve"> CRR</w:t>
            </w:r>
            <w:r w:rsidRPr="00661595">
              <w:t>?</w:t>
            </w:r>
          </w:p>
        </w:tc>
        <w:tc>
          <w:tcPr>
            <w:tcW w:w="1417" w:type="dxa"/>
            <w:shd w:val="clear" w:color="auto" w:fill="auto"/>
          </w:tcPr>
          <w:p w:rsidR="0063493E" w:rsidRPr="00661595" w:rsidRDefault="0063493E" w:rsidP="00487A02">
            <w:pPr>
              <w:pStyle w:val="InstructionsText"/>
            </w:pPr>
            <w:r w:rsidRPr="00661595">
              <w:t xml:space="preserve">YES </w:t>
            </w:r>
            <w:r w:rsidR="002540B2" w:rsidRPr="00661595">
              <w:rPr>
                <w:noProof/>
                <w:lang w:val="en-US" w:eastAsia="en-US"/>
              </w:rPr>
              <w:drawing>
                <wp:inline distT="0" distB="0" distL="0" distR="0" wp14:anchorId="585201AB" wp14:editId="5D16DCF4">
                  <wp:extent cx="371475" cy="276225"/>
                  <wp:effectExtent l="0" t="0" r="9525" b="9525"/>
                  <wp:docPr id="15"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475" cy="276225"/>
                          </a:xfrm>
                          <a:prstGeom prst="rect">
                            <a:avLst/>
                          </a:prstGeom>
                          <a:noFill/>
                          <a:ln>
                            <a:noFill/>
                          </a:ln>
                        </pic:spPr>
                      </pic:pic>
                    </a:graphicData>
                  </a:graphic>
                </wp:inline>
              </w:drawing>
            </w:r>
          </w:p>
          <w:p w:rsidR="00581FA5" w:rsidRPr="00661595" w:rsidRDefault="00581FA5" w:rsidP="00487A02">
            <w:pPr>
              <w:pStyle w:val="InstructionsText"/>
            </w:pPr>
          </w:p>
        </w:tc>
        <w:tc>
          <w:tcPr>
            <w:tcW w:w="4077" w:type="dxa"/>
            <w:shd w:val="clear" w:color="auto" w:fill="auto"/>
          </w:tcPr>
          <w:p w:rsidR="00581FA5" w:rsidRPr="00661595" w:rsidRDefault="00581FA5" w:rsidP="00487A02">
            <w:pPr>
              <w:pStyle w:val="InstructionsText"/>
            </w:pPr>
            <w:r w:rsidRPr="00661595">
              <w:t>Exposures to institutions and corporates with a short-term credit assessment</w:t>
            </w:r>
          </w:p>
        </w:tc>
      </w:tr>
      <w:tr w:rsidR="00581FA5" w:rsidRPr="00661595" w:rsidTr="00672D2A">
        <w:tc>
          <w:tcPr>
            <w:tcW w:w="3761" w:type="dxa"/>
            <w:shd w:val="clear" w:color="auto" w:fill="auto"/>
          </w:tcPr>
          <w:p w:rsidR="007241D3" w:rsidRPr="00661595" w:rsidRDefault="007241D3" w:rsidP="00487A02">
            <w:pPr>
              <w:pStyle w:val="InstructionsText"/>
            </w:pPr>
            <w:r w:rsidRPr="00661595">
              <w:t xml:space="preserve">NO </w:t>
            </w:r>
            <w:r w:rsidR="002540B2" w:rsidRPr="00661595">
              <w:rPr>
                <w:noProof/>
                <w:lang w:val="en-US" w:eastAsia="en-US"/>
              </w:rPr>
              <w:drawing>
                <wp:inline distT="0" distB="0" distL="0" distR="0" wp14:anchorId="512762B1" wp14:editId="6F020946">
                  <wp:extent cx="819150" cy="352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19150" cy="352425"/>
                          </a:xfrm>
                          <a:prstGeom prst="rect">
                            <a:avLst/>
                          </a:prstGeom>
                          <a:noFill/>
                          <a:ln>
                            <a:noFill/>
                          </a:ln>
                        </pic:spPr>
                      </pic:pic>
                    </a:graphicData>
                  </a:graphic>
                </wp:inline>
              </w:drawing>
            </w:r>
          </w:p>
          <w:p w:rsidR="00581FA5" w:rsidRPr="00661595" w:rsidRDefault="00581FA5" w:rsidP="00487A02">
            <w:pPr>
              <w:pStyle w:val="InstructionsText"/>
            </w:pPr>
          </w:p>
        </w:tc>
        <w:tc>
          <w:tcPr>
            <w:tcW w:w="1417" w:type="dxa"/>
            <w:shd w:val="clear" w:color="auto" w:fill="auto"/>
          </w:tcPr>
          <w:p w:rsidR="00581FA5" w:rsidRPr="00661595" w:rsidRDefault="00581FA5" w:rsidP="00487A02">
            <w:pPr>
              <w:pStyle w:val="InstructionsText"/>
            </w:pPr>
          </w:p>
        </w:tc>
        <w:tc>
          <w:tcPr>
            <w:tcW w:w="4077" w:type="dxa"/>
            <w:shd w:val="clear" w:color="auto" w:fill="auto"/>
          </w:tcPr>
          <w:p w:rsidR="00581FA5" w:rsidRPr="00661595" w:rsidRDefault="00581FA5" w:rsidP="00487A02">
            <w:pPr>
              <w:pStyle w:val="InstructionsText"/>
            </w:pPr>
          </w:p>
        </w:tc>
      </w:tr>
      <w:tr w:rsidR="00581FA5" w:rsidRPr="00661595" w:rsidTr="00672D2A">
        <w:tc>
          <w:tcPr>
            <w:tcW w:w="9255" w:type="dxa"/>
            <w:gridSpan w:val="3"/>
            <w:shd w:val="clear" w:color="auto" w:fill="auto"/>
          </w:tcPr>
          <w:p w:rsidR="00581FA5" w:rsidRPr="00661595" w:rsidRDefault="00581FA5" w:rsidP="00487A02">
            <w:pPr>
              <w:pStyle w:val="InstructionsText"/>
            </w:pPr>
            <w:r w:rsidRPr="00661595">
              <w:t>The exposure classes below are disjoint among themselves. Therefore the assignment to one of them is straightforward.</w:t>
            </w:r>
          </w:p>
          <w:p w:rsidR="00581FA5" w:rsidRPr="00661595" w:rsidRDefault="00581FA5" w:rsidP="00487A02">
            <w:pPr>
              <w:pStyle w:val="InstructionsText"/>
            </w:pPr>
            <w:r w:rsidRPr="00661595">
              <w:t>Exposures to central governments or central banks</w:t>
            </w:r>
          </w:p>
          <w:p w:rsidR="00581FA5" w:rsidRPr="00661595" w:rsidRDefault="00581FA5" w:rsidP="00487A02">
            <w:pPr>
              <w:pStyle w:val="InstructionsText"/>
            </w:pPr>
            <w:r w:rsidRPr="00661595">
              <w:t>Exposures to regional governments or local authorities</w:t>
            </w:r>
          </w:p>
          <w:p w:rsidR="00581FA5" w:rsidRPr="00661595" w:rsidRDefault="00581FA5" w:rsidP="00487A02">
            <w:pPr>
              <w:pStyle w:val="InstructionsText"/>
            </w:pPr>
            <w:r w:rsidRPr="00661595">
              <w:t>Exposures to public sector entities</w:t>
            </w:r>
          </w:p>
          <w:p w:rsidR="00581FA5" w:rsidRPr="00661595" w:rsidRDefault="00581FA5" w:rsidP="00487A02">
            <w:pPr>
              <w:pStyle w:val="InstructionsText"/>
            </w:pPr>
            <w:r w:rsidRPr="00661595">
              <w:t>Exposures to multilateral development banks</w:t>
            </w:r>
          </w:p>
          <w:p w:rsidR="00581FA5" w:rsidRPr="00661595" w:rsidRDefault="00581FA5" w:rsidP="00487A02">
            <w:pPr>
              <w:pStyle w:val="InstructionsText"/>
            </w:pPr>
            <w:r w:rsidRPr="00661595">
              <w:t>Exposures to international organisations</w:t>
            </w:r>
          </w:p>
          <w:p w:rsidR="00581FA5" w:rsidRPr="00661595" w:rsidRDefault="00581FA5" w:rsidP="00487A02">
            <w:pPr>
              <w:pStyle w:val="InstructionsText"/>
            </w:pPr>
            <w:r w:rsidRPr="00661595">
              <w:t>Exposures to institutions</w:t>
            </w:r>
          </w:p>
          <w:p w:rsidR="00581FA5" w:rsidRPr="00661595" w:rsidRDefault="00581FA5" w:rsidP="00487A02">
            <w:pPr>
              <w:pStyle w:val="InstructionsText"/>
            </w:pPr>
            <w:r w:rsidRPr="00661595">
              <w:t>Exposures to corporates</w:t>
            </w:r>
          </w:p>
          <w:p w:rsidR="00581FA5" w:rsidRPr="00661595" w:rsidRDefault="00581FA5" w:rsidP="00487A02">
            <w:pPr>
              <w:pStyle w:val="InstructionsText"/>
            </w:pPr>
            <w:r w:rsidRPr="00661595">
              <w:t>Retail exposures</w:t>
            </w:r>
          </w:p>
        </w:tc>
      </w:tr>
    </w:tbl>
    <w:p w:rsidR="00464F34" w:rsidRPr="00661595" w:rsidRDefault="00464F34" w:rsidP="00487A02">
      <w:pPr>
        <w:pStyle w:val="InstructionsText"/>
      </w:pPr>
    </w:p>
    <w:p w:rsidR="00464F34" w:rsidRPr="00661595" w:rsidRDefault="00464F34" w:rsidP="00487A02">
      <w:pPr>
        <w:pStyle w:val="InstructionsText"/>
      </w:pPr>
    </w:p>
    <w:p w:rsidR="0073242B" w:rsidRPr="00661595" w:rsidRDefault="0073242B">
      <w:pPr>
        <w:spacing w:before="0" w:after="0"/>
        <w:jc w:val="left"/>
        <w:rPr>
          <w:rFonts w:ascii="Times New Roman" w:hAnsi="Times New Roman"/>
          <w:bCs/>
          <w:sz w:val="24"/>
          <w:lang w:eastAsia="de-DE"/>
        </w:rPr>
      </w:pPr>
      <w:r w:rsidRPr="00661595">
        <w:rPr>
          <w:rFonts w:ascii="Times New Roman" w:hAnsi="Times New Roman"/>
          <w:sz w:val="24"/>
        </w:rPr>
        <w:br w:type="page"/>
      </w:r>
    </w:p>
    <w:p w:rsidR="00464F34" w:rsidRPr="00661595" w:rsidRDefault="00464F34" w:rsidP="00487A02">
      <w:pPr>
        <w:pStyle w:val="InstructionsText"/>
      </w:pPr>
    </w:p>
    <w:p w:rsidR="00464F34"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191" w:name="_Toc262568031"/>
      <w:bookmarkStart w:id="192" w:name="_Toc264038429"/>
      <w:bookmarkStart w:id="193" w:name="_Toc292456208"/>
      <w:bookmarkStart w:id="194" w:name="_Toc295829859"/>
      <w:bookmarkStart w:id="195" w:name="_Toc310415023"/>
      <w:bookmarkStart w:id="196" w:name="_Toc360188352"/>
      <w:bookmarkStart w:id="197" w:name="_Toc473560901"/>
      <w:bookmarkStart w:id="198" w:name="_Toc57831541"/>
      <w:r w:rsidRPr="00661595">
        <w:rPr>
          <w:rFonts w:ascii="Times New Roman" w:hAnsi="Times New Roman" w:cs="Times New Roman"/>
          <w:sz w:val="24"/>
          <w:u w:val="none"/>
          <w:lang w:val="en-GB"/>
        </w:rPr>
        <w:t>3.2.4.</w:t>
      </w:r>
      <w:r w:rsidRPr="00661595">
        <w:rPr>
          <w:rFonts w:ascii="Times New Roman" w:hAnsi="Times New Roman" w:cs="Times New Roman"/>
          <w:sz w:val="24"/>
          <w:u w:val="none"/>
          <w:lang w:val="en-GB"/>
        </w:rPr>
        <w:tab/>
      </w:r>
      <w:r w:rsidR="00464F34" w:rsidRPr="00661595">
        <w:rPr>
          <w:rFonts w:ascii="Times New Roman" w:hAnsi="Times New Roman" w:cs="Times New Roman"/>
          <w:sz w:val="24"/>
          <w:lang w:val="en-GB"/>
        </w:rPr>
        <w:t xml:space="preserve">Clarifications on the scope of some specific exposure classes referred to in Article 112 </w:t>
      </w:r>
      <w:bookmarkEnd w:id="191"/>
      <w:bookmarkEnd w:id="192"/>
      <w:bookmarkEnd w:id="193"/>
      <w:bookmarkEnd w:id="194"/>
      <w:bookmarkEnd w:id="195"/>
      <w:bookmarkEnd w:id="196"/>
      <w:bookmarkEnd w:id="197"/>
      <w:r w:rsidR="00C7103D" w:rsidRPr="00661595">
        <w:rPr>
          <w:rFonts w:ascii="Times New Roman" w:hAnsi="Times New Roman" w:cs="Times New Roman"/>
          <w:sz w:val="24"/>
          <w:lang w:val="en-GB"/>
        </w:rPr>
        <w:t>CRR</w:t>
      </w:r>
      <w:bookmarkEnd w:id="198"/>
    </w:p>
    <w:p w:rsidR="00464F34"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199" w:name="_Toc360188353"/>
      <w:bookmarkStart w:id="200" w:name="_Toc473560902"/>
      <w:bookmarkStart w:id="201" w:name="_Toc57831542"/>
      <w:r w:rsidRPr="00661595">
        <w:rPr>
          <w:rFonts w:ascii="Times New Roman" w:hAnsi="Times New Roman" w:cs="Times New Roman"/>
          <w:sz w:val="24"/>
          <w:u w:val="none"/>
          <w:lang w:val="en-GB"/>
        </w:rPr>
        <w:t>3.2.4.1.</w:t>
      </w:r>
      <w:r w:rsidRPr="00661595">
        <w:rPr>
          <w:rFonts w:ascii="Times New Roman" w:hAnsi="Times New Roman" w:cs="Times New Roman"/>
          <w:sz w:val="24"/>
          <w:u w:val="none"/>
          <w:lang w:val="en-GB"/>
        </w:rPr>
        <w:tab/>
      </w:r>
      <w:r w:rsidR="00464F34" w:rsidRPr="00661595">
        <w:rPr>
          <w:rFonts w:ascii="Times New Roman" w:hAnsi="Times New Roman" w:cs="Times New Roman"/>
          <w:sz w:val="24"/>
          <w:lang w:val="en-GB"/>
        </w:rPr>
        <w:t>Exposure Class “Institutions”</w:t>
      </w:r>
      <w:bookmarkEnd w:id="199"/>
      <w:bookmarkEnd w:id="200"/>
      <w:bookmarkEnd w:id="201"/>
    </w:p>
    <w:p w:rsidR="00464F34" w:rsidRPr="00661595" w:rsidRDefault="00D11E4C" w:rsidP="00487A02">
      <w:pPr>
        <w:pStyle w:val="InstructionsText2"/>
        <w:numPr>
          <w:ilvl w:val="0"/>
          <w:numId w:val="0"/>
        </w:numPr>
        <w:ind w:left="1353" w:hanging="360"/>
      </w:pPr>
      <w:fldSimple w:instr=" seq paragraphs ">
        <w:r w:rsidR="00771068">
          <w:rPr>
            <w:noProof/>
          </w:rPr>
          <w:t>66</w:t>
        </w:r>
      </w:fldSimple>
      <w:r w:rsidR="00125707" w:rsidRPr="00661595">
        <w:t>.</w:t>
      </w:r>
      <w:r w:rsidR="00125707" w:rsidRPr="00661595">
        <w:tab/>
      </w:r>
      <w:r w:rsidR="00D21B29" w:rsidRPr="00661595">
        <w:t>I</w:t>
      </w:r>
      <w:r w:rsidR="00464F34" w:rsidRPr="00661595">
        <w:t xml:space="preserve">ntra-group exposures </w:t>
      </w:r>
      <w:r w:rsidR="00D21B29" w:rsidRPr="00661595">
        <w:t xml:space="preserve">referred to in </w:t>
      </w:r>
      <w:r w:rsidR="00167619" w:rsidRPr="00661595">
        <w:t>paragraphs 6 and 7 of</w:t>
      </w:r>
      <w:r w:rsidR="0060043C" w:rsidRPr="00661595">
        <w:t xml:space="preserve"> </w:t>
      </w:r>
      <w:r w:rsidR="00464F34" w:rsidRPr="00661595">
        <w:t xml:space="preserve">Article 113 </w:t>
      </w:r>
      <w:r w:rsidR="00C7103D" w:rsidRPr="00661595">
        <w:t>CRR</w:t>
      </w:r>
      <w:r w:rsidR="00272F65" w:rsidRPr="00661595">
        <w:t xml:space="preserve"> shall be </w:t>
      </w:r>
      <w:r w:rsidR="00D21B29" w:rsidRPr="00661595">
        <w:t xml:space="preserve">reported </w:t>
      </w:r>
      <w:r w:rsidR="00272F65" w:rsidRPr="00661595">
        <w:t>as follows</w:t>
      </w:r>
      <w:r w:rsidR="00464F34" w:rsidRPr="00661595">
        <w:t>:</w:t>
      </w:r>
    </w:p>
    <w:p w:rsidR="00464F34" w:rsidRPr="00661595" w:rsidRDefault="00D11E4C" w:rsidP="00487A02">
      <w:pPr>
        <w:pStyle w:val="InstructionsText2"/>
        <w:numPr>
          <w:ilvl w:val="0"/>
          <w:numId w:val="0"/>
        </w:numPr>
        <w:ind w:left="1353" w:hanging="360"/>
      </w:pPr>
      <w:fldSimple w:instr=" seq paragraphs ">
        <w:r w:rsidR="00771068">
          <w:rPr>
            <w:noProof/>
          </w:rPr>
          <w:t>67</w:t>
        </w:r>
      </w:fldSimple>
      <w:r w:rsidR="00125707" w:rsidRPr="00661595">
        <w:t>.</w:t>
      </w:r>
      <w:r w:rsidR="00125707" w:rsidRPr="00661595">
        <w:tab/>
      </w:r>
      <w:r w:rsidR="00464F34" w:rsidRPr="00661595">
        <w:t xml:space="preserve">Exposures which fulfil the requirements of Article 113(7) </w:t>
      </w:r>
      <w:r w:rsidR="00C7103D" w:rsidRPr="00661595">
        <w:t>CRR</w:t>
      </w:r>
      <w:r w:rsidR="00464F34" w:rsidRPr="00661595">
        <w:t xml:space="preserve"> shall be reported in the respective exposure classes where they would be reported if they were no</w:t>
      </w:r>
      <w:r w:rsidR="00D21B29" w:rsidRPr="00661595">
        <w:t>t</w:t>
      </w:r>
      <w:r w:rsidR="00464F34" w:rsidRPr="00661595">
        <w:t xml:space="preserve"> intra-group exposures.</w:t>
      </w:r>
    </w:p>
    <w:p w:rsidR="00464F34" w:rsidRPr="00661595" w:rsidRDefault="00D11E4C" w:rsidP="00487A02">
      <w:pPr>
        <w:pStyle w:val="InstructionsText2"/>
        <w:numPr>
          <w:ilvl w:val="0"/>
          <w:numId w:val="0"/>
        </w:numPr>
        <w:ind w:left="1353" w:hanging="360"/>
      </w:pPr>
      <w:fldSimple w:instr=" seq paragraphs ">
        <w:r w:rsidR="00771068">
          <w:rPr>
            <w:noProof/>
          </w:rPr>
          <w:t>68</w:t>
        </w:r>
      </w:fldSimple>
      <w:r w:rsidR="00125707" w:rsidRPr="00661595">
        <w:t>.</w:t>
      </w:r>
      <w:r w:rsidR="00125707" w:rsidRPr="00661595">
        <w:tab/>
      </w:r>
      <w:r w:rsidR="00464F34" w:rsidRPr="00661595">
        <w:t xml:space="preserve">According </w:t>
      </w:r>
      <w:r w:rsidR="00D21B29" w:rsidRPr="00661595">
        <w:t xml:space="preserve">to </w:t>
      </w:r>
      <w:r w:rsidR="00167619" w:rsidRPr="00661595">
        <w:t xml:space="preserve">paragraphs 6 and 7 of </w:t>
      </w:r>
      <w:r w:rsidR="00464F34" w:rsidRPr="00661595">
        <w:t xml:space="preserve">Article 113 </w:t>
      </w:r>
      <w:r w:rsidR="00C7103D" w:rsidRPr="00661595">
        <w:t>CRR</w:t>
      </w:r>
      <w:r w:rsidR="00464F34" w:rsidRPr="00661595">
        <w:t xml:space="preserve"> an institution may, subject to the prior approval of the competent authorities, decide not to apply the requirements of paragraph 1 of th</w:t>
      </w:r>
      <w:r w:rsidR="00D21B29" w:rsidRPr="00661595">
        <w:t>at</w:t>
      </w:r>
      <w:r w:rsidR="00464F34" w:rsidRPr="00661595">
        <w:t xml:space="preserve"> Article to the exposures of that institution to a counterparty which is its parent undertaking, its subsidiary, a subsidiary of its parent undertaking or an undertaking linked by a relationship within the meaning of Article 12(1) of Directive 83/349/EEC. Th</w:t>
      </w:r>
      <w:r w:rsidR="00D21B29" w:rsidRPr="00661595">
        <w:t>at</w:t>
      </w:r>
      <w:r w:rsidR="00464F34" w:rsidRPr="00661595">
        <w:t xml:space="preserve"> means that intra</w:t>
      </w:r>
      <w:r w:rsidR="00272F65" w:rsidRPr="00661595">
        <w:t>-</w:t>
      </w:r>
      <w:r w:rsidR="00464F34" w:rsidRPr="00661595">
        <w:t>group counterparties</w:t>
      </w:r>
      <w:r w:rsidR="00272F65" w:rsidRPr="00661595">
        <w:t xml:space="preserve"> </w:t>
      </w:r>
      <w:r w:rsidR="00464F34" w:rsidRPr="00661595">
        <w:t xml:space="preserve">are not necessarily institutions but also undertakings which are assigned to other exposure classes, e.g. ancillary services undertakings or undertakings within the meaning of Article 12(1) of </w:t>
      </w:r>
      <w:r w:rsidR="00D21B29" w:rsidRPr="00661595">
        <w:t xml:space="preserve">Council </w:t>
      </w:r>
      <w:r w:rsidR="00464F34" w:rsidRPr="00661595">
        <w:t>Directive 83/349/EEC</w:t>
      </w:r>
      <w:r w:rsidR="00D21B29" w:rsidRPr="00661595">
        <w:footnoteReference w:id="8"/>
      </w:r>
      <w:r w:rsidR="00464F34" w:rsidRPr="00661595">
        <w:t>. Therefore intra-group exposures shall be reported in the corresponding exposure class.</w:t>
      </w:r>
    </w:p>
    <w:p w:rsidR="00464F34"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202" w:name="_Toc360188354"/>
      <w:bookmarkStart w:id="203" w:name="_Toc473560903"/>
      <w:bookmarkStart w:id="204" w:name="_Toc57831543"/>
      <w:r w:rsidRPr="00661595">
        <w:rPr>
          <w:rFonts w:ascii="Times New Roman" w:hAnsi="Times New Roman" w:cs="Times New Roman"/>
          <w:sz w:val="24"/>
          <w:u w:val="none"/>
          <w:lang w:val="en-GB"/>
        </w:rPr>
        <w:t>3.2.4.2.</w:t>
      </w:r>
      <w:r w:rsidRPr="00661595">
        <w:rPr>
          <w:rFonts w:ascii="Times New Roman" w:hAnsi="Times New Roman" w:cs="Times New Roman"/>
          <w:sz w:val="24"/>
          <w:u w:val="none"/>
          <w:lang w:val="en-GB"/>
        </w:rPr>
        <w:tab/>
      </w:r>
      <w:r w:rsidR="00464F34" w:rsidRPr="00661595">
        <w:rPr>
          <w:rFonts w:ascii="Times New Roman" w:hAnsi="Times New Roman" w:cs="Times New Roman"/>
          <w:sz w:val="24"/>
          <w:lang w:val="en-GB"/>
        </w:rPr>
        <w:t>Exposure Class “Covered Bonds”</w:t>
      </w:r>
      <w:bookmarkEnd w:id="202"/>
      <w:bookmarkEnd w:id="203"/>
      <w:bookmarkEnd w:id="204"/>
    </w:p>
    <w:p w:rsidR="00464F34" w:rsidRPr="00661595" w:rsidRDefault="00D11E4C" w:rsidP="00487A02">
      <w:pPr>
        <w:pStyle w:val="InstructionsText2"/>
        <w:numPr>
          <w:ilvl w:val="0"/>
          <w:numId w:val="0"/>
        </w:numPr>
        <w:ind w:left="1353" w:hanging="360"/>
      </w:pPr>
      <w:fldSimple w:instr=" seq paragraphs ">
        <w:r w:rsidR="00771068">
          <w:rPr>
            <w:noProof/>
          </w:rPr>
          <w:t>69</w:t>
        </w:r>
      </w:fldSimple>
      <w:r w:rsidR="00125707" w:rsidRPr="00661595">
        <w:t>.</w:t>
      </w:r>
      <w:r w:rsidR="00125707" w:rsidRPr="00661595">
        <w:tab/>
      </w:r>
      <w:r w:rsidR="00464F34" w:rsidRPr="00661595">
        <w:t xml:space="preserve">SA exposures </w:t>
      </w:r>
      <w:r w:rsidR="00D21B29" w:rsidRPr="00661595">
        <w:t xml:space="preserve">shall be assigned </w:t>
      </w:r>
      <w:r w:rsidR="00464F34" w:rsidRPr="00661595">
        <w:t xml:space="preserve">to </w:t>
      </w:r>
      <w:r w:rsidR="00272F65" w:rsidRPr="00661595">
        <w:t xml:space="preserve">the </w:t>
      </w:r>
      <w:r w:rsidR="00464F34" w:rsidRPr="00661595">
        <w:t>exposure class “covered bonds”</w:t>
      </w:r>
      <w:r w:rsidR="00272F65" w:rsidRPr="00661595">
        <w:t xml:space="preserve"> as follows</w:t>
      </w:r>
      <w:r w:rsidR="00464F34" w:rsidRPr="00661595">
        <w:t>:</w:t>
      </w:r>
    </w:p>
    <w:p w:rsidR="00464F34" w:rsidRPr="00661595" w:rsidRDefault="00D11E4C" w:rsidP="00487A02">
      <w:pPr>
        <w:pStyle w:val="InstructionsText2"/>
        <w:numPr>
          <w:ilvl w:val="0"/>
          <w:numId w:val="0"/>
        </w:numPr>
        <w:ind w:left="1353" w:hanging="360"/>
      </w:pPr>
      <w:fldSimple w:instr=" seq paragraphs ">
        <w:r w:rsidR="00771068">
          <w:rPr>
            <w:noProof/>
          </w:rPr>
          <w:t>70</w:t>
        </w:r>
      </w:fldSimple>
      <w:r w:rsidR="00125707" w:rsidRPr="00661595">
        <w:t>.</w:t>
      </w:r>
      <w:r w:rsidR="00125707" w:rsidRPr="00661595">
        <w:tab/>
      </w:r>
      <w:r w:rsidR="00464F34" w:rsidRPr="00661595">
        <w:t xml:space="preserve">Bonds </w:t>
      </w:r>
      <w:r w:rsidR="00D21B29" w:rsidRPr="00661595">
        <w:t>referred to</w:t>
      </w:r>
      <w:r w:rsidR="00464F34" w:rsidRPr="00661595">
        <w:t xml:space="preserve"> in Article 52(4) of Directive 2009/65/EC</w:t>
      </w:r>
      <w:r w:rsidR="00D21B29" w:rsidRPr="00661595">
        <w:t xml:space="preserve"> of the European Parliament and of the Council</w:t>
      </w:r>
      <w:r w:rsidR="00D21B29" w:rsidRPr="00661595">
        <w:footnoteReference w:id="9"/>
      </w:r>
      <w:r w:rsidR="00464F34" w:rsidRPr="00661595">
        <w:t xml:space="preserve"> shall fulfil the requirements of </w:t>
      </w:r>
      <w:r w:rsidR="00167619" w:rsidRPr="00661595">
        <w:t xml:space="preserve">paragraphs 1 and 2 of </w:t>
      </w:r>
      <w:r w:rsidR="00464F34" w:rsidRPr="00661595">
        <w:t xml:space="preserve">Article 129 </w:t>
      </w:r>
      <w:r w:rsidR="00C7103D" w:rsidRPr="00661595">
        <w:t>CRR</w:t>
      </w:r>
      <w:r w:rsidR="00464F34" w:rsidRPr="00661595">
        <w:t xml:space="preserve"> to be classified in the exposure class “Covered Bonds”. The fulfilment of those requirements has to be checked in each case. Nevertheless, bonds </w:t>
      </w:r>
      <w:r w:rsidR="00D21B29" w:rsidRPr="00661595">
        <w:t>referred to in</w:t>
      </w:r>
      <w:r w:rsidR="00464F34" w:rsidRPr="00661595">
        <w:t xml:space="preserve"> Article 52(4) of Directive 2009/65/EC and issued before 31 December 2007 </w:t>
      </w:r>
      <w:r w:rsidR="00D21B29" w:rsidRPr="00661595">
        <w:t xml:space="preserve">shall </w:t>
      </w:r>
      <w:r w:rsidR="00464F34" w:rsidRPr="00661595">
        <w:t xml:space="preserve">also </w:t>
      </w:r>
      <w:r w:rsidR="00D21B29" w:rsidRPr="00661595">
        <w:t xml:space="preserve">be </w:t>
      </w:r>
      <w:r w:rsidR="00464F34" w:rsidRPr="00661595">
        <w:t xml:space="preserve">assigned to the exposure class “Covered Bonds” </w:t>
      </w:r>
      <w:r w:rsidR="00D21B29" w:rsidRPr="00661595">
        <w:t>pursuant to</w:t>
      </w:r>
      <w:r w:rsidR="00464F34" w:rsidRPr="00661595">
        <w:t xml:space="preserve"> Article </w:t>
      </w:r>
      <w:r w:rsidR="000565B6" w:rsidRPr="00661595">
        <w:t>129(6</w:t>
      </w:r>
      <w:r w:rsidR="00464F34" w:rsidRPr="00661595">
        <w:t xml:space="preserve">) </w:t>
      </w:r>
      <w:r w:rsidR="00C7103D" w:rsidRPr="00661595">
        <w:t>CRR</w:t>
      </w:r>
      <w:r w:rsidR="00464F34" w:rsidRPr="00661595">
        <w:t>.</w:t>
      </w:r>
    </w:p>
    <w:p w:rsidR="00464F34"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205" w:name="_Toc360188355"/>
      <w:bookmarkStart w:id="206" w:name="_Toc473560904"/>
      <w:bookmarkStart w:id="207" w:name="_Toc57831544"/>
      <w:r w:rsidRPr="00661595">
        <w:rPr>
          <w:rFonts w:ascii="Times New Roman" w:hAnsi="Times New Roman" w:cs="Times New Roman"/>
          <w:sz w:val="24"/>
          <w:u w:val="none"/>
          <w:lang w:val="en-GB"/>
        </w:rPr>
        <w:t>3.2.4.3.</w:t>
      </w:r>
      <w:r w:rsidRPr="00661595">
        <w:rPr>
          <w:rFonts w:ascii="Times New Roman" w:hAnsi="Times New Roman" w:cs="Times New Roman"/>
          <w:sz w:val="24"/>
          <w:u w:val="none"/>
          <w:lang w:val="en-GB"/>
        </w:rPr>
        <w:tab/>
      </w:r>
      <w:r w:rsidR="00464F34" w:rsidRPr="00661595">
        <w:rPr>
          <w:rFonts w:ascii="Times New Roman" w:hAnsi="Times New Roman" w:cs="Times New Roman"/>
          <w:sz w:val="24"/>
          <w:lang w:val="en-GB"/>
        </w:rPr>
        <w:t>Exposure class “Collective Investment Undertakings”</w:t>
      </w:r>
      <w:bookmarkEnd w:id="205"/>
      <w:bookmarkEnd w:id="206"/>
      <w:bookmarkEnd w:id="207"/>
    </w:p>
    <w:p w:rsidR="00464F34" w:rsidRPr="00661595" w:rsidRDefault="00D11E4C" w:rsidP="00487A02">
      <w:pPr>
        <w:pStyle w:val="InstructionsText2"/>
        <w:numPr>
          <w:ilvl w:val="0"/>
          <w:numId w:val="0"/>
        </w:numPr>
        <w:ind w:left="1353" w:hanging="360"/>
      </w:pPr>
      <w:fldSimple w:instr=" seq paragraphs ">
        <w:r w:rsidR="00771068">
          <w:rPr>
            <w:noProof/>
          </w:rPr>
          <w:t>71</w:t>
        </w:r>
      </w:fldSimple>
      <w:r w:rsidR="00125707" w:rsidRPr="00661595">
        <w:t>.</w:t>
      </w:r>
      <w:r w:rsidR="00125707" w:rsidRPr="00661595">
        <w:tab/>
      </w:r>
      <w:r w:rsidR="00272F65" w:rsidRPr="00661595">
        <w:t>Where</w:t>
      </w:r>
      <w:r w:rsidR="00464F34" w:rsidRPr="00661595">
        <w:t xml:space="preserve"> the possibility </w:t>
      </w:r>
      <w:r w:rsidR="00D21B29" w:rsidRPr="00661595">
        <w:t>referred to in</w:t>
      </w:r>
      <w:r w:rsidR="00464F34" w:rsidRPr="00661595">
        <w:t xml:space="preserve"> Article 132</w:t>
      </w:r>
      <w:r w:rsidR="00922F04" w:rsidRPr="00661595">
        <w:t>a</w:t>
      </w:r>
      <w:r w:rsidR="00F84BC7" w:rsidRPr="00661595">
        <w:t xml:space="preserve"> (2)</w:t>
      </w:r>
      <w:r w:rsidR="00464F34" w:rsidRPr="00661595">
        <w:t xml:space="preserve"> </w:t>
      </w:r>
      <w:r w:rsidR="00C7103D" w:rsidRPr="00661595">
        <w:t>CRR</w:t>
      </w:r>
      <w:r w:rsidR="00464F34" w:rsidRPr="00661595">
        <w:t xml:space="preserve"> is used</w:t>
      </w:r>
      <w:r w:rsidR="00272F65" w:rsidRPr="00661595">
        <w:t xml:space="preserve">, exposures in the form of </w:t>
      </w:r>
      <w:r w:rsidR="00887A83" w:rsidRPr="00661595">
        <w:t xml:space="preserve">units or shares in </w:t>
      </w:r>
      <w:r w:rsidR="00272F65" w:rsidRPr="00661595">
        <w:t xml:space="preserve">CIUs shall be </w:t>
      </w:r>
      <w:r w:rsidR="00464F34" w:rsidRPr="00661595">
        <w:t xml:space="preserve">reported as on balance sheet items </w:t>
      </w:r>
      <w:r w:rsidR="00BB22D4" w:rsidRPr="00661595">
        <w:t>in accordance with</w:t>
      </w:r>
      <w:r w:rsidR="00464F34" w:rsidRPr="00661595">
        <w:t xml:space="preserve"> </w:t>
      </w:r>
      <w:r w:rsidR="00D21B29" w:rsidRPr="00661595">
        <w:t xml:space="preserve">the first sentence in </w:t>
      </w:r>
      <w:r w:rsidR="00464F34" w:rsidRPr="00661595">
        <w:t xml:space="preserve">Article 111(1) </w:t>
      </w:r>
      <w:r w:rsidR="00C7103D" w:rsidRPr="00661595">
        <w:t>CRR</w:t>
      </w:r>
      <w:r w:rsidR="00464F34" w:rsidRPr="00661595">
        <w:t xml:space="preserve">. </w:t>
      </w:r>
    </w:p>
    <w:p w:rsidR="00464F34"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208" w:name="_Toc262568032"/>
      <w:bookmarkStart w:id="209" w:name="_Toc264038430"/>
      <w:bookmarkStart w:id="210" w:name="_Toc292456209"/>
      <w:bookmarkStart w:id="211" w:name="_Toc295829860"/>
      <w:bookmarkStart w:id="212" w:name="_Toc310415024"/>
      <w:bookmarkStart w:id="213" w:name="_Toc360188356"/>
      <w:bookmarkStart w:id="214" w:name="_Toc473560905"/>
      <w:bookmarkStart w:id="215" w:name="_Toc57831545"/>
      <w:r w:rsidRPr="00661595">
        <w:rPr>
          <w:rFonts w:ascii="Times New Roman" w:hAnsi="Times New Roman" w:cs="Times New Roman"/>
          <w:sz w:val="24"/>
          <w:u w:val="none"/>
          <w:lang w:val="en-GB"/>
        </w:rPr>
        <w:t>3.2.5.</w:t>
      </w:r>
      <w:r w:rsidRPr="00661595">
        <w:rPr>
          <w:rFonts w:ascii="Times New Roman" w:hAnsi="Times New Roman" w:cs="Times New Roman"/>
          <w:sz w:val="24"/>
          <w:u w:val="none"/>
          <w:lang w:val="en-GB"/>
        </w:rPr>
        <w:tab/>
      </w:r>
      <w:r w:rsidR="00464F34" w:rsidRPr="00661595">
        <w:rPr>
          <w:rFonts w:ascii="Times New Roman" w:hAnsi="Times New Roman" w:cs="Times New Roman"/>
          <w:sz w:val="24"/>
          <w:lang w:val="en-GB"/>
        </w:rPr>
        <w:t>Instructions concerning specific positions</w:t>
      </w:r>
      <w:bookmarkEnd w:id="208"/>
      <w:bookmarkEnd w:id="209"/>
      <w:bookmarkEnd w:id="210"/>
      <w:bookmarkEnd w:id="211"/>
      <w:bookmarkEnd w:id="212"/>
      <w:bookmarkEnd w:id="213"/>
      <w:bookmarkEnd w:id="214"/>
      <w:bookmarkEnd w:id="215"/>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8640"/>
      </w:tblGrid>
      <w:tr w:rsidR="00464F34" w:rsidRPr="00661595" w:rsidTr="00672D2A">
        <w:trPr>
          <w:trHeight w:val="581"/>
        </w:trPr>
        <w:tc>
          <w:tcPr>
            <w:tcW w:w="9828" w:type="dxa"/>
            <w:gridSpan w:val="2"/>
            <w:shd w:val="clear" w:color="auto" w:fill="CCCCCC"/>
          </w:tcPr>
          <w:p w:rsidR="00464F34" w:rsidRPr="00661595" w:rsidRDefault="00464F34" w:rsidP="00487A02">
            <w:pPr>
              <w:pStyle w:val="InstructionsText"/>
            </w:pPr>
            <w:r w:rsidRPr="00661595">
              <w:t>Columns</w:t>
            </w:r>
          </w:p>
        </w:tc>
      </w:tr>
      <w:tr w:rsidR="00464F34" w:rsidRPr="00661595" w:rsidTr="00672D2A">
        <w:tc>
          <w:tcPr>
            <w:tcW w:w="1188" w:type="dxa"/>
          </w:tcPr>
          <w:p w:rsidR="00464F34" w:rsidRPr="00661595" w:rsidRDefault="00FF15C6" w:rsidP="00487A02">
            <w:pPr>
              <w:pStyle w:val="InstructionsText"/>
            </w:pPr>
            <w:r w:rsidRPr="00661595">
              <w:t>0</w:t>
            </w:r>
            <w:r w:rsidR="00464F34" w:rsidRPr="00661595">
              <w:t>010</w:t>
            </w:r>
          </w:p>
        </w:tc>
        <w:tc>
          <w:tcPr>
            <w:tcW w:w="8640" w:type="dxa"/>
          </w:tcPr>
          <w:p w:rsidR="00464F34" w:rsidRPr="00661595" w:rsidRDefault="00464F34"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ORIGINAL EXPOSURE PRE</w:t>
            </w:r>
            <w:r w:rsidR="007574C3" w:rsidRPr="00661595">
              <w:rPr>
                <w:rStyle w:val="InstructionsTabelleberschrift"/>
                <w:rFonts w:ascii="Times New Roman" w:hAnsi="Times New Roman"/>
                <w:sz w:val="24"/>
              </w:rPr>
              <w:t>-</w:t>
            </w:r>
            <w:r w:rsidRPr="00661595">
              <w:rPr>
                <w:rStyle w:val="InstructionsTabelleberschrift"/>
                <w:rFonts w:ascii="Times New Roman" w:hAnsi="Times New Roman"/>
                <w:sz w:val="24"/>
              </w:rPr>
              <w:t>CONVERSION FACTORS</w:t>
            </w:r>
          </w:p>
          <w:p w:rsidR="00464F34" w:rsidRPr="00661595" w:rsidRDefault="00464F34" w:rsidP="00487A02">
            <w:pPr>
              <w:pStyle w:val="InstructionsText"/>
            </w:pPr>
            <w:r w:rsidRPr="00661595">
              <w:t>Exposure value</w:t>
            </w:r>
            <w:r w:rsidR="00531FC9" w:rsidRPr="00661595">
              <w:t xml:space="preserve"> </w:t>
            </w:r>
            <w:r w:rsidR="00167619" w:rsidRPr="00661595">
              <w:t xml:space="preserve">calculated </w:t>
            </w:r>
            <w:r w:rsidR="00BB22D4" w:rsidRPr="00661595">
              <w:t>in accordance with</w:t>
            </w:r>
            <w:r w:rsidR="00531FC9" w:rsidRPr="00661595">
              <w:t xml:space="preserve"> Article 111 </w:t>
            </w:r>
            <w:r w:rsidR="00C7103D" w:rsidRPr="00661595">
              <w:t>CRR</w:t>
            </w:r>
            <w:r w:rsidRPr="00661595">
              <w:t xml:space="preserve"> without taking into account value adjustments and provisions,</w:t>
            </w:r>
            <w:r w:rsidR="0029716F" w:rsidRPr="00661595">
              <w:t xml:space="preserve"> deductions,</w:t>
            </w:r>
            <w:r w:rsidRPr="00661595">
              <w:t xml:space="preserve"> conversion factors and the effect of credit risk mitigation techniques with the following qualifications stemming from Article 111(2) </w:t>
            </w:r>
            <w:r w:rsidR="00C7103D" w:rsidRPr="00661595">
              <w:t>CRR</w:t>
            </w:r>
            <w:r w:rsidRPr="00661595">
              <w:t>:</w:t>
            </w:r>
          </w:p>
          <w:p w:rsidR="00464F34" w:rsidRPr="00661595" w:rsidRDefault="00464F34" w:rsidP="00487A02">
            <w:pPr>
              <w:pStyle w:val="InstructionsText"/>
              <w:numPr>
                <w:ilvl w:val="0"/>
                <w:numId w:val="32"/>
              </w:numPr>
            </w:pPr>
            <w:r w:rsidRPr="00661595">
              <w:t xml:space="preserve">For </w:t>
            </w:r>
            <w:r w:rsidR="00922F04" w:rsidRPr="00661595">
              <w:t xml:space="preserve">Derivative </w:t>
            </w:r>
            <w:r w:rsidRPr="00661595">
              <w:t xml:space="preserve">instruments, repurchase transactions, securities or commodities lending or borrowing transactions, long settlement transactions and margin lending transactions subject to </w:t>
            </w:r>
            <w:r w:rsidR="00D90713" w:rsidRPr="00661595">
              <w:t xml:space="preserve">counterparty credit risk (Chapter 4 or </w:t>
            </w:r>
            <w:r w:rsidR="00D21B29" w:rsidRPr="00661595">
              <w:t>Chapter 6 of Title II of P</w:t>
            </w:r>
            <w:r w:rsidRPr="00661595">
              <w:t xml:space="preserve">art </w:t>
            </w:r>
            <w:r w:rsidR="00D21B29" w:rsidRPr="00661595">
              <w:t>Three</w:t>
            </w:r>
            <w:r w:rsidRPr="00661595">
              <w:t xml:space="preserve"> </w:t>
            </w:r>
            <w:r w:rsidR="00C7103D" w:rsidRPr="00661595">
              <w:t>CRR</w:t>
            </w:r>
            <w:r w:rsidR="00D90713" w:rsidRPr="00661595">
              <w:t>)</w:t>
            </w:r>
            <w:r w:rsidRPr="00661595">
              <w:t xml:space="preserve"> the original exposure </w:t>
            </w:r>
            <w:r w:rsidR="00B811B0" w:rsidRPr="00661595">
              <w:t>shall</w:t>
            </w:r>
            <w:r w:rsidRPr="00661595">
              <w:t xml:space="preserve"> correspond to the Exposure Value for Counterparty Credit Risk </w:t>
            </w:r>
            <w:r w:rsidR="00D90713" w:rsidRPr="00661595">
              <w:t xml:space="preserve">(see instructions to column </w:t>
            </w:r>
            <w:r w:rsidR="00E32BAE">
              <w:t>0</w:t>
            </w:r>
            <w:r w:rsidR="00D90713" w:rsidRPr="00661595">
              <w:t xml:space="preserve">210). </w:t>
            </w:r>
          </w:p>
          <w:p w:rsidR="00464F34" w:rsidRPr="00661595" w:rsidRDefault="00464F34" w:rsidP="00487A02">
            <w:pPr>
              <w:pStyle w:val="InstructionsText"/>
              <w:numPr>
                <w:ilvl w:val="0"/>
                <w:numId w:val="32"/>
              </w:numPr>
            </w:pPr>
            <w:r w:rsidRPr="00661595">
              <w:t xml:space="preserve">Exposure values for leases </w:t>
            </w:r>
            <w:r w:rsidR="00D21B29" w:rsidRPr="00661595">
              <w:t xml:space="preserve">shall be </w:t>
            </w:r>
            <w:r w:rsidRPr="00661595">
              <w:t xml:space="preserve">subject to Article 134(7) </w:t>
            </w:r>
            <w:r w:rsidR="00C7103D" w:rsidRPr="00661595">
              <w:t>CRR</w:t>
            </w:r>
            <w:r w:rsidRPr="00661595">
              <w:t xml:space="preserve">. </w:t>
            </w:r>
            <w:r w:rsidR="0029630E" w:rsidRPr="00661595">
              <w:t>In particular, the residual value shall be included at its accounting value (i.e. the discounted estimated residual value at the end of the lease term).</w:t>
            </w:r>
          </w:p>
          <w:p w:rsidR="00464F34" w:rsidRPr="00661595" w:rsidRDefault="00464F34" w:rsidP="00487A02">
            <w:pPr>
              <w:pStyle w:val="InstructionsText"/>
              <w:numPr>
                <w:ilvl w:val="0"/>
                <w:numId w:val="32"/>
              </w:numPr>
            </w:pPr>
            <w:r w:rsidRPr="00661595">
              <w:t xml:space="preserve">In </w:t>
            </w:r>
            <w:r w:rsidR="00D21B29" w:rsidRPr="00661595">
              <w:t xml:space="preserve">the </w:t>
            </w:r>
            <w:r w:rsidRPr="00661595">
              <w:t xml:space="preserve">case of on-balance sheet netting </w:t>
            </w:r>
            <w:r w:rsidR="00D21B29" w:rsidRPr="00661595">
              <w:t xml:space="preserve">as </w:t>
            </w:r>
            <w:r w:rsidRPr="00661595">
              <w:t xml:space="preserve">laid down in Article 219 </w:t>
            </w:r>
            <w:r w:rsidR="00C7103D" w:rsidRPr="00661595">
              <w:t>CRR</w:t>
            </w:r>
            <w:r w:rsidR="00167619" w:rsidRPr="00661595">
              <w:t>,</w:t>
            </w:r>
            <w:r w:rsidRPr="00661595">
              <w:t xml:space="preserve"> the exposure values shall be reported </w:t>
            </w:r>
            <w:r w:rsidR="00110F40" w:rsidRPr="00661595">
              <w:t>taking into account the</w:t>
            </w:r>
            <w:r w:rsidRPr="00661595">
              <w:t xml:space="preserve"> </w:t>
            </w:r>
            <w:r w:rsidR="00D21B29" w:rsidRPr="00661595">
              <w:t xml:space="preserve">amount of </w:t>
            </w:r>
            <w:r w:rsidRPr="00661595">
              <w:t>the received cash collateral.</w:t>
            </w:r>
          </w:p>
          <w:p w:rsidR="00464F34" w:rsidRPr="00661595" w:rsidRDefault="00520B00" w:rsidP="00487A02">
            <w:pPr>
              <w:pStyle w:val="InstructionsText"/>
            </w:pPr>
            <w:r>
              <w:t>Where institutions make use of the derogation of Article 473a(7a) CRR, they shall report the amount AB</w:t>
            </w:r>
            <w:r>
              <w:rPr>
                <w:vertAlign w:val="subscript"/>
              </w:rPr>
              <w:t>SA</w:t>
            </w:r>
            <w:r>
              <w:t xml:space="preserve"> that is risk weighted at 100% in the exposure class ‘other items’ in this column.</w:t>
            </w:r>
          </w:p>
        </w:tc>
      </w:tr>
      <w:tr w:rsidR="00464F34" w:rsidRPr="00661595" w:rsidTr="00672D2A">
        <w:tc>
          <w:tcPr>
            <w:tcW w:w="1188" w:type="dxa"/>
          </w:tcPr>
          <w:p w:rsidR="00464F34" w:rsidRPr="00661595" w:rsidRDefault="00464F34" w:rsidP="00487A02">
            <w:pPr>
              <w:pStyle w:val="InstructionsText"/>
            </w:pPr>
            <w:r w:rsidRPr="00661595">
              <w:t>0</w:t>
            </w:r>
            <w:r w:rsidR="00FF15C6" w:rsidRPr="00661595">
              <w:t>0</w:t>
            </w:r>
            <w:r w:rsidRPr="00661595">
              <w:t>30</w:t>
            </w:r>
          </w:p>
        </w:tc>
        <w:tc>
          <w:tcPr>
            <w:tcW w:w="8640" w:type="dxa"/>
          </w:tcPr>
          <w:p w:rsidR="00464F34" w:rsidRPr="00661595" w:rsidRDefault="00464F34"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 Value adjustments and provision</w:t>
            </w:r>
            <w:r w:rsidR="0029716F" w:rsidRPr="00661595">
              <w:rPr>
                <w:rStyle w:val="InstructionsTabelleberschrift"/>
                <w:rFonts w:ascii="Times New Roman" w:hAnsi="Times New Roman"/>
                <w:sz w:val="24"/>
              </w:rPr>
              <w:t>s</w:t>
            </w:r>
            <w:r w:rsidRPr="00661595">
              <w:rPr>
                <w:rStyle w:val="InstructionsTabelleberschrift"/>
                <w:rFonts w:ascii="Times New Roman" w:hAnsi="Times New Roman"/>
                <w:sz w:val="24"/>
              </w:rPr>
              <w:t xml:space="preserve"> associated with the original exposure</w:t>
            </w:r>
          </w:p>
          <w:p w:rsidR="00464F34" w:rsidRPr="00661595" w:rsidRDefault="00464F34"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Article 24 and 11</w:t>
            </w:r>
            <w:r w:rsidR="00531FC9" w:rsidRPr="00661595">
              <w:rPr>
                <w:rStyle w:val="InstructionsTabelleberschrift"/>
                <w:rFonts w:ascii="Times New Roman" w:hAnsi="Times New Roman"/>
                <w:sz w:val="24"/>
              </w:rPr>
              <w:t>1</w:t>
            </w:r>
            <w:r w:rsidRPr="00661595">
              <w:rPr>
                <w:rStyle w:val="InstructionsTabelleberschrift"/>
                <w:rFonts w:ascii="Times New Roman" w:hAnsi="Times New Roman"/>
                <w:sz w:val="24"/>
              </w:rPr>
              <w:t xml:space="preserve"> </w:t>
            </w:r>
            <w:r w:rsidR="00C7103D" w:rsidRPr="00661595">
              <w:rPr>
                <w:rStyle w:val="InstructionsTabelleberschrift"/>
                <w:rFonts w:ascii="Times New Roman" w:hAnsi="Times New Roman"/>
                <w:sz w:val="24"/>
              </w:rPr>
              <w:t>CRR</w:t>
            </w:r>
          </w:p>
          <w:p w:rsidR="00464F34" w:rsidRPr="00661595" w:rsidRDefault="00464F34" w:rsidP="00487A02">
            <w:pPr>
              <w:pStyle w:val="InstructionsText"/>
            </w:pPr>
            <w:r w:rsidRPr="00661595">
              <w:t>Value adjustments and provisions</w:t>
            </w:r>
            <w:r w:rsidR="0016072E" w:rsidRPr="00661595">
              <w:t xml:space="preserve"> </w:t>
            </w:r>
            <w:r w:rsidRPr="00661595">
              <w:t xml:space="preserve">for credit losses </w:t>
            </w:r>
            <w:r w:rsidR="0029716F" w:rsidRPr="00661595">
              <w:t xml:space="preserve">(credit risk adjustments in accordance with Article 110) </w:t>
            </w:r>
            <w:r w:rsidRPr="00661595">
              <w:t>made in accordance with the accounting framework to which the reporting entity is subject</w:t>
            </w:r>
            <w:r w:rsidR="00841645" w:rsidRPr="00661595">
              <w:t>, as well as prudential value adjustments</w:t>
            </w:r>
            <w:r w:rsidR="0029716F" w:rsidRPr="00661595">
              <w:t xml:space="preserve"> (additional value adjustments in accordance with Article 34 and 105, amounts deducted in accordance with point (m) Article 36(1) and other own funds reductions related to the asset item).</w:t>
            </w:r>
          </w:p>
        </w:tc>
      </w:tr>
      <w:tr w:rsidR="00464F34" w:rsidRPr="00661595" w:rsidTr="00672D2A">
        <w:tc>
          <w:tcPr>
            <w:tcW w:w="1188" w:type="dxa"/>
          </w:tcPr>
          <w:p w:rsidR="00464F34" w:rsidRPr="00661595" w:rsidRDefault="00FF15C6" w:rsidP="00487A02">
            <w:pPr>
              <w:pStyle w:val="InstructionsText"/>
            </w:pPr>
            <w:r w:rsidRPr="00661595">
              <w:t>0</w:t>
            </w:r>
            <w:r w:rsidR="00464F34" w:rsidRPr="00661595">
              <w:t>040</w:t>
            </w:r>
          </w:p>
        </w:tc>
        <w:tc>
          <w:tcPr>
            <w:tcW w:w="8640" w:type="dxa"/>
          </w:tcPr>
          <w:p w:rsidR="00464F34" w:rsidRPr="00661595" w:rsidRDefault="00464F34" w:rsidP="00487A02">
            <w:pPr>
              <w:pStyle w:val="InstructionsText"/>
            </w:pPr>
            <w:r w:rsidRPr="00661595">
              <w:rPr>
                <w:rStyle w:val="InstructionsTabelleberschrift"/>
                <w:rFonts w:ascii="Times New Roman" w:hAnsi="Times New Roman"/>
                <w:sz w:val="24"/>
              </w:rPr>
              <w:t>Exposure net of value adjustments and provisions</w:t>
            </w:r>
          </w:p>
          <w:p w:rsidR="00464F34" w:rsidRPr="00661595" w:rsidRDefault="00464F34" w:rsidP="00487A02">
            <w:pPr>
              <w:pStyle w:val="InstructionsText"/>
            </w:pPr>
            <w:r w:rsidRPr="00661595">
              <w:t xml:space="preserve">Sum of columns </w:t>
            </w:r>
            <w:r w:rsidR="00FF15C6" w:rsidRPr="00661595">
              <w:t>0</w:t>
            </w:r>
            <w:r w:rsidRPr="00661595">
              <w:t xml:space="preserve">010 and </w:t>
            </w:r>
            <w:r w:rsidR="00FF15C6" w:rsidRPr="00661595">
              <w:t>0</w:t>
            </w:r>
            <w:r w:rsidRPr="00661595">
              <w:t>030</w:t>
            </w:r>
          </w:p>
        </w:tc>
      </w:tr>
      <w:tr w:rsidR="00464F34" w:rsidRPr="00661595" w:rsidTr="00672D2A">
        <w:tc>
          <w:tcPr>
            <w:tcW w:w="1188" w:type="dxa"/>
          </w:tcPr>
          <w:p w:rsidR="00464F34" w:rsidRPr="00661595" w:rsidRDefault="00FF15C6" w:rsidP="00487A02">
            <w:pPr>
              <w:pStyle w:val="InstructionsText"/>
            </w:pPr>
            <w:r w:rsidRPr="00661595">
              <w:t>0</w:t>
            </w:r>
            <w:r w:rsidR="00464F34" w:rsidRPr="00661595">
              <w:t xml:space="preserve">050 - </w:t>
            </w:r>
            <w:r w:rsidRPr="00661595">
              <w:t>0</w:t>
            </w:r>
            <w:r w:rsidR="00464F34" w:rsidRPr="00661595">
              <w:t>100</w:t>
            </w:r>
          </w:p>
        </w:tc>
        <w:tc>
          <w:tcPr>
            <w:tcW w:w="8640" w:type="dxa"/>
          </w:tcPr>
          <w:p w:rsidR="00464F34" w:rsidRPr="00661595" w:rsidRDefault="00464F34"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CREDIT RISK MITIGATION (CRM) TECHNIQUES WITH SUBSTITUTION EFFECTS ON THE EXPOSURE</w:t>
            </w:r>
          </w:p>
          <w:p w:rsidR="00464F34" w:rsidRPr="00661595" w:rsidRDefault="00464F34" w:rsidP="00487A02">
            <w:pPr>
              <w:pStyle w:val="InstructionsText"/>
            </w:pPr>
            <w:r w:rsidRPr="00661595">
              <w:t xml:space="preserve">Credit risk mitigation techniques as defined in </w:t>
            </w:r>
            <w:r w:rsidR="00214FDA" w:rsidRPr="00661595">
              <w:t xml:space="preserve">point (57) of </w:t>
            </w:r>
            <w:r w:rsidRPr="00661595">
              <w:t>Article 4(</w:t>
            </w:r>
            <w:r w:rsidR="00214FDA" w:rsidRPr="00661595">
              <w:t>1</w:t>
            </w:r>
            <w:r w:rsidRPr="00661595">
              <w:t xml:space="preserve">) </w:t>
            </w:r>
            <w:r w:rsidR="00C7103D" w:rsidRPr="00661595">
              <w:t>CRR</w:t>
            </w:r>
            <w:r w:rsidRPr="00661595">
              <w:t xml:space="preserve"> that reduce the credit risk of an exposure or exposures via the substitution of exposures as de</w:t>
            </w:r>
            <w:r w:rsidR="00110F40" w:rsidRPr="00661595">
              <w:t>scribed</w:t>
            </w:r>
            <w:r w:rsidRPr="00661595">
              <w:t xml:space="preserve"> below in </w:t>
            </w:r>
            <w:r w:rsidR="00167619" w:rsidRPr="00661595">
              <w:t>“</w:t>
            </w:r>
            <w:r w:rsidRPr="00661595">
              <w:t>Substitution of the exposure due to CRM</w:t>
            </w:r>
            <w:r w:rsidR="00167619" w:rsidRPr="00661595">
              <w:t>”.</w:t>
            </w:r>
          </w:p>
          <w:p w:rsidR="00464F34" w:rsidRPr="00661595" w:rsidRDefault="00D21B29" w:rsidP="00487A02">
            <w:pPr>
              <w:pStyle w:val="InstructionsText"/>
            </w:pPr>
            <w:r w:rsidRPr="00661595">
              <w:t>C</w:t>
            </w:r>
            <w:r w:rsidR="00464F34" w:rsidRPr="00661595">
              <w:t xml:space="preserve">ollateral </w:t>
            </w:r>
            <w:r w:rsidRPr="00661595">
              <w:t xml:space="preserve">that </w:t>
            </w:r>
            <w:r w:rsidR="00464F34" w:rsidRPr="00661595">
              <w:t>has an effect on the exposure value (e.g. if used for credit risk mitigation techniques with substitution effects on the exposure) shall be capped at the exposure value.</w:t>
            </w:r>
          </w:p>
          <w:p w:rsidR="00464F34" w:rsidRPr="00661595" w:rsidRDefault="00464F34" w:rsidP="00487A02">
            <w:pPr>
              <w:pStyle w:val="InstructionsText"/>
            </w:pPr>
            <w:r w:rsidRPr="00661595">
              <w:t>Items to be reported here:</w:t>
            </w:r>
          </w:p>
          <w:p w:rsidR="00464F34" w:rsidRPr="00661595" w:rsidRDefault="00125707" w:rsidP="00487A02">
            <w:pPr>
              <w:pStyle w:val="InstructionsText"/>
            </w:pPr>
            <w:r w:rsidRPr="00661595">
              <w:rPr>
                <w:rFonts w:ascii="Arial" w:hAnsi="Arial"/>
              </w:rPr>
              <w:t>-</w:t>
            </w:r>
            <w:r w:rsidRPr="00661595">
              <w:rPr>
                <w:rFonts w:ascii="Arial" w:hAnsi="Arial"/>
              </w:rPr>
              <w:tab/>
            </w:r>
            <w:r w:rsidR="00464F34" w:rsidRPr="00661595">
              <w:t xml:space="preserve">collateral, incorporated </w:t>
            </w:r>
            <w:r w:rsidR="00BB22D4" w:rsidRPr="00661595">
              <w:t>in accordance with</w:t>
            </w:r>
            <w:r w:rsidR="00167619" w:rsidRPr="00661595">
              <w:t xml:space="preserve"> the</w:t>
            </w:r>
            <w:r w:rsidR="00464F34" w:rsidRPr="00661595">
              <w:t xml:space="preserve"> Financial Collateral Simple Method;</w:t>
            </w:r>
          </w:p>
          <w:p w:rsidR="00464F34" w:rsidRPr="00661595" w:rsidRDefault="00125707" w:rsidP="00487A02">
            <w:pPr>
              <w:pStyle w:val="InstructionsText"/>
            </w:pPr>
            <w:r w:rsidRPr="00661595">
              <w:rPr>
                <w:rFonts w:ascii="Arial" w:hAnsi="Arial"/>
              </w:rPr>
              <w:t>-</w:t>
            </w:r>
            <w:r w:rsidRPr="00661595">
              <w:rPr>
                <w:rFonts w:ascii="Arial" w:hAnsi="Arial"/>
              </w:rPr>
              <w:tab/>
            </w:r>
            <w:r w:rsidR="00464F34" w:rsidRPr="00661595">
              <w:t>eligible unfunded credit protection.</w:t>
            </w:r>
          </w:p>
          <w:p w:rsidR="00464F34" w:rsidRPr="00661595" w:rsidRDefault="00464F34" w:rsidP="00487A02">
            <w:pPr>
              <w:pStyle w:val="InstructionsText"/>
            </w:pPr>
            <w:r w:rsidRPr="00661595">
              <w:t xml:space="preserve">Please also see instructions of point </w:t>
            </w:r>
            <w:r w:rsidR="00E10B85" w:rsidRPr="00661595">
              <w:t>3</w:t>
            </w:r>
            <w:r w:rsidRPr="00661595">
              <w:t>.1.1.</w:t>
            </w:r>
          </w:p>
        </w:tc>
      </w:tr>
      <w:tr w:rsidR="00464F34" w:rsidRPr="00661595" w:rsidTr="00672D2A">
        <w:tc>
          <w:tcPr>
            <w:tcW w:w="1188" w:type="dxa"/>
          </w:tcPr>
          <w:p w:rsidR="00464F34" w:rsidRPr="00661595" w:rsidRDefault="00FF15C6" w:rsidP="00487A02">
            <w:pPr>
              <w:pStyle w:val="InstructionsText"/>
            </w:pPr>
            <w:r w:rsidRPr="00661595">
              <w:t>0</w:t>
            </w:r>
            <w:r w:rsidR="00464F34" w:rsidRPr="00661595">
              <w:t xml:space="preserve">050 - </w:t>
            </w:r>
            <w:r w:rsidRPr="00661595">
              <w:t>0</w:t>
            </w:r>
            <w:r w:rsidR="00464F34" w:rsidRPr="00661595">
              <w:t>060</w:t>
            </w:r>
          </w:p>
        </w:tc>
        <w:tc>
          <w:tcPr>
            <w:tcW w:w="8640" w:type="dxa"/>
          </w:tcPr>
          <w:p w:rsidR="00464F34" w:rsidRPr="00661595" w:rsidRDefault="00464F34"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Unfunded credit protection: adjusted values (G</w:t>
            </w:r>
            <w:r w:rsidR="00D21B29" w:rsidRPr="00661595">
              <w:rPr>
                <w:rStyle w:val="InstructionsTabelleberschrift"/>
                <w:rFonts w:ascii="Times New Roman" w:hAnsi="Times New Roman"/>
                <w:sz w:val="24"/>
                <w:vertAlign w:val="subscript"/>
              </w:rPr>
              <w:t>A</w:t>
            </w:r>
            <w:r w:rsidRPr="00661595">
              <w:rPr>
                <w:rStyle w:val="InstructionsTabelleberschrift"/>
                <w:rFonts w:ascii="Times New Roman" w:hAnsi="Times New Roman"/>
                <w:sz w:val="24"/>
              </w:rPr>
              <w:t>)</w:t>
            </w:r>
          </w:p>
          <w:p w:rsidR="00464F34" w:rsidRPr="00661595" w:rsidRDefault="00464F34" w:rsidP="00487A02">
            <w:pPr>
              <w:pStyle w:val="InstructionsText"/>
            </w:pPr>
            <w:r w:rsidRPr="00661595">
              <w:t xml:space="preserve">Article 235 </w:t>
            </w:r>
            <w:r w:rsidR="00C7103D" w:rsidRPr="00661595">
              <w:t>CRR</w:t>
            </w:r>
          </w:p>
          <w:p w:rsidR="00464F34" w:rsidRPr="00661595" w:rsidRDefault="00464F34" w:rsidP="00487A02">
            <w:pPr>
              <w:pStyle w:val="InstructionsText"/>
            </w:pPr>
            <w:r w:rsidRPr="00661595">
              <w:t xml:space="preserve">Article 239(3) </w:t>
            </w:r>
            <w:r w:rsidR="00C7103D" w:rsidRPr="00661595">
              <w:t>CRR</w:t>
            </w:r>
            <w:r w:rsidRPr="00661595">
              <w:t xml:space="preserve"> </w:t>
            </w:r>
            <w:r w:rsidR="00167619" w:rsidRPr="00661595">
              <w:t xml:space="preserve">contains the formula for the calculation of </w:t>
            </w:r>
            <w:r w:rsidRPr="00661595">
              <w:t>the adjusted value G</w:t>
            </w:r>
            <w:r w:rsidR="00D21B29" w:rsidRPr="00661595">
              <w:rPr>
                <w:vertAlign w:val="subscript"/>
              </w:rPr>
              <w:t>A</w:t>
            </w:r>
            <w:r w:rsidRPr="00661595">
              <w:t xml:space="preserve"> of an unfunded credit protection.</w:t>
            </w:r>
          </w:p>
        </w:tc>
      </w:tr>
      <w:tr w:rsidR="00464F34" w:rsidRPr="00661595" w:rsidTr="00672D2A">
        <w:tc>
          <w:tcPr>
            <w:tcW w:w="1188" w:type="dxa"/>
          </w:tcPr>
          <w:p w:rsidR="00464F34" w:rsidRPr="00661595" w:rsidRDefault="00FF15C6" w:rsidP="00487A02">
            <w:pPr>
              <w:pStyle w:val="InstructionsText"/>
            </w:pPr>
            <w:r w:rsidRPr="00661595">
              <w:t>0</w:t>
            </w:r>
            <w:r w:rsidR="00464F34" w:rsidRPr="00661595">
              <w:t>050</w:t>
            </w:r>
          </w:p>
        </w:tc>
        <w:tc>
          <w:tcPr>
            <w:tcW w:w="8640" w:type="dxa"/>
          </w:tcPr>
          <w:p w:rsidR="00464F34" w:rsidRPr="00661595" w:rsidRDefault="00464F34"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Guarantees</w:t>
            </w:r>
          </w:p>
          <w:p w:rsidR="00464F34" w:rsidRPr="00661595" w:rsidRDefault="00464F34" w:rsidP="00487A02">
            <w:pPr>
              <w:pStyle w:val="InstructionsText"/>
            </w:pPr>
            <w:r w:rsidRPr="00661595">
              <w:t xml:space="preserve">Article 203 </w:t>
            </w:r>
            <w:r w:rsidR="00C7103D" w:rsidRPr="00661595">
              <w:t>CRR</w:t>
            </w:r>
          </w:p>
          <w:p w:rsidR="00464F34" w:rsidRPr="00661595" w:rsidRDefault="00464F34" w:rsidP="00487A02">
            <w:pPr>
              <w:pStyle w:val="InstructionsText"/>
              <w:rPr>
                <w:b/>
                <w:u w:val="single"/>
              </w:rPr>
            </w:pPr>
            <w:r w:rsidRPr="00661595">
              <w:t xml:space="preserve">Unfunded Credit Protection as defined in </w:t>
            </w:r>
            <w:r w:rsidR="00214FDA" w:rsidRPr="00661595">
              <w:t xml:space="preserve">point (59) of </w:t>
            </w:r>
            <w:r w:rsidRPr="00661595">
              <w:t>Article 4(</w:t>
            </w:r>
            <w:r w:rsidR="00214FDA" w:rsidRPr="00661595">
              <w:t>1</w:t>
            </w:r>
            <w:r w:rsidRPr="00661595">
              <w:t xml:space="preserve">) </w:t>
            </w:r>
            <w:r w:rsidR="00C7103D" w:rsidRPr="00661595">
              <w:t>CRR</w:t>
            </w:r>
            <w:r w:rsidRPr="00661595">
              <w:t xml:space="preserve"> </w:t>
            </w:r>
            <w:r w:rsidR="00D21B29" w:rsidRPr="00661595">
              <w:t xml:space="preserve">which does not include </w:t>
            </w:r>
            <w:r w:rsidRPr="00661595">
              <w:t>Credit Derivatives.</w:t>
            </w:r>
          </w:p>
        </w:tc>
      </w:tr>
      <w:tr w:rsidR="00464F34" w:rsidRPr="00661595" w:rsidTr="00672D2A">
        <w:tc>
          <w:tcPr>
            <w:tcW w:w="1188" w:type="dxa"/>
          </w:tcPr>
          <w:p w:rsidR="00464F34" w:rsidRPr="00661595" w:rsidRDefault="00464F34" w:rsidP="00487A02">
            <w:pPr>
              <w:pStyle w:val="InstructionsText"/>
            </w:pPr>
            <w:r w:rsidRPr="00661595">
              <w:t>0</w:t>
            </w:r>
            <w:r w:rsidR="00FF15C6" w:rsidRPr="00661595">
              <w:t>0</w:t>
            </w:r>
            <w:r w:rsidRPr="00661595">
              <w:t>60</w:t>
            </w:r>
          </w:p>
        </w:tc>
        <w:tc>
          <w:tcPr>
            <w:tcW w:w="8640" w:type="dxa"/>
          </w:tcPr>
          <w:p w:rsidR="00464F34" w:rsidRPr="00661595" w:rsidRDefault="00464F34"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Credit derivatives</w:t>
            </w:r>
          </w:p>
          <w:p w:rsidR="00464F34" w:rsidRPr="00661595" w:rsidRDefault="00464F34" w:rsidP="00487A02">
            <w:pPr>
              <w:pStyle w:val="InstructionsText"/>
              <w:rPr>
                <w:b/>
                <w:u w:val="single"/>
              </w:rPr>
            </w:pPr>
            <w:r w:rsidRPr="00661595">
              <w:t xml:space="preserve">Article 204 </w:t>
            </w:r>
            <w:r w:rsidR="00C7103D" w:rsidRPr="00661595">
              <w:t>CRR</w:t>
            </w:r>
          </w:p>
        </w:tc>
      </w:tr>
      <w:tr w:rsidR="00464F34" w:rsidRPr="00661595" w:rsidTr="00672D2A">
        <w:tc>
          <w:tcPr>
            <w:tcW w:w="1188" w:type="dxa"/>
          </w:tcPr>
          <w:p w:rsidR="00464F34" w:rsidRPr="00661595" w:rsidRDefault="00464F34" w:rsidP="00487A02">
            <w:pPr>
              <w:pStyle w:val="InstructionsText"/>
            </w:pPr>
            <w:r w:rsidRPr="00661595">
              <w:t>0</w:t>
            </w:r>
            <w:r w:rsidR="00FF15C6" w:rsidRPr="00661595">
              <w:t>0</w:t>
            </w:r>
            <w:r w:rsidRPr="00661595">
              <w:t>70 – 0</w:t>
            </w:r>
            <w:r w:rsidR="00FF15C6" w:rsidRPr="00661595">
              <w:t>0</w:t>
            </w:r>
            <w:r w:rsidRPr="00661595">
              <w:t>80</w:t>
            </w:r>
          </w:p>
          <w:p w:rsidR="00464F34" w:rsidRPr="00661595" w:rsidRDefault="00464F34" w:rsidP="00487A02">
            <w:pPr>
              <w:pStyle w:val="InstructionsText"/>
            </w:pPr>
          </w:p>
        </w:tc>
        <w:tc>
          <w:tcPr>
            <w:tcW w:w="8640" w:type="dxa"/>
          </w:tcPr>
          <w:p w:rsidR="00464F34" w:rsidRPr="00661595" w:rsidRDefault="00464F34"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Funded credit protection</w:t>
            </w:r>
          </w:p>
          <w:p w:rsidR="00464F34" w:rsidRPr="00661595" w:rsidRDefault="009C44E7" w:rsidP="00487A02">
            <w:pPr>
              <w:pStyle w:val="InstructionsText"/>
            </w:pPr>
            <w:r w:rsidRPr="00661595">
              <w:rPr>
                <w:rFonts w:cs="Arial"/>
              </w:rPr>
              <w:t>The</w:t>
            </w:r>
            <w:r w:rsidR="00464F34" w:rsidRPr="00661595">
              <w:rPr>
                <w:rFonts w:cs="Arial"/>
              </w:rPr>
              <w:t>s</w:t>
            </w:r>
            <w:r w:rsidRPr="00661595">
              <w:rPr>
                <w:rFonts w:cs="Arial"/>
              </w:rPr>
              <w:t>e</w:t>
            </w:r>
            <w:r w:rsidR="00464F34" w:rsidRPr="00661595">
              <w:rPr>
                <w:rFonts w:cs="Arial"/>
              </w:rPr>
              <w:t xml:space="preserve"> column</w:t>
            </w:r>
            <w:r w:rsidRPr="00661595">
              <w:rPr>
                <w:rFonts w:cs="Arial"/>
              </w:rPr>
              <w:t>s</w:t>
            </w:r>
            <w:r w:rsidR="00464F34" w:rsidRPr="00661595">
              <w:rPr>
                <w:rFonts w:cs="Arial"/>
              </w:rPr>
              <w:t xml:space="preserve"> </w:t>
            </w:r>
            <w:r w:rsidRPr="00661595">
              <w:rPr>
                <w:rFonts w:cs="Arial"/>
              </w:rPr>
              <w:t>refer to</w:t>
            </w:r>
            <w:r w:rsidR="00464F34" w:rsidRPr="00661595">
              <w:t xml:space="preserve"> funded credit protection </w:t>
            </w:r>
            <w:r w:rsidR="00167619" w:rsidRPr="00661595">
              <w:t>as defined in</w:t>
            </w:r>
            <w:r w:rsidR="00464F34" w:rsidRPr="00661595">
              <w:t xml:space="preserve"> </w:t>
            </w:r>
            <w:r w:rsidR="00214FDA" w:rsidRPr="00661595">
              <w:t xml:space="preserve">point (58) of </w:t>
            </w:r>
            <w:r w:rsidR="00464F34" w:rsidRPr="00661595">
              <w:t>Article 4</w:t>
            </w:r>
            <w:r w:rsidR="00214FDA" w:rsidRPr="00661595">
              <w:t>(1)</w:t>
            </w:r>
            <w:r w:rsidR="00464F34" w:rsidRPr="00661595">
              <w:t xml:space="preserve"> </w:t>
            </w:r>
            <w:r w:rsidR="00C7103D" w:rsidRPr="00661595">
              <w:t>CRR</w:t>
            </w:r>
            <w:r w:rsidR="00464F34" w:rsidRPr="00661595">
              <w:t xml:space="preserve"> and </w:t>
            </w:r>
            <w:r w:rsidR="00110F40" w:rsidRPr="00661595">
              <w:t>subject to</w:t>
            </w:r>
            <w:r w:rsidR="00167619" w:rsidRPr="00661595">
              <w:t xml:space="preserve"> the rules laid down in</w:t>
            </w:r>
            <w:r w:rsidR="00110F40" w:rsidRPr="00661595">
              <w:t xml:space="preserve"> </w:t>
            </w:r>
            <w:r w:rsidR="00464F34" w:rsidRPr="00661595">
              <w:t xml:space="preserve">Articles 196, 197 and 200 </w:t>
            </w:r>
            <w:r w:rsidR="00C7103D" w:rsidRPr="00661595">
              <w:t>CRR</w:t>
            </w:r>
            <w:r w:rsidR="00464F34" w:rsidRPr="00661595">
              <w:t>.</w:t>
            </w:r>
            <w:r w:rsidR="00464F34" w:rsidRPr="00661595">
              <w:rPr>
                <w:rFonts w:cs="Arial"/>
              </w:rPr>
              <w:t xml:space="preserve"> </w:t>
            </w:r>
            <w:r w:rsidRPr="00661595">
              <w:rPr>
                <w:rFonts w:cs="Arial"/>
              </w:rPr>
              <w:t>T</w:t>
            </w:r>
            <w:r w:rsidR="00464F34" w:rsidRPr="00661595">
              <w:rPr>
                <w:rFonts w:cs="Arial"/>
              </w:rPr>
              <w:t xml:space="preserve">he </w:t>
            </w:r>
            <w:r w:rsidRPr="00661595">
              <w:rPr>
                <w:rFonts w:cs="Arial"/>
              </w:rPr>
              <w:t>amounts</w:t>
            </w:r>
            <w:r w:rsidR="00464F34" w:rsidRPr="00661595">
              <w:rPr>
                <w:rFonts w:cs="Arial"/>
              </w:rPr>
              <w:t xml:space="preserve"> </w:t>
            </w:r>
            <w:r w:rsidRPr="00661595">
              <w:rPr>
                <w:rFonts w:cs="Arial"/>
              </w:rPr>
              <w:t>shall</w:t>
            </w:r>
            <w:r w:rsidR="00464F34" w:rsidRPr="00661595">
              <w:t xml:space="preserve"> not include master netting agreements (already included in Original Exposure pre</w:t>
            </w:r>
            <w:r w:rsidR="007574C3" w:rsidRPr="00661595">
              <w:t>-</w:t>
            </w:r>
            <w:r w:rsidR="00464F34" w:rsidRPr="00661595">
              <w:t>conversion factors).</w:t>
            </w:r>
          </w:p>
          <w:p w:rsidR="00464F34" w:rsidRPr="00661595" w:rsidRDefault="00167619" w:rsidP="00487A02">
            <w:pPr>
              <w:pStyle w:val="InstructionsText"/>
            </w:pPr>
            <w:r w:rsidRPr="00661595">
              <w:t>Investments in c</w:t>
            </w:r>
            <w:r w:rsidR="00464F34" w:rsidRPr="00661595">
              <w:t xml:space="preserve">redit </w:t>
            </w:r>
            <w:r w:rsidRPr="00661595">
              <w:t>l</w:t>
            </w:r>
            <w:r w:rsidR="00464F34" w:rsidRPr="00661595">
              <w:t xml:space="preserve">inked </w:t>
            </w:r>
            <w:r w:rsidRPr="00661595">
              <w:t>n</w:t>
            </w:r>
            <w:r w:rsidR="00464F34" w:rsidRPr="00661595">
              <w:t xml:space="preserve">otes </w:t>
            </w:r>
            <w:r w:rsidRPr="00661595">
              <w:t xml:space="preserve">as referred to in Article 218 CRR </w:t>
            </w:r>
            <w:r w:rsidR="00464F34" w:rsidRPr="00661595">
              <w:t xml:space="preserve">and on-balance sheet netting positions resulting from eligible on-balance sheet netting agreements </w:t>
            </w:r>
            <w:r w:rsidRPr="00661595">
              <w:t>as referred to in</w:t>
            </w:r>
            <w:r w:rsidR="00464F34" w:rsidRPr="00661595">
              <w:t xml:space="preserve"> Article 219 </w:t>
            </w:r>
            <w:r w:rsidR="00C7103D" w:rsidRPr="00661595">
              <w:t>CRR</w:t>
            </w:r>
            <w:r w:rsidR="00464F34" w:rsidRPr="00661595">
              <w:t xml:space="preserve"> </w:t>
            </w:r>
            <w:r w:rsidR="009C44E7" w:rsidRPr="00661595">
              <w:rPr>
                <w:rFonts w:cs="Arial"/>
              </w:rPr>
              <w:t>shall be</w:t>
            </w:r>
            <w:r w:rsidR="00464F34" w:rsidRPr="00661595">
              <w:t xml:space="preserve"> treated as cash collateral.</w:t>
            </w:r>
          </w:p>
        </w:tc>
      </w:tr>
      <w:tr w:rsidR="00464F34" w:rsidRPr="00661595" w:rsidTr="00672D2A">
        <w:tc>
          <w:tcPr>
            <w:tcW w:w="1188" w:type="dxa"/>
          </w:tcPr>
          <w:p w:rsidR="00464F34" w:rsidRPr="00661595" w:rsidRDefault="00464F34" w:rsidP="00487A02">
            <w:pPr>
              <w:pStyle w:val="InstructionsText"/>
            </w:pPr>
            <w:r w:rsidRPr="00661595">
              <w:t>0</w:t>
            </w:r>
            <w:r w:rsidR="00FF15C6" w:rsidRPr="00661595">
              <w:t>0</w:t>
            </w:r>
            <w:r w:rsidRPr="00661595">
              <w:t>70</w:t>
            </w:r>
          </w:p>
        </w:tc>
        <w:tc>
          <w:tcPr>
            <w:tcW w:w="8640" w:type="dxa"/>
          </w:tcPr>
          <w:p w:rsidR="00464F34" w:rsidRPr="00661595" w:rsidRDefault="00464F34" w:rsidP="00487A02">
            <w:pPr>
              <w:pStyle w:val="InstructionsText"/>
            </w:pPr>
            <w:r w:rsidRPr="00661595">
              <w:rPr>
                <w:rStyle w:val="InstructionsTabelleberschrift"/>
                <w:rFonts w:ascii="Times New Roman" w:hAnsi="Times New Roman"/>
                <w:sz w:val="24"/>
              </w:rPr>
              <w:t>Financial collateral: simple method</w:t>
            </w:r>
          </w:p>
          <w:p w:rsidR="00464F34" w:rsidRPr="00661595" w:rsidRDefault="00167619" w:rsidP="00487A02">
            <w:pPr>
              <w:pStyle w:val="InstructionsText"/>
            </w:pPr>
            <w:r w:rsidRPr="00661595">
              <w:t xml:space="preserve">Paragraphs 1 and 2 of </w:t>
            </w:r>
            <w:r w:rsidR="00464F34" w:rsidRPr="00661595">
              <w:t>Article 222</w:t>
            </w:r>
            <w:r w:rsidR="0060043C" w:rsidRPr="00661595">
              <w:t xml:space="preserve"> </w:t>
            </w:r>
            <w:r w:rsidR="00C7103D" w:rsidRPr="00661595">
              <w:t>CRR</w:t>
            </w:r>
            <w:r w:rsidR="00464F34" w:rsidRPr="00661595">
              <w:t>.</w:t>
            </w:r>
          </w:p>
        </w:tc>
      </w:tr>
      <w:tr w:rsidR="00464F34" w:rsidRPr="00661595" w:rsidTr="00672D2A">
        <w:tc>
          <w:tcPr>
            <w:tcW w:w="1188" w:type="dxa"/>
          </w:tcPr>
          <w:p w:rsidR="00464F34" w:rsidRPr="00661595" w:rsidRDefault="00464F34" w:rsidP="00487A02">
            <w:pPr>
              <w:pStyle w:val="InstructionsText"/>
            </w:pPr>
            <w:r w:rsidRPr="00661595">
              <w:t>0</w:t>
            </w:r>
            <w:r w:rsidR="00FF15C6" w:rsidRPr="00661595">
              <w:t>0</w:t>
            </w:r>
            <w:r w:rsidRPr="00661595">
              <w:t>80</w:t>
            </w:r>
          </w:p>
        </w:tc>
        <w:tc>
          <w:tcPr>
            <w:tcW w:w="8640" w:type="dxa"/>
          </w:tcPr>
          <w:p w:rsidR="00464F34" w:rsidRPr="00661595" w:rsidRDefault="00464F34"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Other funded credit protection</w:t>
            </w:r>
          </w:p>
          <w:p w:rsidR="00464F34" w:rsidRPr="00661595" w:rsidRDefault="00464F34" w:rsidP="00487A02">
            <w:pPr>
              <w:pStyle w:val="InstructionsText"/>
            </w:pPr>
            <w:r w:rsidRPr="00661595">
              <w:t xml:space="preserve">Article 232 </w:t>
            </w:r>
            <w:r w:rsidR="00C7103D" w:rsidRPr="00661595">
              <w:t>CRR</w:t>
            </w:r>
            <w:r w:rsidRPr="00661595">
              <w:t>.</w:t>
            </w:r>
          </w:p>
        </w:tc>
      </w:tr>
      <w:tr w:rsidR="00464F34" w:rsidRPr="00661595" w:rsidTr="00672D2A">
        <w:tc>
          <w:tcPr>
            <w:tcW w:w="1188" w:type="dxa"/>
          </w:tcPr>
          <w:p w:rsidR="00464F34" w:rsidRPr="00661595" w:rsidRDefault="00464F34" w:rsidP="00487A02">
            <w:pPr>
              <w:pStyle w:val="InstructionsText"/>
            </w:pPr>
            <w:r w:rsidRPr="00661595">
              <w:t>0</w:t>
            </w:r>
            <w:r w:rsidR="00FF15C6" w:rsidRPr="00661595">
              <w:t>0</w:t>
            </w:r>
            <w:r w:rsidRPr="00661595">
              <w:t xml:space="preserve">90 - </w:t>
            </w:r>
            <w:r w:rsidR="00FF15C6" w:rsidRPr="00661595">
              <w:t>0</w:t>
            </w:r>
            <w:r w:rsidRPr="00661595">
              <w:t>100</w:t>
            </w:r>
          </w:p>
        </w:tc>
        <w:tc>
          <w:tcPr>
            <w:tcW w:w="8640" w:type="dxa"/>
          </w:tcPr>
          <w:p w:rsidR="00464F34" w:rsidRPr="00661595" w:rsidRDefault="00464F34"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SUBSTITUTION OF THE EXPOSURE DUE TO CRM</w:t>
            </w:r>
          </w:p>
          <w:p w:rsidR="00464F34" w:rsidRPr="00661595" w:rsidRDefault="00464F34" w:rsidP="00487A02">
            <w:pPr>
              <w:pStyle w:val="InstructionsText"/>
            </w:pPr>
            <w:r w:rsidRPr="00661595">
              <w:t xml:space="preserve">Article 222(3), </w:t>
            </w:r>
            <w:r w:rsidR="00167619" w:rsidRPr="00661595">
              <w:t xml:space="preserve">paragraphs 1 and 2 of </w:t>
            </w:r>
            <w:r w:rsidRPr="00661595">
              <w:t xml:space="preserve">Article 235 and Article 236 </w:t>
            </w:r>
            <w:r w:rsidR="00C7103D" w:rsidRPr="00661595">
              <w:t>CRR</w:t>
            </w:r>
          </w:p>
          <w:p w:rsidR="00464F34" w:rsidRPr="00661595" w:rsidRDefault="00464F34" w:rsidP="00487A02">
            <w:pPr>
              <w:pStyle w:val="InstructionsText"/>
            </w:pPr>
            <w:r w:rsidRPr="00661595">
              <w:t xml:space="preserve">Outflows </w:t>
            </w:r>
            <w:r w:rsidR="00D21B29" w:rsidRPr="00661595">
              <w:t xml:space="preserve">shall </w:t>
            </w:r>
            <w:r w:rsidRPr="00661595">
              <w:t>correspond to the covered part of the Original Exposure pre</w:t>
            </w:r>
            <w:r w:rsidR="007574C3" w:rsidRPr="00661595">
              <w:t>-</w:t>
            </w:r>
            <w:r w:rsidRPr="00661595">
              <w:t>conversion factors that is deducted from the obligor's exposure class and subsequently assigned to the protection provider's exposure class. Th</w:t>
            </w:r>
            <w:r w:rsidR="00D21B29" w:rsidRPr="00661595">
              <w:t>at</w:t>
            </w:r>
            <w:r w:rsidRPr="00661595">
              <w:t xml:space="preserve"> amount </w:t>
            </w:r>
            <w:r w:rsidR="00B811B0" w:rsidRPr="00661595">
              <w:t>shall</w:t>
            </w:r>
            <w:r w:rsidRPr="00661595">
              <w:t xml:space="preserve"> be considered as an </w:t>
            </w:r>
            <w:r w:rsidR="00167619" w:rsidRPr="00661595">
              <w:t>i</w:t>
            </w:r>
            <w:r w:rsidRPr="00661595">
              <w:t>nflow into the protection provider's exposure class.</w:t>
            </w:r>
          </w:p>
          <w:p w:rsidR="00464F34" w:rsidRPr="00661595" w:rsidRDefault="00464F34" w:rsidP="00487A02">
            <w:pPr>
              <w:pStyle w:val="InstructionsText"/>
              <w:rPr>
                <w:b/>
              </w:rPr>
            </w:pPr>
            <w:r w:rsidRPr="00661595">
              <w:t>Inflows and outflows within the same exposure classes shall also be reported.</w:t>
            </w:r>
          </w:p>
          <w:p w:rsidR="00464F34" w:rsidRPr="00661595" w:rsidRDefault="00464F34" w:rsidP="00487A02">
            <w:pPr>
              <w:pStyle w:val="InstructionsText"/>
            </w:pPr>
            <w:r w:rsidRPr="00661595">
              <w:t>Exposures stemming from possible in- and outflows from and to other templates shall be taken into account.</w:t>
            </w:r>
          </w:p>
        </w:tc>
      </w:tr>
      <w:tr w:rsidR="00464F34" w:rsidRPr="00661595" w:rsidTr="00672D2A">
        <w:tc>
          <w:tcPr>
            <w:tcW w:w="1188" w:type="dxa"/>
          </w:tcPr>
          <w:p w:rsidR="00464F34" w:rsidRPr="00661595" w:rsidRDefault="00FF15C6" w:rsidP="00487A02">
            <w:pPr>
              <w:pStyle w:val="InstructionsText"/>
            </w:pPr>
            <w:r w:rsidRPr="00661595">
              <w:t>0</w:t>
            </w:r>
            <w:r w:rsidR="00464F34" w:rsidRPr="00661595">
              <w:t>110</w:t>
            </w:r>
          </w:p>
        </w:tc>
        <w:tc>
          <w:tcPr>
            <w:tcW w:w="8640" w:type="dxa"/>
          </w:tcPr>
          <w:p w:rsidR="00464F34" w:rsidRPr="00661595" w:rsidRDefault="00464F34"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NET EXPOSURE AFTER CRM SUBSTITUTION EFFECTS PRE</w:t>
            </w:r>
            <w:r w:rsidR="007574C3" w:rsidRPr="00661595">
              <w:rPr>
                <w:rStyle w:val="InstructionsTabelleberschrift"/>
                <w:rFonts w:ascii="Times New Roman" w:hAnsi="Times New Roman"/>
                <w:sz w:val="24"/>
              </w:rPr>
              <w:t>-</w:t>
            </w:r>
            <w:r w:rsidRPr="00661595">
              <w:rPr>
                <w:rStyle w:val="InstructionsTabelleberschrift"/>
                <w:rFonts w:ascii="Times New Roman" w:hAnsi="Times New Roman"/>
                <w:sz w:val="24"/>
              </w:rPr>
              <w:t>CONVERSION FACTORS</w:t>
            </w:r>
          </w:p>
          <w:p w:rsidR="00464F34" w:rsidRPr="00661595" w:rsidRDefault="00464F34" w:rsidP="00487A02">
            <w:pPr>
              <w:pStyle w:val="InstructionsText"/>
            </w:pPr>
            <w:r w:rsidRPr="00661595">
              <w:t>Amount of the exposure net of value adjustments after taking into account outflows and inflows due to CREDIT RISK MITIGATION (CRM) TECHNIQUES WITH SUBSTITUTION EFFECTS ON THE EXPOSURE</w:t>
            </w:r>
          </w:p>
        </w:tc>
      </w:tr>
      <w:tr w:rsidR="00464F34" w:rsidRPr="00661595" w:rsidTr="00672D2A">
        <w:tc>
          <w:tcPr>
            <w:tcW w:w="1188" w:type="dxa"/>
          </w:tcPr>
          <w:p w:rsidR="00464F34" w:rsidRPr="00661595" w:rsidRDefault="00FF15C6" w:rsidP="00487A02">
            <w:pPr>
              <w:pStyle w:val="InstructionsText"/>
            </w:pPr>
            <w:r w:rsidRPr="00661595">
              <w:t>0</w:t>
            </w:r>
            <w:r w:rsidR="00464F34" w:rsidRPr="00661595">
              <w:t>120-</w:t>
            </w:r>
            <w:r w:rsidRPr="00661595">
              <w:t>0</w:t>
            </w:r>
            <w:r w:rsidR="00464F34" w:rsidRPr="00661595">
              <w:t>140</w:t>
            </w:r>
          </w:p>
        </w:tc>
        <w:tc>
          <w:tcPr>
            <w:tcW w:w="8640" w:type="dxa"/>
          </w:tcPr>
          <w:p w:rsidR="00464F34" w:rsidRPr="00661595" w:rsidRDefault="00464F34" w:rsidP="00487A02">
            <w:pPr>
              <w:pStyle w:val="InstructionsText"/>
            </w:pPr>
            <w:r w:rsidRPr="00661595">
              <w:rPr>
                <w:rStyle w:val="InstructionsTabelleberschrift"/>
                <w:rFonts w:ascii="Times New Roman" w:hAnsi="Times New Roman"/>
                <w:sz w:val="24"/>
              </w:rPr>
              <w:t>CREDIT RISK MITIGATION TECHNIQUES AFFECTING THE EXPOSURE AMOUNT. FUNDED CREDIT PROTECTION, FINANCIAL COLLATERAL COMPREHENSIVE METHOD</w:t>
            </w:r>
          </w:p>
          <w:p w:rsidR="00464F34" w:rsidRPr="00661595" w:rsidRDefault="00464F34" w:rsidP="00487A02">
            <w:pPr>
              <w:pStyle w:val="InstructionsText"/>
            </w:pPr>
            <w:r w:rsidRPr="00661595">
              <w:t>Articles 223</w:t>
            </w:r>
            <w:r w:rsidR="005C14B0" w:rsidRPr="00661595">
              <w:t xml:space="preserve"> to </w:t>
            </w:r>
            <w:r w:rsidRPr="00661595">
              <w:t xml:space="preserve">228 </w:t>
            </w:r>
            <w:r w:rsidR="00C7103D" w:rsidRPr="00661595">
              <w:t>CRR</w:t>
            </w:r>
            <w:r w:rsidRPr="00661595">
              <w:t xml:space="preserve">. </w:t>
            </w:r>
            <w:r w:rsidR="00110F40" w:rsidRPr="00661595">
              <w:t>They</w:t>
            </w:r>
            <w:r w:rsidR="0060043C" w:rsidRPr="00661595">
              <w:t xml:space="preserve"> </w:t>
            </w:r>
            <w:r w:rsidRPr="00661595">
              <w:t xml:space="preserve">also include credit linked notes (Article 218 </w:t>
            </w:r>
            <w:r w:rsidR="00C7103D" w:rsidRPr="00661595">
              <w:t>CRR</w:t>
            </w:r>
            <w:r w:rsidRPr="00661595">
              <w:t>)</w:t>
            </w:r>
          </w:p>
          <w:p w:rsidR="00464F34" w:rsidRPr="00661595" w:rsidRDefault="00464F34" w:rsidP="00487A02">
            <w:pPr>
              <w:pStyle w:val="InstructionsText"/>
            </w:pPr>
            <w:r w:rsidRPr="00661595">
              <w:t xml:space="preserve">Credit </w:t>
            </w:r>
            <w:r w:rsidR="00167619" w:rsidRPr="00661595">
              <w:t>l</w:t>
            </w:r>
            <w:r w:rsidRPr="00661595">
              <w:t xml:space="preserve">inked </w:t>
            </w:r>
            <w:r w:rsidR="00167619" w:rsidRPr="00661595">
              <w:t>n</w:t>
            </w:r>
            <w:r w:rsidRPr="00661595">
              <w:t xml:space="preserve">otes </w:t>
            </w:r>
            <w:r w:rsidR="00167619" w:rsidRPr="00661595">
              <w:t xml:space="preserve">as referred to in Article 218 CRR </w:t>
            </w:r>
            <w:r w:rsidRPr="00661595">
              <w:t xml:space="preserve">and on-balance sheet netting positions resulting from eligible on-balance sheet netting agreements </w:t>
            </w:r>
            <w:r w:rsidR="00167619" w:rsidRPr="00661595">
              <w:t xml:space="preserve">as referred to in </w:t>
            </w:r>
            <w:r w:rsidRPr="00661595">
              <w:t xml:space="preserve">Article 219 </w:t>
            </w:r>
            <w:r w:rsidR="00C7103D" w:rsidRPr="00661595">
              <w:t>CRR</w:t>
            </w:r>
            <w:r w:rsidRPr="00661595">
              <w:t xml:space="preserve"> </w:t>
            </w:r>
            <w:r w:rsidR="00167619" w:rsidRPr="00661595">
              <w:t>shall be</w:t>
            </w:r>
            <w:r w:rsidRPr="00661595">
              <w:t xml:space="preserve"> treated as cash collateral.</w:t>
            </w:r>
          </w:p>
          <w:p w:rsidR="00464F34" w:rsidRPr="00661595" w:rsidRDefault="00464F34" w:rsidP="00487A02">
            <w:pPr>
              <w:pStyle w:val="InstructionsText"/>
            </w:pPr>
            <w:r w:rsidRPr="00661595">
              <w:t xml:space="preserve">The effect of the collateralization of the Financial Collateral Comprehensive Method applied to an exposure, which is secured by eligible financial collateral, </w:t>
            </w:r>
            <w:r w:rsidR="00167619" w:rsidRPr="00661595">
              <w:t>shall be</w:t>
            </w:r>
            <w:r w:rsidRPr="00661595">
              <w:t xml:space="preserve"> calculated </w:t>
            </w:r>
            <w:r w:rsidR="00BB22D4" w:rsidRPr="00661595">
              <w:t>in accordance with</w:t>
            </w:r>
            <w:r w:rsidRPr="00661595">
              <w:t xml:space="preserve"> Articles 223 </w:t>
            </w:r>
            <w:r w:rsidR="005C14B0" w:rsidRPr="00661595">
              <w:t>to</w:t>
            </w:r>
            <w:r w:rsidRPr="00661595">
              <w:t xml:space="preserve"> 228 </w:t>
            </w:r>
            <w:r w:rsidR="00C7103D" w:rsidRPr="00661595">
              <w:t>CRR</w:t>
            </w:r>
            <w:r w:rsidRPr="00661595">
              <w:t xml:space="preserve">. </w:t>
            </w:r>
          </w:p>
        </w:tc>
      </w:tr>
      <w:tr w:rsidR="00464F34" w:rsidRPr="00661595" w:rsidTr="00672D2A">
        <w:tc>
          <w:tcPr>
            <w:tcW w:w="1188" w:type="dxa"/>
          </w:tcPr>
          <w:p w:rsidR="00464F34" w:rsidRPr="00661595" w:rsidRDefault="00FF15C6" w:rsidP="00487A02">
            <w:pPr>
              <w:pStyle w:val="InstructionsText"/>
            </w:pPr>
            <w:r w:rsidRPr="00661595">
              <w:t>0</w:t>
            </w:r>
            <w:r w:rsidR="00464F34" w:rsidRPr="00661595">
              <w:t>120</w:t>
            </w:r>
          </w:p>
        </w:tc>
        <w:tc>
          <w:tcPr>
            <w:tcW w:w="8640" w:type="dxa"/>
          </w:tcPr>
          <w:p w:rsidR="00464F34" w:rsidRPr="00661595" w:rsidRDefault="00464F34"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Volatility adjustment to the exposure</w:t>
            </w:r>
          </w:p>
          <w:p w:rsidR="00464F34" w:rsidRPr="00661595" w:rsidRDefault="00167619" w:rsidP="00487A02">
            <w:pPr>
              <w:pStyle w:val="InstructionsText"/>
            </w:pPr>
            <w:r w:rsidRPr="00661595">
              <w:t xml:space="preserve">Paragraphs 2 and 3 of </w:t>
            </w:r>
            <w:r w:rsidR="00464F34" w:rsidRPr="00661595">
              <w:t>Article 223</w:t>
            </w:r>
            <w:r w:rsidRPr="00661595">
              <w:t xml:space="preserve"> </w:t>
            </w:r>
            <w:r w:rsidR="00C7103D" w:rsidRPr="00661595">
              <w:t>CRR</w:t>
            </w:r>
            <w:r w:rsidR="00464F34" w:rsidRPr="00661595">
              <w:t>.</w:t>
            </w:r>
          </w:p>
          <w:p w:rsidR="00464F34" w:rsidRPr="00661595" w:rsidRDefault="00464F34" w:rsidP="00487A02">
            <w:pPr>
              <w:pStyle w:val="InstructionsText"/>
            </w:pPr>
            <w:r w:rsidRPr="00661595">
              <w:t>The amount to be reported is the impact of</w:t>
            </w:r>
            <w:r w:rsidR="00730040" w:rsidRPr="00661595">
              <w:t xml:space="preserve"> </w:t>
            </w:r>
            <w:r w:rsidRPr="00661595">
              <w:t>the volatility adjustment to the exposure (Eva-E) = E*He</w:t>
            </w:r>
          </w:p>
        </w:tc>
      </w:tr>
      <w:tr w:rsidR="00464F34" w:rsidRPr="00661595" w:rsidTr="00672D2A">
        <w:tc>
          <w:tcPr>
            <w:tcW w:w="1188" w:type="dxa"/>
          </w:tcPr>
          <w:p w:rsidR="00464F34" w:rsidRPr="00661595" w:rsidRDefault="00FF15C6" w:rsidP="00487A02">
            <w:pPr>
              <w:pStyle w:val="InstructionsText"/>
            </w:pPr>
            <w:r w:rsidRPr="00661595">
              <w:t>0</w:t>
            </w:r>
            <w:r w:rsidR="00464F34" w:rsidRPr="00661595">
              <w:t>130</w:t>
            </w:r>
          </w:p>
        </w:tc>
        <w:tc>
          <w:tcPr>
            <w:tcW w:w="8640" w:type="dxa"/>
          </w:tcPr>
          <w:p w:rsidR="00464F34" w:rsidRPr="00661595" w:rsidRDefault="00464F34"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 Financial collateral adjusted value (Cvam)</w:t>
            </w:r>
          </w:p>
          <w:p w:rsidR="00464F34" w:rsidRPr="00661595" w:rsidRDefault="00464F34" w:rsidP="00487A02">
            <w:pPr>
              <w:pStyle w:val="InstructionsText"/>
            </w:pPr>
            <w:r w:rsidRPr="00661595">
              <w:t xml:space="preserve">Article 239(2) </w:t>
            </w:r>
            <w:r w:rsidR="00C7103D" w:rsidRPr="00661595">
              <w:t>CRR</w:t>
            </w:r>
            <w:r w:rsidRPr="00661595">
              <w:t>.</w:t>
            </w:r>
          </w:p>
          <w:p w:rsidR="00464F34" w:rsidRPr="00661595" w:rsidRDefault="00464F34" w:rsidP="00487A02">
            <w:pPr>
              <w:pStyle w:val="InstructionsText"/>
            </w:pPr>
            <w:r w:rsidRPr="00661595">
              <w:t>For trading book operations</w:t>
            </w:r>
            <w:r w:rsidR="00110F40" w:rsidRPr="00661595">
              <w:t>,</w:t>
            </w:r>
            <w:r w:rsidRPr="00661595">
              <w:t xml:space="preserve"> financial collateral and commodities eligible for trading book exposures </w:t>
            </w:r>
            <w:r w:rsidR="00BB22D4" w:rsidRPr="00661595">
              <w:t>in accordance with</w:t>
            </w:r>
            <w:r w:rsidRPr="00661595">
              <w:t xml:space="preserve"> </w:t>
            </w:r>
            <w:r w:rsidR="00D21B29" w:rsidRPr="00661595">
              <w:t xml:space="preserve">points (c) to (f) of </w:t>
            </w:r>
            <w:r w:rsidRPr="00661595">
              <w:t xml:space="preserve">Article 299(2) </w:t>
            </w:r>
            <w:r w:rsidR="00C7103D" w:rsidRPr="00661595">
              <w:t>CRR</w:t>
            </w:r>
            <w:r w:rsidR="00110F40" w:rsidRPr="00661595">
              <w:t xml:space="preserve"> shall be included</w:t>
            </w:r>
            <w:r w:rsidRPr="00661595">
              <w:t xml:space="preserve">. </w:t>
            </w:r>
          </w:p>
          <w:p w:rsidR="00464F34" w:rsidRPr="00661595" w:rsidRDefault="00464F34" w:rsidP="00487A02">
            <w:pPr>
              <w:pStyle w:val="InstructionsText"/>
            </w:pPr>
            <w:r w:rsidRPr="00661595">
              <w:t xml:space="preserve">The amount to be reported corresponds to Cvam= C*(1-Hc-Hfx)*(t-t*)/(T-t*). For a definition of C, Hc, Hfx, t, T and t* see </w:t>
            </w:r>
            <w:r w:rsidR="00D21B29" w:rsidRPr="00661595">
              <w:t xml:space="preserve">Sections 4 and 5 of Chapter 4 of Title II of Part Three </w:t>
            </w:r>
            <w:r w:rsidR="00C7103D" w:rsidRPr="00661595">
              <w:t>CRR</w:t>
            </w:r>
            <w:r w:rsidRPr="00661595">
              <w:t>.</w:t>
            </w:r>
          </w:p>
        </w:tc>
      </w:tr>
      <w:tr w:rsidR="00464F34" w:rsidRPr="00661595" w:rsidTr="00672D2A">
        <w:tc>
          <w:tcPr>
            <w:tcW w:w="1188" w:type="dxa"/>
          </w:tcPr>
          <w:p w:rsidR="00464F34" w:rsidRPr="00661595" w:rsidRDefault="00FF15C6" w:rsidP="00487A02">
            <w:pPr>
              <w:pStyle w:val="InstructionsText"/>
            </w:pPr>
            <w:r w:rsidRPr="00661595">
              <w:t>0</w:t>
            </w:r>
            <w:r w:rsidR="00464F34" w:rsidRPr="00661595">
              <w:t>140</w:t>
            </w:r>
          </w:p>
        </w:tc>
        <w:tc>
          <w:tcPr>
            <w:tcW w:w="8640" w:type="dxa"/>
          </w:tcPr>
          <w:p w:rsidR="00464F34" w:rsidRPr="00661595" w:rsidRDefault="008932B5"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 xml:space="preserve">(-) </w:t>
            </w:r>
            <w:r w:rsidR="00464F34" w:rsidRPr="00661595">
              <w:rPr>
                <w:rStyle w:val="InstructionsTabelleberschrift"/>
                <w:rFonts w:ascii="Times New Roman" w:hAnsi="Times New Roman"/>
                <w:sz w:val="24"/>
              </w:rPr>
              <w:t>Of which: Volatility and maturity adjustments</w:t>
            </w:r>
          </w:p>
          <w:p w:rsidR="00464F34" w:rsidRPr="00661595" w:rsidRDefault="00464F34" w:rsidP="00487A02">
            <w:pPr>
              <w:pStyle w:val="InstructionsText"/>
            </w:pPr>
            <w:r w:rsidRPr="00661595">
              <w:t>Article</w:t>
            </w:r>
            <w:r w:rsidR="008241B9" w:rsidRPr="00661595">
              <w:t xml:space="preserve"> </w:t>
            </w:r>
            <w:r w:rsidRPr="00661595">
              <w:t xml:space="preserve">223(1) </w:t>
            </w:r>
            <w:r w:rsidR="00C7103D" w:rsidRPr="00661595">
              <w:t>CRR</w:t>
            </w:r>
            <w:r w:rsidRPr="00661595">
              <w:t xml:space="preserve"> and Article 239(2) </w:t>
            </w:r>
            <w:r w:rsidR="00C7103D" w:rsidRPr="00661595">
              <w:t>CRR</w:t>
            </w:r>
            <w:r w:rsidRPr="00661595">
              <w:t xml:space="preserve">. </w:t>
            </w:r>
          </w:p>
          <w:p w:rsidR="00464F34" w:rsidRPr="00661595" w:rsidRDefault="00464F34" w:rsidP="00487A02">
            <w:pPr>
              <w:pStyle w:val="InstructionsText"/>
            </w:pPr>
            <w:r w:rsidRPr="00661595">
              <w:t>The amount to be reported is the joint impact of volatility and maturity adjustments (Cvam-C) = C*[(1-Hc-Hfx)*(t-t*)/(T-t*)-1], where the impact of volatility adjustment is (Cva-C) = C*[(1-Hc-Hfx)-1] and the impact of maturity adjustments is (Cvam-Cva)= C*(1-Hc-Hfx)*[(t-t*)/(T-t*)-1]</w:t>
            </w:r>
          </w:p>
        </w:tc>
      </w:tr>
      <w:tr w:rsidR="00464F34" w:rsidRPr="00661595" w:rsidTr="00672D2A">
        <w:tc>
          <w:tcPr>
            <w:tcW w:w="1188" w:type="dxa"/>
          </w:tcPr>
          <w:p w:rsidR="00464F34" w:rsidRPr="00661595" w:rsidRDefault="00FF15C6" w:rsidP="00487A02">
            <w:pPr>
              <w:pStyle w:val="InstructionsText"/>
            </w:pPr>
            <w:r w:rsidRPr="00661595">
              <w:t>0</w:t>
            </w:r>
            <w:r w:rsidR="00464F34" w:rsidRPr="00661595">
              <w:t>150</w:t>
            </w:r>
          </w:p>
        </w:tc>
        <w:tc>
          <w:tcPr>
            <w:tcW w:w="8640" w:type="dxa"/>
          </w:tcPr>
          <w:p w:rsidR="00464F34" w:rsidRPr="00661595" w:rsidRDefault="00464F34" w:rsidP="00487A02">
            <w:pPr>
              <w:pStyle w:val="InstructionsText"/>
            </w:pPr>
            <w:r w:rsidRPr="00661595">
              <w:rPr>
                <w:rStyle w:val="InstructionsTabelleberschrift"/>
                <w:rFonts w:ascii="Times New Roman" w:hAnsi="Times New Roman"/>
                <w:sz w:val="24"/>
              </w:rPr>
              <w:t>Fully adjusted exposure value (E*)</w:t>
            </w:r>
          </w:p>
          <w:p w:rsidR="00464F34" w:rsidRPr="00661595" w:rsidRDefault="00464F34" w:rsidP="00487A02">
            <w:pPr>
              <w:pStyle w:val="InstructionsText"/>
              <w:rPr>
                <w:b/>
                <w:u w:val="single"/>
                <w:lang w:val="fr-BE"/>
              </w:rPr>
            </w:pPr>
            <w:r w:rsidRPr="00661595">
              <w:rPr>
                <w:lang w:val="fr-BE"/>
              </w:rPr>
              <w:t>Article 220(4), Article 223</w:t>
            </w:r>
            <w:r w:rsidR="00F811C6" w:rsidRPr="00661595">
              <w:rPr>
                <w:lang w:val="fr-BE"/>
              </w:rPr>
              <w:t>(2) to (5)</w:t>
            </w:r>
            <w:r w:rsidRPr="00661595">
              <w:rPr>
                <w:lang w:val="fr-BE"/>
              </w:rPr>
              <w:t xml:space="preserve"> and Article 228(1) </w:t>
            </w:r>
            <w:r w:rsidR="00C7103D" w:rsidRPr="00661595">
              <w:rPr>
                <w:lang w:val="fr-BE"/>
              </w:rPr>
              <w:t>CRR</w:t>
            </w:r>
            <w:r w:rsidRPr="00661595">
              <w:rPr>
                <w:lang w:val="fr-BE"/>
              </w:rPr>
              <w:t>.</w:t>
            </w:r>
          </w:p>
        </w:tc>
      </w:tr>
      <w:tr w:rsidR="00464F34" w:rsidRPr="00661595" w:rsidTr="00672D2A">
        <w:tc>
          <w:tcPr>
            <w:tcW w:w="1188" w:type="dxa"/>
          </w:tcPr>
          <w:p w:rsidR="00464F34" w:rsidRPr="00661595" w:rsidRDefault="00FF15C6" w:rsidP="00487A02">
            <w:pPr>
              <w:pStyle w:val="InstructionsText"/>
            </w:pPr>
            <w:r w:rsidRPr="00661595">
              <w:t>0</w:t>
            </w:r>
            <w:r w:rsidR="00464F34" w:rsidRPr="00661595">
              <w:t xml:space="preserve">160 - </w:t>
            </w:r>
            <w:r w:rsidRPr="00661595">
              <w:t>0</w:t>
            </w:r>
            <w:r w:rsidR="00464F34" w:rsidRPr="00661595">
              <w:t>190</w:t>
            </w:r>
          </w:p>
        </w:tc>
        <w:tc>
          <w:tcPr>
            <w:tcW w:w="8640" w:type="dxa"/>
          </w:tcPr>
          <w:p w:rsidR="00464F34" w:rsidRPr="00661595" w:rsidRDefault="00464F34"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 xml:space="preserve">Breakdown of the fully adjusted exposure </w:t>
            </w:r>
            <w:r w:rsidR="00CF2D64" w:rsidRPr="00661595">
              <w:rPr>
                <w:rStyle w:val="InstructionsTabelleberschrift"/>
                <w:rFonts w:ascii="Times New Roman" w:hAnsi="Times New Roman"/>
                <w:sz w:val="24"/>
              </w:rPr>
              <w:t xml:space="preserve">value </w:t>
            </w:r>
            <w:r w:rsidRPr="00661595">
              <w:rPr>
                <w:rStyle w:val="InstructionsTabelleberschrift"/>
                <w:rFonts w:ascii="Times New Roman" w:hAnsi="Times New Roman"/>
                <w:sz w:val="24"/>
              </w:rPr>
              <w:t>of off-balance sheet items by conversion factors</w:t>
            </w:r>
          </w:p>
          <w:p w:rsidR="00464F34" w:rsidRPr="00661595" w:rsidRDefault="00464F34" w:rsidP="00487A02">
            <w:pPr>
              <w:pStyle w:val="InstructionsText"/>
            </w:pPr>
            <w:r w:rsidRPr="00661595">
              <w:t xml:space="preserve">Article 111(1) and </w:t>
            </w:r>
            <w:r w:rsidR="00F811C6" w:rsidRPr="00661595">
              <w:t xml:space="preserve">point (56) of </w:t>
            </w:r>
            <w:r w:rsidRPr="00661595">
              <w:t>Article 4(</w:t>
            </w:r>
            <w:r w:rsidR="00F811C6" w:rsidRPr="00661595">
              <w:t>1</w:t>
            </w:r>
            <w:r w:rsidRPr="00661595">
              <w:t xml:space="preserve">) </w:t>
            </w:r>
            <w:r w:rsidR="00C7103D" w:rsidRPr="00661595">
              <w:t>CRR</w:t>
            </w:r>
            <w:r w:rsidRPr="00661595">
              <w:t>. See also Article</w:t>
            </w:r>
            <w:r w:rsidR="00167619" w:rsidRPr="00661595">
              <w:t>s</w:t>
            </w:r>
            <w:r w:rsidRPr="00661595">
              <w:t xml:space="preserve"> 222(3) and 228(1) </w:t>
            </w:r>
            <w:r w:rsidR="00C7103D" w:rsidRPr="00661595">
              <w:t>CRR</w:t>
            </w:r>
            <w:r w:rsidRPr="00661595">
              <w:t>.</w:t>
            </w:r>
          </w:p>
          <w:p w:rsidR="000A4C10" w:rsidRPr="00661595" w:rsidRDefault="000A4C10" w:rsidP="00487A02">
            <w:pPr>
              <w:pStyle w:val="InstructionsText"/>
              <w:rPr>
                <w:b/>
                <w:u w:val="single"/>
              </w:rPr>
            </w:pPr>
            <w:r w:rsidRPr="00661595">
              <w:t>The figures reported shall be the fully adjusted exposure values before application of the conversion factor</w:t>
            </w:r>
            <w:r w:rsidR="00224016" w:rsidRPr="00661595">
              <w:t>.</w:t>
            </w:r>
          </w:p>
        </w:tc>
      </w:tr>
      <w:tr w:rsidR="00464F34" w:rsidRPr="00661595" w:rsidTr="00672D2A">
        <w:tc>
          <w:tcPr>
            <w:tcW w:w="1188" w:type="dxa"/>
          </w:tcPr>
          <w:p w:rsidR="00464F34" w:rsidRPr="00661595" w:rsidRDefault="00FF15C6" w:rsidP="00487A02">
            <w:pPr>
              <w:pStyle w:val="InstructionsText"/>
            </w:pPr>
            <w:r w:rsidRPr="00661595">
              <w:t>0</w:t>
            </w:r>
            <w:r w:rsidR="00464F34" w:rsidRPr="00661595">
              <w:t>200</w:t>
            </w:r>
          </w:p>
        </w:tc>
        <w:tc>
          <w:tcPr>
            <w:tcW w:w="8640" w:type="dxa"/>
          </w:tcPr>
          <w:p w:rsidR="00464F34" w:rsidRPr="00661595" w:rsidRDefault="00464F34" w:rsidP="00487A02">
            <w:pPr>
              <w:pStyle w:val="InstructionsText"/>
            </w:pPr>
            <w:r w:rsidRPr="00661595">
              <w:rPr>
                <w:rStyle w:val="InstructionsTabelleberschrift"/>
                <w:rFonts w:ascii="Times New Roman" w:hAnsi="Times New Roman"/>
                <w:sz w:val="24"/>
              </w:rPr>
              <w:t>Exposure value</w:t>
            </w:r>
          </w:p>
          <w:p w:rsidR="00464F34" w:rsidRPr="00661595" w:rsidRDefault="00531FC9" w:rsidP="00487A02">
            <w:pPr>
              <w:pStyle w:val="InstructionsText"/>
            </w:pPr>
            <w:r w:rsidRPr="00661595">
              <w:t xml:space="preserve">Article 111 </w:t>
            </w:r>
            <w:r w:rsidR="00C7103D" w:rsidRPr="00661595">
              <w:t>CRR</w:t>
            </w:r>
            <w:r w:rsidRPr="00661595">
              <w:t xml:space="preserve"> and </w:t>
            </w:r>
            <w:r w:rsidR="00D21B29" w:rsidRPr="00661595">
              <w:t xml:space="preserve">Section 4 of Chapter 4 of Title II of Part Three </w:t>
            </w:r>
            <w:r w:rsidR="00C7103D" w:rsidRPr="00661595">
              <w:t>CRR</w:t>
            </w:r>
            <w:r w:rsidR="00464F34" w:rsidRPr="00661595">
              <w:t>.</w:t>
            </w:r>
          </w:p>
          <w:p w:rsidR="00464F34" w:rsidRPr="00661595" w:rsidRDefault="00464F34" w:rsidP="00487A02">
            <w:pPr>
              <w:pStyle w:val="InstructionsText"/>
            </w:pPr>
            <w:r w:rsidRPr="00661595">
              <w:t xml:space="preserve">Exposure value after taking into account value adjustments, all credit risk mitigants and credit conversion factors that is to be assigned to risk weights </w:t>
            </w:r>
            <w:r w:rsidR="00BB22D4" w:rsidRPr="00661595">
              <w:t>in accordance with</w:t>
            </w:r>
            <w:r w:rsidRPr="00661595">
              <w:t xml:space="preserve"> Article 113 and </w:t>
            </w:r>
            <w:r w:rsidR="00D21B29" w:rsidRPr="00661595">
              <w:t xml:space="preserve">Section 2 of Chapter 2 of Title II of Part Three </w:t>
            </w:r>
            <w:r w:rsidR="00C7103D" w:rsidRPr="00661595">
              <w:t>CRR</w:t>
            </w:r>
            <w:r w:rsidRPr="00661595">
              <w:t>.</w:t>
            </w:r>
          </w:p>
          <w:p w:rsidR="0029630E" w:rsidRPr="00661595" w:rsidRDefault="0029630E" w:rsidP="00487A02">
            <w:pPr>
              <w:pStyle w:val="InstructionsText"/>
            </w:pPr>
            <w:r w:rsidRPr="00661595">
              <w:t>Exposure values for leases are subject to Article 134(7) CRR. In particular, the residual value shall be included at its discounted residual value after taking into account value adjustments, all credit risk mitigants and credit conversion factors.</w:t>
            </w:r>
          </w:p>
          <w:p w:rsidR="007C64F7" w:rsidRPr="00661595" w:rsidRDefault="007C64F7" w:rsidP="00487A02">
            <w:pPr>
              <w:pStyle w:val="InstructionsText"/>
            </w:pPr>
            <w:r w:rsidRPr="00661595">
              <w:t xml:space="preserve">Exposure values for CCR business shall be the same as reported in column </w:t>
            </w:r>
            <w:r w:rsidR="00E32BAE">
              <w:t>0</w:t>
            </w:r>
            <w:r w:rsidRPr="00661595">
              <w:t>210.</w:t>
            </w:r>
          </w:p>
        </w:tc>
      </w:tr>
      <w:tr w:rsidR="00464F34" w:rsidRPr="00661595" w:rsidTr="00672D2A">
        <w:tc>
          <w:tcPr>
            <w:tcW w:w="1188" w:type="dxa"/>
          </w:tcPr>
          <w:p w:rsidR="00464F34" w:rsidRPr="00661595" w:rsidRDefault="00FF15C6" w:rsidP="00487A02">
            <w:pPr>
              <w:pStyle w:val="InstructionsText"/>
            </w:pPr>
            <w:r w:rsidRPr="00661595">
              <w:t>0</w:t>
            </w:r>
            <w:r w:rsidR="00464F34" w:rsidRPr="00661595">
              <w:t>210</w:t>
            </w:r>
          </w:p>
        </w:tc>
        <w:tc>
          <w:tcPr>
            <w:tcW w:w="8640" w:type="dxa"/>
          </w:tcPr>
          <w:p w:rsidR="00464F34" w:rsidRPr="00661595" w:rsidRDefault="00464F34"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Of which: Arising from Counterparty Credit Risk</w:t>
            </w:r>
          </w:p>
          <w:p w:rsidR="007C64F7" w:rsidRPr="00661595" w:rsidRDefault="007C64F7" w:rsidP="007C64F7">
            <w:pPr>
              <w:pStyle w:val="TableMainHeading"/>
              <w:spacing w:before="60"/>
              <w:jc w:val="both"/>
              <w:rPr>
                <w:rFonts w:ascii="Times New Roman" w:hAnsi="Times New Roman"/>
                <w:sz w:val="24"/>
                <w:szCs w:val="24"/>
              </w:rPr>
            </w:pPr>
            <w:r w:rsidRPr="00661595">
              <w:rPr>
                <w:rFonts w:ascii="Times New Roman" w:hAnsi="Times New Roman"/>
                <w:sz w:val="24"/>
                <w:szCs w:val="24"/>
              </w:rPr>
              <w:t xml:space="preserve">Exposure value for CCR business calculated </w:t>
            </w:r>
            <w:r w:rsidR="00EA1F5A" w:rsidRPr="00661595">
              <w:rPr>
                <w:rFonts w:ascii="Times New Roman" w:hAnsi="Times New Roman"/>
                <w:sz w:val="24"/>
                <w:szCs w:val="24"/>
              </w:rPr>
              <w:t>in accordance with</w:t>
            </w:r>
            <w:r w:rsidRPr="00661595">
              <w:rPr>
                <w:rFonts w:ascii="Times New Roman" w:hAnsi="Times New Roman"/>
                <w:sz w:val="24"/>
                <w:szCs w:val="24"/>
              </w:rPr>
              <w:t xml:space="preserve"> the methods laid down in Chapter 4 and Chapter 6 of Title II of Part Three CRR, which is the relevant amount for the calculation of risk weighted exposure amounts, i.e. having applied CRM techniques as applicable in accordance with Chapter 4 and Chapter 6 of Title II of Part Three CRR and considering the deduction of the incurred CVA loss </w:t>
            </w:r>
            <w:r w:rsidR="00EA1F5A" w:rsidRPr="00661595">
              <w:rPr>
                <w:rFonts w:ascii="Times New Roman" w:hAnsi="Times New Roman"/>
                <w:sz w:val="24"/>
                <w:szCs w:val="24"/>
              </w:rPr>
              <w:t>as referred to in</w:t>
            </w:r>
            <w:r w:rsidRPr="00661595">
              <w:rPr>
                <w:rFonts w:ascii="Times New Roman" w:hAnsi="Times New Roman"/>
                <w:sz w:val="24"/>
                <w:szCs w:val="24"/>
              </w:rPr>
              <w:t xml:space="preserve"> Article 273</w:t>
            </w:r>
            <w:r w:rsidR="00C24ED2" w:rsidRPr="00661595">
              <w:rPr>
                <w:rFonts w:ascii="Times New Roman" w:hAnsi="Times New Roman"/>
                <w:sz w:val="24"/>
                <w:szCs w:val="24"/>
              </w:rPr>
              <w:t>(6)</w:t>
            </w:r>
            <w:r w:rsidRPr="00661595">
              <w:rPr>
                <w:rFonts w:ascii="Times New Roman" w:hAnsi="Times New Roman"/>
                <w:sz w:val="24"/>
                <w:szCs w:val="24"/>
              </w:rPr>
              <w:t xml:space="preserve"> CRR. </w:t>
            </w:r>
          </w:p>
          <w:p w:rsidR="007C64F7" w:rsidRPr="00661595" w:rsidRDefault="007C64F7" w:rsidP="007C64F7">
            <w:pPr>
              <w:rPr>
                <w:rFonts w:ascii="Times New Roman" w:hAnsi="Times New Roman"/>
                <w:sz w:val="24"/>
              </w:rPr>
            </w:pPr>
            <w:r w:rsidRPr="00661595">
              <w:rPr>
                <w:rFonts w:ascii="Times New Roman" w:hAnsi="Times New Roman"/>
                <w:sz w:val="24"/>
              </w:rPr>
              <w:t>The exposure value for transactions where specific wrong way risk has been identified must be determined in accordance with Article 291 CRR.</w:t>
            </w:r>
          </w:p>
          <w:p w:rsidR="007C64F7" w:rsidRPr="00661595" w:rsidRDefault="007C64F7" w:rsidP="00487A02">
            <w:pPr>
              <w:pStyle w:val="InstructionsText"/>
            </w:pPr>
            <w:r w:rsidRPr="00661595">
              <w:t xml:space="preserve">For cases in which more than one CCR approach is used for a single counterparty, the incurred CVA loss, which is deducted at counterparty level, shall be assigned to the exposure value of the different netting sets in rows </w:t>
            </w:r>
            <w:r w:rsidR="00FF15C6" w:rsidRPr="00661595">
              <w:t>0</w:t>
            </w:r>
            <w:r w:rsidRPr="00661595">
              <w:t xml:space="preserve">090 - </w:t>
            </w:r>
            <w:r w:rsidR="00FF15C6" w:rsidRPr="00661595">
              <w:t>0</w:t>
            </w:r>
            <w:r w:rsidRPr="00661595">
              <w:t xml:space="preserve">130 reflecting the proportion of the exposure value post-CRM of the respective netting sets to the total exposure value post-CRM of the counterparty. For this purpose, the exposure value post-CRM as per the instructions to column </w:t>
            </w:r>
            <w:r w:rsidR="00FF15C6" w:rsidRPr="00661595">
              <w:t>0</w:t>
            </w:r>
            <w:r w:rsidRPr="00661595">
              <w:t>1</w:t>
            </w:r>
            <w:r w:rsidR="00240B06" w:rsidRPr="00661595">
              <w:t>6</w:t>
            </w:r>
            <w:r w:rsidRPr="00661595">
              <w:t>0 of template C</w:t>
            </w:r>
            <w:r w:rsidR="00DC0A81">
              <w:t xml:space="preserve"> </w:t>
            </w:r>
            <w:r w:rsidRPr="00661595">
              <w:t>34.02 shall be used.</w:t>
            </w:r>
          </w:p>
          <w:p w:rsidR="00464F34" w:rsidRPr="00661595" w:rsidRDefault="00464F34" w:rsidP="00487A02">
            <w:pPr>
              <w:pStyle w:val="InstructionsText"/>
            </w:pPr>
          </w:p>
        </w:tc>
      </w:tr>
      <w:tr w:rsidR="00E46AC0" w:rsidRPr="00661595" w:rsidTr="00672D2A">
        <w:tc>
          <w:tcPr>
            <w:tcW w:w="1188" w:type="dxa"/>
          </w:tcPr>
          <w:p w:rsidR="00E46AC0" w:rsidRPr="00661595" w:rsidRDefault="00FF15C6" w:rsidP="00487A02">
            <w:pPr>
              <w:pStyle w:val="InstructionsText"/>
            </w:pPr>
            <w:r w:rsidRPr="00661595">
              <w:t>0</w:t>
            </w:r>
            <w:r w:rsidR="00E46AC0" w:rsidRPr="00661595">
              <w:t>211</w:t>
            </w:r>
          </w:p>
        </w:tc>
        <w:tc>
          <w:tcPr>
            <w:tcW w:w="8640" w:type="dxa"/>
          </w:tcPr>
          <w:p w:rsidR="00E46AC0" w:rsidRPr="00661595" w:rsidRDefault="00E46AC0"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Of which: Arising from Counterparty Credit Risk excluding exposures cleared through a CCP</w:t>
            </w:r>
          </w:p>
          <w:p w:rsidR="00E46AC0" w:rsidRPr="00661595" w:rsidRDefault="00E46AC0" w:rsidP="00487A02">
            <w:pPr>
              <w:pStyle w:val="InstructionsText"/>
              <w:rPr>
                <w:rStyle w:val="InstructionsTabelleberschrift"/>
                <w:rFonts w:ascii="Times New Roman" w:hAnsi="Times New Roman"/>
                <w:sz w:val="24"/>
              </w:rPr>
            </w:pPr>
            <w:r w:rsidRPr="00661595">
              <w:t xml:space="preserve">Exposures reported in </w:t>
            </w:r>
            <w:r w:rsidR="00650529" w:rsidRPr="00661595">
              <w:t>column</w:t>
            </w:r>
            <w:r w:rsidR="00FF15C6" w:rsidRPr="00661595">
              <w:t xml:space="preserve"> 0</w:t>
            </w:r>
            <w:r w:rsidRPr="00661595">
              <w:t>210 excluding those arising from contracts and transactions listed in Article 301(1)</w:t>
            </w:r>
            <w:r w:rsidR="0044539D" w:rsidRPr="00661595">
              <w:t xml:space="preserve"> </w:t>
            </w:r>
            <w:r w:rsidRPr="00661595">
              <w:t>CRR as long as they are outstanding with a central counterparty (CCP), including CCP-related transactions defined in point (2) of Article 300 CRR.</w:t>
            </w:r>
          </w:p>
        </w:tc>
      </w:tr>
      <w:tr w:rsidR="00E46AC0" w:rsidRPr="00661595" w:rsidTr="00672D2A">
        <w:tc>
          <w:tcPr>
            <w:tcW w:w="1188" w:type="dxa"/>
          </w:tcPr>
          <w:p w:rsidR="00E46AC0" w:rsidRPr="00661595" w:rsidRDefault="00FF15C6" w:rsidP="00487A02">
            <w:pPr>
              <w:pStyle w:val="InstructionsText"/>
            </w:pPr>
            <w:r w:rsidRPr="00661595">
              <w:t>0</w:t>
            </w:r>
            <w:r w:rsidR="00E46AC0" w:rsidRPr="00661595">
              <w:t>215</w:t>
            </w:r>
          </w:p>
        </w:tc>
        <w:tc>
          <w:tcPr>
            <w:tcW w:w="8640" w:type="dxa"/>
          </w:tcPr>
          <w:p w:rsidR="00E46AC0" w:rsidRPr="00661595" w:rsidRDefault="00E46AC0"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Risk weighted exposure amount pre supporting factors</w:t>
            </w:r>
          </w:p>
          <w:p w:rsidR="00696434" w:rsidRDefault="00E46AC0" w:rsidP="001A217F">
            <w:pPr>
              <w:pStyle w:val="InstructionsText"/>
            </w:pPr>
            <w:r w:rsidRPr="00661595">
              <w:t>Paragraphs 1 to 5 of Article 113</w:t>
            </w:r>
            <w:r w:rsidR="00927B49">
              <w:t xml:space="preserve"> </w:t>
            </w:r>
            <w:r w:rsidRPr="00661595">
              <w:t xml:space="preserve">CRR, without taking into account the SME and </w:t>
            </w:r>
            <w:r w:rsidR="001A217F">
              <w:t>i</w:t>
            </w:r>
            <w:r w:rsidRPr="00661595">
              <w:t xml:space="preserve">nfrastructure </w:t>
            </w:r>
            <w:r w:rsidR="005C29CD">
              <w:t xml:space="preserve">supporting factors </w:t>
            </w:r>
            <w:r w:rsidR="00927B49">
              <w:t>laid down in</w:t>
            </w:r>
            <w:r w:rsidRPr="00661595">
              <w:t xml:space="preserve"> Article 501 and </w:t>
            </w:r>
            <w:r w:rsidR="00127FEA">
              <w:t xml:space="preserve">Article </w:t>
            </w:r>
            <w:r w:rsidRPr="00661595">
              <w:t>501a CRR</w:t>
            </w:r>
          </w:p>
          <w:p w:rsidR="00E46AC0" w:rsidRPr="00661595" w:rsidRDefault="007D1F12" w:rsidP="00696434">
            <w:pPr>
              <w:pStyle w:val="InstructionsText"/>
              <w:rPr>
                <w:b/>
                <w:u w:val="single"/>
              </w:rPr>
            </w:pPr>
            <w:r w:rsidRPr="00661595">
              <w:t xml:space="preserve">The risk weighted exposure amount of the residual value of leasing assets </w:t>
            </w:r>
            <w:r w:rsidR="00696434">
              <w:t>shall be</w:t>
            </w:r>
            <w:r w:rsidR="00696434" w:rsidRPr="00661595">
              <w:t xml:space="preserve"> </w:t>
            </w:r>
            <w:r w:rsidRPr="00661595">
              <w:t>subject to sentence 5 of Article 134(7) and shall be calculated according to the formula “1/t * 100% * residual value”. In particular, residual value is undiscounted estimated residual value at the end of the lease term which is reassessed periodically to ensure continued appropriateness.</w:t>
            </w:r>
          </w:p>
        </w:tc>
      </w:tr>
      <w:tr w:rsidR="00E46AC0" w:rsidRPr="00661595" w:rsidTr="00672D2A">
        <w:tc>
          <w:tcPr>
            <w:tcW w:w="1188" w:type="dxa"/>
          </w:tcPr>
          <w:p w:rsidR="00E46AC0" w:rsidRPr="00661595" w:rsidRDefault="00FF15C6" w:rsidP="00487A02">
            <w:pPr>
              <w:pStyle w:val="InstructionsText"/>
            </w:pPr>
            <w:r w:rsidRPr="00661595">
              <w:t>0</w:t>
            </w:r>
            <w:r w:rsidR="00E46AC0" w:rsidRPr="00661595">
              <w:t>216</w:t>
            </w:r>
          </w:p>
        </w:tc>
        <w:tc>
          <w:tcPr>
            <w:tcW w:w="8640" w:type="dxa"/>
          </w:tcPr>
          <w:p w:rsidR="00E46AC0" w:rsidRPr="00661595" w:rsidRDefault="00E46AC0"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 Adjustment to the risk-weighted exposure amount due to SME</w:t>
            </w:r>
            <w:r w:rsidR="001A217F">
              <w:rPr>
                <w:rStyle w:val="InstructionsTabelleberschrift"/>
                <w:rFonts w:ascii="Times New Roman" w:hAnsi="Times New Roman"/>
                <w:sz w:val="24"/>
              </w:rPr>
              <w:t xml:space="preserve"> </w:t>
            </w:r>
            <w:r w:rsidRPr="00661595">
              <w:rPr>
                <w:rStyle w:val="InstructionsTabelleberschrift"/>
                <w:rFonts w:ascii="Times New Roman" w:hAnsi="Times New Roman"/>
                <w:sz w:val="24"/>
              </w:rPr>
              <w:t>supporting factor</w:t>
            </w:r>
          </w:p>
          <w:p w:rsidR="00E46AC0" w:rsidRPr="00661595" w:rsidRDefault="00E46AC0" w:rsidP="00487A02">
            <w:pPr>
              <w:pStyle w:val="InstructionsText"/>
              <w:rPr>
                <w:rStyle w:val="InstructionsTabelleberschrift"/>
                <w:rFonts w:ascii="Times New Roman" w:hAnsi="Times New Roman"/>
                <w:sz w:val="24"/>
              </w:rPr>
            </w:pPr>
            <w:r w:rsidRPr="00661595">
              <w:t xml:space="preserve">Deduction of the difference of the risk-weighted exposure amounts for non-defaulted exposures to an SME (RWEA), which are calculated in accordance with Chapter 2 of Title II of Part Three CRR, as applicable and RWEA* </w:t>
            </w:r>
            <w:r w:rsidR="00EA1F5A" w:rsidRPr="00661595">
              <w:t>in accordance with</w:t>
            </w:r>
            <w:r w:rsidRPr="00661595">
              <w:t xml:space="preserve"> point (1) of Article 501 CRR</w:t>
            </w:r>
          </w:p>
        </w:tc>
      </w:tr>
      <w:tr w:rsidR="00E46AC0" w:rsidRPr="00661595" w:rsidTr="00672D2A">
        <w:tc>
          <w:tcPr>
            <w:tcW w:w="1188" w:type="dxa"/>
          </w:tcPr>
          <w:p w:rsidR="00E46AC0" w:rsidRPr="00661595" w:rsidRDefault="00FF15C6" w:rsidP="00487A02">
            <w:pPr>
              <w:pStyle w:val="InstructionsText"/>
            </w:pPr>
            <w:r w:rsidRPr="00661595">
              <w:t>0</w:t>
            </w:r>
            <w:r w:rsidR="00E46AC0" w:rsidRPr="00661595">
              <w:t>217</w:t>
            </w:r>
          </w:p>
        </w:tc>
        <w:tc>
          <w:tcPr>
            <w:tcW w:w="8640" w:type="dxa"/>
          </w:tcPr>
          <w:p w:rsidR="00E46AC0" w:rsidRPr="00661595" w:rsidRDefault="00E46AC0"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 xml:space="preserve">(-) Adjustment to the risk-weighted exposure amount due to </w:t>
            </w:r>
            <w:r w:rsidR="00E50FA0">
              <w:rPr>
                <w:rStyle w:val="InstructionsTabelleberschrift"/>
                <w:rFonts w:ascii="Times New Roman" w:hAnsi="Times New Roman"/>
                <w:sz w:val="24"/>
              </w:rPr>
              <w:t xml:space="preserve">the </w:t>
            </w:r>
            <w:r w:rsidR="005C29CD">
              <w:rPr>
                <w:rStyle w:val="InstructionsTabelleberschrift"/>
                <w:rFonts w:ascii="Times New Roman" w:hAnsi="Times New Roman"/>
                <w:sz w:val="24"/>
              </w:rPr>
              <w:t xml:space="preserve">infrastructure </w:t>
            </w:r>
            <w:r w:rsidR="00696434">
              <w:rPr>
                <w:rStyle w:val="InstructionsTabelleberschrift"/>
                <w:rFonts w:ascii="Times New Roman" w:hAnsi="Times New Roman"/>
                <w:sz w:val="24"/>
              </w:rPr>
              <w:t>supporting factor</w:t>
            </w:r>
          </w:p>
          <w:p w:rsidR="00E46AC0" w:rsidRPr="00661595" w:rsidRDefault="00E46AC0" w:rsidP="00487A02">
            <w:pPr>
              <w:pStyle w:val="InstructionsText"/>
              <w:rPr>
                <w:rStyle w:val="InstructionsTabelleberschrift"/>
                <w:rFonts w:ascii="Times New Roman" w:hAnsi="Times New Roman"/>
                <w:sz w:val="24"/>
              </w:rPr>
            </w:pPr>
            <w:r w:rsidRPr="00661595">
              <w:t>Deduction of the difference of the risk weighted exposure amounts calculated in ac</w:t>
            </w:r>
            <w:r w:rsidR="001B1F77" w:rsidRPr="00661595">
              <w:t>cordance with Title II of Part Three CRR</w:t>
            </w:r>
            <w:r w:rsidRPr="00661595">
              <w:t xml:space="preserve"> and the adjusted RWEA for credit risk for exposures to entities that operate or finance physical structures or facilities, systems and networks that provide or support essential public services </w:t>
            </w:r>
            <w:r w:rsidR="00EA1F5A" w:rsidRPr="00661595">
              <w:t>in accordance with</w:t>
            </w:r>
            <w:r w:rsidRPr="00661595">
              <w:t xml:space="preserve"> Art</w:t>
            </w:r>
            <w:r w:rsidR="001B1F77" w:rsidRPr="00661595">
              <w:t>icle</w:t>
            </w:r>
            <w:r w:rsidRPr="00661595">
              <w:t xml:space="preserve"> 501a CRR.</w:t>
            </w:r>
          </w:p>
        </w:tc>
      </w:tr>
      <w:tr w:rsidR="00E46AC0" w:rsidRPr="00661595" w:rsidTr="00672D2A">
        <w:tc>
          <w:tcPr>
            <w:tcW w:w="1188" w:type="dxa"/>
          </w:tcPr>
          <w:p w:rsidR="00E46AC0" w:rsidRPr="00661595" w:rsidRDefault="00FF15C6" w:rsidP="00487A02">
            <w:pPr>
              <w:pStyle w:val="InstructionsText"/>
            </w:pPr>
            <w:r w:rsidRPr="00661595">
              <w:t>0</w:t>
            </w:r>
            <w:r w:rsidR="00E46AC0" w:rsidRPr="00661595">
              <w:t>220</w:t>
            </w:r>
          </w:p>
        </w:tc>
        <w:tc>
          <w:tcPr>
            <w:tcW w:w="8640" w:type="dxa"/>
          </w:tcPr>
          <w:p w:rsidR="00E46AC0" w:rsidRPr="00661595" w:rsidRDefault="00E46AC0"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Risk weighted exposure amount after supporting factor</w:t>
            </w:r>
            <w:r w:rsidR="001B1F77" w:rsidRPr="00661595">
              <w:rPr>
                <w:rStyle w:val="InstructionsTabelleberschrift"/>
                <w:rFonts w:ascii="Times New Roman" w:hAnsi="Times New Roman"/>
                <w:sz w:val="24"/>
              </w:rPr>
              <w:t>s</w:t>
            </w:r>
          </w:p>
          <w:p w:rsidR="00696434" w:rsidRDefault="00E46AC0" w:rsidP="00E50750">
            <w:pPr>
              <w:pStyle w:val="InstructionsText"/>
            </w:pPr>
            <w:r w:rsidRPr="00661595">
              <w:t>Paragraphs 1 to 5 of Article 113</w:t>
            </w:r>
            <w:r w:rsidR="001B1F77" w:rsidRPr="00661595">
              <w:t xml:space="preserve"> </w:t>
            </w:r>
            <w:r w:rsidRPr="00661595">
              <w:t>CRR, taking into account the SME</w:t>
            </w:r>
            <w:r w:rsidR="001B1F77" w:rsidRPr="00661595">
              <w:t xml:space="preserve"> and </w:t>
            </w:r>
            <w:r w:rsidR="001A217F">
              <w:t>i</w:t>
            </w:r>
            <w:r w:rsidR="001B1F77" w:rsidRPr="00661595">
              <w:t xml:space="preserve">nfrastructure </w:t>
            </w:r>
            <w:r w:rsidR="005C29CD">
              <w:t xml:space="preserve">supporting factors </w:t>
            </w:r>
            <w:r w:rsidR="00927B49">
              <w:t>laid down</w:t>
            </w:r>
            <w:r w:rsidRPr="00661595">
              <w:t xml:space="preserve"> in Article 501 </w:t>
            </w:r>
            <w:r w:rsidR="001B1F77" w:rsidRPr="00661595">
              <w:t xml:space="preserve">and </w:t>
            </w:r>
            <w:r w:rsidR="00927B49">
              <w:t xml:space="preserve">Article </w:t>
            </w:r>
            <w:r w:rsidR="001B1F77" w:rsidRPr="00661595">
              <w:t xml:space="preserve">501a </w:t>
            </w:r>
            <w:r w:rsidRPr="00661595">
              <w:t>CRR</w:t>
            </w:r>
          </w:p>
          <w:p w:rsidR="00E46AC0" w:rsidRPr="00661595" w:rsidRDefault="007D1F12" w:rsidP="00E50750">
            <w:pPr>
              <w:pStyle w:val="InstructionsText"/>
              <w:rPr>
                <w:b/>
                <w:u w:val="single"/>
              </w:rPr>
            </w:pPr>
            <w:r w:rsidRPr="00661595">
              <w:t>The risk weighted exposure amount of the residual value of leasing assets is subject to sentence 5 of Article 134(7) and shall be calculated according to the formula “1/t * 100% * residual value”. In particular, residual value is undiscounted estimated residual value at the end of the lease term which is reassessed periodically to ensure continued appropriateness.</w:t>
            </w:r>
          </w:p>
        </w:tc>
      </w:tr>
      <w:tr w:rsidR="00E46AC0" w:rsidRPr="00661595" w:rsidTr="00672D2A">
        <w:tc>
          <w:tcPr>
            <w:tcW w:w="1188" w:type="dxa"/>
            <w:shd w:val="clear" w:color="auto" w:fill="auto"/>
          </w:tcPr>
          <w:p w:rsidR="00E46AC0" w:rsidRPr="00661595" w:rsidRDefault="00FF15C6" w:rsidP="00487A02">
            <w:pPr>
              <w:pStyle w:val="InstructionsText"/>
            </w:pPr>
            <w:r w:rsidRPr="00661595">
              <w:t>0</w:t>
            </w:r>
            <w:r w:rsidR="00E46AC0" w:rsidRPr="00661595">
              <w:t>230</w:t>
            </w:r>
          </w:p>
        </w:tc>
        <w:tc>
          <w:tcPr>
            <w:tcW w:w="8640" w:type="dxa"/>
            <w:shd w:val="clear" w:color="auto" w:fill="auto"/>
          </w:tcPr>
          <w:p w:rsidR="00E46AC0" w:rsidRPr="00661595" w:rsidRDefault="00E46AC0"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Of which: with a credit assessment by a nominated ECAI</w:t>
            </w:r>
          </w:p>
          <w:p w:rsidR="00E46AC0" w:rsidRPr="00661595" w:rsidRDefault="00E46AC0" w:rsidP="00487A02">
            <w:pPr>
              <w:pStyle w:val="InstructionsText"/>
            </w:pPr>
            <w:r w:rsidRPr="00661595">
              <w:t>Points (a) to (d), (f), (g), (l), (n), (o) and (q) of Article 112 CRR</w:t>
            </w:r>
          </w:p>
        </w:tc>
      </w:tr>
      <w:tr w:rsidR="00E46AC0" w:rsidRPr="00661595" w:rsidTr="00672D2A">
        <w:tc>
          <w:tcPr>
            <w:tcW w:w="1188" w:type="dxa"/>
            <w:shd w:val="clear" w:color="auto" w:fill="auto"/>
          </w:tcPr>
          <w:p w:rsidR="00E46AC0" w:rsidRPr="00661595" w:rsidRDefault="00FF15C6" w:rsidP="00487A02">
            <w:pPr>
              <w:pStyle w:val="InstructionsText"/>
            </w:pPr>
            <w:r w:rsidRPr="00661595">
              <w:t>0</w:t>
            </w:r>
            <w:r w:rsidR="00E46AC0" w:rsidRPr="00661595">
              <w:t>240</w:t>
            </w:r>
          </w:p>
        </w:tc>
        <w:tc>
          <w:tcPr>
            <w:tcW w:w="8640" w:type="dxa"/>
            <w:shd w:val="clear" w:color="auto" w:fill="auto"/>
          </w:tcPr>
          <w:p w:rsidR="00E46AC0" w:rsidRPr="00661595" w:rsidRDefault="00E46AC0"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Of which: with a credit assessment derived from central government</w:t>
            </w:r>
          </w:p>
          <w:p w:rsidR="00E46AC0" w:rsidRPr="00661595" w:rsidRDefault="00E46AC0" w:rsidP="00487A02">
            <w:pPr>
              <w:pStyle w:val="InstructionsText"/>
            </w:pPr>
            <w:r w:rsidRPr="00661595">
              <w:t>Points (b) to d), (f), (g), (l) and (o) of Article 112 CRR</w:t>
            </w:r>
          </w:p>
        </w:tc>
      </w:tr>
    </w:tbl>
    <w:p w:rsidR="00464F34" w:rsidRPr="00661595" w:rsidRDefault="00464F34" w:rsidP="00487A02">
      <w:pPr>
        <w:pStyle w:val="InstructionsText"/>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8701"/>
      </w:tblGrid>
      <w:tr w:rsidR="00464F34" w:rsidRPr="00661595" w:rsidTr="00672D2A">
        <w:tc>
          <w:tcPr>
            <w:tcW w:w="1188" w:type="dxa"/>
            <w:shd w:val="clear" w:color="auto" w:fill="CCCCCC"/>
          </w:tcPr>
          <w:p w:rsidR="00464F34" w:rsidRPr="00661595" w:rsidRDefault="007106FB" w:rsidP="00487A02">
            <w:pPr>
              <w:pStyle w:val="InstructionsText"/>
            </w:pPr>
            <w:r w:rsidRPr="00661595">
              <w:t>R</w:t>
            </w:r>
            <w:r w:rsidR="00464F34" w:rsidRPr="00661595">
              <w:t>ows</w:t>
            </w:r>
          </w:p>
        </w:tc>
        <w:tc>
          <w:tcPr>
            <w:tcW w:w="8701" w:type="dxa"/>
            <w:shd w:val="clear" w:color="auto" w:fill="CCCCCC"/>
          </w:tcPr>
          <w:p w:rsidR="00464F34" w:rsidRPr="00661595" w:rsidRDefault="00464F34" w:rsidP="00487A02">
            <w:pPr>
              <w:pStyle w:val="InstructionsText"/>
            </w:pPr>
            <w:r w:rsidRPr="00661595">
              <w:t>Instructions</w:t>
            </w:r>
          </w:p>
        </w:tc>
      </w:tr>
      <w:tr w:rsidR="00464F34" w:rsidRPr="00661595" w:rsidTr="00672D2A">
        <w:tc>
          <w:tcPr>
            <w:tcW w:w="1188" w:type="dxa"/>
          </w:tcPr>
          <w:p w:rsidR="00464F34" w:rsidRPr="00661595" w:rsidRDefault="00FF15C6" w:rsidP="00487A02">
            <w:pPr>
              <w:pStyle w:val="InstructionsText"/>
            </w:pPr>
            <w:r w:rsidRPr="00661595">
              <w:t>0</w:t>
            </w:r>
            <w:r w:rsidR="00464F34" w:rsidRPr="00661595">
              <w:t>010</w:t>
            </w:r>
          </w:p>
        </w:tc>
        <w:tc>
          <w:tcPr>
            <w:tcW w:w="8701" w:type="dxa"/>
          </w:tcPr>
          <w:p w:rsidR="00464F34" w:rsidRPr="00661595" w:rsidRDefault="00464F34" w:rsidP="00487A02">
            <w:pPr>
              <w:pStyle w:val="InstructionsText"/>
            </w:pPr>
            <w:r w:rsidRPr="00661595">
              <w:rPr>
                <w:rStyle w:val="InstructionsTabelleberschrift"/>
                <w:rFonts w:ascii="Times New Roman" w:hAnsi="Times New Roman"/>
                <w:sz w:val="24"/>
              </w:rPr>
              <w:t>Total exposures</w:t>
            </w:r>
          </w:p>
        </w:tc>
      </w:tr>
      <w:tr w:rsidR="00610B56" w:rsidRPr="00661595" w:rsidTr="00672D2A">
        <w:tc>
          <w:tcPr>
            <w:tcW w:w="1188" w:type="dxa"/>
          </w:tcPr>
          <w:p w:rsidR="00610B56" w:rsidRPr="00661595" w:rsidRDefault="00FF15C6" w:rsidP="00487A02">
            <w:pPr>
              <w:pStyle w:val="InstructionsText"/>
            </w:pPr>
            <w:r w:rsidRPr="00661595">
              <w:t>0</w:t>
            </w:r>
            <w:r w:rsidR="00610B56" w:rsidRPr="00661595">
              <w:t>015</w:t>
            </w:r>
          </w:p>
        </w:tc>
        <w:tc>
          <w:tcPr>
            <w:tcW w:w="8701" w:type="dxa"/>
          </w:tcPr>
          <w:p w:rsidR="00D21B29" w:rsidRPr="00661595" w:rsidRDefault="00F5132F"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of which: Defaulted exposures in exposure classes “items associated with a particular high risk” and “equity exposures”</w:t>
            </w:r>
          </w:p>
          <w:p w:rsidR="00610B56" w:rsidRPr="00661595" w:rsidRDefault="00610B56" w:rsidP="00487A02">
            <w:pPr>
              <w:pStyle w:val="InstructionsText"/>
            </w:pPr>
            <w:r w:rsidRPr="00661595">
              <w:t>Article 127 CRR</w:t>
            </w:r>
          </w:p>
          <w:p w:rsidR="00610B56" w:rsidRPr="00661595" w:rsidRDefault="00610B56" w:rsidP="00487A02">
            <w:pPr>
              <w:pStyle w:val="InstructionsText"/>
            </w:pPr>
            <w:r w:rsidRPr="00661595">
              <w:t>This row shall only be reported in exposure classes ‘Items associated with a particular high risk</w:t>
            </w:r>
            <w:r w:rsidR="00AF4ED2" w:rsidRPr="00661595">
              <w:t xml:space="preserve">’ </w:t>
            </w:r>
            <w:r w:rsidR="00FC1715" w:rsidRPr="00661595">
              <w:t>and ‘</w:t>
            </w:r>
            <w:r w:rsidR="00AF4ED2" w:rsidRPr="00661595">
              <w:t>Equity exposures’</w:t>
            </w:r>
            <w:r w:rsidR="00761891" w:rsidRPr="00661595">
              <w:t>.</w:t>
            </w:r>
          </w:p>
          <w:p w:rsidR="00761891" w:rsidRPr="00661595" w:rsidRDefault="00167619" w:rsidP="00487A02">
            <w:pPr>
              <w:pStyle w:val="InstructionsText"/>
            </w:pPr>
            <w:r w:rsidRPr="00661595">
              <w:t>A</w:t>
            </w:r>
            <w:r w:rsidR="00761891" w:rsidRPr="00661595">
              <w:t xml:space="preserve">n exposure </w:t>
            </w:r>
            <w:r w:rsidRPr="00661595">
              <w:t xml:space="preserve">that </w:t>
            </w:r>
            <w:r w:rsidR="00761891" w:rsidRPr="00661595">
              <w:t xml:space="preserve">is either listed in Article 128(2) </w:t>
            </w:r>
            <w:r w:rsidR="00C7103D" w:rsidRPr="00661595">
              <w:t>CRR</w:t>
            </w:r>
            <w:r w:rsidR="00761891" w:rsidRPr="00661595">
              <w:t xml:space="preserve"> or meets the criteria set in Article 128(3) or </w:t>
            </w:r>
            <w:r w:rsidRPr="00661595">
              <w:t xml:space="preserve">Article </w:t>
            </w:r>
            <w:r w:rsidR="00761891" w:rsidRPr="00661595">
              <w:t xml:space="preserve">133 </w:t>
            </w:r>
            <w:r w:rsidR="00C7103D" w:rsidRPr="00661595">
              <w:t>CRR</w:t>
            </w:r>
            <w:r w:rsidR="00761891" w:rsidRPr="00661595">
              <w:t xml:space="preserve"> shall be assigned to the exposure class “Items associated with particular high risk” or “Equity exposures”. Consequently, there</w:t>
            </w:r>
            <w:r w:rsidR="00AA7658" w:rsidRPr="00661595">
              <w:t xml:space="preserve"> shall</w:t>
            </w:r>
            <w:r w:rsidR="00761891" w:rsidRPr="00661595">
              <w:t xml:space="preserve"> be no other allocation, even </w:t>
            </w:r>
            <w:r w:rsidRPr="00661595">
              <w:t xml:space="preserve">in case of an </w:t>
            </w:r>
            <w:r w:rsidR="00761891" w:rsidRPr="00661595">
              <w:t>exposure i</w:t>
            </w:r>
            <w:r w:rsidRPr="00661595">
              <w:t>n</w:t>
            </w:r>
            <w:r w:rsidR="00761891" w:rsidRPr="00661595">
              <w:t xml:space="preserve"> default</w:t>
            </w:r>
            <w:r w:rsidR="0060043C" w:rsidRPr="00661595">
              <w:t xml:space="preserve"> </w:t>
            </w:r>
            <w:r w:rsidRPr="00661595">
              <w:t>as referred to in</w:t>
            </w:r>
            <w:r w:rsidR="00761891" w:rsidRPr="00661595">
              <w:t xml:space="preserve"> Article 127 </w:t>
            </w:r>
            <w:r w:rsidR="00C7103D" w:rsidRPr="00661595">
              <w:t>CRR</w:t>
            </w:r>
            <w:r w:rsidR="00761891" w:rsidRPr="00661595">
              <w:t>.</w:t>
            </w:r>
          </w:p>
        </w:tc>
      </w:tr>
      <w:tr w:rsidR="00464F34" w:rsidRPr="00661595" w:rsidTr="00672D2A">
        <w:tc>
          <w:tcPr>
            <w:tcW w:w="1188" w:type="dxa"/>
            <w:shd w:val="clear" w:color="auto" w:fill="auto"/>
          </w:tcPr>
          <w:p w:rsidR="00464F34" w:rsidRPr="00661595" w:rsidRDefault="00FF15C6" w:rsidP="00487A02">
            <w:pPr>
              <w:pStyle w:val="InstructionsText"/>
            </w:pPr>
            <w:r w:rsidRPr="00661595">
              <w:t>0</w:t>
            </w:r>
            <w:r w:rsidR="00462BAB" w:rsidRPr="00661595">
              <w:t>020</w:t>
            </w:r>
          </w:p>
        </w:tc>
        <w:tc>
          <w:tcPr>
            <w:tcW w:w="8701" w:type="dxa"/>
            <w:shd w:val="clear" w:color="auto" w:fill="auto"/>
          </w:tcPr>
          <w:p w:rsidR="00464F34" w:rsidRPr="00661595" w:rsidRDefault="00464F34"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of which: SME</w:t>
            </w:r>
          </w:p>
          <w:p w:rsidR="00464F34" w:rsidRPr="00661595" w:rsidRDefault="00464F34" w:rsidP="00487A02">
            <w:pPr>
              <w:pStyle w:val="InstructionsText"/>
            </w:pPr>
            <w:r w:rsidRPr="00661595">
              <w:t xml:space="preserve">All exposures to SME </w:t>
            </w:r>
            <w:r w:rsidR="00C93697" w:rsidRPr="00661595">
              <w:t>shall</w:t>
            </w:r>
            <w:r w:rsidRPr="00661595">
              <w:t xml:space="preserve"> be reported here. </w:t>
            </w:r>
          </w:p>
        </w:tc>
      </w:tr>
      <w:tr w:rsidR="00464F34" w:rsidRPr="00661595" w:rsidTr="00672D2A">
        <w:tc>
          <w:tcPr>
            <w:tcW w:w="1188" w:type="dxa"/>
            <w:shd w:val="clear" w:color="auto" w:fill="auto"/>
          </w:tcPr>
          <w:p w:rsidR="00464F34" w:rsidRPr="00661595" w:rsidRDefault="00FF15C6" w:rsidP="00487A02">
            <w:pPr>
              <w:pStyle w:val="InstructionsText"/>
            </w:pPr>
            <w:r w:rsidRPr="00661595">
              <w:t>0</w:t>
            </w:r>
            <w:r w:rsidR="00462BAB" w:rsidRPr="00661595">
              <w:t>030</w:t>
            </w:r>
          </w:p>
        </w:tc>
        <w:tc>
          <w:tcPr>
            <w:tcW w:w="8701" w:type="dxa"/>
            <w:shd w:val="clear" w:color="auto" w:fill="auto"/>
          </w:tcPr>
          <w:p w:rsidR="00464F34" w:rsidRPr="00661595" w:rsidRDefault="00464F34"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 xml:space="preserve">of which: </w:t>
            </w:r>
            <w:r w:rsidR="008932B5" w:rsidRPr="00661595">
              <w:rPr>
                <w:rStyle w:val="InstructionsTabelleberschrift"/>
                <w:rFonts w:ascii="Times New Roman" w:hAnsi="Times New Roman"/>
                <w:sz w:val="24"/>
              </w:rPr>
              <w:t xml:space="preserve">Exposures </w:t>
            </w:r>
            <w:r w:rsidRPr="00661595">
              <w:rPr>
                <w:rStyle w:val="InstructionsTabelleberschrift"/>
                <w:rFonts w:ascii="Times New Roman" w:hAnsi="Times New Roman"/>
                <w:sz w:val="24"/>
              </w:rPr>
              <w:t>subject to the SME</w:t>
            </w:r>
            <w:r w:rsidR="001A217F">
              <w:rPr>
                <w:rStyle w:val="InstructionsTabelleberschrift"/>
                <w:rFonts w:ascii="Times New Roman" w:hAnsi="Times New Roman"/>
                <w:sz w:val="24"/>
              </w:rPr>
              <w:t xml:space="preserve"> </w:t>
            </w:r>
            <w:r w:rsidRPr="00661595">
              <w:rPr>
                <w:rStyle w:val="InstructionsTabelleberschrift"/>
                <w:rFonts w:ascii="Times New Roman" w:hAnsi="Times New Roman"/>
                <w:sz w:val="24"/>
              </w:rPr>
              <w:t>supporting factor</w:t>
            </w:r>
          </w:p>
          <w:p w:rsidR="00464F34" w:rsidRPr="00661595" w:rsidRDefault="00464F34" w:rsidP="00487A02">
            <w:pPr>
              <w:pStyle w:val="InstructionsText"/>
            </w:pPr>
            <w:r w:rsidRPr="00661595">
              <w:t>Only exposures which meet the requirements of Article 50</w:t>
            </w:r>
            <w:r w:rsidR="0061222C" w:rsidRPr="00661595">
              <w:t>1</w:t>
            </w:r>
            <w:r w:rsidRPr="00661595">
              <w:t xml:space="preserve"> CRR </w:t>
            </w:r>
            <w:r w:rsidR="00C93697" w:rsidRPr="00661595">
              <w:t>shall</w:t>
            </w:r>
            <w:r w:rsidRPr="00661595">
              <w:t xml:space="preserve"> be reported here. </w:t>
            </w:r>
          </w:p>
        </w:tc>
      </w:tr>
      <w:tr w:rsidR="001B1F77" w:rsidRPr="00661595" w:rsidTr="00672D2A">
        <w:tc>
          <w:tcPr>
            <w:tcW w:w="1188" w:type="dxa"/>
            <w:shd w:val="clear" w:color="auto" w:fill="auto"/>
          </w:tcPr>
          <w:p w:rsidR="001B1F77" w:rsidRPr="00661595" w:rsidRDefault="00FF15C6" w:rsidP="00487A02">
            <w:pPr>
              <w:pStyle w:val="InstructionsText"/>
            </w:pPr>
            <w:r w:rsidRPr="00661595">
              <w:t>0</w:t>
            </w:r>
            <w:r w:rsidR="001B1F77" w:rsidRPr="00661595">
              <w:t>035</w:t>
            </w:r>
          </w:p>
        </w:tc>
        <w:tc>
          <w:tcPr>
            <w:tcW w:w="8701" w:type="dxa"/>
            <w:shd w:val="clear" w:color="auto" w:fill="auto"/>
          </w:tcPr>
          <w:p w:rsidR="001B1F77" w:rsidRPr="00661595" w:rsidRDefault="001B1F77"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 xml:space="preserve">of which: Exposures subject to the </w:t>
            </w:r>
            <w:r w:rsidR="005C29CD">
              <w:rPr>
                <w:rStyle w:val="InstructionsTabelleberschrift"/>
                <w:rFonts w:ascii="Times New Roman" w:hAnsi="Times New Roman"/>
                <w:sz w:val="24"/>
              </w:rPr>
              <w:t xml:space="preserve">infrastructure </w:t>
            </w:r>
            <w:r w:rsidR="000E197A">
              <w:rPr>
                <w:rStyle w:val="InstructionsTabelleberschrift"/>
                <w:rFonts w:ascii="Times New Roman" w:hAnsi="Times New Roman"/>
                <w:sz w:val="24"/>
              </w:rPr>
              <w:t>supporting factor</w:t>
            </w:r>
          </w:p>
          <w:p w:rsidR="001B1F77" w:rsidRPr="00661595" w:rsidRDefault="001B1F77" w:rsidP="00487A02">
            <w:pPr>
              <w:pStyle w:val="InstructionsText"/>
              <w:rPr>
                <w:rStyle w:val="InstructionsTabelleberschrift"/>
                <w:rFonts w:ascii="Times New Roman" w:hAnsi="Times New Roman"/>
                <w:sz w:val="24"/>
              </w:rPr>
            </w:pPr>
            <w:r w:rsidRPr="00661595">
              <w:t>Only exposures which meet the requirements of Article 501a CRR shall be reported here.</w:t>
            </w:r>
          </w:p>
        </w:tc>
      </w:tr>
      <w:tr w:rsidR="001B1F77" w:rsidRPr="00661595" w:rsidTr="00672D2A">
        <w:tc>
          <w:tcPr>
            <w:tcW w:w="1188" w:type="dxa"/>
            <w:shd w:val="clear" w:color="auto" w:fill="auto"/>
          </w:tcPr>
          <w:p w:rsidR="001B1F77" w:rsidRPr="00661595" w:rsidRDefault="001B1F77" w:rsidP="00487A02">
            <w:pPr>
              <w:pStyle w:val="InstructionsText"/>
            </w:pPr>
            <w:r w:rsidRPr="00661595">
              <w:t>0</w:t>
            </w:r>
            <w:r w:rsidR="00FF15C6" w:rsidRPr="00661595">
              <w:t>0</w:t>
            </w:r>
            <w:r w:rsidRPr="00661595">
              <w:t>40</w:t>
            </w:r>
          </w:p>
        </w:tc>
        <w:tc>
          <w:tcPr>
            <w:tcW w:w="8701" w:type="dxa"/>
            <w:shd w:val="clear" w:color="auto" w:fill="auto"/>
          </w:tcPr>
          <w:p w:rsidR="001B1F77" w:rsidRPr="00661595" w:rsidRDefault="001B1F77"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of which: Secured by mortgages on immovable property - Residential property</w:t>
            </w:r>
          </w:p>
          <w:p w:rsidR="001B1F77" w:rsidRPr="00661595" w:rsidRDefault="001B1F77" w:rsidP="00487A02">
            <w:pPr>
              <w:pStyle w:val="InstructionsText"/>
            </w:pPr>
            <w:r w:rsidRPr="00661595">
              <w:t>Article 125 CRR</w:t>
            </w:r>
          </w:p>
          <w:p w:rsidR="001B1F77" w:rsidRPr="00661595" w:rsidRDefault="001B1F77" w:rsidP="00487A02">
            <w:pPr>
              <w:pStyle w:val="InstructionsText"/>
              <w:rPr>
                <w:b/>
                <w:u w:val="single"/>
              </w:rPr>
            </w:pPr>
            <w:r w:rsidRPr="00661595">
              <w:t>Only reported in exposure class 'Secured by mortgages on immovable property'</w:t>
            </w:r>
          </w:p>
        </w:tc>
      </w:tr>
      <w:tr w:rsidR="001B1F77" w:rsidRPr="00661595" w:rsidTr="00672D2A">
        <w:tc>
          <w:tcPr>
            <w:tcW w:w="1188" w:type="dxa"/>
            <w:shd w:val="clear" w:color="auto" w:fill="auto"/>
          </w:tcPr>
          <w:p w:rsidR="001B1F77" w:rsidRPr="00661595" w:rsidRDefault="001B1F77" w:rsidP="00487A02">
            <w:pPr>
              <w:pStyle w:val="InstructionsText"/>
            </w:pPr>
            <w:r w:rsidRPr="00661595">
              <w:t>0</w:t>
            </w:r>
            <w:r w:rsidR="00FF15C6" w:rsidRPr="00661595">
              <w:t>0</w:t>
            </w:r>
            <w:r w:rsidRPr="00661595">
              <w:t>50</w:t>
            </w:r>
          </w:p>
        </w:tc>
        <w:tc>
          <w:tcPr>
            <w:tcW w:w="8701" w:type="dxa"/>
            <w:shd w:val="clear" w:color="auto" w:fill="auto"/>
          </w:tcPr>
          <w:p w:rsidR="001B1F77" w:rsidRPr="00661595" w:rsidRDefault="001B1F77"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 xml:space="preserve">of which: Exposures under the permanent partial use of the Standardised </w:t>
            </w:r>
            <w:r w:rsidR="009A4399" w:rsidRPr="00661595">
              <w:rPr>
                <w:rStyle w:val="InstructionsTabelleberschrift"/>
                <w:rFonts w:ascii="Times New Roman" w:hAnsi="Times New Roman"/>
                <w:sz w:val="24"/>
              </w:rPr>
              <w:t>approach</w:t>
            </w:r>
          </w:p>
          <w:p w:rsidR="001B1F77" w:rsidRPr="00661595" w:rsidRDefault="001B1F77" w:rsidP="00487A02">
            <w:pPr>
              <w:pStyle w:val="InstructionsText"/>
            </w:pPr>
            <w:r w:rsidRPr="00661595">
              <w:t xml:space="preserve">Exposures to which the Standardised </w:t>
            </w:r>
            <w:r w:rsidR="009A4399" w:rsidRPr="00661595">
              <w:t xml:space="preserve">approach </w:t>
            </w:r>
            <w:r w:rsidRPr="00661595">
              <w:t>has been applied in accordance with Article 150(1) CRR</w:t>
            </w:r>
          </w:p>
        </w:tc>
      </w:tr>
      <w:tr w:rsidR="001B1F77" w:rsidRPr="00661595" w:rsidTr="00672D2A">
        <w:tc>
          <w:tcPr>
            <w:tcW w:w="1188" w:type="dxa"/>
            <w:shd w:val="clear" w:color="auto" w:fill="auto"/>
          </w:tcPr>
          <w:p w:rsidR="001B1F77" w:rsidRPr="00661595" w:rsidRDefault="001B1F77" w:rsidP="00487A02">
            <w:pPr>
              <w:pStyle w:val="InstructionsText"/>
            </w:pPr>
            <w:r w:rsidRPr="00661595">
              <w:t>0</w:t>
            </w:r>
            <w:r w:rsidR="00FF15C6" w:rsidRPr="00661595">
              <w:t>0</w:t>
            </w:r>
            <w:r w:rsidRPr="00661595">
              <w:t>60</w:t>
            </w:r>
          </w:p>
        </w:tc>
        <w:tc>
          <w:tcPr>
            <w:tcW w:w="8701" w:type="dxa"/>
            <w:shd w:val="clear" w:color="auto" w:fill="auto"/>
          </w:tcPr>
          <w:p w:rsidR="001B1F77" w:rsidRPr="00661595" w:rsidRDefault="001B1F77"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of which: Exposures under the Standardised Approach with prior supervisory permission to carry out a sequential IRB implementation</w:t>
            </w:r>
          </w:p>
          <w:p w:rsidR="001B1F77" w:rsidRPr="00661595" w:rsidRDefault="001B1F77" w:rsidP="00487A02">
            <w:pPr>
              <w:pStyle w:val="InstructionsText"/>
            </w:pPr>
            <w:r w:rsidRPr="00661595">
              <w:t xml:space="preserve">Article 148(1) CRR </w:t>
            </w:r>
          </w:p>
        </w:tc>
      </w:tr>
      <w:tr w:rsidR="001B1F77" w:rsidRPr="00661595" w:rsidTr="00672D2A">
        <w:tc>
          <w:tcPr>
            <w:tcW w:w="1188" w:type="dxa"/>
          </w:tcPr>
          <w:p w:rsidR="001B1F77" w:rsidRPr="00661595" w:rsidRDefault="001B1F77" w:rsidP="00487A02">
            <w:pPr>
              <w:pStyle w:val="InstructionsText"/>
            </w:pPr>
            <w:r w:rsidRPr="00661595">
              <w:t>0</w:t>
            </w:r>
            <w:r w:rsidR="00FF15C6" w:rsidRPr="00661595">
              <w:t>0</w:t>
            </w:r>
            <w:r w:rsidRPr="00661595">
              <w:t>70-</w:t>
            </w:r>
            <w:r w:rsidR="00FF15C6" w:rsidRPr="00661595">
              <w:t>0</w:t>
            </w:r>
            <w:r w:rsidRPr="00661595">
              <w:t>130</w:t>
            </w:r>
          </w:p>
        </w:tc>
        <w:tc>
          <w:tcPr>
            <w:tcW w:w="8701" w:type="dxa"/>
          </w:tcPr>
          <w:p w:rsidR="001B1F77" w:rsidRPr="00661595" w:rsidRDefault="001B1F77"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BREAKDOWN OF TOTAL EXPOSURES BY EXPOSURE TYPES</w:t>
            </w:r>
          </w:p>
          <w:p w:rsidR="001B1F77" w:rsidRPr="00661595" w:rsidRDefault="001B1F77" w:rsidP="00487A02">
            <w:pPr>
              <w:pStyle w:val="InstructionsText"/>
            </w:pPr>
            <w:r w:rsidRPr="00661595">
              <w:t xml:space="preserve">Reporting institution´s “banking book” positions shall be broken-down, following the criteria provided below, into on-balance sheet exposures subject to credit risk, off-balance sheet exposures subject to credit risk and exposures subject to counterparty credit risk. </w:t>
            </w:r>
          </w:p>
          <w:p w:rsidR="001B1F77" w:rsidRPr="00661595" w:rsidRDefault="001B1F77" w:rsidP="00487A02">
            <w:pPr>
              <w:pStyle w:val="InstructionsText"/>
            </w:pPr>
            <w:r w:rsidRPr="00661595">
              <w:t>Exposures to counterparty credit risk arising from the trading book business of the institution as referred to in point (f) of Article 92(3) and Article 299(2) CRR shall be assigned to the exposures subject to counterparty credit risk. Institutions that apply Article 94(1) CRR also break down their “trading book” positions referred to in point (b) of Article 92(3) CRR following the criteria provided below, into on-balance sheet exposures subject to credit risk, off-balance sheet exposures subject to credit risk and exposures subject to counterparty credit risk.</w:t>
            </w:r>
          </w:p>
        </w:tc>
      </w:tr>
      <w:tr w:rsidR="001B1F77" w:rsidRPr="00661595" w:rsidTr="00672D2A">
        <w:tc>
          <w:tcPr>
            <w:tcW w:w="1188" w:type="dxa"/>
          </w:tcPr>
          <w:p w:rsidR="001B1F77" w:rsidRPr="00661595" w:rsidRDefault="00FF15C6" w:rsidP="00487A02">
            <w:pPr>
              <w:pStyle w:val="InstructionsText"/>
            </w:pPr>
            <w:r w:rsidRPr="00661595">
              <w:t>0</w:t>
            </w:r>
            <w:r w:rsidR="001B1F77" w:rsidRPr="00661595">
              <w:t>070</w:t>
            </w:r>
          </w:p>
        </w:tc>
        <w:tc>
          <w:tcPr>
            <w:tcW w:w="8701" w:type="dxa"/>
          </w:tcPr>
          <w:p w:rsidR="001B1F77" w:rsidRPr="00661595" w:rsidRDefault="001B1F77"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 xml:space="preserve">On balance sheet exposures subject to credit risk </w:t>
            </w:r>
          </w:p>
          <w:p w:rsidR="001B1F77" w:rsidRPr="00661595" w:rsidRDefault="001B1F77" w:rsidP="00487A02">
            <w:pPr>
              <w:pStyle w:val="InstructionsText"/>
            </w:pPr>
            <w:r w:rsidRPr="00661595">
              <w:t>Assets referred to in Article 24 CRR not included in any other category.</w:t>
            </w:r>
          </w:p>
          <w:p w:rsidR="001B1F77" w:rsidRPr="00661595" w:rsidRDefault="001B1F77" w:rsidP="00487A02">
            <w:pPr>
              <w:pStyle w:val="InstructionsText"/>
            </w:pPr>
            <w:r w:rsidRPr="00661595">
              <w:t xml:space="preserve">Exposures that are subject to counterparty credit risk  shall be reported in rows </w:t>
            </w:r>
            <w:r w:rsidR="00FF15C6" w:rsidRPr="00661595">
              <w:t>0</w:t>
            </w:r>
            <w:r w:rsidRPr="00661595">
              <w:t>090</w:t>
            </w:r>
            <w:r w:rsidR="0031001C" w:rsidRPr="00661595">
              <w:t>-0130</w:t>
            </w:r>
            <w:r w:rsidRPr="00661595">
              <w:t>-, and therefore shall not be reported in this row.</w:t>
            </w:r>
          </w:p>
          <w:p w:rsidR="001B1F77" w:rsidRPr="00661595" w:rsidRDefault="001B1F77" w:rsidP="00487A02">
            <w:pPr>
              <w:pStyle w:val="InstructionsText"/>
            </w:pPr>
            <w:r w:rsidRPr="00661595">
              <w:t>Free deliveries as referred to in Article 379(1) CRR (if not deducted) do not constitute an on-balance sheet item, but nevertheless shall be reported in this row.</w:t>
            </w:r>
          </w:p>
          <w:p w:rsidR="001B1F77" w:rsidRPr="00661595" w:rsidRDefault="001B1F77" w:rsidP="00487A02">
            <w:pPr>
              <w:pStyle w:val="InstructionsText"/>
            </w:pPr>
          </w:p>
        </w:tc>
      </w:tr>
      <w:tr w:rsidR="001B1F77" w:rsidRPr="00661595" w:rsidTr="00672D2A">
        <w:tc>
          <w:tcPr>
            <w:tcW w:w="1188" w:type="dxa"/>
          </w:tcPr>
          <w:p w:rsidR="001B1F77" w:rsidRPr="00661595" w:rsidRDefault="00FF15C6" w:rsidP="00487A02">
            <w:pPr>
              <w:pStyle w:val="InstructionsText"/>
            </w:pPr>
            <w:r w:rsidRPr="00661595">
              <w:t>0</w:t>
            </w:r>
            <w:r w:rsidR="001B1F77" w:rsidRPr="00661595">
              <w:t>080</w:t>
            </w:r>
          </w:p>
        </w:tc>
        <w:tc>
          <w:tcPr>
            <w:tcW w:w="8701" w:type="dxa"/>
          </w:tcPr>
          <w:p w:rsidR="001B1F77" w:rsidRPr="00661595" w:rsidRDefault="001B1F77"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Off balance sheet exposures subject to credit risk</w:t>
            </w:r>
          </w:p>
          <w:p w:rsidR="001B1F77" w:rsidRPr="00661595" w:rsidRDefault="001B1F77" w:rsidP="00487A02">
            <w:pPr>
              <w:pStyle w:val="InstructionsText"/>
            </w:pPr>
            <w:r w:rsidRPr="00661595">
              <w:t>Off-balance sheet positions comprise the items listed in Annex I CRR.</w:t>
            </w:r>
          </w:p>
          <w:p w:rsidR="001B1F77" w:rsidRPr="00661595" w:rsidRDefault="001B1F77" w:rsidP="00487A02">
            <w:pPr>
              <w:pStyle w:val="InstructionsText"/>
            </w:pPr>
            <w:r w:rsidRPr="00661595">
              <w:t>Exposures</w:t>
            </w:r>
            <w:r w:rsidR="005E59EB" w:rsidRPr="00661595">
              <w:t xml:space="preserve"> that</w:t>
            </w:r>
            <w:r w:rsidRPr="00661595">
              <w:t xml:space="preserve"> are </w:t>
            </w:r>
            <w:r w:rsidR="00E86B98" w:rsidRPr="00661595">
              <w:t>subject to counterparty credit risk shall be reported in rows 0</w:t>
            </w:r>
            <w:r w:rsidR="00FF15C6" w:rsidRPr="00661595">
              <w:t>0</w:t>
            </w:r>
            <w:r w:rsidR="00E86B98" w:rsidRPr="00661595">
              <w:t xml:space="preserve">90 – </w:t>
            </w:r>
            <w:r w:rsidR="00FF15C6" w:rsidRPr="00661595">
              <w:t>0</w:t>
            </w:r>
            <w:r w:rsidR="00E86B98" w:rsidRPr="00661595">
              <w:t xml:space="preserve">130 </w:t>
            </w:r>
            <w:r w:rsidRPr="00661595">
              <w:t>and</w:t>
            </w:r>
            <w:r w:rsidRPr="00661595">
              <w:rPr>
                <w:rFonts w:cs="Arial"/>
              </w:rPr>
              <w:t xml:space="preserve"> therefore</w:t>
            </w:r>
            <w:r w:rsidR="00E86B98" w:rsidRPr="00661595">
              <w:rPr>
                <w:rFonts w:cs="Arial"/>
              </w:rPr>
              <w:t xml:space="preserve"> shall</w:t>
            </w:r>
            <w:r w:rsidRPr="00661595">
              <w:rPr>
                <w:rFonts w:cs="Arial"/>
              </w:rPr>
              <w:t xml:space="preserve"> not be reported in this row</w:t>
            </w:r>
            <w:r w:rsidRPr="00661595">
              <w:t>.</w:t>
            </w:r>
          </w:p>
          <w:p w:rsidR="001B1F77" w:rsidRPr="00661595" w:rsidRDefault="001B1F77" w:rsidP="00487A02">
            <w:pPr>
              <w:pStyle w:val="InstructionsText"/>
            </w:pPr>
          </w:p>
        </w:tc>
      </w:tr>
      <w:tr w:rsidR="001B1F77" w:rsidRPr="00661595" w:rsidTr="00672D2A">
        <w:tc>
          <w:tcPr>
            <w:tcW w:w="1188" w:type="dxa"/>
            <w:tcBorders>
              <w:top w:val="single" w:sz="4" w:space="0" w:color="auto"/>
              <w:left w:val="single" w:sz="4" w:space="0" w:color="auto"/>
              <w:bottom w:val="single" w:sz="4" w:space="0" w:color="auto"/>
              <w:right w:val="single" w:sz="4" w:space="0" w:color="auto"/>
            </w:tcBorders>
          </w:tcPr>
          <w:p w:rsidR="001B1F77" w:rsidRPr="00661595" w:rsidRDefault="00FF15C6" w:rsidP="00487A02">
            <w:pPr>
              <w:pStyle w:val="InstructionsText"/>
            </w:pPr>
            <w:r w:rsidRPr="00661595">
              <w:t>0</w:t>
            </w:r>
            <w:r w:rsidR="001B1F77" w:rsidRPr="00661595">
              <w:t>090-</w:t>
            </w:r>
            <w:r w:rsidRPr="00661595">
              <w:t>0</w:t>
            </w:r>
            <w:r w:rsidR="001B1F77" w:rsidRPr="00661595">
              <w:t>130</w:t>
            </w:r>
          </w:p>
        </w:tc>
        <w:tc>
          <w:tcPr>
            <w:tcW w:w="8701" w:type="dxa"/>
            <w:tcBorders>
              <w:top w:val="single" w:sz="4" w:space="0" w:color="auto"/>
              <w:left w:val="single" w:sz="4" w:space="0" w:color="auto"/>
              <w:bottom w:val="single" w:sz="4" w:space="0" w:color="auto"/>
              <w:right w:val="single" w:sz="4" w:space="0" w:color="auto"/>
            </w:tcBorders>
          </w:tcPr>
          <w:p w:rsidR="001B1F77" w:rsidRPr="00661595" w:rsidRDefault="001B1F77"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Exposures / Transactions subject to counterparty credit risk</w:t>
            </w:r>
          </w:p>
          <w:p w:rsidR="00E86B98" w:rsidRPr="00661595" w:rsidRDefault="00E86B98" w:rsidP="00487A02">
            <w:pPr>
              <w:pStyle w:val="InstructionsText"/>
            </w:pPr>
            <w:r w:rsidRPr="00661595">
              <w:t>Transactions subject to counterparty credit risk, i.e. derivative instruments, repurchase transactions, securities or commodities lending or borrowing transactions, long settlement transactions and margin lending transactions.</w:t>
            </w:r>
          </w:p>
        </w:tc>
      </w:tr>
      <w:tr w:rsidR="001B1F77" w:rsidRPr="00661595" w:rsidTr="00672D2A">
        <w:tc>
          <w:tcPr>
            <w:tcW w:w="1188" w:type="dxa"/>
          </w:tcPr>
          <w:p w:rsidR="001B1F77" w:rsidRPr="00661595" w:rsidRDefault="00FF15C6" w:rsidP="00487A02">
            <w:pPr>
              <w:pStyle w:val="InstructionsText"/>
            </w:pPr>
            <w:r w:rsidRPr="00661595">
              <w:t>0</w:t>
            </w:r>
            <w:r w:rsidR="001B1F77" w:rsidRPr="00661595">
              <w:t>090</w:t>
            </w:r>
          </w:p>
        </w:tc>
        <w:tc>
          <w:tcPr>
            <w:tcW w:w="8701" w:type="dxa"/>
          </w:tcPr>
          <w:p w:rsidR="001B1F77" w:rsidRPr="00661595" w:rsidRDefault="001B1F77" w:rsidP="00487A02">
            <w:pPr>
              <w:pStyle w:val="InstructionsText"/>
            </w:pPr>
            <w:r w:rsidRPr="00661595">
              <w:rPr>
                <w:rStyle w:val="InstructionsTabelleberschrift"/>
                <w:rFonts w:ascii="Times New Roman" w:hAnsi="Times New Roman"/>
                <w:sz w:val="24"/>
              </w:rPr>
              <w:t xml:space="preserve">Securities Financing Transactions </w:t>
            </w:r>
            <w:r w:rsidR="004D45AA" w:rsidRPr="00661595">
              <w:rPr>
                <w:rStyle w:val="InstructionsTabelleberschrift"/>
                <w:rFonts w:ascii="Times New Roman" w:hAnsi="Times New Roman"/>
                <w:sz w:val="24"/>
              </w:rPr>
              <w:t>netting sets</w:t>
            </w:r>
          </w:p>
          <w:p w:rsidR="00E86B98" w:rsidRPr="00661595" w:rsidRDefault="00E86B98" w:rsidP="00487A02">
            <w:pPr>
              <w:pStyle w:val="InstructionsText"/>
            </w:pPr>
            <w:r w:rsidRPr="00661595">
              <w:t xml:space="preserve">Netting sets containing only SFTs, as defined in </w:t>
            </w:r>
            <w:r w:rsidR="009265F9" w:rsidRPr="00661595">
              <w:t xml:space="preserve">point (139) of </w:t>
            </w:r>
            <w:r w:rsidRPr="00661595">
              <w:t>Article 4(1) CRR.</w:t>
            </w:r>
          </w:p>
          <w:p w:rsidR="00E86B98" w:rsidRPr="00661595" w:rsidRDefault="00E86B98" w:rsidP="00487A02">
            <w:pPr>
              <w:pStyle w:val="InstructionsText"/>
            </w:pPr>
            <w:r w:rsidRPr="00661595">
              <w:t>SFTs</w:t>
            </w:r>
            <w:r w:rsidR="00A700A3" w:rsidRPr="00661595">
              <w:t xml:space="preserve"> that</w:t>
            </w:r>
            <w:r w:rsidRPr="00661595">
              <w:t xml:space="preserve"> are included in a contractual cross product netting set and therefore reported in row </w:t>
            </w:r>
            <w:r w:rsidR="00FF15C6" w:rsidRPr="00661595">
              <w:t>0</w:t>
            </w:r>
            <w:r w:rsidRPr="00661595">
              <w:t>130 shall not be reported in this row.</w:t>
            </w:r>
          </w:p>
          <w:p w:rsidR="001B1F77" w:rsidRPr="00661595" w:rsidRDefault="001B1F77" w:rsidP="00487A02">
            <w:pPr>
              <w:pStyle w:val="InstructionsText"/>
            </w:pPr>
          </w:p>
        </w:tc>
      </w:tr>
      <w:tr w:rsidR="001B1F77" w:rsidRPr="00661595" w:rsidTr="00672D2A">
        <w:tc>
          <w:tcPr>
            <w:tcW w:w="1188" w:type="dxa"/>
          </w:tcPr>
          <w:p w:rsidR="001B1F77" w:rsidRPr="00661595" w:rsidRDefault="00FF15C6" w:rsidP="00487A02">
            <w:pPr>
              <w:pStyle w:val="InstructionsText"/>
            </w:pPr>
            <w:r w:rsidRPr="00661595">
              <w:t>0</w:t>
            </w:r>
            <w:r w:rsidR="001B1F77" w:rsidRPr="00661595">
              <w:t>100</w:t>
            </w:r>
          </w:p>
        </w:tc>
        <w:tc>
          <w:tcPr>
            <w:tcW w:w="8701" w:type="dxa"/>
          </w:tcPr>
          <w:p w:rsidR="001B1F77" w:rsidRPr="00661595" w:rsidRDefault="001B1F77"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Of which: centrally cleared through a QCCP</w:t>
            </w:r>
          </w:p>
          <w:p w:rsidR="00E86B98" w:rsidRPr="00661595" w:rsidRDefault="00E86B98" w:rsidP="00487A02">
            <w:pPr>
              <w:pStyle w:val="InstructionsText"/>
            </w:pPr>
            <w:r w:rsidRPr="00661595">
              <w:t>Contracts and transactions listed in Article 301(1)</w:t>
            </w:r>
            <w:r w:rsidR="0044539D" w:rsidRPr="00661595">
              <w:t xml:space="preserve"> </w:t>
            </w:r>
            <w:r w:rsidRPr="00661595">
              <w:t xml:space="preserve">CRR as long as they are outstanding with a qualifying central counterparty (QCCP) as defined in </w:t>
            </w:r>
            <w:r w:rsidR="009265F9" w:rsidRPr="00661595">
              <w:t xml:space="preserve">point (88) of </w:t>
            </w:r>
            <w:r w:rsidRPr="00661595">
              <w:t>Article 4</w:t>
            </w:r>
            <w:r w:rsidR="009265F9" w:rsidRPr="00661595">
              <w:t>(1</w:t>
            </w:r>
            <w:r w:rsidRPr="00661595">
              <w:t xml:space="preserve">) CRR, including QCCP-related transactions, for which the risk weighted exposure amounts are calculated in accordance with </w:t>
            </w:r>
            <w:r w:rsidR="00DA0BDB" w:rsidRPr="00661595">
              <w:t>S</w:t>
            </w:r>
            <w:r w:rsidR="0044539D" w:rsidRPr="00661595">
              <w:t xml:space="preserve">ection 9 of Chapter 6 of Title II of Part Three </w:t>
            </w:r>
            <w:r w:rsidRPr="00661595">
              <w:t>CRR. QCCP-related transaction has the same meaning as CCP-rel</w:t>
            </w:r>
            <w:r w:rsidR="009265F9" w:rsidRPr="00661595">
              <w:t>ated transaction in Article 300</w:t>
            </w:r>
            <w:r w:rsidRPr="00661595">
              <w:t>(2) CRR, when the CCP is a QCCP.</w:t>
            </w:r>
          </w:p>
          <w:p w:rsidR="001B1F77" w:rsidRPr="00661595" w:rsidRDefault="001B1F77" w:rsidP="00487A02">
            <w:pPr>
              <w:pStyle w:val="InstructionsText"/>
            </w:pPr>
          </w:p>
        </w:tc>
      </w:tr>
      <w:tr w:rsidR="001B1F77" w:rsidRPr="00661595" w:rsidTr="00672D2A">
        <w:tc>
          <w:tcPr>
            <w:tcW w:w="1188" w:type="dxa"/>
          </w:tcPr>
          <w:p w:rsidR="001B1F77" w:rsidRPr="00661595" w:rsidRDefault="00FF15C6" w:rsidP="00487A02">
            <w:pPr>
              <w:pStyle w:val="InstructionsText"/>
            </w:pPr>
            <w:r w:rsidRPr="00661595">
              <w:t>0</w:t>
            </w:r>
            <w:r w:rsidR="001B1F77" w:rsidRPr="00661595">
              <w:t>110</w:t>
            </w:r>
          </w:p>
        </w:tc>
        <w:tc>
          <w:tcPr>
            <w:tcW w:w="8701" w:type="dxa"/>
          </w:tcPr>
          <w:p w:rsidR="001B1F77" w:rsidRPr="00661595" w:rsidRDefault="001B1F77"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 xml:space="preserve">Derivatives and Long Settlement Transactions </w:t>
            </w:r>
            <w:r w:rsidR="004D45AA" w:rsidRPr="00661595">
              <w:rPr>
                <w:rStyle w:val="InstructionsTabelleberschrift"/>
                <w:rFonts w:ascii="Times New Roman" w:hAnsi="Times New Roman"/>
                <w:sz w:val="24"/>
              </w:rPr>
              <w:t>netting sets</w:t>
            </w:r>
          </w:p>
          <w:p w:rsidR="00E86B98" w:rsidRPr="00661595" w:rsidRDefault="00E86B98" w:rsidP="00487A02">
            <w:pPr>
              <w:pStyle w:val="InstructionsText"/>
            </w:pPr>
            <w:r w:rsidRPr="00661595">
              <w:t xml:space="preserve">Netting sets containing only derivatives </w:t>
            </w:r>
            <w:r w:rsidR="0044539D" w:rsidRPr="00661595">
              <w:t xml:space="preserve">listed in Annex II </w:t>
            </w:r>
            <w:r w:rsidRPr="00661595">
              <w:t xml:space="preserve">CRR and long settlement transactions </w:t>
            </w:r>
            <w:r w:rsidR="009265F9" w:rsidRPr="00661595">
              <w:t>as defined in Article 272</w:t>
            </w:r>
            <w:r w:rsidR="0044539D" w:rsidRPr="00661595">
              <w:t xml:space="preserve">(2) </w:t>
            </w:r>
            <w:r w:rsidRPr="00661595">
              <w:t>CRR.</w:t>
            </w:r>
          </w:p>
          <w:p w:rsidR="001B1F77" w:rsidRPr="00661595" w:rsidRDefault="001B1F77" w:rsidP="00487A02">
            <w:pPr>
              <w:pStyle w:val="InstructionsText"/>
            </w:pPr>
            <w:r w:rsidRPr="00661595">
              <w:t>Derivatives and Long Settlement Transactions</w:t>
            </w:r>
            <w:r w:rsidR="00A700A3" w:rsidRPr="00661595">
              <w:t xml:space="preserve"> that</w:t>
            </w:r>
            <w:r w:rsidRPr="00661595">
              <w:t xml:space="preserve"> are included in a </w:t>
            </w:r>
            <w:r w:rsidR="00E86B98" w:rsidRPr="00661595">
              <w:t xml:space="preserve">contractual </w:t>
            </w:r>
            <w:r w:rsidRPr="00661595">
              <w:t xml:space="preserve">Cross Product Netting </w:t>
            </w:r>
            <w:r w:rsidR="00E86B98" w:rsidRPr="00661595">
              <w:t xml:space="preserve">set </w:t>
            </w:r>
            <w:r w:rsidRPr="00661595">
              <w:t xml:space="preserve">and therefore reported in row </w:t>
            </w:r>
            <w:r w:rsidR="00FF15C6" w:rsidRPr="00661595">
              <w:t>0</w:t>
            </w:r>
            <w:r w:rsidRPr="00661595">
              <w:t>130, shall not be reported in this row.</w:t>
            </w:r>
          </w:p>
        </w:tc>
      </w:tr>
      <w:tr w:rsidR="001B1F77" w:rsidRPr="00661595" w:rsidTr="00672D2A">
        <w:tc>
          <w:tcPr>
            <w:tcW w:w="1188" w:type="dxa"/>
          </w:tcPr>
          <w:p w:rsidR="001B1F77" w:rsidRPr="00661595" w:rsidRDefault="00FF15C6" w:rsidP="00487A02">
            <w:pPr>
              <w:pStyle w:val="InstructionsText"/>
            </w:pPr>
            <w:r w:rsidRPr="00661595">
              <w:t>0</w:t>
            </w:r>
            <w:r w:rsidR="001B1F77" w:rsidRPr="00661595">
              <w:t>120</w:t>
            </w:r>
          </w:p>
        </w:tc>
        <w:tc>
          <w:tcPr>
            <w:tcW w:w="8701" w:type="dxa"/>
          </w:tcPr>
          <w:p w:rsidR="001B1F77" w:rsidRPr="00661595" w:rsidRDefault="001B1F77" w:rsidP="00487A02">
            <w:pPr>
              <w:pStyle w:val="InstructionsText"/>
            </w:pPr>
            <w:r w:rsidRPr="00661595">
              <w:rPr>
                <w:rStyle w:val="InstructionsTabelleberschrift"/>
                <w:rFonts w:ascii="Times New Roman" w:hAnsi="Times New Roman"/>
                <w:sz w:val="24"/>
              </w:rPr>
              <w:t>Of which: centrally cleared through a QCCP</w:t>
            </w:r>
          </w:p>
          <w:p w:rsidR="00E86B98" w:rsidRPr="00661595" w:rsidRDefault="00E86B98" w:rsidP="00487A02">
            <w:pPr>
              <w:pStyle w:val="InstructionsText"/>
            </w:pPr>
            <w:r w:rsidRPr="00661595">
              <w:t xml:space="preserve">See instructions to row </w:t>
            </w:r>
            <w:r w:rsidR="00FF15C6" w:rsidRPr="00661595">
              <w:t>0</w:t>
            </w:r>
            <w:r w:rsidRPr="00661595">
              <w:t>100.</w:t>
            </w:r>
          </w:p>
          <w:p w:rsidR="001B1F77" w:rsidRPr="00661595" w:rsidRDefault="001B1F77" w:rsidP="00487A02">
            <w:pPr>
              <w:pStyle w:val="InstructionsText"/>
            </w:pPr>
          </w:p>
        </w:tc>
      </w:tr>
      <w:tr w:rsidR="001B1F77" w:rsidRPr="00661595" w:rsidTr="00672D2A">
        <w:tc>
          <w:tcPr>
            <w:tcW w:w="1188" w:type="dxa"/>
          </w:tcPr>
          <w:p w:rsidR="001B1F77" w:rsidRPr="00661595" w:rsidRDefault="00FF15C6" w:rsidP="00487A02">
            <w:pPr>
              <w:pStyle w:val="InstructionsText"/>
            </w:pPr>
            <w:r w:rsidRPr="00661595">
              <w:t>0</w:t>
            </w:r>
            <w:r w:rsidR="001B1F77" w:rsidRPr="00661595">
              <w:t>130</w:t>
            </w:r>
          </w:p>
        </w:tc>
        <w:tc>
          <w:tcPr>
            <w:tcW w:w="8701" w:type="dxa"/>
          </w:tcPr>
          <w:p w:rsidR="001B1F77" w:rsidRPr="00661595" w:rsidRDefault="001B1F77"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 xml:space="preserve">From Contractual Cross Product </w:t>
            </w:r>
            <w:r w:rsidR="004D45AA" w:rsidRPr="00661595">
              <w:rPr>
                <w:rStyle w:val="InstructionsTabelleberschrift"/>
                <w:rFonts w:ascii="Times New Roman" w:hAnsi="Times New Roman"/>
                <w:sz w:val="24"/>
              </w:rPr>
              <w:t>netting sets</w:t>
            </w:r>
          </w:p>
          <w:p w:rsidR="00E86B98" w:rsidRPr="00661595" w:rsidRDefault="00E86B98" w:rsidP="00487A02">
            <w:pPr>
              <w:pStyle w:val="InstructionsText"/>
            </w:pPr>
            <w:r w:rsidRPr="00661595">
              <w:t xml:space="preserve">Netting sets containing transactions of different </w:t>
            </w:r>
            <w:r w:rsidR="009265F9" w:rsidRPr="00661595">
              <w:t>product categories (Article 272</w:t>
            </w:r>
            <w:r w:rsidRPr="00661595">
              <w:t>(11) CRR), i.e. derivatives and SFTs, for which a contractual cross product netting agreement as defined in Article 272(25) CRR exists.</w:t>
            </w:r>
          </w:p>
          <w:p w:rsidR="001B1F77" w:rsidRPr="00661595" w:rsidRDefault="001B1F77" w:rsidP="00487A02">
            <w:pPr>
              <w:pStyle w:val="InstructionsText"/>
            </w:pPr>
          </w:p>
        </w:tc>
      </w:tr>
      <w:tr w:rsidR="001B1F77" w:rsidRPr="00661595" w:rsidTr="00672D2A">
        <w:tc>
          <w:tcPr>
            <w:tcW w:w="1188" w:type="dxa"/>
          </w:tcPr>
          <w:p w:rsidR="001B1F77" w:rsidRPr="00661595" w:rsidRDefault="00FF15C6" w:rsidP="00487A02">
            <w:pPr>
              <w:pStyle w:val="InstructionsText"/>
            </w:pPr>
            <w:r w:rsidRPr="00661595">
              <w:t>0</w:t>
            </w:r>
            <w:r w:rsidR="001B1F77" w:rsidRPr="00661595">
              <w:t>140-</w:t>
            </w:r>
            <w:r w:rsidRPr="00661595">
              <w:t>0</w:t>
            </w:r>
            <w:r w:rsidR="001B1F77" w:rsidRPr="00661595">
              <w:t>280</w:t>
            </w:r>
          </w:p>
        </w:tc>
        <w:tc>
          <w:tcPr>
            <w:tcW w:w="8701" w:type="dxa"/>
          </w:tcPr>
          <w:p w:rsidR="001B1F77" w:rsidRPr="00661595" w:rsidRDefault="001B1F77"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BREAKDOWN OF EXPOSURES BY RISK WEIGHTS</w:t>
            </w:r>
          </w:p>
          <w:p w:rsidR="001B1F77" w:rsidRPr="00661595" w:rsidRDefault="001B1F77" w:rsidP="00487A02">
            <w:pPr>
              <w:pStyle w:val="InstructionsText"/>
            </w:pPr>
          </w:p>
        </w:tc>
      </w:tr>
      <w:tr w:rsidR="001B1F77" w:rsidRPr="00661595" w:rsidTr="00672D2A">
        <w:tc>
          <w:tcPr>
            <w:tcW w:w="1188" w:type="dxa"/>
            <w:shd w:val="clear" w:color="auto" w:fill="auto"/>
          </w:tcPr>
          <w:p w:rsidR="001B1F77" w:rsidRPr="00661595" w:rsidRDefault="00FF15C6" w:rsidP="00487A02">
            <w:pPr>
              <w:pStyle w:val="InstructionsText"/>
            </w:pPr>
            <w:r w:rsidRPr="00661595">
              <w:t>0</w:t>
            </w:r>
            <w:r w:rsidR="001B1F77" w:rsidRPr="00661595">
              <w:t>140</w:t>
            </w:r>
          </w:p>
        </w:tc>
        <w:tc>
          <w:tcPr>
            <w:tcW w:w="8701" w:type="dxa"/>
            <w:shd w:val="clear" w:color="auto" w:fill="auto"/>
          </w:tcPr>
          <w:p w:rsidR="001B1F77" w:rsidRPr="00661595" w:rsidRDefault="001B1F77"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0 %</w:t>
            </w:r>
          </w:p>
          <w:p w:rsidR="001B1F77" w:rsidRPr="00661595" w:rsidRDefault="001B1F77" w:rsidP="00487A02">
            <w:pPr>
              <w:pStyle w:val="InstructionsText"/>
            </w:pPr>
          </w:p>
        </w:tc>
      </w:tr>
      <w:tr w:rsidR="001B1F77" w:rsidRPr="00661595" w:rsidTr="00672D2A">
        <w:tc>
          <w:tcPr>
            <w:tcW w:w="1188" w:type="dxa"/>
            <w:shd w:val="clear" w:color="auto" w:fill="auto"/>
          </w:tcPr>
          <w:p w:rsidR="001B1F77" w:rsidRPr="00661595" w:rsidRDefault="00FF15C6" w:rsidP="00487A02">
            <w:pPr>
              <w:pStyle w:val="InstructionsText"/>
            </w:pPr>
            <w:r w:rsidRPr="00661595">
              <w:t>0</w:t>
            </w:r>
            <w:r w:rsidR="001B1F77" w:rsidRPr="00661595">
              <w:t>150</w:t>
            </w:r>
          </w:p>
        </w:tc>
        <w:tc>
          <w:tcPr>
            <w:tcW w:w="8701" w:type="dxa"/>
            <w:shd w:val="clear" w:color="auto" w:fill="auto"/>
          </w:tcPr>
          <w:p w:rsidR="001B1F77" w:rsidRPr="00661595" w:rsidRDefault="001B1F77"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2 %</w:t>
            </w:r>
          </w:p>
          <w:p w:rsidR="001B1F77" w:rsidRPr="00661595" w:rsidRDefault="001B1F77" w:rsidP="00487A02">
            <w:pPr>
              <w:pStyle w:val="InstructionsText"/>
              <w:rPr>
                <w:b/>
              </w:rPr>
            </w:pPr>
            <w:r w:rsidRPr="00661595">
              <w:t>Article 306(1) CRR</w:t>
            </w:r>
          </w:p>
        </w:tc>
      </w:tr>
      <w:tr w:rsidR="001B1F77" w:rsidRPr="00661595" w:rsidTr="00672D2A">
        <w:tc>
          <w:tcPr>
            <w:tcW w:w="1188" w:type="dxa"/>
            <w:shd w:val="clear" w:color="auto" w:fill="auto"/>
          </w:tcPr>
          <w:p w:rsidR="001B1F77" w:rsidRPr="00661595" w:rsidRDefault="00FF15C6" w:rsidP="00487A02">
            <w:pPr>
              <w:pStyle w:val="InstructionsText"/>
            </w:pPr>
            <w:r w:rsidRPr="00661595">
              <w:t>0</w:t>
            </w:r>
            <w:r w:rsidR="001B1F77" w:rsidRPr="00661595">
              <w:t>160</w:t>
            </w:r>
          </w:p>
        </w:tc>
        <w:tc>
          <w:tcPr>
            <w:tcW w:w="8701" w:type="dxa"/>
            <w:shd w:val="clear" w:color="auto" w:fill="auto"/>
          </w:tcPr>
          <w:p w:rsidR="001B1F77" w:rsidRPr="00661595" w:rsidRDefault="001B1F77"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4 %</w:t>
            </w:r>
          </w:p>
          <w:p w:rsidR="001B1F77" w:rsidRPr="00661595" w:rsidRDefault="001B1F77" w:rsidP="00487A02">
            <w:pPr>
              <w:pStyle w:val="InstructionsText"/>
              <w:rPr>
                <w:b/>
                <w:u w:val="single"/>
              </w:rPr>
            </w:pPr>
            <w:r w:rsidRPr="00661595">
              <w:t>Article 305(3) CRR</w:t>
            </w:r>
          </w:p>
        </w:tc>
      </w:tr>
      <w:tr w:rsidR="001B1F77" w:rsidRPr="00661595" w:rsidTr="00672D2A">
        <w:tc>
          <w:tcPr>
            <w:tcW w:w="1188" w:type="dxa"/>
            <w:shd w:val="clear" w:color="auto" w:fill="auto"/>
          </w:tcPr>
          <w:p w:rsidR="001B1F77" w:rsidRPr="00661595" w:rsidRDefault="00FF15C6" w:rsidP="00487A02">
            <w:pPr>
              <w:pStyle w:val="InstructionsText"/>
            </w:pPr>
            <w:r w:rsidRPr="00661595">
              <w:t>0</w:t>
            </w:r>
            <w:r w:rsidR="001B1F77" w:rsidRPr="00661595">
              <w:t>170</w:t>
            </w:r>
          </w:p>
        </w:tc>
        <w:tc>
          <w:tcPr>
            <w:tcW w:w="8701" w:type="dxa"/>
            <w:shd w:val="clear" w:color="auto" w:fill="auto"/>
          </w:tcPr>
          <w:p w:rsidR="001B1F77" w:rsidRPr="00661595" w:rsidRDefault="001B1F77"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10 %</w:t>
            </w:r>
          </w:p>
          <w:p w:rsidR="001B1F77" w:rsidRPr="00661595" w:rsidRDefault="001B1F77" w:rsidP="00487A02">
            <w:pPr>
              <w:pStyle w:val="InstructionsText"/>
            </w:pPr>
          </w:p>
        </w:tc>
      </w:tr>
      <w:tr w:rsidR="001B1F77" w:rsidRPr="00661595" w:rsidTr="00672D2A">
        <w:tc>
          <w:tcPr>
            <w:tcW w:w="1188" w:type="dxa"/>
            <w:shd w:val="clear" w:color="auto" w:fill="auto"/>
          </w:tcPr>
          <w:p w:rsidR="001B1F77" w:rsidRPr="00661595" w:rsidRDefault="00FF15C6" w:rsidP="00487A02">
            <w:pPr>
              <w:pStyle w:val="InstructionsText"/>
            </w:pPr>
            <w:r w:rsidRPr="00661595">
              <w:t>0</w:t>
            </w:r>
            <w:r w:rsidR="001B1F77" w:rsidRPr="00661595">
              <w:t>180</w:t>
            </w:r>
          </w:p>
        </w:tc>
        <w:tc>
          <w:tcPr>
            <w:tcW w:w="8701" w:type="dxa"/>
            <w:shd w:val="clear" w:color="auto" w:fill="auto"/>
          </w:tcPr>
          <w:p w:rsidR="001B1F77" w:rsidRPr="00661595" w:rsidRDefault="001B1F77"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20 %</w:t>
            </w:r>
          </w:p>
          <w:p w:rsidR="001B1F77" w:rsidRPr="00661595" w:rsidRDefault="001B1F77" w:rsidP="00487A02">
            <w:pPr>
              <w:pStyle w:val="InstructionsText"/>
            </w:pPr>
          </w:p>
        </w:tc>
      </w:tr>
      <w:tr w:rsidR="001B1F77" w:rsidRPr="00661595" w:rsidTr="00672D2A">
        <w:tc>
          <w:tcPr>
            <w:tcW w:w="1188" w:type="dxa"/>
            <w:shd w:val="clear" w:color="auto" w:fill="auto"/>
          </w:tcPr>
          <w:p w:rsidR="001B1F77" w:rsidRPr="00661595" w:rsidRDefault="00FF15C6" w:rsidP="00487A02">
            <w:pPr>
              <w:pStyle w:val="InstructionsText"/>
            </w:pPr>
            <w:r w:rsidRPr="00661595">
              <w:t>0</w:t>
            </w:r>
            <w:r w:rsidR="001B1F77" w:rsidRPr="00661595">
              <w:t>190</w:t>
            </w:r>
          </w:p>
        </w:tc>
        <w:tc>
          <w:tcPr>
            <w:tcW w:w="8701" w:type="dxa"/>
            <w:shd w:val="clear" w:color="auto" w:fill="auto"/>
          </w:tcPr>
          <w:p w:rsidR="001B1F77" w:rsidRPr="00661595" w:rsidRDefault="001B1F77"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35 %</w:t>
            </w:r>
          </w:p>
          <w:p w:rsidR="001B1F77" w:rsidRPr="00661595" w:rsidRDefault="001B1F77" w:rsidP="00487A02">
            <w:pPr>
              <w:pStyle w:val="InstructionsText"/>
            </w:pPr>
          </w:p>
        </w:tc>
      </w:tr>
      <w:tr w:rsidR="001B1F77" w:rsidRPr="00661595" w:rsidTr="00672D2A">
        <w:tc>
          <w:tcPr>
            <w:tcW w:w="1188" w:type="dxa"/>
            <w:shd w:val="clear" w:color="auto" w:fill="auto"/>
          </w:tcPr>
          <w:p w:rsidR="001B1F77" w:rsidRPr="00661595" w:rsidRDefault="00FF15C6" w:rsidP="00487A02">
            <w:pPr>
              <w:pStyle w:val="InstructionsText"/>
            </w:pPr>
            <w:r w:rsidRPr="00661595">
              <w:t>0</w:t>
            </w:r>
            <w:r w:rsidR="001B1F77" w:rsidRPr="00661595">
              <w:t>200</w:t>
            </w:r>
          </w:p>
        </w:tc>
        <w:tc>
          <w:tcPr>
            <w:tcW w:w="8701" w:type="dxa"/>
            <w:shd w:val="clear" w:color="auto" w:fill="auto"/>
          </w:tcPr>
          <w:p w:rsidR="001B1F77" w:rsidRPr="00661595" w:rsidRDefault="001B1F77"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50 %</w:t>
            </w:r>
          </w:p>
          <w:p w:rsidR="001B1F77" w:rsidRPr="00661595" w:rsidRDefault="001B1F77" w:rsidP="00487A02">
            <w:pPr>
              <w:pStyle w:val="InstructionsText"/>
            </w:pPr>
          </w:p>
        </w:tc>
      </w:tr>
      <w:tr w:rsidR="001B1F77" w:rsidRPr="00661595" w:rsidTr="00672D2A">
        <w:tc>
          <w:tcPr>
            <w:tcW w:w="1188" w:type="dxa"/>
            <w:shd w:val="clear" w:color="auto" w:fill="auto"/>
          </w:tcPr>
          <w:p w:rsidR="001B1F77" w:rsidRPr="00661595" w:rsidRDefault="00FF15C6" w:rsidP="00487A02">
            <w:pPr>
              <w:pStyle w:val="InstructionsText"/>
            </w:pPr>
            <w:r w:rsidRPr="00661595">
              <w:t>0</w:t>
            </w:r>
            <w:r w:rsidR="001B1F77" w:rsidRPr="00661595">
              <w:t>210</w:t>
            </w:r>
          </w:p>
        </w:tc>
        <w:tc>
          <w:tcPr>
            <w:tcW w:w="8701" w:type="dxa"/>
            <w:shd w:val="clear" w:color="auto" w:fill="auto"/>
          </w:tcPr>
          <w:p w:rsidR="001B1F77" w:rsidRPr="00661595" w:rsidRDefault="001B1F77"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70%</w:t>
            </w:r>
          </w:p>
          <w:p w:rsidR="001B1F77" w:rsidRPr="00661595" w:rsidRDefault="001B1F77" w:rsidP="00487A02">
            <w:pPr>
              <w:pStyle w:val="InstructionsText"/>
            </w:pPr>
            <w:r w:rsidRPr="00661595">
              <w:t>Point (c) of Article 232(3) CRR.</w:t>
            </w:r>
          </w:p>
        </w:tc>
      </w:tr>
      <w:tr w:rsidR="001B1F77" w:rsidRPr="00661595" w:rsidTr="00672D2A">
        <w:tc>
          <w:tcPr>
            <w:tcW w:w="1188" w:type="dxa"/>
            <w:shd w:val="clear" w:color="auto" w:fill="auto"/>
          </w:tcPr>
          <w:p w:rsidR="001B1F77" w:rsidRPr="00661595" w:rsidRDefault="00FF15C6" w:rsidP="00487A02">
            <w:pPr>
              <w:pStyle w:val="InstructionsText"/>
            </w:pPr>
            <w:r w:rsidRPr="00661595">
              <w:t>0</w:t>
            </w:r>
            <w:r w:rsidR="001B1F77" w:rsidRPr="00661595">
              <w:t>220</w:t>
            </w:r>
          </w:p>
        </w:tc>
        <w:tc>
          <w:tcPr>
            <w:tcW w:w="8701" w:type="dxa"/>
            <w:shd w:val="clear" w:color="auto" w:fill="auto"/>
          </w:tcPr>
          <w:p w:rsidR="001B1F77" w:rsidRPr="00661595" w:rsidRDefault="001B1F77"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75 %</w:t>
            </w:r>
          </w:p>
          <w:p w:rsidR="001B1F77" w:rsidRPr="00661595" w:rsidRDefault="001B1F77" w:rsidP="00487A02">
            <w:pPr>
              <w:pStyle w:val="InstructionsText"/>
            </w:pPr>
          </w:p>
        </w:tc>
      </w:tr>
      <w:tr w:rsidR="001B1F77" w:rsidRPr="00661595" w:rsidTr="00672D2A">
        <w:tc>
          <w:tcPr>
            <w:tcW w:w="1188" w:type="dxa"/>
            <w:shd w:val="clear" w:color="auto" w:fill="auto"/>
          </w:tcPr>
          <w:p w:rsidR="001B1F77" w:rsidRPr="00661595" w:rsidRDefault="00FF15C6" w:rsidP="00487A02">
            <w:pPr>
              <w:pStyle w:val="InstructionsText"/>
            </w:pPr>
            <w:r w:rsidRPr="00661595">
              <w:t>0</w:t>
            </w:r>
            <w:r w:rsidR="001B1F77" w:rsidRPr="00661595">
              <w:t>230</w:t>
            </w:r>
          </w:p>
        </w:tc>
        <w:tc>
          <w:tcPr>
            <w:tcW w:w="8701" w:type="dxa"/>
            <w:shd w:val="clear" w:color="auto" w:fill="auto"/>
          </w:tcPr>
          <w:p w:rsidR="001B1F77" w:rsidRPr="00661595" w:rsidRDefault="001B1F77"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100 %</w:t>
            </w:r>
          </w:p>
          <w:p w:rsidR="001B1F77" w:rsidRPr="00661595" w:rsidRDefault="001B1F77" w:rsidP="00487A02">
            <w:pPr>
              <w:pStyle w:val="InstructionsText"/>
            </w:pPr>
          </w:p>
        </w:tc>
      </w:tr>
      <w:tr w:rsidR="001B1F77" w:rsidRPr="00661595" w:rsidTr="00672D2A">
        <w:tc>
          <w:tcPr>
            <w:tcW w:w="1188" w:type="dxa"/>
            <w:shd w:val="clear" w:color="auto" w:fill="auto"/>
          </w:tcPr>
          <w:p w:rsidR="001B1F77" w:rsidRPr="00661595" w:rsidRDefault="00FF15C6" w:rsidP="00487A02">
            <w:pPr>
              <w:pStyle w:val="InstructionsText"/>
            </w:pPr>
            <w:r w:rsidRPr="00661595">
              <w:t>0</w:t>
            </w:r>
            <w:r w:rsidR="001B1F77" w:rsidRPr="00661595">
              <w:t>240</w:t>
            </w:r>
          </w:p>
        </w:tc>
        <w:tc>
          <w:tcPr>
            <w:tcW w:w="8701" w:type="dxa"/>
            <w:shd w:val="clear" w:color="auto" w:fill="auto"/>
          </w:tcPr>
          <w:p w:rsidR="001B1F77" w:rsidRPr="00661595" w:rsidRDefault="001B1F77"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150 %</w:t>
            </w:r>
          </w:p>
          <w:p w:rsidR="001B1F77" w:rsidRPr="00661595" w:rsidRDefault="001B1F77" w:rsidP="00487A02">
            <w:pPr>
              <w:pStyle w:val="InstructionsText"/>
            </w:pPr>
          </w:p>
        </w:tc>
      </w:tr>
      <w:tr w:rsidR="001B1F77" w:rsidRPr="00661595" w:rsidTr="00672D2A">
        <w:tc>
          <w:tcPr>
            <w:tcW w:w="1188" w:type="dxa"/>
            <w:shd w:val="clear" w:color="auto" w:fill="auto"/>
          </w:tcPr>
          <w:p w:rsidR="001B1F77" w:rsidRPr="00661595" w:rsidRDefault="00FF15C6" w:rsidP="00487A02">
            <w:pPr>
              <w:pStyle w:val="InstructionsText"/>
            </w:pPr>
            <w:r w:rsidRPr="00661595">
              <w:t>0</w:t>
            </w:r>
            <w:r w:rsidR="001B1F77" w:rsidRPr="00661595">
              <w:t>250</w:t>
            </w:r>
          </w:p>
        </w:tc>
        <w:tc>
          <w:tcPr>
            <w:tcW w:w="8701" w:type="dxa"/>
            <w:shd w:val="clear" w:color="auto" w:fill="auto"/>
          </w:tcPr>
          <w:p w:rsidR="001B1F77" w:rsidRPr="00661595" w:rsidRDefault="001B1F77"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250 %</w:t>
            </w:r>
          </w:p>
          <w:p w:rsidR="001B1F77" w:rsidRPr="00661595" w:rsidRDefault="001B1F77" w:rsidP="00487A02">
            <w:pPr>
              <w:pStyle w:val="InstructionsText"/>
            </w:pPr>
            <w:r w:rsidRPr="00661595">
              <w:t>Articles 133(2) and 48(4) CRR</w:t>
            </w:r>
          </w:p>
        </w:tc>
      </w:tr>
      <w:tr w:rsidR="001B1F77" w:rsidRPr="00661595" w:rsidTr="00672D2A">
        <w:tc>
          <w:tcPr>
            <w:tcW w:w="1188" w:type="dxa"/>
            <w:shd w:val="clear" w:color="auto" w:fill="auto"/>
          </w:tcPr>
          <w:p w:rsidR="001B1F77" w:rsidRPr="00661595" w:rsidRDefault="00FF15C6" w:rsidP="00487A02">
            <w:pPr>
              <w:pStyle w:val="InstructionsText"/>
            </w:pPr>
            <w:r w:rsidRPr="00661595">
              <w:t>0</w:t>
            </w:r>
            <w:r w:rsidR="001B1F77" w:rsidRPr="00661595">
              <w:t>260</w:t>
            </w:r>
          </w:p>
        </w:tc>
        <w:tc>
          <w:tcPr>
            <w:tcW w:w="8701" w:type="dxa"/>
            <w:shd w:val="clear" w:color="auto" w:fill="auto"/>
          </w:tcPr>
          <w:p w:rsidR="001B1F77" w:rsidRPr="00661595" w:rsidRDefault="001B1F77"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370 %</w:t>
            </w:r>
          </w:p>
          <w:p w:rsidR="001B1F77" w:rsidRPr="00661595" w:rsidRDefault="001B1F77" w:rsidP="00487A02">
            <w:pPr>
              <w:pStyle w:val="InstructionsText"/>
              <w:rPr>
                <w:b/>
                <w:u w:val="single"/>
              </w:rPr>
            </w:pPr>
            <w:r w:rsidRPr="00661595">
              <w:t>Article 471 CRR</w:t>
            </w:r>
          </w:p>
        </w:tc>
      </w:tr>
      <w:tr w:rsidR="001B1F77" w:rsidRPr="00661595" w:rsidTr="00672D2A">
        <w:tc>
          <w:tcPr>
            <w:tcW w:w="1188" w:type="dxa"/>
            <w:shd w:val="clear" w:color="auto" w:fill="auto"/>
          </w:tcPr>
          <w:p w:rsidR="001B1F77" w:rsidRPr="00661595" w:rsidRDefault="00FF15C6" w:rsidP="00487A02">
            <w:pPr>
              <w:pStyle w:val="InstructionsText"/>
            </w:pPr>
            <w:r w:rsidRPr="00661595">
              <w:t>0</w:t>
            </w:r>
            <w:r w:rsidR="001B1F77" w:rsidRPr="00661595">
              <w:t>270</w:t>
            </w:r>
          </w:p>
        </w:tc>
        <w:tc>
          <w:tcPr>
            <w:tcW w:w="8701" w:type="dxa"/>
            <w:shd w:val="clear" w:color="auto" w:fill="auto"/>
          </w:tcPr>
          <w:p w:rsidR="001B1F77" w:rsidRPr="00661595" w:rsidRDefault="001B1F77"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1 250 %</w:t>
            </w:r>
          </w:p>
          <w:p w:rsidR="001B1F77" w:rsidRPr="00661595" w:rsidRDefault="001B1F77" w:rsidP="00487A02">
            <w:pPr>
              <w:pStyle w:val="InstructionsText"/>
              <w:rPr>
                <w:b/>
                <w:u w:val="single"/>
              </w:rPr>
            </w:pPr>
            <w:r w:rsidRPr="00661595">
              <w:t>Article 133(2) and Article 379 CRR</w:t>
            </w:r>
          </w:p>
        </w:tc>
      </w:tr>
      <w:tr w:rsidR="001B1F77" w:rsidRPr="00661595" w:rsidTr="00672D2A">
        <w:tc>
          <w:tcPr>
            <w:tcW w:w="1188" w:type="dxa"/>
            <w:shd w:val="clear" w:color="auto" w:fill="auto"/>
          </w:tcPr>
          <w:p w:rsidR="001B1F77" w:rsidRPr="00661595" w:rsidRDefault="00FF15C6" w:rsidP="00487A02">
            <w:pPr>
              <w:pStyle w:val="InstructionsText"/>
            </w:pPr>
            <w:r w:rsidRPr="00661595">
              <w:t>0</w:t>
            </w:r>
            <w:r w:rsidR="001B1F77" w:rsidRPr="00661595">
              <w:t>280</w:t>
            </w:r>
          </w:p>
        </w:tc>
        <w:tc>
          <w:tcPr>
            <w:tcW w:w="8701" w:type="dxa"/>
            <w:shd w:val="clear" w:color="auto" w:fill="auto"/>
          </w:tcPr>
          <w:p w:rsidR="001B1F77" w:rsidRPr="00661595" w:rsidRDefault="001B1F77"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Other risk weights</w:t>
            </w:r>
          </w:p>
          <w:p w:rsidR="001B1F77" w:rsidRPr="00661595" w:rsidRDefault="001B1F77" w:rsidP="00487A02">
            <w:pPr>
              <w:pStyle w:val="InstructionsText"/>
            </w:pPr>
            <w:r w:rsidRPr="00661595">
              <w:t>This row is not available for exposure classes</w:t>
            </w:r>
            <w:r w:rsidRPr="00661595" w:rsidDel="00385B93">
              <w:t xml:space="preserve"> </w:t>
            </w:r>
            <w:r w:rsidRPr="00661595">
              <w:t>Government, Corporates, Institutions and Retail.</w:t>
            </w:r>
          </w:p>
          <w:p w:rsidR="001B1F77" w:rsidRPr="00661595" w:rsidRDefault="001B1F77" w:rsidP="00487A02">
            <w:pPr>
              <w:pStyle w:val="InstructionsText"/>
            </w:pPr>
          </w:p>
          <w:p w:rsidR="001B1F77" w:rsidRPr="00661595" w:rsidRDefault="001B1F77" w:rsidP="00487A02">
            <w:pPr>
              <w:pStyle w:val="InstructionsText"/>
            </w:pPr>
            <w:r w:rsidRPr="00661595">
              <w:t>For reporting those exposures not subject to the risk weights listed in the template.</w:t>
            </w:r>
          </w:p>
          <w:p w:rsidR="001B1F77" w:rsidRPr="00661595" w:rsidRDefault="001B1F77" w:rsidP="00487A02">
            <w:pPr>
              <w:pStyle w:val="InstructionsText"/>
            </w:pPr>
            <w:r w:rsidRPr="00661595">
              <w:t xml:space="preserve">Paragraphs 1 to 5 of Article 113 CRR. </w:t>
            </w:r>
          </w:p>
          <w:p w:rsidR="001B1F77" w:rsidRPr="00661595" w:rsidRDefault="001B1F77" w:rsidP="00487A02">
            <w:pPr>
              <w:pStyle w:val="InstructionsText"/>
            </w:pPr>
          </w:p>
          <w:p w:rsidR="001B1F77" w:rsidRPr="00661595" w:rsidRDefault="001B1F77" w:rsidP="00487A02">
            <w:pPr>
              <w:pStyle w:val="InstructionsText"/>
            </w:pPr>
            <w:r w:rsidRPr="00661595">
              <w:t xml:space="preserve">Unrated nth-to-default credit derivatives under the Standardised </w:t>
            </w:r>
            <w:r w:rsidR="009A4399" w:rsidRPr="00661595">
              <w:t xml:space="preserve">approach </w:t>
            </w:r>
            <w:r w:rsidRPr="00661595">
              <w:t>(Article 134(6) CRR) shall be reported in this row under the exposure class "Other items".</w:t>
            </w:r>
          </w:p>
          <w:p w:rsidR="001B1F77" w:rsidRPr="00661595" w:rsidRDefault="001B1F77" w:rsidP="00487A02">
            <w:pPr>
              <w:pStyle w:val="InstructionsText"/>
            </w:pPr>
            <w:r w:rsidRPr="00661595">
              <w:t xml:space="preserve">See also Article 124(2) and point (b) of Article 152(2) CRR. </w:t>
            </w:r>
          </w:p>
        </w:tc>
      </w:tr>
      <w:tr w:rsidR="00E86B98" w:rsidRPr="00661595" w:rsidTr="00672D2A">
        <w:tc>
          <w:tcPr>
            <w:tcW w:w="1188" w:type="dxa"/>
            <w:shd w:val="clear" w:color="auto" w:fill="auto"/>
          </w:tcPr>
          <w:p w:rsidR="00E86B98" w:rsidRPr="00661595" w:rsidRDefault="00FF15C6" w:rsidP="00487A02">
            <w:pPr>
              <w:pStyle w:val="InstructionsText"/>
            </w:pPr>
            <w:r w:rsidRPr="00661595">
              <w:t>0</w:t>
            </w:r>
            <w:r w:rsidR="00E86B98" w:rsidRPr="00661595">
              <w:t>281-</w:t>
            </w:r>
            <w:r w:rsidRPr="00661595">
              <w:t>0</w:t>
            </w:r>
            <w:r w:rsidR="00E86B98" w:rsidRPr="00661595">
              <w:t>284</w:t>
            </w:r>
          </w:p>
        </w:tc>
        <w:tc>
          <w:tcPr>
            <w:tcW w:w="8701" w:type="dxa"/>
            <w:shd w:val="clear" w:color="auto" w:fill="auto"/>
          </w:tcPr>
          <w:p w:rsidR="00E86B98" w:rsidRPr="00661595" w:rsidRDefault="00E86B98"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BREAKDOWN OF TOTAL EXPOSURES BY APPROACH (CIU)</w:t>
            </w:r>
          </w:p>
          <w:p w:rsidR="00E86B98" w:rsidRPr="00661595" w:rsidRDefault="00E86B98"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b w:val="0"/>
                <w:sz w:val="24"/>
                <w:u w:val="none"/>
              </w:rPr>
              <w:t>These rows shall only be reported for the exposure class Collective investments undertakings (CIU), in line with Articles 132, 132a, 132b and 132c CRR.</w:t>
            </w:r>
          </w:p>
        </w:tc>
      </w:tr>
      <w:tr w:rsidR="00E86B98" w:rsidRPr="00661595" w:rsidTr="00672D2A">
        <w:tc>
          <w:tcPr>
            <w:tcW w:w="1188" w:type="dxa"/>
            <w:shd w:val="clear" w:color="auto" w:fill="auto"/>
          </w:tcPr>
          <w:p w:rsidR="00E86B98" w:rsidRPr="00661595" w:rsidRDefault="00FF15C6" w:rsidP="00487A02">
            <w:pPr>
              <w:pStyle w:val="InstructionsText"/>
            </w:pPr>
            <w:r w:rsidRPr="00661595">
              <w:t>0</w:t>
            </w:r>
            <w:r w:rsidR="00E86B98" w:rsidRPr="00661595">
              <w:t>281</w:t>
            </w:r>
          </w:p>
        </w:tc>
        <w:tc>
          <w:tcPr>
            <w:tcW w:w="8701" w:type="dxa"/>
            <w:shd w:val="clear" w:color="auto" w:fill="auto"/>
          </w:tcPr>
          <w:p w:rsidR="00E86B98" w:rsidRPr="00661595" w:rsidRDefault="00E86B98"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Look-through approach</w:t>
            </w:r>
          </w:p>
          <w:p w:rsidR="00E86B98" w:rsidRPr="00661595" w:rsidRDefault="00E86B98" w:rsidP="00487A02">
            <w:pPr>
              <w:pStyle w:val="InstructionsText"/>
              <w:rPr>
                <w:rStyle w:val="InstructionsTabelleberschrift"/>
                <w:rFonts w:ascii="Times New Roman" w:hAnsi="Times New Roman"/>
                <w:sz w:val="24"/>
              </w:rPr>
            </w:pPr>
            <w:r w:rsidRPr="00661595">
              <w:t>Article 132a(1) CRR.</w:t>
            </w:r>
          </w:p>
        </w:tc>
      </w:tr>
      <w:tr w:rsidR="00E86B98" w:rsidRPr="00661595" w:rsidTr="00672D2A">
        <w:tc>
          <w:tcPr>
            <w:tcW w:w="1188" w:type="dxa"/>
            <w:shd w:val="clear" w:color="auto" w:fill="auto"/>
          </w:tcPr>
          <w:p w:rsidR="00E86B98" w:rsidRPr="00661595" w:rsidRDefault="00FF15C6" w:rsidP="00487A02">
            <w:pPr>
              <w:pStyle w:val="InstructionsText"/>
            </w:pPr>
            <w:r w:rsidRPr="00661595">
              <w:t>0</w:t>
            </w:r>
            <w:r w:rsidR="00E86B98" w:rsidRPr="00661595">
              <w:t>282</w:t>
            </w:r>
          </w:p>
        </w:tc>
        <w:tc>
          <w:tcPr>
            <w:tcW w:w="8701" w:type="dxa"/>
            <w:shd w:val="clear" w:color="auto" w:fill="auto"/>
          </w:tcPr>
          <w:p w:rsidR="00E86B98" w:rsidRPr="00661595" w:rsidRDefault="00E86B98"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Mandate-based approach</w:t>
            </w:r>
          </w:p>
          <w:p w:rsidR="00E86B98" w:rsidRPr="00661595" w:rsidRDefault="00E86B98" w:rsidP="00487A02">
            <w:pPr>
              <w:pStyle w:val="InstructionsText"/>
              <w:rPr>
                <w:rStyle w:val="InstructionsTabelleberschrift"/>
                <w:rFonts w:ascii="Times New Roman" w:hAnsi="Times New Roman"/>
                <w:sz w:val="24"/>
              </w:rPr>
            </w:pPr>
            <w:r w:rsidRPr="00661595">
              <w:t>Article 132a(2) CRR.</w:t>
            </w:r>
          </w:p>
        </w:tc>
      </w:tr>
      <w:tr w:rsidR="00E86B98" w:rsidRPr="00661595" w:rsidTr="00672D2A">
        <w:tc>
          <w:tcPr>
            <w:tcW w:w="1188" w:type="dxa"/>
            <w:shd w:val="clear" w:color="auto" w:fill="auto"/>
          </w:tcPr>
          <w:p w:rsidR="00E86B98" w:rsidRPr="00661595" w:rsidRDefault="00FF15C6" w:rsidP="00487A02">
            <w:pPr>
              <w:pStyle w:val="InstructionsText"/>
            </w:pPr>
            <w:r w:rsidRPr="00661595">
              <w:t>0</w:t>
            </w:r>
            <w:r w:rsidR="00E86B98" w:rsidRPr="00661595">
              <w:t>283</w:t>
            </w:r>
          </w:p>
        </w:tc>
        <w:tc>
          <w:tcPr>
            <w:tcW w:w="8701" w:type="dxa"/>
            <w:shd w:val="clear" w:color="auto" w:fill="auto"/>
          </w:tcPr>
          <w:p w:rsidR="00E86B98" w:rsidRPr="00661595" w:rsidRDefault="00E86B98"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Fall-back approach</w:t>
            </w:r>
          </w:p>
          <w:p w:rsidR="00E86B98" w:rsidRPr="00661595" w:rsidRDefault="00E86B98" w:rsidP="00487A02">
            <w:pPr>
              <w:pStyle w:val="InstructionsText"/>
              <w:rPr>
                <w:rStyle w:val="InstructionsTabelleberschrift"/>
                <w:rFonts w:ascii="Times New Roman" w:hAnsi="Times New Roman"/>
                <w:sz w:val="24"/>
              </w:rPr>
            </w:pPr>
            <w:r w:rsidRPr="00661595">
              <w:t>Article 132(2) CRR.</w:t>
            </w:r>
          </w:p>
        </w:tc>
      </w:tr>
      <w:tr w:rsidR="00E86B98" w:rsidRPr="00661595" w:rsidTr="00672D2A">
        <w:tc>
          <w:tcPr>
            <w:tcW w:w="1188" w:type="dxa"/>
            <w:shd w:val="clear" w:color="auto" w:fill="auto"/>
          </w:tcPr>
          <w:p w:rsidR="00E86B98" w:rsidRPr="00661595" w:rsidRDefault="00FF15C6" w:rsidP="00487A02">
            <w:pPr>
              <w:pStyle w:val="InstructionsText"/>
            </w:pPr>
            <w:r w:rsidRPr="00661595">
              <w:t>0</w:t>
            </w:r>
            <w:r w:rsidR="00E86B98" w:rsidRPr="00661595">
              <w:t>290-</w:t>
            </w:r>
            <w:r w:rsidR="00712DE1" w:rsidRPr="00661595">
              <w:t>0</w:t>
            </w:r>
            <w:r w:rsidR="00E86B98" w:rsidRPr="00661595">
              <w:t>320</w:t>
            </w:r>
          </w:p>
        </w:tc>
        <w:tc>
          <w:tcPr>
            <w:tcW w:w="8701" w:type="dxa"/>
            <w:shd w:val="clear" w:color="auto" w:fill="auto"/>
          </w:tcPr>
          <w:p w:rsidR="00E86B98" w:rsidRPr="00661595" w:rsidRDefault="00E86B98"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Memorandum Items</w:t>
            </w:r>
          </w:p>
          <w:p w:rsidR="00E86B98" w:rsidRPr="00661595" w:rsidRDefault="00E86B98" w:rsidP="00487A02">
            <w:pPr>
              <w:pStyle w:val="InstructionsText"/>
              <w:rPr>
                <w:b/>
                <w:u w:val="single"/>
              </w:rPr>
            </w:pPr>
            <w:r w:rsidRPr="00661595">
              <w:t xml:space="preserve">For rows </w:t>
            </w:r>
            <w:r w:rsidR="00FF15C6" w:rsidRPr="00661595">
              <w:t>0</w:t>
            </w:r>
            <w:r w:rsidRPr="00661595">
              <w:t xml:space="preserve">290 to </w:t>
            </w:r>
            <w:r w:rsidR="00FF15C6" w:rsidRPr="00661595">
              <w:t>0</w:t>
            </w:r>
            <w:r w:rsidRPr="00661595">
              <w:t>320, see also the explanation of the purpose of the memorandum items in the general section of the CR SA.</w:t>
            </w:r>
          </w:p>
        </w:tc>
      </w:tr>
      <w:tr w:rsidR="00E86B98" w:rsidRPr="00661595" w:rsidTr="00672D2A">
        <w:tc>
          <w:tcPr>
            <w:tcW w:w="1188" w:type="dxa"/>
            <w:shd w:val="clear" w:color="auto" w:fill="auto"/>
          </w:tcPr>
          <w:p w:rsidR="00E86B98" w:rsidRPr="00661595" w:rsidRDefault="00FF15C6" w:rsidP="00487A02">
            <w:pPr>
              <w:pStyle w:val="InstructionsText"/>
            </w:pPr>
            <w:r w:rsidRPr="00661595">
              <w:t>0</w:t>
            </w:r>
            <w:r w:rsidR="00E86B98" w:rsidRPr="00661595">
              <w:t>290</w:t>
            </w:r>
          </w:p>
          <w:p w:rsidR="00E86B98" w:rsidRPr="00661595" w:rsidRDefault="00E86B98" w:rsidP="00487A02">
            <w:pPr>
              <w:pStyle w:val="InstructionsText"/>
            </w:pPr>
          </w:p>
        </w:tc>
        <w:tc>
          <w:tcPr>
            <w:tcW w:w="8701" w:type="dxa"/>
            <w:shd w:val="clear" w:color="auto" w:fill="auto"/>
          </w:tcPr>
          <w:p w:rsidR="00E86B98" w:rsidRPr="00661595" w:rsidRDefault="00E86B98"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Exposures secured by mortgages on commercial immovable property</w:t>
            </w:r>
          </w:p>
          <w:p w:rsidR="00E86B98" w:rsidRPr="00661595" w:rsidRDefault="00E86B98" w:rsidP="00487A02">
            <w:pPr>
              <w:pStyle w:val="InstructionsText"/>
            </w:pPr>
            <w:r w:rsidRPr="00661595">
              <w:t>Point (i) of Article 112 CRR</w:t>
            </w:r>
          </w:p>
          <w:p w:rsidR="00E86B98" w:rsidRPr="00661595" w:rsidRDefault="00E86B98" w:rsidP="00487A02">
            <w:pPr>
              <w:pStyle w:val="InstructionsText"/>
            </w:pPr>
            <w:r w:rsidRPr="00661595">
              <w:t>This is a memorandum item only. Independent from the calculation of risk exposure amounts of exposures secured by commercial immovable property as referred to in Article 124 and 126 CRR the exposures shall be broken down and reported in this row if the exposures are secured by commercial real estate.</w:t>
            </w:r>
          </w:p>
        </w:tc>
      </w:tr>
      <w:tr w:rsidR="00E86B98" w:rsidRPr="00661595" w:rsidTr="00672D2A">
        <w:tc>
          <w:tcPr>
            <w:tcW w:w="1188" w:type="dxa"/>
            <w:shd w:val="clear" w:color="auto" w:fill="auto"/>
          </w:tcPr>
          <w:p w:rsidR="00E86B98" w:rsidRPr="00661595" w:rsidRDefault="00FF15C6" w:rsidP="00487A02">
            <w:pPr>
              <w:pStyle w:val="InstructionsText"/>
            </w:pPr>
            <w:r w:rsidRPr="00661595">
              <w:t>0</w:t>
            </w:r>
            <w:r w:rsidR="00E86B98" w:rsidRPr="00661595">
              <w:t>300</w:t>
            </w:r>
          </w:p>
        </w:tc>
        <w:tc>
          <w:tcPr>
            <w:tcW w:w="8701" w:type="dxa"/>
            <w:shd w:val="clear" w:color="auto" w:fill="auto"/>
          </w:tcPr>
          <w:p w:rsidR="00E86B98" w:rsidRPr="00661595" w:rsidRDefault="00E86B98"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Exposures in default subject to a risk weight of 100%</w:t>
            </w:r>
          </w:p>
          <w:p w:rsidR="00E86B98" w:rsidRPr="00661595" w:rsidRDefault="00E86B98" w:rsidP="00487A02">
            <w:pPr>
              <w:pStyle w:val="InstructionsText"/>
            </w:pPr>
            <w:r w:rsidRPr="00661595">
              <w:t>Point (j) of Article 112 CRR</w:t>
            </w:r>
          </w:p>
          <w:p w:rsidR="00E86B98" w:rsidRPr="00661595" w:rsidRDefault="00E86B98" w:rsidP="00487A02">
            <w:pPr>
              <w:pStyle w:val="InstructionsText"/>
            </w:pPr>
            <w:r w:rsidRPr="00661595">
              <w:t>Exposures included in the exposure class “exposures in default” which shall be included in this exposure class if they were not in default.</w:t>
            </w:r>
          </w:p>
        </w:tc>
      </w:tr>
      <w:tr w:rsidR="00E86B98" w:rsidRPr="00661595" w:rsidTr="00672D2A">
        <w:tc>
          <w:tcPr>
            <w:tcW w:w="1188" w:type="dxa"/>
            <w:shd w:val="clear" w:color="auto" w:fill="auto"/>
          </w:tcPr>
          <w:p w:rsidR="00E86B98" w:rsidRPr="00661595" w:rsidRDefault="00FF15C6" w:rsidP="00487A02">
            <w:pPr>
              <w:pStyle w:val="InstructionsText"/>
            </w:pPr>
            <w:r w:rsidRPr="00661595">
              <w:t>0</w:t>
            </w:r>
            <w:r w:rsidR="00E86B98" w:rsidRPr="00661595">
              <w:t>310</w:t>
            </w:r>
          </w:p>
        </w:tc>
        <w:tc>
          <w:tcPr>
            <w:tcW w:w="8701" w:type="dxa"/>
            <w:shd w:val="clear" w:color="auto" w:fill="auto"/>
          </w:tcPr>
          <w:p w:rsidR="00E86B98" w:rsidRPr="00661595" w:rsidRDefault="00E86B98"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 xml:space="preserve">Exposures secured by mortgages on residential property </w:t>
            </w:r>
          </w:p>
          <w:p w:rsidR="00E86B98" w:rsidRPr="00661595" w:rsidRDefault="00E86B98" w:rsidP="00487A02">
            <w:pPr>
              <w:pStyle w:val="InstructionsText"/>
            </w:pPr>
            <w:r w:rsidRPr="00661595">
              <w:t>Point (i) of Article 112 CRR</w:t>
            </w:r>
          </w:p>
          <w:p w:rsidR="00E86B98" w:rsidRPr="00661595" w:rsidRDefault="00E86B98" w:rsidP="00487A02">
            <w:pPr>
              <w:pStyle w:val="InstructionsText"/>
              <w:rPr>
                <w:b/>
                <w:u w:val="single"/>
              </w:rPr>
            </w:pPr>
            <w:r w:rsidRPr="00661595">
              <w:t>This is a memorandum item only. Independent from the calculation of risk exposure amounts of exposures secured by mortgages on residential property in accordance with Article 124 and 125 CRR the exposures shall be broken down and reported in this row if the exposures are secured by real estate property.</w:t>
            </w:r>
          </w:p>
        </w:tc>
      </w:tr>
      <w:tr w:rsidR="00E86B98" w:rsidRPr="00661595" w:rsidTr="00672D2A">
        <w:tc>
          <w:tcPr>
            <w:tcW w:w="1188" w:type="dxa"/>
            <w:shd w:val="clear" w:color="auto" w:fill="auto"/>
          </w:tcPr>
          <w:p w:rsidR="00E86B98" w:rsidRPr="00661595" w:rsidRDefault="00FF15C6" w:rsidP="00487A02">
            <w:pPr>
              <w:pStyle w:val="InstructionsText"/>
            </w:pPr>
            <w:r w:rsidRPr="00661595">
              <w:t>0</w:t>
            </w:r>
            <w:r w:rsidR="00E86B98" w:rsidRPr="00661595">
              <w:t>320</w:t>
            </w:r>
          </w:p>
        </w:tc>
        <w:tc>
          <w:tcPr>
            <w:tcW w:w="8701" w:type="dxa"/>
            <w:shd w:val="clear" w:color="auto" w:fill="auto"/>
          </w:tcPr>
          <w:p w:rsidR="00E86B98" w:rsidRPr="00661595" w:rsidRDefault="00E86B98" w:rsidP="00487A02">
            <w:pPr>
              <w:pStyle w:val="InstructionsText"/>
              <w:rPr>
                <w:rStyle w:val="InstructionsTabelleberschrift"/>
                <w:rFonts w:ascii="Times New Roman" w:hAnsi="Times New Roman"/>
                <w:sz w:val="24"/>
              </w:rPr>
            </w:pPr>
            <w:r w:rsidRPr="00661595">
              <w:rPr>
                <w:rStyle w:val="InstructionsTabelleberschrift"/>
                <w:rFonts w:ascii="Times New Roman" w:hAnsi="Times New Roman"/>
                <w:sz w:val="24"/>
              </w:rPr>
              <w:t xml:space="preserve">Exposures in default subject to a risk weight of 150% </w:t>
            </w:r>
          </w:p>
          <w:p w:rsidR="00E86B98" w:rsidRPr="00661595" w:rsidRDefault="00E86B98" w:rsidP="00487A02">
            <w:pPr>
              <w:pStyle w:val="InstructionsText"/>
            </w:pPr>
            <w:r w:rsidRPr="00661595">
              <w:t>Point (j) of Article 112 CRR</w:t>
            </w:r>
          </w:p>
          <w:p w:rsidR="00E86B98" w:rsidRPr="00661595" w:rsidRDefault="00E86B98" w:rsidP="00487A02">
            <w:pPr>
              <w:pStyle w:val="InstructionsText"/>
            </w:pPr>
            <w:r w:rsidRPr="00661595">
              <w:t>Exposures included in the exposure class “exposures in default” which shall be included in this exposure class if they were not in default.</w:t>
            </w:r>
          </w:p>
        </w:tc>
      </w:tr>
    </w:tbl>
    <w:p w:rsidR="001C7AB7" w:rsidRPr="00661595" w:rsidRDefault="001C7AB7">
      <w:pPr>
        <w:spacing w:before="0" w:after="0"/>
        <w:jc w:val="left"/>
        <w:rPr>
          <w:rFonts w:ascii="Times New Roman" w:hAnsi="Times New Roman"/>
          <w:bCs/>
          <w:sz w:val="24"/>
          <w:lang w:eastAsia="de-DE"/>
        </w:rPr>
      </w:pPr>
    </w:p>
    <w:p w:rsidR="001C7AB7"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216" w:name="_Toc360188357"/>
      <w:bookmarkStart w:id="217" w:name="_Toc473560906"/>
      <w:bookmarkStart w:id="218" w:name="_Toc57831546"/>
      <w:r w:rsidRPr="00661595">
        <w:rPr>
          <w:rFonts w:ascii="Times New Roman" w:hAnsi="Times New Roman" w:cs="Times New Roman"/>
          <w:sz w:val="24"/>
          <w:u w:val="none"/>
          <w:lang w:val="en-GB"/>
        </w:rPr>
        <w:t>3.3.</w:t>
      </w:r>
      <w:r w:rsidRPr="00661595">
        <w:rPr>
          <w:rFonts w:ascii="Times New Roman" w:hAnsi="Times New Roman" w:cs="Times New Roman"/>
          <w:sz w:val="24"/>
          <w:u w:val="none"/>
          <w:lang w:val="en-GB"/>
        </w:rPr>
        <w:tab/>
      </w:r>
      <w:r w:rsidR="001C7AB7" w:rsidRPr="00661595">
        <w:rPr>
          <w:rFonts w:ascii="Times New Roman" w:hAnsi="Times New Roman" w:cs="Times New Roman"/>
          <w:sz w:val="24"/>
          <w:lang w:val="en-GB"/>
        </w:rPr>
        <w:t xml:space="preserve">Credit and counterparty credit risks and free deliveries: </w:t>
      </w:r>
      <w:r w:rsidR="008241B9" w:rsidRPr="00661595">
        <w:rPr>
          <w:rFonts w:ascii="Times New Roman" w:hAnsi="Times New Roman" w:cs="Times New Roman"/>
          <w:sz w:val="24"/>
          <w:lang w:val="en-GB"/>
        </w:rPr>
        <w:t xml:space="preserve">IRB </w:t>
      </w:r>
      <w:r w:rsidR="009A4399" w:rsidRPr="00661595">
        <w:rPr>
          <w:rFonts w:ascii="Times New Roman" w:hAnsi="Times New Roman" w:cs="Times New Roman"/>
          <w:sz w:val="24"/>
          <w:lang w:val="en-GB"/>
        </w:rPr>
        <w:t xml:space="preserve">approach </w:t>
      </w:r>
      <w:r w:rsidR="001C7AB7" w:rsidRPr="00661595">
        <w:rPr>
          <w:rFonts w:ascii="Times New Roman" w:hAnsi="Times New Roman" w:cs="Times New Roman"/>
          <w:sz w:val="24"/>
          <w:lang w:val="en-GB"/>
        </w:rPr>
        <w:t>to Own funds Requirements</w:t>
      </w:r>
      <w:bookmarkEnd w:id="216"/>
      <w:r w:rsidR="007711E7" w:rsidRPr="00661595">
        <w:rPr>
          <w:rFonts w:ascii="Times New Roman" w:hAnsi="Times New Roman" w:cs="Times New Roman"/>
          <w:sz w:val="24"/>
          <w:lang w:val="en-GB"/>
        </w:rPr>
        <w:t xml:space="preserve"> (CR IRB)</w:t>
      </w:r>
      <w:bookmarkEnd w:id="217"/>
      <w:bookmarkEnd w:id="218"/>
    </w:p>
    <w:p w:rsidR="001C7AB7"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219" w:name="_Toc360188358"/>
      <w:bookmarkStart w:id="220" w:name="_Toc473560907"/>
      <w:bookmarkStart w:id="221" w:name="_Toc57831547"/>
      <w:r w:rsidRPr="00661595">
        <w:rPr>
          <w:rFonts w:ascii="Times New Roman" w:hAnsi="Times New Roman" w:cs="Times New Roman"/>
          <w:sz w:val="24"/>
          <w:u w:val="none"/>
          <w:lang w:val="en-GB"/>
        </w:rPr>
        <w:t>3.3.1.</w:t>
      </w:r>
      <w:r w:rsidRPr="00661595">
        <w:rPr>
          <w:rFonts w:ascii="Times New Roman" w:hAnsi="Times New Roman" w:cs="Times New Roman"/>
          <w:sz w:val="24"/>
          <w:u w:val="none"/>
          <w:lang w:val="en-GB"/>
        </w:rPr>
        <w:tab/>
      </w:r>
      <w:r w:rsidR="001C7AB7" w:rsidRPr="00661595">
        <w:rPr>
          <w:rFonts w:ascii="Times New Roman" w:hAnsi="Times New Roman" w:cs="Times New Roman"/>
          <w:sz w:val="24"/>
          <w:lang w:val="en-GB"/>
        </w:rPr>
        <w:t>Scope of the CR IRB template</w:t>
      </w:r>
      <w:bookmarkEnd w:id="219"/>
      <w:bookmarkEnd w:id="220"/>
      <w:bookmarkEnd w:id="221"/>
    </w:p>
    <w:p w:rsidR="001C7AB7" w:rsidRPr="00661595" w:rsidRDefault="00D11E4C" w:rsidP="00487A02">
      <w:pPr>
        <w:pStyle w:val="InstructionsText2"/>
        <w:numPr>
          <w:ilvl w:val="0"/>
          <w:numId w:val="0"/>
        </w:numPr>
        <w:ind w:left="1353" w:hanging="360"/>
      </w:pPr>
      <w:fldSimple w:instr=" seq paragraphs ">
        <w:r w:rsidR="00771068">
          <w:rPr>
            <w:noProof/>
          </w:rPr>
          <w:t>72</w:t>
        </w:r>
      </w:fldSimple>
      <w:r w:rsidR="00125707" w:rsidRPr="00661595">
        <w:t>.</w:t>
      </w:r>
      <w:r w:rsidR="00125707" w:rsidRPr="00661595">
        <w:tab/>
      </w:r>
      <w:r w:rsidR="001C7AB7" w:rsidRPr="00661595">
        <w:t>The scope of the CR IRB template covers:</w:t>
      </w:r>
    </w:p>
    <w:p w:rsidR="001C7AB7" w:rsidRPr="00661595" w:rsidRDefault="00125707" w:rsidP="00487A02">
      <w:pPr>
        <w:pStyle w:val="InstructionsText2"/>
        <w:numPr>
          <w:ilvl w:val="0"/>
          <w:numId w:val="0"/>
        </w:numPr>
        <w:ind w:left="1353" w:hanging="360"/>
      </w:pPr>
      <w:r w:rsidRPr="00661595">
        <w:t>i.</w:t>
      </w:r>
      <w:r w:rsidRPr="00661595">
        <w:tab/>
      </w:r>
      <w:r w:rsidR="001C7AB7" w:rsidRPr="00661595">
        <w:t>Credit risk in the banking book, among which:</w:t>
      </w:r>
    </w:p>
    <w:p w:rsidR="001C7AB7" w:rsidRPr="00661595" w:rsidRDefault="001C7AB7" w:rsidP="00487A02">
      <w:pPr>
        <w:pStyle w:val="InstructionsText2"/>
        <w:numPr>
          <w:ilvl w:val="0"/>
          <w:numId w:val="49"/>
        </w:numPr>
      </w:pPr>
      <w:r w:rsidRPr="00661595">
        <w:t>Counterparty credit risk in the banking book;</w:t>
      </w:r>
    </w:p>
    <w:p w:rsidR="001C7AB7" w:rsidRPr="00661595" w:rsidRDefault="001C7AB7" w:rsidP="00487A02">
      <w:pPr>
        <w:pStyle w:val="InstructionsText2"/>
        <w:numPr>
          <w:ilvl w:val="0"/>
          <w:numId w:val="49"/>
        </w:numPr>
      </w:pPr>
      <w:r w:rsidRPr="00661595">
        <w:t>Dilution risk for purchased receivables;</w:t>
      </w:r>
    </w:p>
    <w:p w:rsidR="001C7AB7" w:rsidRPr="00661595" w:rsidRDefault="00125707" w:rsidP="00487A02">
      <w:pPr>
        <w:pStyle w:val="InstructionsText2"/>
        <w:numPr>
          <w:ilvl w:val="0"/>
          <w:numId w:val="0"/>
        </w:numPr>
        <w:ind w:left="1353" w:hanging="360"/>
      </w:pPr>
      <w:r w:rsidRPr="00661595">
        <w:t>ii.</w:t>
      </w:r>
      <w:r w:rsidRPr="00661595">
        <w:tab/>
      </w:r>
      <w:r w:rsidR="001C7AB7" w:rsidRPr="00661595">
        <w:t>Counterparty credit risk in the trading book;</w:t>
      </w:r>
    </w:p>
    <w:p w:rsidR="001C7AB7" w:rsidRPr="00661595" w:rsidRDefault="00125707" w:rsidP="00487A02">
      <w:pPr>
        <w:pStyle w:val="InstructionsText2"/>
        <w:numPr>
          <w:ilvl w:val="0"/>
          <w:numId w:val="0"/>
        </w:numPr>
        <w:ind w:left="1353" w:hanging="360"/>
      </w:pPr>
      <w:r w:rsidRPr="00661595">
        <w:t>iii.</w:t>
      </w:r>
      <w:r w:rsidRPr="00661595">
        <w:tab/>
      </w:r>
      <w:r w:rsidR="001C7AB7" w:rsidRPr="00661595">
        <w:t>Free deliveries resulting from all business activities.</w:t>
      </w:r>
    </w:p>
    <w:p w:rsidR="001C7AB7" w:rsidRPr="00661595" w:rsidRDefault="00D11E4C" w:rsidP="00487A02">
      <w:pPr>
        <w:pStyle w:val="InstructionsText2"/>
        <w:numPr>
          <w:ilvl w:val="0"/>
          <w:numId w:val="0"/>
        </w:numPr>
        <w:ind w:left="1353" w:hanging="360"/>
      </w:pPr>
      <w:fldSimple w:instr=" seq paragraphs ">
        <w:r w:rsidR="00771068">
          <w:rPr>
            <w:noProof/>
          </w:rPr>
          <w:t>73</w:t>
        </w:r>
      </w:fldSimple>
      <w:r w:rsidR="00125707" w:rsidRPr="00661595">
        <w:t>.</w:t>
      </w:r>
      <w:r w:rsidR="00125707" w:rsidRPr="00661595">
        <w:tab/>
      </w:r>
      <w:r w:rsidR="001C7AB7" w:rsidRPr="00661595">
        <w:t xml:space="preserve">The scope of the template refers to the exposures for which the risk weighted exposure amounts are calculated </w:t>
      </w:r>
      <w:r w:rsidR="00BB22D4" w:rsidRPr="00661595">
        <w:t>in accordance with</w:t>
      </w:r>
      <w:r w:rsidR="001C7AB7" w:rsidRPr="00661595">
        <w:t xml:space="preserve"> Articles 151 to 157 </w:t>
      </w:r>
      <w:r w:rsidR="001E0C80" w:rsidRPr="00661595">
        <w:t xml:space="preserve">of Chapter 3 of Title II of </w:t>
      </w:r>
      <w:r w:rsidR="001C7AB7" w:rsidRPr="00661595">
        <w:t xml:space="preserve">Part Three </w:t>
      </w:r>
      <w:r w:rsidR="00712DE1" w:rsidRPr="00661595">
        <w:t xml:space="preserve">CRR </w:t>
      </w:r>
      <w:r w:rsidR="001C7AB7" w:rsidRPr="00661595">
        <w:t>(</w:t>
      </w:r>
      <w:r w:rsidR="008241B9" w:rsidRPr="00661595">
        <w:t xml:space="preserve">IRB </w:t>
      </w:r>
      <w:r w:rsidR="009A4399" w:rsidRPr="00661595">
        <w:t>approach</w:t>
      </w:r>
      <w:r w:rsidR="001C7AB7" w:rsidRPr="00661595">
        <w:t xml:space="preserve">). </w:t>
      </w:r>
    </w:p>
    <w:p w:rsidR="001C7AB7" w:rsidRPr="00661595" w:rsidRDefault="00D11E4C" w:rsidP="00487A02">
      <w:pPr>
        <w:pStyle w:val="InstructionsText2"/>
        <w:numPr>
          <w:ilvl w:val="0"/>
          <w:numId w:val="0"/>
        </w:numPr>
        <w:ind w:left="1353" w:hanging="360"/>
      </w:pPr>
      <w:fldSimple w:instr=" seq paragraphs ">
        <w:r w:rsidR="00771068">
          <w:rPr>
            <w:noProof/>
          </w:rPr>
          <w:t>74</w:t>
        </w:r>
      </w:fldSimple>
      <w:r w:rsidR="00125707" w:rsidRPr="00661595">
        <w:t>.</w:t>
      </w:r>
      <w:r w:rsidR="00125707" w:rsidRPr="00661595">
        <w:tab/>
      </w:r>
      <w:r w:rsidR="001C7AB7" w:rsidRPr="00661595">
        <w:t xml:space="preserve">The CR IRB template does not cover the following data: </w:t>
      </w:r>
    </w:p>
    <w:p w:rsidR="001C7AB7" w:rsidRPr="00661595" w:rsidRDefault="00125707" w:rsidP="00487A02">
      <w:pPr>
        <w:pStyle w:val="InstructionsText2"/>
        <w:numPr>
          <w:ilvl w:val="0"/>
          <w:numId w:val="0"/>
        </w:numPr>
        <w:ind w:left="1353" w:hanging="360"/>
      </w:pPr>
      <w:r w:rsidRPr="00661595">
        <w:t>i.</w:t>
      </w:r>
      <w:r w:rsidRPr="00661595">
        <w:tab/>
      </w:r>
      <w:r w:rsidR="001C7AB7" w:rsidRPr="00661595">
        <w:t xml:space="preserve">Equity exposures, which are reported in the CR EQU IRB template; </w:t>
      </w:r>
    </w:p>
    <w:p w:rsidR="001C7AB7" w:rsidRPr="00661595" w:rsidRDefault="00125707" w:rsidP="00487A02">
      <w:pPr>
        <w:pStyle w:val="InstructionsText2"/>
        <w:numPr>
          <w:ilvl w:val="0"/>
          <w:numId w:val="0"/>
        </w:numPr>
        <w:ind w:left="1353" w:hanging="360"/>
      </w:pPr>
      <w:r w:rsidRPr="00661595">
        <w:t>ii.</w:t>
      </w:r>
      <w:r w:rsidRPr="00661595">
        <w:tab/>
      </w:r>
      <w:r w:rsidR="001C7AB7" w:rsidRPr="00661595">
        <w:t>Securitisation positions, which are reported in the CR SEC and/or CR SEC Details templates;</w:t>
      </w:r>
    </w:p>
    <w:p w:rsidR="001C7AB7" w:rsidRPr="00661595" w:rsidRDefault="00125707" w:rsidP="00487A02">
      <w:pPr>
        <w:pStyle w:val="InstructionsText2"/>
        <w:numPr>
          <w:ilvl w:val="0"/>
          <w:numId w:val="0"/>
        </w:numPr>
        <w:ind w:left="1353" w:hanging="360"/>
      </w:pPr>
      <w:r w:rsidRPr="00661595">
        <w:t>iii.</w:t>
      </w:r>
      <w:r w:rsidRPr="00661595">
        <w:tab/>
      </w:r>
      <w:r w:rsidR="001C7AB7" w:rsidRPr="00661595">
        <w:t xml:space="preserve"> “Other non</w:t>
      </w:r>
      <w:r w:rsidR="00167619" w:rsidRPr="00661595">
        <w:t xml:space="preserve"> credit</w:t>
      </w:r>
      <w:r w:rsidR="001C7AB7" w:rsidRPr="00661595">
        <w:t xml:space="preserve">-obligation assets”, </w:t>
      </w:r>
      <w:r w:rsidR="00167619" w:rsidRPr="00661595">
        <w:t xml:space="preserve">as referred to in </w:t>
      </w:r>
      <w:r w:rsidR="00D21B29" w:rsidRPr="00661595">
        <w:t xml:space="preserve">point (g) of </w:t>
      </w:r>
      <w:r w:rsidR="001C7AB7" w:rsidRPr="00661595">
        <w:t xml:space="preserve">Article 147(2) CRR. The risk weight for this exposure class has to be set at 100 % at any time except for cash in hand, equivalent cash items and exposures that are residual values of leased assets, </w:t>
      </w:r>
      <w:r w:rsidR="00BB22D4" w:rsidRPr="00661595">
        <w:t>in accordance with</w:t>
      </w:r>
      <w:r w:rsidR="001C7AB7" w:rsidRPr="00661595">
        <w:t xml:space="preserve"> Article 156 CRR. The risk weighted exposure amounts for this exposure class </w:t>
      </w:r>
      <w:r w:rsidR="00167619" w:rsidRPr="00661595">
        <w:t>shall be</w:t>
      </w:r>
      <w:r w:rsidR="001C7AB7" w:rsidRPr="00661595">
        <w:t xml:space="preserve"> reported directly in the CA-Template;</w:t>
      </w:r>
    </w:p>
    <w:p w:rsidR="001C7AB7" w:rsidRPr="00661595" w:rsidRDefault="00125707" w:rsidP="00487A02">
      <w:pPr>
        <w:pStyle w:val="InstructionsText2"/>
        <w:numPr>
          <w:ilvl w:val="0"/>
          <w:numId w:val="0"/>
        </w:numPr>
        <w:ind w:left="1353" w:hanging="360"/>
      </w:pPr>
      <w:r w:rsidRPr="00661595">
        <w:t>iv.</w:t>
      </w:r>
      <w:r w:rsidRPr="00661595">
        <w:tab/>
      </w:r>
      <w:r w:rsidR="001C7AB7" w:rsidRPr="00661595">
        <w:t>Credit valuation adjustment risk, which is reported on the CVA Risk template;</w:t>
      </w:r>
    </w:p>
    <w:p w:rsidR="001C7AB7" w:rsidRPr="00661595" w:rsidRDefault="001C7AB7" w:rsidP="00487A02">
      <w:pPr>
        <w:pStyle w:val="InstructionsText2"/>
        <w:numPr>
          <w:ilvl w:val="0"/>
          <w:numId w:val="0"/>
        </w:numPr>
        <w:ind w:left="1353" w:hanging="360"/>
      </w:pPr>
      <w:r w:rsidRPr="00661595">
        <w:t xml:space="preserve">The CR IRB template does not require a geographical breakdown of IRB exposures by residence of the counterparty. This breakdown </w:t>
      </w:r>
      <w:r w:rsidR="00167619" w:rsidRPr="00661595">
        <w:t>shall be</w:t>
      </w:r>
      <w:r w:rsidRPr="00661595">
        <w:t xml:space="preserve"> reported in the template CR GB.</w:t>
      </w:r>
      <w:r w:rsidR="00730040" w:rsidRPr="00661595">
        <w:t xml:space="preserve"> </w:t>
      </w:r>
    </w:p>
    <w:p w:rsidR="00FA641C" w:rsidRPr="00661595" w:rsidRDefault="00FA641C" w:rsidP="00FA641C">
      <w:pPr>
        <w:autoSpaceDE w:val="0"/>
        <w:autoSpaceDN w:val="0"/>
        <w:adjustRightInd w:val="0"/>
        <w:spacing w:before="0" w:after="240"/>
        <w:ind w:left="285" w:firstLine="708"/>
        <w:jc w:val="left"/>
        <w:rPr>
          <w:rFonts w:ascii="Times New Roman" w:hAnsi="Times New Roman"/>
          <w:sz w:val="24"/>
          <w:lang w:val="en-US" w:eastAsia="de-DE"/>
        </w:rPr>
      </w:pPr>
      <w:r w:rsidRPr="00661595">
        <w:rPr>
          <w:rFonts w:ascii="Times New Roman" w:hAnsi="Times New Roman"/>
          <w:sz w:val="24"/>
          <w:lang w:val="en-US" w:eastAsia="de-DE"/>
        </w:rPr>
        <w:t>Items i) and iii) do not apply to template CR IRB 7.</w:t>
      </w:r>
    </w:p>
    <w:p w:rsidR="001C7AB7" w:rsidRPr="00661595" w:rsidRDefault="00D11E4C" w:rsidP="00487A02">
      <w:pPr>
        <w:pStyle w:val="InstructionsText2"/>
        <w:numPr>
          <w:ilvl w:val="0"/>
          <w:numId w:val="0"/>
        </w:numPr>
        <w:ind w:left="1353" w:hanging="360"/>
      </w:pPr>
      <w:fldSimple w:instr=" seq paragraphs ">
        <w:r w:rsidR="00771068">
          <w:rPr>
            <w:noProof/>
          </w:rPr>
          <w:t>75</w:t>
        </w:r>
      </w:fldSimple>
      <w:r w:rsidR="00125707" w:rsidRPr="00661595">
        <w:t>.</w:t>
      </w:r>
      <w:r w:rsidR="00125707" w:rsidRPr="00661595">
        <w:tab/>
      </w:r>
      <w:r w:rsidR="001C7AB7" w:rsidRPr="00661595">
        <w:t xml:space="preserve">In order to clarify whether the institution uses its own estimates for LGD </w:t>
      </w:r>
      <w:r w:rsidR="00841645" w:rsidRPr="00661595">
        <w:t>and/</w:t>
      </w:r>
      <w:r w:rsidR="001C7AB7" w:rsidRPr="00661595">
        <w:t>or credit conversion factors</w:t>
      </w:r>
      <w:r w:rsidR="00167619" w:rsidRPr="00661595">
        <w:t>,</w:t>
      </w:r>
      <w:r w:rsidR="001C7AB7" w:rsidRPr="00661595">
        <w:t xml:space="preserve"> the following information shall be provided for each reported exposure class:</w:t>
      </w:r>
    </w:p>
    <w:p w:rsidR="001C7AB7" w:rsidRPr="00661595" w:rsidRDefault="001C7AB7" w:rsidP="00167619">
      <w:pPr>
        <w:autoSpaceDE w:val="0"/>
        <w:autoSpaceDN w:val="0"/>
        <w:adjustRightInd w:val="0"/>
        <w:spacing w:before="0" w:after="240"/>
        <w:ind w:left="993"/>
        <w:jc w:val="left"/>
        <w:rPr>
          <w:rFonts w:ascii="Times New Roman" w:hAnsi="Times New Roman"/>
          <w:sz w:val="24"/>
          <w:lang w:eastAsia="de-DE"/>
        </w:rPr>
      </w:pPr>
      <w:r w:rsidRPr="00661595">
        <w:rPr>
          <w:rFonts w:ascii="Times New Roman" w:hAnsi="Times New Roman"/>
          <w:sz w:val="24"/>
          <w:lang w:eastAsia="de-DE"/>
        </w:rPr>
        <w:t>"NO" = in case the supervisory estimates of LGD and credit conversion factors are used (Foundation IRB)</w:t>
      </w:r>
    </w:p>
    <w:p w:rsidR="001C7AB7" w:rsidRPr="00661595" w:rsidRDefault="001C7AB7" w:rsidP="00AF3C69">
      <w:pPr>
        <w:autoSpaceDE w:val="0"/>
        <w:autoSpaceDN w:val="0"/>
        <w:adjustRightInd w:val="0"/>
        <w:spacing w:before="0" w:after="240"/>
        <w:ind w:left="993"/>
        <w:jc w:val="left"/>
        <w:rPr>
          <w:rFonts w:ascii="Times New Roman" w:hAnsi="Times New Roman"/>
          <w:sz w:val="24"/>
          <w:lang w:eastAsia="de-DE"/>
        </w:rPr>
      </w:pPr>
      <w:r w:rsidRPr="00661595">
        <w:rPr>
          <w:rFonts w:ascii="Times New Roman" w:hAnsi="Times New Roman"/>
          <w:sz w:val="24"/>
          <w:lang w:eastAsia="de-DE"/>
        </w:rPr>
        <w:t>"YES" = in case own estimates of LGD and credit conversion factors are used (Advanced IRB)</w:t>
      </w:r>
      <w:r w:rsidR="00AF3C69" w:rsidRPr="00661595">
        <w:rPr>
          <w:rFonts w:ascii="Times New Roman" w:hAnsi="Times New Roman"/>
          <w:sz w:val="24"/>
          <w:lang w:eastAsia="de-DE"/>
        </w:rPr>
        <w:t>. This includes all retail portfolios.</w:t>
      </w:r>
    </w:p>
    <w:p w:rsidR="001C7AB7" w:rsidRPr="00661595" w:rsidRDefault="001C7AB7" w:rsidP="00167619">
      <w:pPr>
        <w:autoSpaceDE w:val="0"/>
        <w:autoSpaceDN w:val="0"/>
        <w:adjustRightInd w:val="0"/>
        <w:spacing w:before="0" w:after="240"/>
        <w:ind w:left="993"/>
        <w:jc w:val="left"/>
        <w:rPr>
          <w:rFonts w:ascii="Times New Roman" w:hAnsi="Times New Roman"/>
          <w:sz w:val="24"/>
          <w:lang w:eastAsia="de-DE"/>
        </w:rPr>
      </w:pPr>
      <w:r w:rsidRPr="00661595">
        <w:rPr>
          <w:rFonts w:ascii="Times New Roman" w:hAnsi="Times New Roman"/>
          <w:sz w:val="24"/>
          <w:lang w:eastAsia="de-DE"/>
        </w:rPr>
        <w:t xml:space="preserve">In case an institution uses own estimates of LGDs to calculate </w:t>
      </w:r>
      <w:r w:rsidRPr="00661595">
        <w:rPr>
          <w:rStyle w:val="InstructionsTabelleText"/>
          <w:rFonts w:ascii="Times New Roman" w:hAnsi="Times New Roman"/>
          <w:sz w:val="24"/>
        </w:rPr>
        <w:t>risk weighted exposure amounts</w:t>
      </w:r>
      <w:r w:rsidRPr="00661595">
        <w:rPr>
          <w:rFonts w:ascii="Times New Roman" w:hAnsi="Times New Roman"/>
          <w:sz w:val="24"/>
          <w:lang w:eastAsia="de-DE"/>
        </w:rPr>
        <w:t xml:space="preserve"> for a part of its IRB exposures as well as supervisory LGDs to calculate </w:t>
      </w:r>
      <w:r w:rsidRPr="00661595">
        <w:rPr>
          <w:rStyle w:val="InstructionsTabelleText"/>
          <w:rFonts w:ascii="Times New Roman" w:hAnsi="Times New Roman"/>
          <w:sz w:val="24"/>
        </w:rPr>
        <w:t>risk weighted exposure amounts</w:t>
      </w:r>
      <w:r w:rsidRPr="00661595">
        <w:rPr>
          <w:rFonts w:ascii="Times New Roman" w:hAnsi="Times New Roman"/>
          <w:sz w:val="24"/>
          <w:lang w:eastAsia="de-DE"/>
        </w:rPr>
        <w:t xml:space="preserve"> for the other part of its IRB exposures, an CR IRB Total for F-IRB positions and one CR IRB Total for A-IRB positions has to be reported.</w:t>
      </w:r>
    </w:p>
    <w:p w:rsidR="001C7AB7"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222" w:name="_Toc262568037"/>
      <w:bookmarkStart w:id="223" w:name="_Toc264038435"/>
      <w:bookmarkStart w:id="224" w:name="_Toc295829865"/>
      <w:bookmarkStart w:id="225" w:name="_Toc308155142"/>
      <w:bookmarkStart w:id="226" w:name="_Toc310415028"/>
      <w:bookmarkStart w:id="227" w:name="_Toc360188359"/>
      <w:bookmarkStart w:id="228" w:name="_Toc473560908"/>
      <w:bookmarkStart w:id="229" w:name="_Toc57831548"/>
      <w:r w:rsidRPr="00661595">
        <w:rPr>
          <w:rFonts w:ascii="Times New Roman" w:hAnsi="Times New Roman" w:cs="Times New Roman"/>
          <w:sz w:val="24"/>
          <w:u w:val="none"/>
          <w:lang w:val="en-GB"/>
        </w:rPr>
        <w:t>3.3.2.</w:t>
      </w:r>
      <w:r w:rsidRPr="00661595">
        <w:rPr>
          <w:rFonts w:ascii="Times New Roman" w:hAnsi="Times New Roman" w:cs="Times New Roman"/>
          <w:sz w:val="24"/>
          <w:u w:val="none"/>
          <w:lang w:val="en-GB"/>
        </w:rPr>
        <w:tab/>
      </w:r>
      <w:r w:rsidR="001C7AB7" w:rsidRPr="00661595">
        <w:rPr>
          <w:rFonts w:ascii="Times New Roman" w:hAnsi="Times New Roman" w:cs="Times New Roman"/>
          <w:sz w:val="24"/>
          <w:lang w:val="en-GB"/>
        </w:rPr>
        <w:t>Breakdown of the CR IRB template</w:t>
      </w:r>
      <w:bookmarkEnd w:id="222"/>
      <w:bookmarkEnd w:id="223"/>
      <w:bookmarkEnd w:id="224"/>
      <w:bookmarkEnd w:id="225"/>
      <w:bookmarkEnd w:id="226"/>
      <w:bookmarkEnd w:id="227"/>
      <w:bookmarkEnd w:id="228"/>
      <w:bookmarkEnd w:id="229"/>
    </w:p>
    <w:p w:rsidR="001C7AB7" w:rsidRPr="00661595" w:rsidRDefault="00D11E4C" w:rsidP="00487A02">
      <w:pPr>
        <w:pStyle w:val="InstructionsText2"/>
        <w:numPr>
          <w:ilvl w:val="0"/>
          <w:numId w:val="0"/>
        </w:numPr>
        <w:ind w:left="1353" w:hanging="360"/>
      </w:pPr>
      <w:fldSimple w:instr=" seq paragraphs ">
        <w:r w:rsidR="00771068">
          <w:rPr>
            <w:noProof/>
          </w:rPr>
          <w:t>76</w:t>
        </w:r>
      </w:fldSimple>
      <w:r w:rsidR="00125707" w:rsidRPr="00661595">
        <w:t>.</w:t>
      </w:r>
      <w:r w:rsidR="00125707" w:rsidRPr="00661595">
        <w:tab/>
      </w:r>
      <w:r w:rsidR="001C7AB7" w:rsidRPr="00661595">
        <w:t xml:space="preserve">The CR IRB consists of </w:t>
      </w:r>
      <w:r w:rsidR="002D7779" w:rsidRPr="00661595">
        <w:t xml:space="preserve">seven </w:t>
      </w:r>
      <w:r w:rsidR="00480A69" w:rsidRPr="00661595">
        <w:t>template</w:t>
      </w:r>
      <w:r w:rsidR="001C7AB7" w:rsidRPr="00661595">
        <w:t xml:space="preserve">s. CR IRB 1 provides a general overview of IRB exposures and the different methods to calculate risk </w:t>
      </w:r>
      <w:r w:rsidR="00AF3C69" w:rsidRPr="00661595">
        <w:t xml:space="preserve">weighted </w:t>
      </w:r>
      <w:r w:rsidR="001C7AB7" w:rsidRPr="00661595">
        <w:t>exposure amounts as well as a breakdown of total exposures by exposure types. CR IRB 2 provides a breakdown of total exposures assigned to obligor grades or pools</w:t>
      </w:r>
      <w:r w:rsidR="00352A45" w:rsidRPr="00661595">
        <w:t xml:space="preserve"> (exposures reported under row </w:t>
      </w:r>
      <w:r w:rsidR="00AF3C69" w:rsidRPr="00661595">
        <w:t>0</w:t>
      </w:r>
      <w:r w:rsidR="00352A45" w:rsidRPr="00661595">
        <w:t>070 of CR IRB 1)</w:t>
      </w:r>
      <w:r w:rsidR="001C7AB7" w:rsidRPr="00661595">
        <w:t xml:space="preserve">. </w:t>
      </w:r>
      <w:r w:rsidR="008304E8" w:rsidRPr="00661595">
        <w:t xml:space="preserve">CR IRB 3 provides all relevant parameters used for the calculation of credit risk capital requirements for IRB models. CR IRB 4 presents a flow statement explaining changes in risk </w:t>
      </w:r>
      <w:r w:rsidR="00AF3C69" w:rsidRPr="00661595">
        <w:t>weighted exposure amounts</w:t>
      </w:r>
      <w:r w:rsidR="008304E8" w:rsidRPr="00661595">
        <w:t xml:space="preserve"> determined under the IRB approach for credit risk. CR IRB 5 provides information on the results of backtesting of PDs for the models reported.</w:t>
      </w:r>
      <w:r w:rsidR="0054122B">
        <w:t xml:space="preserve"> </w:t>
      </w:r>
      <w:r w:rsidR="008304E8" w:rsidRPr="00661595">
        <w:t>CR IRB 6 provides all relevant parameters used for the calculation of credit risk capital requirements under the slotting criteria for speciali</w:t>
      </w:r>
      <w:r w:rsidR="00E64990" w:rsidRPr="00661595">
        <w:t>s</w:t>
      </w:r>
      <w:r w:rsidR="008304E8" w:rsidRPr="00661595">
        <w:t>ed lending. CR IRB 7 provides an overview of percentage of exposure value subject to SA or IRB approaches for each relevant exposure class. The templates CR IRB 1, CR IRB 2, CR IRB 3 and CR IRB 5 shall be reported separately for the following exposure and sub-exposure classes:</w:t>
      </w:r>
    </w:p>
    <w:p w:rsidR="001C7AB7" w:rsidRPr="00661595" w:rsidRDefault="001C7AB7" w:rsidP="001C7AB7">
      <w:pPr>
        <w:autoSpaceDE w:val="0"/>
        <w:autoSpaceDN w:val="0"/>
        <w:adjustRightInd w:val="0"/>
        <w:spacing w:before="0" w:after="0"/>
        <w:ind w:left="1428" w:hanging="720"/>
        <w:jc w:val="left"/>
        <w:rPr>
          <w:rFonts w:ascii="Times New Roman" w:hAnsi="Times New Roman"/>
          <w:sz w:val="24"/>
          <w:lang w:eastAsia="de-DE"/>
        </w:rPr>
      </w:pPr>
      <w:r w:rsidRPr="00661595">
        <w:rPr>
          <w:rFonts w:ascii="Times New Roman" w:hAnsi="Times New Roman"/>
          <w:sz w:val="24"/>
          <w:lang w:eastAsia="de-DE"/>
        </w:rPr>
        <w:t>1)</w:t>
      </w:r>
      <w:r w:rsidRPr="00661595">
        <w:rPr>
          <w:rFonts w:ascii="Times New Roman" w:hAnsi="Times New Roman"/>
          <w:sz w:val="24"/>
          <w:lang w:eastAsia="de-DE"/>
        </w:rPr>
        <w:tab/>
        <w:t>Total</w:t>
      </w:r>
    </w:p>
    <w:p w:rsidR="001C7AB7" w:rsidRPr="00661595" w:rsidRDefault="001C7AB7" w:rsidP="001C7AB7">
      <w:pPr>
        <w:autoSpaceDE w:val="0"/>
        <w:autoSpaceDN w:val="0"/>
        <w:adjustRightInd w:val="0"/>
        <w:spacing w:before="0" w:after="0"/>
        <w:ind w:left="1428" w:hanging="720"/>
        <w:jc w:val="left"/>
        <w:rPr>
          <w:rFonts w:ascii="Times New Roman" w:hAnsi="Times New Roman"/>
          <w:sz w:val="24"/>
          <w:lang w:eastAsia="de-DE"/>
        </w:rPr>
      </w:pPr>
      <w:r w:rsidRPr="00661595">
        <w:rPr>
          <w:rFonts w:ascii="Times New Roman" w:hAnsi="Times New Roman"/>
          <w:sz w:val="24"/>
          <w:lang w:eastAsia="de-DE"/>
        </w:rPr>
        <w:tab/>
        <w:t xml:space="preserve">(The Total template must be reported for the Foundation IRB </w:t>
      </w:r>
      <w:r w:rsidR="00E64990" w:rsidRPr="00661595">
        <w:rPr>
          <w:rFonts w:ascii="Times New Roman" w:hAnsi="Times New Roman"/>
          <w:sz w:val="24"/>
          <w:lang w:eastAsia="de-DE"/>
        </w:rPr>
        <w:t xml:space="preserve">approach </w:t>
      </w:r>
      <w:r w:rsidRPr="00661595">
        <w:rPr>
          <w:rFonts w:ascii="Times New Roman" w:hAnsi="Times New Roman"/>
          <w:sz w:val="24"/>
          <w:lang w:eastAsia="de-DE"/>
        </w:rPr>
        <w:t xml:space="preserve">and, separately for the Advanced </w:t>
      </w:r>
      <w:r w:rsidR="008241B9" w:rsidRPr="00661595">
        <w:rPr>
          <w:rFonts w:ascii="Times New Roman" w:hAnsi="Times New Roman"/>
          <w:sz w:val="24"/>
          <w:lang w:eastAsia="de-DE"/>
        </w:rPr>
        <w:t xml:space="preserve">IRB </w:t>
      </w:r>
      <w:r w:rsidR="00E64990" w:rsidRPr="00661595">
        <w:rPr>
          <w:rFonts w:ascii="Times New Roman" w:hAnsi="Times New Roman"/>
          <w:sz w:val="24"/>
          <w:lang w:eastAsia="de-DE"/>
        </w:rPr>
        <w:t>approach</w:t>
      </w:r>
      <w:r w:rsidRPr="00661595">
        <w:rPr>
          <w:rFonts w:ascii="Times New Roman" w:hAnsi="Times New Roman"/>
          <w:sz w:val="24"/>
          <w:lang w:eastAsia="de-DE"/>
        </w:rPr>
        <w:t>.)</w:t>
      </w:r>
    </w:p>
    <w:p w:rsidR="001C7AB7" w:rsidRPr="00661595" w:rsidRDefault="001C7AB7" w:rsidP="001C7AB7">
      <w:pPr>
        <w:autoSpaceDE w:val="0"/>
        <w:autoSpaceDN w:val="0"/>
        <w:adjustRightInd w:val="0"/>
        <w:spacing w:before="0" w:after="0"/>
        <w:ind w:left="1428" w:hanging="720"/>
        <w:jc w:val="left"/>
        <w:rPr>
          <w:rFonts w:ascii="Times New Roman" w:hAnsi="Times New Roman"/>
          <w:sz w:val="24"/>
          <w:lang w:eastAsia="de-DE"/>
        </w:rPr>
      </w:pPr>
      <w:r w:rsidRPr="00661595">
        <w:rPr>
          <w:rFonts w:ascii="Times New Roman" w:hAnsi="Times New Roman"/>
          <w:sz w:val="24"/>
          <w:lang w:eastAsia="de-DE"/>
        </w:rPr>
        <w:t>2)</w:t>
      </w:r>
      <w:r w:rsidRPr="00661595">
        <w:rPr>
          <w:rFonts w:ascii="Times New Roman" w:hAnsi="Times New Roman"/>
          <w:sz w:val="24"/>
          <w:lang w:eastAsia="de-DE"/>
        </w:rPr>
        <w:tab/>
        <w:t xml:space="preserve">Central banks and central governments </w:t>
      </w:r>
    </w:p>
    <w:p w:rsidR="001C7AB7" w:rsidRPr="00661595" w:rsidRDefault="001C7AB7" w:rsidP="001C7AB7">
      <w:pPr>
        <w:autoSpaceDE w:val="0"/>
        <w:autoSpaceDN w:val="0"/>
        <w:adjustRightInd w:val="0"/>
        <w:spacing w:before="0" w:after="0"/>
        <w:ind w:left="1428"/>
        <w:jc w:val="left"/>
        <w:rPr>
          <w:rFonts w:ascii="Times New Roman" w:hAnsi="Times New Roman"/>
          <w:sz w:val="24"/>
          <w:lang w:eastAsia="de-DE"/>
        </w:rPr>
      </w:pPr>
      <w:r w:rsidRPr="00661595">
        <w:rPr>
          <w:rFonts w:ascii="Times New Roman" w:hAnsi="Times New Roman"/>
          <w:sz w:val="24"/>
          <w:lang w:eastAsia="de-DE"/>
        </w:rPr>
        <w:t>(</w:t>
      </w:r>
      <w:r w:rsidR="00D21B29" w:rsidRPr="00661595">
        <w:rPr>
          <w:rFonts w:ascii="Times New Roman" w:hAnsi="Times New Roman"/>
          <w:sz w:val="24"/>
          <w:lang w:eastAsia="de-DE"/>
        </w:rPr>
        <w:t xml:space="preserve">point (a) of </w:t>
      </w:r>
      <w:r w:rsidRPr="00661595">
        <w:rPr>
          <w:rFonts w:ascii="Times New Roman" w:hAnsi="Times New Roman"/>
          <w:sz w:val="24"/>
          <w:lang w:eastAsia="de-DE"/>
        </w:rPr>
        <w:t>Article 147(2) CRR)</w:t>
      </w:r>
    </w:p>
    <w:p w:rsidR="001C7AB7" w:rsidRPr="00661595" w:rsidRDefault="001C7AB7" w:rsidP="001C7AB7">
      <w:pPr>
        <w:autoSpaceDE w:val="0"/>
        <w:autoSpaceDN w:val="0"/>
        <w:adjustRightInd w:val="0"/>
        <w:spacing w:before="0" w:after="0"/>
        <w:ind w:left="708"/>
        <w:rPr>
          <w:rFonts w:ascii="Times New Roman" w:hAnsi="Times New Roman"/>
          <w:sz w:val="24"/>
        </w:rPr>
      </w:pPr>
      <w:r w:rsidRPr="00661595">
        <w:rPr>
          <w:rFonts w:ascii="Times New Roman" w:hAnsi="Times New Roman"/>
          <w:sz w:val="24"/>
        </w:rPr>
        <w:t>3)</w:t>
      </w:r>
      <w:r w:rsidRPr="00661595">
        <w:rPr>
          <w:rFonts w:ascii="Times New Roman" w:hAnsi="Times New Roman"/>
          <w:sz w:val="24"/>
        </w:rPr>
        <w:tab/>
        <w:t>Institutions</w:t>
      </w:r>
    </w:p>
    <w:p w:rsidR="001C7AB7" w:rsidRPr="00661595" w:rsidRDefault="001C7AB7" w:rsidP="001C7AB7">
      <w:pPr>
        <w:autoSpaceDE w:val="0"/>
        <w:autoSpaceDN w:val="0"/>
        <w:adjustRightInd w:val="0"/>
        <w:spacing w:before="0" w:after="0"/>
        <w:ind w:left="708" w:firstLine="720"/>
        <w:rPr>
          <w:rFonts w:ascii="Times New Roman" w:hAnsi="Times New Roman"/>
          <w:sz w:val="24"/>
        </w:rPr>
      </w:pPr>
      <w:r w:rsidRPr="00661595">
        <w:rPr>
          <w:rFonts w:ascii="Times New Roman" w:hAnsi="Times New Roman"/>
          <w:sz w:val="24"/>
        </w:rPr>
        <w:t>(</w:t>
      </w:r>
      <w:r w:rsidR="00D21B29" w:rsidRPr="00661595">
        <w:rPr>
          <w:rFonts w:ascii="Times New Roman" w:hAnsi="Times New Roman"/>
          <w:sz w:val="24"/>
        </w:rPr>
        <w:t xml:space="preserve">point (b) of </w:t>
      </w:r>
      <w:r w:rsidRPr="00661595">
        <w:rPr>
          <w:rFonts w:ascii="Times New Roman" w:hAnsi="Times New Roman"/>
          <w:sz w:val="24"/>
        </w:rPr>
        <w:t>Article 147(2) CRR)</w:t>
      </w:r>
    </w:p>
    <w:p w:rsidR="001C7AB7" w:rsidRPr="00661595" w:rsidRDefault="001C7AB7" w:rsidP="001C7AB7">
      <w:pPr>
        <w:autoSpaceDE w:val="0"/>
        <w:autoSpaceDN w:val="0"/>
        <w:adjustRightInd w:val="0"/>
        <w:spacing w:before="0" w:after="0"/>
        <w:ind w:left="1428" w:hanging="720"/>
        <w:jc w:val="left"/>
        <w:rPr>
          <w:rFonts w:ascii="Times New Roman" w:hAnsi="Times New Roman"/>
          <w:sz w:val="24"/>
        </w:rPr>
      </w:pPr>
      <w:r w:rsidRPr="00661595">
        <w:rPr>
          <w:rFonts w:ascii="Times New Roman" w:hAnsi="Times New Roman"/>
          <w:sz w:val="24"/>
        </w:rPr>
        <w:t>4.1)</w:t>
      </w:r>
      <w:r w:rsidRPr="00661595">
        <w:rPr>
          <w:rFonts w:ascii="Times New Roman" w:hAnsi="Times New Roman"/>
          <w:sz w:val="24"/>
        </w:rPr>
        <w:tab/>
        <w:t>Corporate – SME</w:t>
      </w:r>
    </w:p>
    <w:p w:rsidR="001C7AB7" w:rsidRPr="00661595" w:rsidRDefault="001C7AB7" w:rsidP="001C7AB7">
      <w:pPr>
        <w:autoSpaceDE w:val="0"/>
        <w:autoSpaceDN w:val="0"/>
        <w:adjustRightInd w:val="0"/>
        <w:spacing w:before="0" w:after="0"/>
        <w:ind w:left="1428"/>
        <w:jc w:val="left"/>
        <w:rPr>
          <w:rFonts w:ascii="Times New Roman" w:hAnsi="Times New Roman"/>
          <w:sz w:val="24"/>
        </w:rPr>
      </w:pPr>
      <w:r w:rsidRPr="00661595">
        <w:rPr>
          <w:rFonts w:ascii="Times New Roman" w:hAnsi="Times New Roman"/>
          <w:sz w:val="24"/>
        </w:rPr>
        <w:t>(</w:t>
      </w:r>
      <w:r w:rsidR="00D21B29" w:rsidRPr="00661595">
        <w:rPr>
          <w:rFonts w:ascii="Times New Roman" w:hAnsi="Times New Roman"/>
          <w:sz w:val="24"/>
        </w:rPr>
        <w:t xml:space="preserve">point (c) of </w:t>
      </w:r>
      <w:r w:rsidRPr="00661595">
        <w:rPr>
          <w:rFonts w:ascii="Times New Roman" w:hAnsi="Times New Roman"/>
          <w:sz w:val="24"/>
        </w:rPr>
        <w:t>Article 147(2) CRR</w:t>
      </w:r>
      <w:r w:rsidR="008304E8" w:rsidRPr="00661595">
        <w:rPr>
          <w:rFonts w:ascii="Times New Roman" w:hAnsi="Times New Roman"/>
          <w:sz w:val="24"/>
        </w:rPr>
        <w:t xml:space="preserve">). </w:t>
      </w:r>
      <w:r w:rsidR="008304E8" w:rsidRPr="00661595">
        <w:rPr>
          <w:rFonts w:ascii="Times New Roman" w:hAnsi="Times New Roman"/>
          <w:sz w:val="24"/>
          <w:lang w:eastAsia="de-DE"/>
        </w:rPr>
        <w:t>For the purpose of classification to this sub-exposure class</w:t>
      </w:r>
      <w:r w:rsidR="008304E8" w:rsidRPr="00661595" w:rsidDel="00F71C19">
        <w:rPr>
          <w:rFonts w:ascii="Times New Roman" w:hAnsi="Times New Roman"/>
          <w:sz w:val="24"/>
          <w:lang w:eastAsia="de-DE"/>
        </w:rPr>
        <w:t xml:space="preserve"> </w:t>
      </w:r>
      <w:r w:rsidR="008304E8" w:rsidRPr="00661595">
        <w:rPr>
          <w:rFonts w:ascii="Times New Roman" w:hAnsi="Times New Roman"/>
          <w:sz w:val="24"/>
          <w:lang w:eastAsia="de-DE"/>
        </w:rPr>
        <w:t xml:space="preserve">the reporting entities shall use their internal definition of SME as applied in internal risk management processes. </w:t>
      </w:r>
    </w:p>
    <w:p w:rsidR="001C7AB7" w:rsidRPr="00661595" w:rsidRDefault="001C7AB7" w:rsidP="001C7AB7">
      <w:pPr>
        <w:autoSpaceDE w:val="0"/>
        <w:autoSpaceDN w:val="0"/>
        <w:adjustRightInd w:val="0"/>
        <w:spacing w:before="0" w:after="0"/>
        <w:ind w:left="708"/>
        <w:jc w:val="left"/>
        <w:rPr>
          <w:rFonts w:ascii="Times New Roman" w:hAnsi="Times New Roman"/>
          <w:sz w:val="24"/>
          <w:lang w:eastAsia="de-DE"/>
        </w:rPr>
      </w:pPr>
      <w:r w:rsidRPr="00661595">
        <w:rPr>
          <w:rFonts w:ascii="Times New Roman" w:hAnsi="Times New Roman"/>
          <w:sz w:val="24"/>
          <w:lang w:eastAsia="de-DE"/>
        </w:rPr>
        <w:t>4.2)</w:t>
      </w:r>
      <w:r w:rsidRPr="00661595">
        <w:rPr>
          <w:rFonts w:ascii="Times New Roman" w:hAnsi="Times New Roman"/>
          <w:sz w:val="24"/>
          <w:lang w:eastAsia="de-DE"/>
        </w:rPr>
        <w:tab/>
        <w:t>Corporate – Specialised lending</w:t>
      </w:r>
    </w:p>
    <w:p w:rsidR="001C7AB7" w:rsidRPr="00661595" w:rsidRDefault="001C7AB7" w:rsidP="001C7AB7">
      <w:pPr>
        <w:autoSpaceDE w:val="0"/>
        <w:autoSpaceDN w:val="0"/>
        <w:adjustRightInd w:val="0"/>
        <w:spacing w:before="0" w:after="0"/>
        <w:ind w:left="1428"/>
        <w:jc w:val="left"/>
        <w:rPr>
          <w:rFonts w:ascii="Times New Roman" w:hAnsi="Times New Roman"/>
          <w:sz w:val="24"/>
          <w:lang w:eastAsia="de-DE"/>
        </w:rPr>
      </w:pPr>
      <w:r w:rsidRPr="00661595">
        <w:rPr>
          <w:rFonts w:ascii="Times New Roman" w:hAnsi="Times New Roman"/>
          <w:sz w:val="24"/>
          <w:lang w:eastAsia="de-DE"/>
        </w:rPr>
        <w:t>(Article 147(8) CRR)</w:t>
      </w:r>
    </w:p>
    <w:p w:rsidR="001C7AB7" w:rsidRPr="00661595" w:rsidRDefault="001C7AB7" w:rsidP="001C7AB7">
      <w:pPr>
        <w:autoSpaceDE w:val="0"/>
        <w:autoSpaceDN w:val="0"/>
        <w:adjustRightInd w:val="0"/>
        <w:spacing w:before="0" w:after="0"/>
        <w:ind w:left="708"/>
        <w:jc w:val="left"/>
        <w:rPr>
          <w:rFonts w:ascii="Times New Roman" w:hAnsi="Times New Roman"/>
          <w:sz w:val="24"/>
          <w:lang w:eastAsia="de-DE"/>
        </w:rPr>
      </w:pPr>
      <w:r w:rsidRPr="00661595">
        <w:rPr>
          <w:rFonts w:ascii="Times New Roman" w:hAnsi="Times New Roman"/>
          <w:sz w:val="24"/>
          <w:lang w:eastAsia="de-DE"/>
        </w:rPr>
        <w:t>4.3)</w:t>
      </w:r>
      <w:r w:rsidRPr="00661595">
        <w:rPr>
          <w:rFonts w:ascii="Times New Roman" w:hAnsi="Times New Roman"/>
          <w:sz w:val="24"/>
          <w:lang w:eastAsia="de-DE"/>
        </w:rPr>
        <w:tab/>
        <w:t xml:space="preserve">Corporate – Other </w:t>
      </w:r>
    </w:p>
    <w:p w:rsidR="001C7AB7" w:rsidRPr="00661595" w:rsidRDefault="001C7AB7" w:rsidP="001C7AB7">
      <w:pPr>
        <w:autoSpaceDE w:val="0"/>
        <w:autoSpaceDN w:val="0"/>
        <w:adjustRightInd w:val="0"/>
        <w:spacing w:before="0" w:after="0"/>
        <w:ind w:left="1428"/>
        <w:jc w:val="left"/>
        <w:rPr>
          <w:rFonts w:ascii="Times New Roman" w:hAnsi="Times New Roman"/>
          <w:sz w:val="24"/>
          <w:lang w:eastAsia="de-DE"/>
        </w:rPr>
      </w:pPr>
      <w:r w:rsidRPr="00661595">
        <w:rPr>
          <w:rFonts w:ascii="Times New Roman" w:hAnsi="Times New Roman"/>
          <w:sz w:val="24"/>
          <w:lang w:eastAsia="de-DE"/>
        </w:rPr>
        <w:t xml:space="preserve">(All </w:t>
      </w:r>
      <w:r w:rsidR="00167619" w:rsidRPr="00661595">
        <w:rPr>
          <w:rFonts w:ascii="Times New Roman" w:hAnsi="Times New Roman"/>
          <w:sz w:val="24"/>
          <w:lang w:eastAsia="de-DE"/>
        </w:rPr>
        <w:t xml:space="preserve">exposures to </w:t>
      </w:r>
      <w:r w:rsidRPr="00661595">
        <w:rPr>
          <w:rFonts w:ascii="Times New Roman" w:hAnsi="Times New Roman"/>
          <w:sz w:val="24"/>
          <w:lang w:eastAsia="de-DE"/>
        </w:rPr>
        <w:t xml:space="preserve">corporates </w:t>
      </w:r>
      <w:r w:rsidR="00167619" w:rsidRPr="00661595">
        <w:rPr>
          <w:rFonts w:ascii="Times New Roman" w:hAnsi="Times New Roman"/>
          <w:sz w:val="24"/>
          <w:lang w:eastAsia="de-DE"/>
        </w:rPr>
        <w:t xml:space="preserve">as referred to </w:t>
      </w:r>
      <w:r w:rsidR="00BB22D4" w:rsidRPr="00661595">
        <w:rPr>
          <w:rFonts w:ascii="Times New Roman" w:hAnsi="Times New Roman"/>
          <w:sz w:val="24"/>
          <w:lang w:eastAsia="de-DE"/>
        </w:rPr>
        <w:t xml:space="preserve">in </w:t>
      </w:r>
      <w:r w:rsidR="00D21B29" w:rsidRPr="00661595">
        <w:rPr>
          <w:rFonts w:ascii="Times New Roman" w:hAnsi="Times New Roman"/>
          <w:sz w:val="24"/>
          <w:lang w:eastAsia="de-DE"/>
        </w:rPr>
        <w:t xml:space="preserve">point (c) of Article </w:t>
      </w:r>
      <w:r w:rsidRPr="00661595">
        <w:rPr>
          <w:rFonts w:ascii="Times New Roman" w:hAnsi="Times New Roman"/>
          <w:sz w:val="24"/>
          <w:lang w:eastAsia="de-DE"/>
        </w:rPr>
        <w:t>147(2)</w:t>
      </w:r>
      <w:r w:rsidR="00BD4E13" w:rsidRPr="00661595">
        <w:rPr>
          <w:rFonts w:ascii="Times New Roman" w:hAnsi="Times New Roman"/>
          <w:sz w:val="24"/>
          <w:lang w:eastAsia="de-DE"/>
        </w:rPr>
        <w:t xml:space="preserve"> CRR</w:t>
      </w:r>
      <w:r w:rsidRPr="00661595">
        <w:rPr>
          <w:rFonts w:ascii="Times New Roman" w:hAnsi="Times New Roman"/>
          <w:sz w:val="24"/>
          <w:lang w:eastAsia="de-DE"/>
        </w:rPr>
        <w:t>, not reported under 4.1 and 4.2).</w:t>
      </w:r>
    </w:p>
    <w:p w:rsidR="001C7AB7" w:rsidRPr="00661595" w:rsidRDefault="001C7AB7" w:rsidP="001C7AB7">
      <w:pPr>
        <w:autoSpaceDE w:val="0"/>
        <w:autoSpaceDN w:val="0"/>
        <w:adjustRightInd w:val="0"/>
        <w:spacing w:before="0" w:after="0"/>
        <w:ind w:left="708"/>
        <w:jc w:val="left"/>
        <w:rPr>
          <w:rFonts w:ascii="Times New Roman" w:hAnsi="Times New Roman"/>
          <w:sz w:val="24"/>
          <w:lang w:eastAsia="de-DE"/>
        </w:rPr>
      </w:pPr>
      <w:r w:rsidRPr="00661595">
        <w:rPr>
          <w:rFonts w:ascii="Times New Roman" w:hAnsi="Times New Roman"/>
          <w:sz w:val="24"/>
          <w:lang w:eastAsia="de-DE"/>
        </w:rPr>
        <w:t>5.1)</w:t>
      </w:r>
      <w:r w:rsidRPr="00661595">
        <w:rPr>
          <w:rFonts w:ascii="Times New Roman" w:hAnsi="Times New Roman"/>
          <w:sz w:val="24"/>
          <w:lang w:eastAsia="de-DE"/>
        </w:rPr>
        <w:tab/>
        <w:t xml:space="preserve">Retail – Secured by </w:t>
      </w:r>
      <w:r w:rsidR="005E03B8" w:rsidRPr="00661595">
        <w:rPr>
          <w:rFonts w:ascii="Times New Roman" w:hAnsi="Times New Roman"/>
          <w:sz w:val="24"/>
          <w:lang w:eastAsia="de-DE"/>
        </w:rPr>
        <w:t xml:space="preserve">immovable property </w:t>
      </w:r>
      <w:r w:rsidRPr="00661595">
        <w:rPr>
          <w:rFonts w:ascii="Times New Roman" w:hAnsi="Times New Roman"/>
          <w:sz w:val="24"/>
          <w:lang w:eastAsia="de-DE"/>
        </w:rPr>
        <w:t>SME</w:t>
      </w:r>
    </w:p>
    <w:p w:rsidR="001C7AB7" w:rsidRPr="00661595" w:rsidRDefault="001C7AB7" w:rsidP="001C7AB7">
      <w:pPr>
        <w:autoSpaceDE w:val="0"/>
        <w:autoSpaceDN w:val="0"/>
        <w:adjustRightInd w:val="0"/>
        <w:spacing w:before="0" w:after="0"/>
        <w:ind w:left="1428"/>
        <w:jc w:val="left"/>
        <w:rPr>
          <w:rFonts w:ascii="Times New Roman" w:hAnsi="Times New Roman"/>
          <w:sz w:val="24"/>
          <w:lang w:eastAsia="de-DE"/>
        </w:rPr>
      </w:pPr>
      <w:r w:rsidRPr="00661595">
        <w:rPr>
          <w:rFonts w:ascii="Times New Roman" w:hAnsi="Times New Roman"/>
          <w:sz w:val="24"/>
          <w:lang w:eastAsia="de-DE"/>
        </w:rPr>
        <w:t>(</w:t>
      </w:r>
      <w:r w:rsidR="00167619" w:rsidRPr="00661595">
        <w:rPr>
          <w:rFonts w:ascii="Times New Roman" w:hAnsi="Times New Roman"/>
          <w:sz w:val="24"/>
          <w:lang w:eastAsia="de-DE"/>
        </w:rPr>
        <w:t>Retail e</w:t>
      </w:r>
      <w:r w:rsidRPr="00661595">
        <w:rPr>
          <w:rFonts w:ascii="Times New Roman" w:hAnsi="Times New Roman"/>
          <w:sz w:val="24"/>
          <w:lang w:eastAsia="de-DE"/>
        </w:rPr>
        <w:t xml:space="preserve">xposures </w:t>
      </w:r>
      <w:r w:rsidR="00167619" w:rsidRPr="00661595">
        <w:rPr>
          <w:rFonts w:ascii="Times New Roman" w:hAnsi="Times New Roman"/>
          <w:sz w:val="24"/>
          <w:lang w:eastAsia="de-DE"/>
        </w:rPr>
        <w:t xml:space="preserve">as referred to in </w:t>
      </w:r>
      <w:r w:rsidR="00D21B29" w:rsidRPr="00661595">
        <w:rPr>
          <w:rFonts w:ascii="Times New Roman" w:hAnsi="Times New Roman"/>
          <w:sz w:val="24"/>
          <w:lang w:eastAsia="de-DE"/>
        </w:rPr>
        <w:t xml:space="preserve">point (d) </w:t>
      </w:r>
      <w:r w:rsidR="00D21B29" w:rsidRPr="00661595">
        <w:rPr>
          <w:rFonts w:ascii="Times New Roman" w:hAnsi="Times New Roman"/>
          <w:sz w:val="24"/>
        </w:rPr>
        <w:t xml:space="preserve">of </w:t>
      </w:r>
      <w:r w:rsidRPr="00661595">
        <w:rPr>
          <w:rFonts w:ascii="Times New Roman" w:hAnsi="Times New Roman"/>
          <w:sz w:val="24"/>
          <w:lang w:eastAsia="de-DE"/>
        </w:rPr>
        <w:t xml:space="preserve">Article 147(2) </w:t>
      </w:r>
      <w:r w:rsidR="00BD4E13" w:rsidRPr="00661595">
        <w:rPr>
          <w:rFonts w:ascii="Times New Roman" w:hAnsi="Times New Roman"/>
          <w:sz w:val="24"/>
          <w:lang w:eastAsia="de-DE"/>
        </w:rPr>
        <w:t xml:space="preserve">CRR </w:t>
      </w:r>
      <w:r w:rsidRPr="00661595">
        <w:rPr>
          <w:rFonts w:ascii="Times New Roman" w:hAnsi="Times New Roman"/>
          <w:sz w:val="24"/>
          <w:lang w:eastAsia="de-DE"/>
        </w:rPr>
        <w:t>in conjunction with Article 154(3)</w:t>
      </w:r>
      <w:r w:rsidR="00260AA2" w:rsidRPr="00661595">
        <w:rPr>
          <w:rFonts w:ascii="Times New Roman" w:hAnsi="Times New Roman"/>
          <w:sz w:val="24"/>
          <w:lang w:eastAsia="de-DE"/>
        </w:rPr>
        <w:t xml:space="preserve"> </w:t>
      </w:r>
      <w:r w:rsidRPr="00661595">
        <w:rPr>
          <w:rFonts w:ascii="Times New Roman" w:hAnsi="Times New Roman"/>
          <w:sz w:val="24"/>
          <w:lang w:eastAsia="de-DE"/>
        </w:rPr>
        <w:t>CRR which are secured by</w:t>
      </w:r>
      <w:r w:rsidR="00BA6384" w:rsidRPr="00661595">
        <w:rPr>
          <w:rFonts w:ascii="Times New Roman" w:hAnsi="Times New Roman"/>
          <w:sz w:val="24"/>
          <w:lang w:eastAsia="de-DE"/>
        </w:rPr>
        <w:t xml:space="preserve"> </w:t>
      </w:r>
      <w:r w:rsidR="005E03B8" w:rsidRPr="00661595">
        <w:rPr>
          <w:rFonts w:ascii="Times New Roman" w:hAnsi="Times New Roman"/>
          <w:sz w:val="24"/>
          <w:lang w:eastAsia="de-DE"/>
        </w:rPr>
        <w:t>immovable property</w:t>
      </w:r>
      <w:r w:rsidRPr="00661595">
        <w:rPr>
          <w:rFonts w:ascii="Times New Roman" w:hAnsi="Times New Roman"/>
          <w:sz w:val="24"/>
          <w:lang w:eastAsia="de-DE"/>
        </w:rPr>
        <w:t>).</w:t>
      </w:r>
      <w:r w:rsidR="008304E8" w:rsidRPr="00661595">
        <w:rPr>
          <w:rFonts w:ascii="Times New Roman" w:hAnsi="Times New Roman"/>
          <w:sz w:val="24"/>
          <w:lang w:eastAsia="de-DE"/>
        </w:rPr>
        <w:t xml:space="preserve"> For the purpose of classification to this sub-exposure class</w:t>
      </w:r>
      <w:r w:rsidR="008304E8" w:rsidRPr="00661595" w:rsidDel="00F71C19">
        <w:rPr>
          <w:rFonts w:ascii="Times New Roman" w:hAnsi="Times New Roman"/>
          <w:sz w:val="24"/>
          <w:lang w:eastAsia="de-DE"/>
        </w:rPr>
        <w:t xml:space="preserve"> </w:t>
      </w:r>
      <w:r w:rsidR="008304E8" w:rsidRPr="00661595">
        <w:rPr>
          <w:rFonts w:ascii="Times New Roman" w:hAnsi="Times New Roman"/>
          <w:sz w:val="24"/>
          <w:lang w:eastAsia="de-DE"/>
        </w:rPr>
        <w:t>the reporting entities shall use their internal definition of SME as applied in internal risk management processes.</w:t>
      </w:r>
    </w:p>
    <w:p w:rsidR="001C7AB7" w:rsidRPr="00661595" w:rsidRDefault="001C7AB7" w:rsidP="001C7AB7">
      <w:pPr>
        <w:autoSpaceDE w:val="0"/>
        <w:autoSpaceDN w:val="0"/>
        <w:adjustRightInd w:val="0"/>
        <w:spacing w:before="0" w:after="0"/>
        <w:ind w:left="708"/>
        <w:jc w:val="left"/>
        <w:rPr>
          <w:rFonts w:ascii="Times New Roman" w:hAnsi="Times New Roman"/>
          <w:sz w:val="24"/>
          <w:lang w:eastAsia="de-DE"/>
        </w:rPr>
      </w:pPr>
      <w:r w:rsidRPr="00661595">
        <w:rPr>
          <w:rFonts w:ascii="Times New Roman" w:hAnsi="Times New Roman"/>
          <w:sz w:val="24"/>
          <w:lang w:eastAsia="de-DE"/>
        </w:rPr>
        <w:t>5.2)</w:t>
      </w:r>
      <w:r w:rsidRPr="00661595">
        <w:rPr>
          <w:rFonts w:ascii="Times New Roman" w:hAnsi="Times New Roman"/>
          <w:sz w:val="24"/>
          <w:lang w:eastAsia="de-DE"/>
        </w:rPr>
        <w:tab/>
        <w:t xml:space="preserve">Retail – Secured by </w:t>
      </w:r>
      <w:r w:rsidR="005E03B8" w:rsidRPr="00661595">
        <w:rPr>
          <w:rFonts w:ascii="Times New Roman" w:hAnsi="Times New Roman"/>
          <w:sz w:val="24"/>
          <w:lang w:eastAsia="de-DE"/>
        </w:rPr>
        <w:t xml:space="preserve">immovable property </w:t>
      </w:r>
      <w:r w:rsidRPr="00661595">
        <w:rPr>
          <w:rFonts w:ascii="Times New Roman" w:hAnsi="Times New Roman"/>
          <w:sz w:val="24"/>
          <w:lang w:eastAsia="de-DE"/>
        </w:rPr>
        <w:t>non-SME</w:t>
      </w:r>
    </w:p>
    <w:p w:rsidR="001C7AB7" w:rsidRPr="00661595" w:rsidRDefault="001C7AB7" w:rsidP="001C7AB7">
      <w:pPr>
        <w:autoSpaceDE w:val="0"/>
        <w:autoSpaceDN w:val="0"/>
        <w:adjustRightInd w:val="0"/>
        <w:spacing w:before="0" w:after="0"/>
        <w:ind w:left="1428"/>
        <w:jc w:val="left"/>
        <w:rPr>
          <w:rFonts w:ascii="Times New Roman" w:hAnsi="Times New Roman"/>
          <w:sz w:val="24"/>
          <w:lang w:eastAsia="de-DE"/>
        </w:rPr>
      </w:pPr>
      <w:r w:rsidRPr="00661595">
        <w:rPr>
          <w:rFonts w:ascii="Times New Roman" w:hAnsi="Times New Roman"/>
          <w:sz w:val="24"/>
          <w:lang w:eastAsia="de-DE"/>
        </w:rPr>
        <w:t>(</w:t>
      </w:r>
      <w:r w:rsidR="00167619" w:rsidRPr="00661595">
        <w:rPr>
          <w:rFonts w:ascii="Times New Roman" w:hAnsi="Times New Roman"/>
          <w:sz w:val="24"/>
          <w:lang w:eastAsia="de-DE"/>
        </w:rPr>
        <w:t>Retail e</w:t>
      </w:r>
      <w:r w:rsidRPr="00661595">
        <w:rPr>
          <w:rFonts w:ascii="Times New Roman" w:hAnsi="Times New Roman"/>
          <w:sz w:val="24"/>
          <w:lang w:eastAsia="de-DE"/>
        </w:rPr>
        <w:t xml:space="preserve">xposures </w:t>
      </w:r>
      <w:r w:rsidR="00BD6DB9" w:rsidRPr="00661595">
        <w:rPr>
          <w:rFonts w:ascii="Times New Roman" w:hAnsi="Times New Roman"/>
          <w:sz w:val="24"/>
          <w:lang w:eastAsia="de-DE"/>
        </w:rPr>
        <w:t>as referred to in</w:t>
      </w:r>
      <w:r w:rsidRPr="00661595">
        <w:rPr>
          <w:rFonts w:ascii="Times New Roman" w:hAnsi="Times New Roman"/>
          <w:sz w:val="24"/>
          <w:lang w:eastAsia="de-DE"/>
        </w:rPr>
        <w:t xml:space="preserve"> </w:t>
      </w:r>
      <w:r w:rsidR="00D21B29" w:rsidRPr="00661595">
        <w:rPr>
          <w:rFonts w:ascii="Times New Roman" w:hAnsi="Times New Roman"/>
          <w:sz w:val="24"/>
          <w:lang w:eastAsia="de-DE"/>
        </w:rPr>
        <w:t xml:space="preserve">point (d) of </w:t>
      </w:r>
      <w:r w:rsidRPr="00661595">
        <w:rPr>
          <w:rFonts w:ascii="Times New Roman" w:hAnsi="Times New Roman"/>
          <w:sz w:val="24"/>
          <w:lang w:eastAsia="de-DE"/>
        </w:rPr>
        <w:t xml:space="preserve">Article 147(2) CRR which are secured by </w:t>
      </w:r>
      <w:r w:rsidR="005E03B8" w:rsidRPr="00661595">
        <w:rPr>
          <w:rFonts w:ascii="Times New Roman" w:hAnsi="Times New Roman"/>
          <w:sz w:val="24"/>
          <w:lang w:eastAsia="de-DE"/>
        </w:rPr>
        <w:t xml:space="preserve">immovable property </w:t>
      </w:r>
      <w:r w:rsidRPr="00661595">
        <w:rPr>
          <w:rFonts w:ascii="Times New Roman" w:hAnsi="Times New Roman"/>
          <w:sz w:val="24"/>
          <w:lang w:eastAsia="de-DE"/>
        </w:rPr>
        <w:t>and not reported under 5.1).</w:t>
      </w:r>
    </w:p>
    <w:p w:rsidR="008304E8" w:rsidRPr="00661595" w:rsidRDefault="008304E8" w:rsidP="008304E8">
      <w:pPr>
        <w:autoSpaceDE w:val="0"/>
        <w:autoSpaceDN w:val="0"/>
        <w:adjustRightInd w:val="0"/>
        <w:spacing w:before="0" w:after="0"/>
        <w:ind w:left="1416"/>
        <w:rPr>
          <w:rFonts w:ascii="Times New Roman" w:hAnsi="Times New Roman"/>
          <w:sz w:val="24"/>
          <w:lang w:eastAsia="de-DE"/>
        </w:rPr>
      </w:pPr>
      <w:r w:rsidRPr="00661595">
        <w:rPr>
          <w:rFonts w:ascii="Times New Roman" w:hAnsi="Times New Roman"/>
          <w:sz w:val="24"/>
          <w:lang w:eastAsia="de-DE"/>
        </w:rPr>
        <w:t xml:space="preserve">Under 5.1 and 5.2, retail exposures secured by immovable property shall be considered any retail exposures secured by immovable property recognised as collateral, regardless of the ratio of the value of collateral to the exposure or of the purpose of the loan. </w:t>
      </w:r>
    </w:p>
    <w:p w:rsidR="001C7AB7" w:rsidRPr="00661595" w:rsidRDefault="001C7AB7" w:rsidP="001C7AB7">
      <w:pPr>
        <w:autoSpaceDE w:val="0"/>
        <w:autoSpaceDN w:val="0"/>
        <w:adjustRightInd w:val="0"/>
        <w:spacing w:before="0" w:after="0"/>
        <w:ind w:left="708"/>
        <w:jc w:val="left"/>
        <w:rPr>
          <w:rFonts w:ascii="Times New Roman" w:hAnsi="Times New Roman"/>
          <w:sz w:val="24"/>
          <w:lang w:eastAsia="de-DE"/>
        </w:rPr>
      </w:pPr>
      <w:r w:rsidRPr="00661595">
        <w:rPr>
          <w:rFonts w:ascii="Times New Roman" w:hAnsi="Times New Roman"/>
          <w:sz w:val="24"/>
          <w:lang w:eastAsia="de-DE"/>
        </w:rPr>
        <w:t>5.3)</w:t>
      </w:r>
      <w:r w:rsidRPr="00661595">
        <w:rPr>
          <w:rFonts w:ascii="Times New Roman" w:hAnsi="Times New Roman"/>
          <w:sz w:val="24"/>
          <w:lang w:eastAsia="de-DE"/>
        </w:rPr>
        <w:tab/>
        <w:t>Retail – Qualifying revolving</w:t>
      </w:r>
    </w:p>
    <w:p w:rsidR="001C7AB7" w:rsidRPr="00661595" w:rsidRDefault="001C7AB7" w:rsidP="001C7AB7">
      <w:pPr>
        <w:autoSpaceDE w:val="0"/>
        <w:autoSpaceDN w:val="0"/>
        <w:adjustRightInd w:val="0"/>
        <w:spacing w:before="0" w:after="0"/>
        <w:ind w:left="1428"/>
        <w:jc w:val="left"/>
        <w:rPr>
          <w:rFonts w:ascii="Times New Roman" w:hAnsi="Times New Roman"/>
          <w:sz w:val="24"/>
          <w:lang w:eastAsia="de-DE"/>
        </w:rPr>
      </w:pPr>
      <w:r w:rsidRPr="00661595">
        <w:rPr>
          <w:rFonts w:ascii="Times New Roman" w:hAnsi="Times New Roman"/>
          <w:sz w:val="24"/>
          <w:lang w:eastAsia="de-DE"/>
        </w:rPr>
        <w:t>(</w:t>
      </w:r>
      <w:r w:rsidR="00BD6DB9" w:rsidRPr="00661595">
        <w:rPr>
          <w:rFonts w:ascii="Times New Roman" w:hAnsi="Times New Roman"/>
          <w:sz w:val="24"/>
          <w:lang w:eastAsia="de-DE"/>
        </w:rPr>
        <w:t xml:space="preserve">Retail exposures as referred to in </w:t>
      </w:r>
      <w:r w:rsidR="00D21B29" w:rsidRPr="00661595">
        <w:rPr>
          <w:rFonts w:ascii="Times New Roman" w:hAnsi="Times New Roman"/>
          <w:sz w:val="24"/>
          <w:lang w:eastAsia="de-DE"/>
        </w:rPr>
        <w:t xml:space="preserve">point (d) of </w:t>
      </w:r>
      <w:r w:rsidRPr="00661595">
        <w:rPr>
          <w:rFonts w:ascii="Times New Roman" w:hAnsi="Times New Roman"/>
          <w:sz w:val="24"/>
          <w:lang w:eastAsia="de-DE"/>
        </w:rPr>
        <w:t xml:space="preserve">Article 147(2) </w:t>
      </w:r>
      <w:r w:rsidR="00BD4E13" w:rsidRPr="00661595">
        <w:rPr>
          <w:rFonts w:ascii="Times New Roman" w:hAnsi="Times New Roman"/>
          <w:sz w:val="24"/>
          <w:lang w:eastAsia="de-DE"/>
        </w:rPr>
        <w:t xml:space="preserve">CRR </w:t>
      </w:r>
      <w:r w:rsidRPr="00661595">
        <w:rPr>
          <w:rFonts w:ascii="Times New Roman" w:hAnsi="Times New Roman"/>
          <w:sz w:val="24"/>
          <w:lang w:eastAsia="de-DE"/>
        </w:rPr>
        <w:t xml:space="preserve">in conjunction with Article 154(4) CRR). </w:t>
      </w:r>
    </w:p>
    <w:p w:rsidR="001C7AB7" w:rsidRPr="00661595" w:rsidRDefault="001C7AB7" w:rsidP="001C7AB7">
      <w:pPr>
        <w:autoSpaceDE w:val="0"/>
        <w:autoSpaceDN w:val="0"/>
        <w:adjustRightInd w:val="0"/>
        <w:spacing w:before="0" w:after="0"/>
        <w:ind w:left="708"/>
        <w:jc w:val="left"/>
        <w:rPr>
          <w:rFonts w:ascii="Times New Roman" w:hAnsi="Times New Roman"/>
          <w:sz w:val="24"/>
          <w:lang w:eastAsia="de-DE"/>
        </w:rPr>
      </w:pPr>
      <w:r w:rsidRPr="00661595">
        <w:rPr>
          <w:rFonts w:ascii="Times New Roman" w:hAnsi="Times New Roman"/>
          <w:sz w:val="24"/>
          <w:lang w:eastAsia="de-DE"/>
        </w:rPr>
        <w:t>5.4)</w:t>
      </w:r>
      <w:r w:rsidRPr="00661595">
        <w:rPr>
          <w:rFonts w:ascii="Times New Roman" w:hAnsi="Times New Roman"/>
          <w:sz w:val="24"/>
          <w:lang w:eastAsia="de-DE"/>
        </w:rPr>
        <w:tab/>
        <w:t>Retail – Other SME</w:t>
      </w:r>
    </w:p>
    <w:p w:rsidR="001C7AB7" w:rsidRPr="00661595" w:rsidRDefault="001C7AB7" w:rsidP="001C7AB7">
      <w:pPr>
        <w:autoSpaceDE w:val="0"/>
        <w:autoSpaceDN w:val="0"/>
        <w:adjustRightInd w:val="0"/>
        <w:spacing w:before="0" w:after="0"/>
        <w:ind w:left="1428"/>
        <w:jc w:val="left"/>
        <w:rPr>
          <w:rFonts w:ascii="Times New Roman" w:hAnsi="Times New Roman"/>
          <w:sz w:val="24"/>
          <w:lang w:eastAsia="de-DE"/>
        </w:rPr>
      </w:pPr>
      <w:r w:rsidRPr="00661595">
        <w:rPr>
          <w:rFonts w:ascii="Times New Roman" w:hAnsi="Times New Roman"/>
          <w:sz w:val="24"/>
          <w:lang w:eastAsia="de-DE"/>
        </w:rPr>
        <w:t>(</w:t>
      </w:r>
      <w:r w:rsidR="00BD6DB9" w:rsidRPr="00661595">
        <w:rPr>
          <w:rFonts w:ascii="Times New Roman" w:hAnsi="Times New Roman"/>
          <w:sz w:val="24"/>
          <w:lang w:eastAsia="de-DE"/>
        </w:rPr>
        <w:t xml:space="preserve">Retail exposures as referred to in </w:t>
      </w:r>
      <w:r w:rsidR="00D21B29" w:rsidRPr="00661595">
        <w:rPr>
          <w:rFonts w:ascii="Times New Roman" w:hAnsi="Times New Roman"/>
          <w:sz w:val="24"/>
          <w:lang w:eastAsia="de-DE"/>
        </w:rPr>
        <w:t xml:space="preserve">point (d) of </w:t>
      </w:r>
      <w:r w:rsidRPr="00661595">
        <w:rPr>
          <w:rFonts w:ascii="Times New Roman" w:hAnsi="Times New Roman"/>
          <w:sz w:val="24"/>
          <w:lang w:eastAsia="de-DE"/>
        </w:rPr>
        <w:t xml:space="preserve">Article 147(2) </w:t>
      </w:r>
      <w:r w:rsidR="00BD4E13" w:rsidRPr="00661595">
        <w:rPr>
          <w:rFonts w:ascii="Times New Roman" w:hAnsi="Times New Roman"/>
          <w:sz w:val="24"/>
          <w:lang w:eastAsia="de-DE"/>
        </w:rPr>
        <w:t xml:space="preserve">CRR </w:t>
      </w:r>
      <w:r w:rsidRPr="00661595">
        <w:rPr>
          <w:rFonts w:ascii="Times New Roman" w:hAnsi="Times New Roman"/>
          <w:sz w:val="24"/>
          <w:lang w:eastAsia="de-DE"/>
        </w:rPr>
        <w:t>not reported under 5.1 and 5.3).</w:t>
      </w:r>
      <w:r w:rsidR="008304E8" w:rsidRPr="00661595">
        <w:rPr>
          <w:rFonts w:ascii="Times New Roman" w:hAnsi="Times New Roman"/>
          <w:sz w:val="24"/>
          <w:lang w:eastAsia="de-DE"/>
        </w:rPr>
        <w:t xml:space="preserve"> For the purpose of classification to this sub-exposure class</w:t>
      </w:r>
      <w:r w:rsidR="008304E8" w:rsidRPr="00661595" w:rsidDel="00F71C19">
        <w:rPr>
          <w:rFonts w:ascii="Times New Roman" w:hAnsi="Times New Roman"/>
          <w:sz w:val="24"/>
          <w:lang w:eastAsia="de-DE"/>
        </w:rPr>
        <w:t xml:space="preserve"> </w:t>
      </w:r>
      <w:r w:rsidR="008304E8" w:rsidRPr="00661595">
        <w:rPr>
          <w:rFonts w:ascii="Times New Roman" w:hAnsi="Times New Roman"/>
          <w:sz w:val="24"/>
          <w:lang w:eastAsia="de-DE"/>
        </w:rPr>
        <w:t>the reporting entities shall use their internal definition of SME as applied in internal risk management processes.</w:t>
      </w:r>
    </w:p>
    <w:p w:rsidR="001C7AB7" w:rsidRPr="00661595" w:rsidRDefault="00125707" w:rsidP="0023700C">
      <w:pPr>
        <w:pStyle w:val="ListParagraph1"/>
        <w:autoSpaceDE w:val="0"/>
        <w:autoSpaceDN w:val="0"/>
        <w:adjustRightInd w:val="0"/>
        <w:spacing w:before="0" w:after="0"/>
        <w:ind w:left="1428" w:hanging="720"/>
        <w:jc w:val="left"/>
        <w:rPr>
          <w:rFonts w:ascii="Times New Roman" w:hAnsi="Times New Roman"/>
          <w:sz w:val="24"/>
          <w:lang w:eastAsia="de-DE"/>
        </w:rPr>
      </w:pPr>
      <w:r w:rsidRPr="00661595">
        <w:rPr>
          <w:rFonts w:ascii="Times New Roman" w:hAnsi="Times New Roman"/>
          <w:sz w:val="24"/>
          <w:lang w:eastAsia="de-DE"/>
        </w:rPr>
        <w:t>5.5)</w:t>
      </w:r>
      <w:r w:rsidRPr="00661595">
        <w:rPr>
          <w:rFonts w:ascii="Times New Roman" w:hAnsi="Times New Roman"/>
          <w:sz w:val="24"/>
          <w:lang w:eastAsia="de-DE"/>
        </w:rPr>
        <w:tab/>
      </w:r>
      <w:r w:rsidR="001C7AB7" w:rsidRPr="00661595">
        <w:rPr>
          <w:rFonts w:ascii="Times New Roman" w:hAnsi="Times New Roman"/>
          <w:sz w:val="24"/>
          <w:lang w:eastAsia="de-DE"/>
        </w:rPr>
        <w:t>Retail – Other non – SME</w:t>
      </w:r>
    </w:p>
    <w:p w:rsidR="001C7AB7" w:rsidRPr="00661595" w:rsidRDefault="001C7AB7" w:rsidP="001C7AB7">
      <w:pPr>
        <w:autoSpaceDE w:val="0"/>
        <w:autoSpaceDN w:val="0"/>
        <w:adjustRightInd w:val="0"/>
        <w:spacing w:before="0" w:after="0"/>
        <w:ind w:left="1428"/>
        <w:jc w:val="left"/>
        <w:rPr>
          <w:rFonts w:ascii="Times New Roman" w:hAnsi="Times New Roman"/>
          <w:sz w:val="24"/>
          <w:lang w:eastAsia="de-DE"/>
        </w:rPr>
      </w:pPr>
      <w:r w:rsidRPr="00661595">
        <w:rPr>
          <w:rFonts w:ascii="Times New Roman" w:hAnsi="Times New Roman"/>
          <w:sz w:val="24"/>
          <w:lang w:eastAsia="de-DE"/>
        </w:rPr>
        <w:t>(</w:t>
      </w:r>
      <w:r w:rsidR="00BD6DB9" w:rsidRPr="00661595">
        <w:rPr>
          <w:rFonts w:ascii="Times New Roman" w:hAnsi="Times New Roman"/>
          <w:sz w:val="24"/>
          <w:lang w:eastAsia="de-DE"/>
        </w:rPr>
        <w:t xml:space="preserve">Retail exposures as referred to in </w:t>
      </w:r>
      <w:r w:rsidR="00D21B29" w:rsidRPr="00661595">
        <w:rPr>
          <w:rFonts w:ascii="Times New Roman" w:hAnsi="Times New Roman"/>
          <w:sz w:val="24"/>
          <w:lang w:eastAsia="de-DE"/>
        </w:rPr>
        <w:t xml:space="preserve">point (d) of </w:t>
      </w:r>
      <w:r w:rsidRPr="00661595">
        <w:rPr>
          <w:rFonts w:ascii="Times New Roman" w:hAnsi="Times New Roman"/>
          <w:sz w:val="24"/>
          <w:lang w:eastAsia="de-DE"/>
        </w:rPr>
        <w:t>Article 147(2) CRR which were not reported under 5.2 and 5.3).</w:t>
      </w:r>
    </w:p>
    <w:p w:rsidR="001C7AB7" w:rsidRPr="00661595" w:rsidRDefault="001C7AB7" w:rsidP="001C7AB7">
      <w:pPr>
        <w:autoSpaceDE w:val="0"/>
        <w:autoSpaceDN w:val="0"/>
        <w:adjustRightInd w:val="0"/>
        <w:spacing w:before="0" w:after="240"/>
        <w:jc w:val="left"/>
        <w:rPr>
          <w:rFonts w:ascii="Times New Roman" w:hAnsi="Times New Roman"/>
          <w:sz w:val="24"/>
          <w:lang w:eastAsia="de-DE"/>
        </w:rPr>
      </w:pPr>
    </w:p>
    <w:p w:rsidR="00206687"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230" w:name="_Toc473560909"/>
      <w:bookmarkStart w:id="231" w:name="_Toc57831549"/>
      <w:bookmarkStart w:id="232" w:name="_Toc239157380"/>
      <w:bookmarkStart w:id="233" w:name="_Toc262568038"/>
      <w:bookmarkStart w:id="234" w:name="_Toc264038436"/>
      <w:bookmarkStart w:id="235" w:name="_Toc295829866"/>
      <w:bookmarkStart w:id="236" w:name="_Toc308155143"/>
      <w:bookmarkStart w:id="237" w:name="_Toc310415030"/>
      <w:bookmarkStart w:id="238" w:name="_Toc360188360"/>
      <w:r w:rsidRPr="00661595">
        <w:rPr>
          <w:rFonts w:ascii="Times New Roman" w:hAnsi="Times New Roman" w:cs="Times New Roman"/>
          <w:sz w:val="24"/>
          <w:u w:val="none"/>
          <w:lang w:val="en-GB"/>
        </w:rPr>
        <w:t>3.3.3.</w:t>
      </w:r>
      <w:r w:rsidRPr="00661595">
        <w:rPr>
          <w:rFonts w:ascii="Times New Roman" w:hAnsi="Times New Roman" w:cs="Times New Roman"/>
          <w:sz w:val="24"/>
          <w:u w:val="none"/>
          <w:lang w:val="en-GB"/>
        </w:rPr>
        <w:tab/>
      </w:r>
      <w:r w:rsidR="00FC20DD" w:rsidRPr="00661595">
        <w:rPr>
          <w:rFonts w:ascii="Times New Roman" w:hAnsi="Times New Roman" w:cs="Times New Roman"/>
          <w:sz w:val="24"/>
          <w:lang w:val="en-GB"/>
        </w:rPr>
        <w:t xml:space="preserve">C 08.01 - </w:t>
      </w:r>
      <w:r w:rsidR="00EC53E0" w:rsidRPr="00661595">
        <w:rPr>
          <w:rFonts w:ascii="Times New Roman" w:hAnsi="Times New Roman" w:cs="Times New Roman"/>
          <w:sz w:val="24"/>
          <w:lang w:val="en-GB"/>
        </w:rPr>
        <w:t xml:space="preserve">Credit and counterparty credit risks and free deliveries: </w:t>
      </w:r>
      <w:r w:rsidR="008241B9" w:rsidRPr="00661595">
        <w:rPr>
          <w:rFonts w:ascii="Times New Roman" w:hAnsi="Times New Roman" w:cs="Times New Roman"/>
          <w:sz w:val="24"/>
          <w:lang w:val="en-GB"/>
        </w:rPr>
        <w:t xml:space="preserve">IRB </w:t>
      </w:r>
      <w:r w:rsidR="00E64990" w:rsidRPr="00661595">
        <w:rPr>
          <w:rFonts w:ascii="Times New Roman" w:hAnsi="Times New Roman" w:cs="Times New Roman"/>
          <w:sz w:val="24"/>
          <w:lang w:val="en-GB"/>
        </w:rPr>
        <w:t xml:space="preserve">approach </w:t>
      </w:r>
      <w:r w:rsidR="00EC53E0" w:rsidRPr="00661595">
        <w:rPr>
          <w:rFonts w:ascii="Times New Roman" w:hAnsi="Times New Roman" w:cs="Times New Roman"/>
          <w:sz w:val="24"/>
          <w:lang w:val="en-GB"/>
        </w:rPr>
        <w:t xml:space="preserve">to </w:t>
      </w:r>
      <w:r w:rsidR="00F57838" w:rsidRPr="00661595">
        <w:rPr>
          <w:rFonts w:ascii="Times New Roman" w:hAnsi="Times New Roman" w:cs="Times New Roman"/>
          <w:sz w:val="24"/>
          <w:lang w:val="en-GB"/>
        </w:rPr>
        <w:t>Capital</w:t>
      </w:r>
      <w:r w:rsidR="00EC53E0" w:rsidRPr="00661595">
        <w:rPr>
          <w:rFonts w:ascii="Times New Roman" w:hAnsi="Times New Roman" w:cs="Times New Roman"/>
          <w:sz w:val="24"/>
          <w:lang w:val="en-GB"/>
        </w:rPr>
        <w:t xml:space="preserve"> Requirements</w:t>
      </w:r>
      <w:r w:rsidR="00FC20DD" w:rsidRPr="00661595">
        <w:rPr>
          <w:rFonts w:ascii="Times New Roman" w:hAnsi="Times New Roman" w:cs="Times New Roman"/>
          <w:sz w:val="24"/>
          <w:lang w:val="en-GB"/>
        </w:rPr>
        <w:t xml:space="preserve"> (CR IRB 1)</w:t>
      </w:r>
      <w:bookmarkEnd w:id="230"/>
      <w:bookmarkEnd w:id="231"/>
    </w:p>
    <w:p w:rsidR="001C7AB7" w:rsidRPr="00661595" w:rsidRDefault="00125707" w:rsidP="0023700C">
      <w:pPr>
        <w:pStyle w:val="Instructionsberschrift2"/>
        <w:numPr>
          <w:ilvl w:val="0"/>
          <w:numId w:val="0"/>
        </w:numPr>
        <w:ind w:left="709" w:hanging="720"/>
        <w:rPr>
          <w:rFonts w:ascii="Times New Roman" w:hAnsi="Times New Roman" w:cs="Times New Roman"/>
          <w:sz w:val="24"/>
          <w:lang w:val="en-GB"/>
        </w:rPr>
      </w:pPr>
      <w:bookmarkStart w:id="239" w:name="_Toc473560910"/>
      <w:bookmarkStart w:id="240" w:name="_Toc57831550"/>
      <w:r w:rsidRPr="00661595">
        <w:rPr>
          <w:rFonts w:ascii="Times New Roman" w:hAnsi="Times New Roman" w:cs="Times New Roman"/>
          <w:sz w:val="24"/>
          <w:u w:val="none"/>
          <w:lang w:val="en-GB"/>
        </w:rPr>
        <w:t>3.3.3.1</w:t>
      </w:r>
      <w:r w:rsidRPr="00661595">
        <w:rPr>
          <w:rFonts w:ascii="Times New Roman" w:hAnsi="Times New Roman" w:cs="Times New Roman"/>
          <w:sz w:val="24"/>
          <w:u w:val="none"/>
          <w:lang w:val="en-GB"/>
        </w:rPr>
        <w:tab/>
      </w:r>
      <w:r w:rsidR="001C7AB7" w:rsidRPr="00661595">
        <w:rPr>
          <w:rFonts w:ascii="Times New Roman" w:hAnsi="Times New Roman" w:cs="Times New Roman"/>
          <w:sz w:val="24"/>
          <w:lang w:val="en-GB"/>
        </w:rPr>
        <w:t>Instructions concerning specific positions</w:t>
      </w:r>
      <w:bookmarkEnd w:id="232"/>
      <w:bookmarkEnd w:id="233"/>
      <w:bookmarkEnd w:id="234"/>
      <w:bookmarkEnd w:id="235"/>
      <w:bookmarkEnd w:id="236"/>
      <w:bookmarkEnd w:id="237"/>
      <w:bookmarkEnd w:id="238"/>
      <w:bookmarkEnd w:id="239"/>
      <w:bookmarkEnd w:id="240"/>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8843"/>
      </w:tblGrid>
      <w:tr w:rsidR="001C7AB7" w:rsidRPr="00661595" w:rsidTr="00672D2A">
        <w:tc>
          <w:tcPr>
            <w:tcW w:w="1188" w:type="dxa"/>
            <w:shd w:val="clear" w:color="auto" w:fill="CCCCCC"/>
          </w:tcPr>
          <w:p w:rsidR="001C7AB7" w:rsidRPr="00661595" w:rsidRDefault="001C7AB7" w:rsidP="001C7AB7">
            <w:pPr>
              <w:rPr>
                <w:rFonts w:ascii="Times New Roman" w:hAnsi="Times New Roman"/>
                <w:sz w:val="24"/>
              </w:rPr>
            </w:pPr>
            <w:r w:rsidRPr="00661595">
              <w:rPr>
                <w:rFonts w:ascii="Times New Roman" w:hAnsi="Times New Roman"/>
                <w:sz w:val="24"/>
              </w:rPr>
              <w:t>Columns</w:t>
            </w:r>
          </w:p>
        </w:tc>
        <w:tc>
          <w:tcPr>
            <w:tcW w:w="8843" w:type="dxa"/>
            <w:shd w:val="clear" w:color="auto" w:fill="CCCCCC"/>
          </w:tcPr>
          <w:p w:rsidR="001C7AB7" w:rsidRPr="00661595" w:rsidRDefault="001C7AB7" w:rsidP="001C7AB7">
            <w:pPr>
              <w:rPr>
                <w:rFonts w:ascii="Times New Roman" w:hAnsi="Times New Roman"/>
                <w:sz w:val="24"/>
              </w:rPr>
            </w:pPr>
            <w:r w:rsidRPr="00661595">
              <w:rPr>
                <w:rFonts w:ascii="Times New Roman" w:hAnsi="Times New Roman"/>
                <w:sz w:val="24"/>
              </w:rPr>
              <w:t>Instructions</w:t>
            </w:r>
          </w:p>
        </w:tc>
      </w:tr>
      <w:tr w:rsidR="001C7AB7" w:rsidRPr="00661595" w:rsidTr="00672D2A">
        <w:tc>
          <w:tcPr>
            <w:tcW w:w="1188" w:type="dxa"/>
          </w:tcPr>
          <w:p w:rsidR="001C7AB7" w:rsidRPr="00661595" w:rsidRDefault="001C7AB7" w:rsidP="001C7AB7">
            <w:pPr>
              <w:rPr>
                <w:rFonts w:ascii="Times New Roman" w:hAnsi="Times New Roman"/>
                <w:sz w:val="24"/>
              </w:rPr>
            </w:pPr>
            <w:r w:rsidRPr="00661595">
              <w:rPr>
                <w:rFonts w:ascii="Times New Roman" w:hAnsi="Times New Roman"/>
                <w:sz w:val="24"/>
              </w:rPr>
              <w:t>0</w:t>
            </w:r>
            <w:r w:rsidR="00FF15C6" w:rsidRPr="00661595">
              <w:rPr>
                <w:rFonts w:ascii="Times New Roman" w:hAnsi="Times New Roman"/>
                <w:sz w:val="24"/>
              </w:rPr>
              <w:t>0</w:t>
            </w:r>
            <w:r w:rsidRPr="00661595">
              <w:rPr>
                <w:rFonts w:ascii="Times New Roman" w:hAnsi="Times New Roman"/>
                <w:sz w:val="24"/>
              </w:rPr>
              <w:t>10</w:t>
            </w:r>
          </w:p>
        </w:tc>
        <w:tc>
          <w:tcPr>
            <w:tcW w:w="8843" w:type="dxa"/>
          </w:tcPr>
          <w:p w:rsidR="001C7AB7" w:rsidRPr="00661595" w:rsidRDefault="001C7AB7" w:rsidP="001C7AB7">
            <w:pPr>
              <w:rPr>
                <w:rStyle w:val="InstructionsTabelleberschrift"/>
                <w:rFonts w:ascii="Times New Roman" w:hAnsi="Times New Roman"/>
                <w:sz w:val="24"/>
              </w:rPr>
            </w:pPr>
            <w:r w:rsidRPr="00661595">
              <w:rPr>
                <w:rStyle w:val="InstructionsTabelleberschrift"/>
                <w:rFonts w:ascii="Times New Roman" w:hAnsi="Times New Roman"/>
                <w:sz w:val="24"/>
              </w:rPr>
              <w:t xml:space="preserve">INTERNAL RATING </w:t>
            </w:r>
            <w:r w:rsidR="009A4399" w:rsidRPr="00661595">
              <w:rPr>
                <w:rStyle w:val="InstructionsTabelleberschrift"/>
                <w:rFonts w:ascii="Times New Roman" w:hAnsi="Times New Roman"/>
                <w:sz w:val="24"/>
              </w:rPr>
              <w:t>SCALE</w:t>
            </w:r>
            <w:r w:rsidRPr="00661595">
              <w:rPr>
                <w:rStyle w:val="InstructionsTabelleberschrift"/>
                <w:rFonts w:ascii="Times New Roman" w:hAnsi="Times New Roman"/>
                <w:sz w:val="24"/>
              </w:rPr>
              <w:t>/ PD ASSIGNED TO THE OBLIGOR GRADE OR POOL (%)</w:t>
            </w:r>
          </w:p>
          <w:p w:rsidR="001C7AB7" w:rsidRPr="00661595" w:rsidRDefault="001C7AB7" w:rsidP="001C7AB7">
            <w:pPr>
              <w:rPr>
                <w:rFonts w:ascii="Times New Roman" w:hAnsi="Times New Roman"/>
                <w:sz w:val="24"/>
              </w:rPr>
            </w:pPr>
            <w:r w:rsidRPr="00661595">
              <w:rPr>
                <w:rStyle w:val="InstructionsTabelleText"/>
                <w:rFonts w:ascii="Times New Roman" w:hAnsi="Times New Roman"/>
                <w:sz w:val="24"/>
              </w:rPr>
              <w:t xml:space="preserve">The PD assigned to the obligor grade or pool to be reported </w:t>
            </w:r>
            <w:r w:rsidR="00C93697" w:rsidRPr="00661595">
              <w:rPr>
                <w:rStyle w:val="InstructionsTabelleText"/>
                <w:rFonts w:ascii="Times New Roman" w:hAnsi="Times New Roman"/>
                <w:sz w:val="24"/>
              </w:rPr>
              <w:t>shall</w:t>
            </w:r>
            <w:r w:rsidRPr="00661595">
              <w:rPr>
                <w:rStyle w:val="InstructionsTabelleText"/>
                <w:rFonts w:ascii="Times New Roman" w:hAnsi="Times New Roman"/>
                <w:sz w:val="24"/>
              </w:rPr>
              <w:t xml:space="preserve"> be based on the provisions laid down in Article 180 </w:t>
            </w:r>
            <w:r w:rsidR="00C7103D" w:rsidRPr="00661595">
              <w:rPr>
                <w:rStyle w:val="InstructionsTabelleText"/>
                <w:rFonts w:ascii="Times New Roman" w:hAnsi="Times New Roman"/>
                <w:sz w:val="24"/>
              </w:rPr>
              <w:t>CRR</w:t>
            </w:r>
            <w:r w:rsidRPr="00661595">
              <w:rPr>
                <w:rStyle w:val="InstructionsTabelleText"/>
                <w:rFonts w:ascii="Times New Roman" w:hAnsi="Times New Roman"/>
                <w:sz w:val="24"/>
              </w:rPr>
              <w:t xml:space="preserve">. For each individual grade or pool, the PD assigned to the specific obligor grade or pool </w:t>
            </w:r>
            <w:r w:rsidR="00C93697" w:rsidRPr="00661595">
              <w:rPr>
                <w:rStyle w:val="InstructionsTabelleText"/>
                <w:rFonts w:ascii="Times New Roman" w:hAnsi="Times New Roman"/>
                <w:sz w:val="24"/>
              </w:rPr>
              <w:t>shall</w:t>
            </w:r>
            <w:r w:rsidRPr="00661595">
              <w:rPr>
                <w:rStyle w:val="InstructionsTabelleText"/>
                <w:rFonts w:ascii="Times New Roman" w:hAnsi="Times New Roman"/>
                <w:sz w:val="24"/>
              </w:rPr>
              <w:t xml:space="preserve"> be reported. For figures corresponding to an aggregation of obligor grades or pools (e.g. total exposures)</w:t>
            </w:r>
            <w:r w:rsidR="00BD6DB9" w:rsidRPr="00661595">
              <w:rPr>
                <w:rStyle w:val="InstructionsTabelleText"/>
                <w:rFonts w:ascii="Times New Roman" w:hAnsi="Times New Roman"/>
                <w:sz w:val="24"/>
              </w:rPr>
              <w:t>,</w:t>
            </w:r>
            <w:r w:rsidRPr="00661595">
              <w:rPr>
                <w:rStyle w:val="InstructionsTabelleText"/>
                <w:rFonts w:ascii="Times New Roman" w:hAnsi="Times New Roman"/>
                <w:sz w:val="24"/>
              </w:rPr>
              <w:t xml:space="preserve"> the exposure weighted average of the PDs assigned to the obligor grades or pools included in the aggregation </w:t>
            </w:r>
            <w:r w:rsidR="00C93697" w:rsidRPr="00661595">
              <w:rPr>
                <w:rStyle w:val="InstructionsTabelleText"/>
                <w:rFonts w:ascii="Times New Roman" w:hAnsi="Times New Roman"/>
                <w:sz w:val="24"/>
              </w:rPr>
              <w:t>shall</w:t>
            </w:r>
            <w:r w:rsidRPr="00661595">
              <w:rPr>
                <w:rStyle w:val="InstructionsTabelleText"/>
                <w:rFonts w:ascii="Times New Roman" w:hAnsi="Times New Roman"/>
                <w:sz w:val="24"/>
              </w:rPr>
              <w:t xml:space="preserve"> be provided. </w:t>
            </w:r>
            <w:r w:rsidR="00C93697" w:rsidRPr="00661595">
              <w:rPr>
                <w:rStyle w:val="InstructionsTabelleText"/>
                <w:rFonts w:ascii="Times New Roman" w:hAnsi="Times New Roman"/>
                <w:sz w:val="24"/>
              </w:rPr>
              <w:t>T</w:t>
            </w:r>
            <w:r w:rsidRPr="00661595">
              <w:rPr>
                <w:rStyle w:val="InstructionsTabelleText"/>
                <w:rFonts w:ascii="Times New Roman" w:hAnsi="Times New Roman"/>
                <w:sz w:val="24"/>
              </w:rPr>
              <w:t xml:space="preserve">he exposure value (column </w:t>
            </w:r>
            <w:r w:rsidR="00FF15C6" w:rsidRPr="00661595">
              <w:rPr>
                <w:rStyle w:val="InstructionsTabelleText"/>
                <w:rFonts w:ascii="Times New Roman" w:hAnsi="Times New Roman"/>
                <w:sz w:val="24"/>
              </w:rPr>
              <w:t>0</w:t>
            </w:r>
            <w:r w:rsidRPr="00661595">
              <w:rPr>
                <w:rStyle w:val="InstructionsTabelleText"/>
                <w:rFonts w:ascii="Times New Roman" w:hAnsi="Times New Roman"/>
                <w:sz w:val="24"/>
              </w:rPr>
              <w:t xml:space="preserve">110) </w:t>
            </w:r>
            <w:r w:rsidR="00C93697" w:rsidRPr="00661595">
              <w:rPr>
                <w:rStyle w:val="InstructionsTabelleText"/>
                <w:rFonts w:ascii="Times New Roman" w:hAnsi="Times New Roman"/>
                <w:sz w:val="24"/>
              </w:rPr>
              <w:t>shall</w:t>
            </w:r>
            <w:r w:rsidRPr="00661595">
              <w:rPr>
                <w:rStyle w:val="InstructionsTabelleText"/>
                <w:rFonts w:ascii="Times New Roman" w:hAnsi="Times New Roman"/>
                <w:sz w:val="24"/>
              </w:rPr>
              <w:t xml:space="preserve"> be used for the calculation of the exposure-weighted average PD</w:t>
            </w:r>
            <w:r w:rsidRPr="00661595">
              <w:rPr>
                <w:rFonts w:ascii="Times New Roman" w:hAnsi="Times New Roman"/>
                <w:sz w:val="24"/>
              </w:rPr>
              <w:t>.</w:t>
            </w:r>
          </w:p>
          <w:p w:rsidR="001C7AB7" w:rsidRPr="00661595" w:rsidRDefault="001C7AB7" w:rsidP="001C7AB7">
            <w:pPr>
              <w:rPr>
                <w:rStyle w:val="InstructionsTabelleText"/>
                <w:rFonts w:ascii="Times New Roman" w:hAnsi="Times New Roman"/>
                <w:sz w:val="24"/>
              </w:rPr>
            </w:pPr>
            <w:r w:rsidRPr="00661595">
              <w:rPr>
                <w:rStyle w:val="InstructionsTabelleText"/>
                <w:rFonts w:ascii="Times New Roman" w:hAnsi="Times New Roman"/>
                <w:sz w:val="24"/>
              </w:rPr>
              <w:t>For each individual grade or pool</w:t>
            </w:r>
            <w:r w:rsidR="00BD6DB9" w:rsidRPr="00661595">
              <w:rPr>
                <w:rStyle w:val="InstructionsTabelleText"/>
                <w:rFonts w:ascii="Times New Roman" w:hAnsi="Times New Roman"/>
                <w:sz w:val="24"/>
              </w:rPr>
              <w:t>,</w:t>
            </w:r>
            <w:r w:rsidRPr="00661595">
              <w:rPr>
                <w:rStyle w:val="InstructionsTabelleText"/>
                <w:rFonts w:ascii="Times New Roman" w:hAnsi="Times New Roman"/>
                <w:sz w:val="24"/>
              </w:rPr>
              <w:t xml:space="preserve"> the PD assigned to the specific obligor grade or pool </w:t>
            </w:r>
            <w:r w:rsidR="00C93697" w:rsidRPr="00661595">
              <w:rPr>
                <w:rStyle w:val="InstructionsTabelleText"/>
                <w:rFonts w:ascii="Times New Roman" w:hAnsi="Times New Roman"/>
                <w:sz w:val="24"/>
              </w:rPr>
              <w:t>shall</w:t>
            </w:r>
            <w:r w:rsidRPr="00661595">
              <w:rPr>
                <w:rStyle w:val="InstructionsTabelleText"/>
                <w:rFonts w:ascii="Times New Roman" w:hAnsi="Times New Roman"/>
                <w:sz w:val="24"/>
              </w:rPr>
              <w:t xml:space="preserve"> be reported. All reported risk parameters </w:t>
            </w:r>
            <w:r w:rsidR="00C93697" w:rsidRPr="00661595">
              <w:rPr>
                <w:rStyle w:val="InstructionsTabelleText"/>
                <w:rFonts w:ascii="Times New Roman" w:hAnsi="Times New Roman"/>
                <w:sz w:val="24"/>
              </w:rPr>
              <w:t>shall</w:t>
            </w:r>
            <w:r w:rsidRPr="00661595">
              <w:rPr>
                <w:rStyle w:val="InstructionsTabelleText"/>
                <w:rFonts w:ascii="Times New Roman" w:hAnsi="Times New Roman"/>
                <w:sz w:val="24"/>
              </w:rPr>
              <w:t xml:space="preserve"> be derived from the risk parameters used in the internal </w:t>
            </w:r>
            <w:r w:rsidR="009A4399" w:rsidRPr="00661595">
              <w:rPr>
                <w:rStyle w:val="InstructionsTabelleText"/>
                <w:rFonts w:ascii="Times New Roman" w:hAnsi="Times New Roman"/>
                <w:sz w:val="24"/>
              </w:rPr>
              <w:t>rating scale</w:t>
            </w:r>
            <w:r w:rsidRPr="00661595">
              <w:rPr>
                <w:rStyle w:val="InstructionsTabelleText"/>
                <w:rFonts w:ascii="Times New Roman" w:hAnsi="Times New Roman"/>
                <w:sz w:val="24"/>
              </w:rPr>
              <w:t xml:space="preserve"> approved by the respective competent authority.</w:t>
            </w:r>
          </w:p>
          <w:p w:rsidR="001C7AB7" w:rsidRPr="00661595" w:rsidRDefault="001C7AB7" w:rsidP="001C7AB7">
            <w:pPr>
              <w:rPr>
                <w:rStyle w:val="InstructionsTabelleText"/>
                <w:rFonts w:ascii="Times New Roman" w:hAnsi="Times New Roman"/>
                <w:sz w:val="24"/>
              </w:rPr>
            </w:pPr>
            <w:r w:rsidRPr="00661595">
              <w:rPr>
                <w:rStyle w:val="InstructionsTabelleText"/>
                <w:rFonts w:ascii="Times New Roman" w:hAnsi="Times New Roman"/>
                <w:sz w:val="24"/>
              </w:rPr>
              <w:t xml:space="preserve">It is neither intended nor desirable to have a supervisory master scale. If the reporting institution applies a unique </w:t>
            </w:r>
            <w:r w:rsidR="009A4399" w:rsidRPr="00661595">
              <w:rPr>
                <w:rStyle w:val="InstructionsTabelleText"/>
                <w:rFonts w:ascii="Times New Roman" w:hAnsi="Times New Roman"/>
                <w:sz w:val="24"/>
              </w:rPr>
              <w:t>rating scale</w:t>
            </w:r>
            <w:r w:rsidRPr="00661595">
              <w:rPr>
                <w:rStyle w:val="InstructionsTabelleText"/>
                <w:rFonts w:ascii="Times New Roman" w:hAnsi="Times New Roman"/>
                <w:sz w:val="24"/>
              </w:rPr>
              <w:t xml:space="preserve"> or is able to report </w:t>
            </w:r>
            <w:r w:rsidR="00BB22D4" w:rsidRPr="00661595">
              <w:rPr>
                <w:rStyle w:val="InstructionsTabelleText"/>
                <w:rFonts w:ascii="Times New Roman" w:hAnsi="Times New Roman"/>
                <w:sz w:val="24"/>
              </w:rPr>
              <w:t>in accordance with</w:t>
            </w:r>
            <w:r w:rsidRPr="00661595">
              <w:rPr>
                <w:rStyle w:val="InstructionsTabelleText"/>
                <w:rFonts w:ascii="Times New Roman" w:hAnsi="Times New Roman"/>
                <w:sz w:val="24"/>
              </w:rPr>
              <w:t xml:space="preserve"> an internal master scale, th</w:t>
            </w:r>
            <w:r w:rsidR="00BD6DB9" w:rsidRPr="00661595">
              <w:rPr>
                <w:rStyle w:val="InstructionsTabelleText"/>
                <w:rFonts w:ascii="Times New Roman" w:hAnsi="Times New Roman"/>
                <w:sz w:val="24"/>
              </w:rPr>
              <w:t>at</w:t>
            </w:r>
            <w:r w:rsidRPr="00661595">
              <w:rPr>
                <w:rStyle w:val="InstructionsTabelleText"/>
                <w:rFonts w:ascii="Times New Roman" w:hAnsi="Times New Roman"/>
                <w:sz w:val="24"/>
              </w:rPr>
              <w:t xml:space="preserve"> scale </w:t>
            </w:r>
            <w:r w:rsidR="00BD6DB9" w:rsidRPr="00661595">
              <w:rPr>
                <w:rStyle w:val="InstructionsTabelleText"/>
                <w:rFonts w:ascii="Times New Roman" w:hAnsi="Times New Roman"/>
                <w:sz w:val="24"/>
              </w:rPr>
              <w:t>shall be</w:t>
            </w:r>
            <w:r w:rsidRPr="00661595">
              <w:rPr>
                <w:rStyle w:val="InstructionsTabelleText"/>
                <w:rFonts w:ascii="Times New Roman" w:hAnsi="Times New Roman"/>
                <w:sz w:val="24"/>
              </w:rPr>
              <w:t xml:space="preserve"> used. </w:t>
            </w:r>
          </w:p>
          <w:p w:rsidR="001C7AB7" w:rsidRPr="00661595" w:rsidRDefault="001C7AB7" w:rsidP="001C7AB7">
            <w:pPr>
              <w:rPr>
                <w:rStyle w:val="InstructionsTabelleText"/>
                <w:rFonts w:ascii="Times New Roman" w:hAnsi="Times New Roman"/>
                <w:sz w:val="24"/>
              </w:rPr>
            </w:pPr>
            <w:r w:rsidRPr="00661595">
              <w:rPr>
                <w:rStyle w:val="InstructionsTabelleText"/>
                <w:rFonts w:ascii="Times New Roman" w:hAnsi="Times New Roman"/>
                <w:sz w:val="24"/>
              </w:rPr>
              <w:t xml:space="preserve">Otherwise, the different </w:t>
            </w:r>
            <w:r w:rsidR="009A4399" w:rsidRPr="00661595">
              <w:rPr>
                <w:rStyle w:val="InstructionsTabelleText"/>
                <w:rFonts w:ascii="Times New Roman" w:hAnsi="Times New Roman"/>
                <w:sz w:val="24"/>
              </w:rPr>
              <w:t>rating scale</w:t>
            </w:r>
            <w:r w:rsidRPr="00661595">
              <w:rPr>
                <w:rStyle w:val="InstructionsTabelleText"/>
                <w:rFonts w:ascii="Times New Roman" w:hAnsi="Times New Roman"/>
                <w:sz w:val="24"/>
              </w:rPr>
              <w:t xml:space="preserve">s </w:t>
            </w:r>
            <w:r w:rsidR="00C93697" w:rsidRPr="00661595">
              <w:rPr>
                <w:rStyle w:val="InstructionsTabelleText"/>
                <w:rFonts w:ascii="Times New Roman" w:hAnsi="Times New Roman"/>
                <w:sz w:val="24"/>
              </w:rPr>
              <w:t>shall</w:t>
            </w:r>
            <w:r w:rsidRPr="00661595">
              <w:rPr>
                <w:rStyle w:val="InstructionsTabelleText"/>
                <w:rFonts w:ascii="Times New Roman" w:hAnsi="Times New Roman"/>
                <w:sz w:val="24"/>
              </w:rPr>
              <w:t xml:space="preserve"> be merged and ordered </w:t>
            </w:r>
            <w:r w:rsidR="00BB22D4" w:rsidRPr="00661595">
              <w:rPr>
                <w:rStyle w:val="InstructionsTabelleText"/>
                <w:rFonts w:ascii="Times New Roman" w:hAnsi="Times New Roman"/>
                <w:sz w:val="24"/>
              </w:rPr>
              <w:t>in accordance with</w:t>
            </w:r>
            <w:r w:rsidRPr="00661595">
              <w:rPr>
                <w:rStyle w:val="InstructionsTabelleText"/>
                <w:rFonts w:ascii="Times New Roman" w:hAnsi="Times New Roman"/>
                <w:sz w:val="24"/>
              </w:rPr>
              <w:t xml:space="preserve"> the following criteria: Obligor grades of the different </w:t>
            </w:r>
            <w:r w:rsidR="009A4399" w:rsidRPr="00661595">
              <w:rPr>
                <w:rStyle w:val="InstructionsTabelleText"/>
                <w:rFonts w:ascii="Times New Roman" w:hAnsi="Times New Roman"/>
                <w:sz w:val="24"/>
              </w:rPr>
              <w:t>rating scale</w:t>
            </w:r>
            <w:r w:rsidRPr="00661595">
              <w:rPr>
                <w:rStyle w:val="InstructionsTabelleText"/>
                <w:rFonts w:ascii="Times New Roman" w:hAnsi="Times New Roman"/>
                <w:sz w:val="24"/>
              </w:rPr>
              <w:t xml:space="preserve">s </w:t>
            </w:r>
            <w:r w:rsidR="00C93697" w:rsidRPr="00661595">
              <w:rPr>
                <w:rStyle w:val="InstructionsTabelleText"/>
                <w:rFonts w:ascii="Times New Roman" w:hAnsi="Times New Roman"/>
                <w:sz w:val="24"/>
              </w:rPr>
              <w:t>shall</w:t>
            </w:r>
            <w:r w:rsidRPr="00661595">
              <w:rPr>
                <w:rStyle w:val="InstructionsTabelleText"/>
                <w:rFonts w:ascii="Times New Roman" w:hAnsi="Times New Roman"/>
                <w:sz w:val="24"/>
              </w:rPr>
              <w:t xml:space="preserve"> be pooled and ordered from the lower PD assigned to each obligor grade to the higher. Where the institution uses a large number of grades or pools, a reduced number of grades or pools to be reported may be agreed with the competent authorities.</w:t>
            </w:r>
            <w:r w:rsidR="008304E8" w:rsidRPr="00661595">
              <w:rPr>
                <w:rStyle w:val="InstructionsTabelleText"/>
                <w:rFonts w:ascii="Times New Roman" w:hAnsi="Times New Roman"/>
                <w:sz w:val="24"/>
              </w:rPr>
              <w:t xml:space="preserve"> The same applies for continuous rating scales: a reduced number of grades to be reported shall be agreed with the competent authorities.</w:t>
            </w:r>
          </w:p>
          <w:p w:rsidR="001C7AB7" w:rsidRPr="00661595" w:rsidRDefault="001C7AB7" w:rsidP="001C7AB7">
            <w:pPr>
              <w:rPr>
                <w:rStyle w:val="InstructionsTabelleText"/>
                <w:rFonts w:ascii="Times New Roman" w:hAnsi="Times New Roman"/>
                <w:sz w:val="24"/>
              </w:rPr>
            </w:pPr>
            <w:r w:rsidRPr="00661595">
              <w:rPr>
                <w:rStyle w:val="InstructionsTabelleText"/>
                <w:rFonts w:ascii="Times New Roman" w:hAnsi="Times New Roman"/>
                <w:sz w:val="24"/>
              </w:rPr>
              <w:t xml:space="preserve">Institutions </w:t>
            </w:r>
            <w:r w:rsidR="00C93697" w:rsidRPr="00661595">
              <w:rPr>
                <w:rStyle w:val="InstructionsTabelleText"/>
                <w:rFonts w:ascii="Times New Roman" w:hAnsi="Times New Roman"/>
                <w:sz w:val="24"/>
              </w:rPr>
              <w:t>shall</w:t>
            </w:r>
            <w:r w:rsidRPr="00661595">
              <w:rPr>
                <w:rStyle w:val="InstructionsTabelleText"/>
                <w:rFonts w:ascii="Times New Roman" w:hAnsi="Times New Roman"/>
                <w:sz w:val="24"/>
              </w:rPr>
              <w:t xml:space="preserve"> contact </w:t>
            </w:r>
            <w:r w:rsidR="00C93697" w:rsidRPr="00661595">
              <w:rPr>
                <w:rStyle w:val="InstructionsTabelleText"/>
                <w:rFonts w:ascii="Times New Roman" w:hAnsi="Times New Roman"/>
                <w:sz w:val="24"/>
              </w:rPr>
              <w:t>their</w:t>
            </w:r>
            <w:r w:rsidRPr="00661595">
              <w:rPr>
                <w:rStyle w:val="InstructionsTabelleText"/>
                <w:rFonts w:ascii="Times New Roman" w:hAnsi="Times New Roman"/>
                <w:sz w:val="24"/>
              </w:rPr>
              <w:t xml:space="preserve"> comp</w:t>
            </w:r>
            <w:r w:rsidR="00C93697" w:rsidRPr="00661595">
              <w:rPr>
                <w:rStyle w:val="InstructionsTabelleText"/>
                <w:rFonts w:ascii="Times New Roman" w:hAnsi="Times New Roman"/>
                <w:sz w:val="24"/>
              </w:rPr>
              <w:t>etent authority in advance if they</w:t>
            </w:r>
            <w:r w:rsidRPr="00661595">
              <w:rPr>
                <w:rStyle w:val="InstructionsTabelleText"/>
                <w:rFonts w:ascii="Times New Roman" w:hAnsi="Times New Roman"/>
                <w:sz w:val="24"/>
              </w:rPr>
              <w:t xml:space="preserve"> want to report a different number of grades in comparison with the internal number of grades.</w:t>
            </w:r>
          </w:p>
          <w:p w:rsidR="006C35BA" w:rsidRPr="00661595" w:rsidRDefault="006C35BA" w:rsidP="001C7AB7">
            <w:pPr>
              <w:rPr>
                <w:rStyle w:val="InstructionsTabelleText"/>
                <w:rFonts w:ascii="Times New Roman" w:hAnsi="Times New Roman"/>
                <w:sz w:val="24"/>
              </w:rPr>
            </w:pPr>
            <w:r w:rsidRPr="00661595">
              <w:rPr>
                <w:rStyle w:val="InstructionsTabelleText"/>
                <w:rFonts w:ascii="Times New Roman" w:hAnsi="Times New Roman"/>
                <w:sz w:val="24"/>
              </w:rPr>
              <w:t>The last rating grade or grades shall be dedicated for defaulted exposures with PD of 100%.</w:t>
            </w:r>
          </w:p>
          <w:p w:rsidR="001C7AB7" w:rsidRPr="00661595" w:rsidRDefault="001C7AB7" w:rsidP="001C7AB7">
            <w:pPr>
              <w:rPr>
                <w:rStyle w:val="InstructionsTabelleText"/>
                <w:rFonts w:ascii="Times New Roman" w:hAnsi="Times New Roman"/>
                <w:sz w:val="24"/>
              </w:rPr>
            </w:pPr>
            <w:r w:rsidRPr="00661595">
              <w:rPr>
                <w:rStyle w:val="InstructionsTabelleText"/>
                <w:rFonts w:ascii="Times New Roman" w:hAnsi="Times New Roman"/>
                <w:sz w:val="24"/>
              </w:rPr>
              <w:t>For the purposes of weighting the average PD</w:t>
            </w:r>
            <w:r w:rsidR="00BD6DB9" w:rsidRPr="00661595">
              <w:rPr>
                <w:rStyle w:val="InstructionsTabelleText"/>
                <w:rFonts w:ascii="Times New Roman" w:hAnsi="Times New Roman"/>
                <w:sz w:val="24"/>
              </w:rPr>
              <w:t>,</w:t>
            </w:r>
            <w:r w:rsidRPr="00661595">
              <w:rPr>
                <w:rStyle w:val="InstructionsTabelleText"/>
                <w:rFonts w:ascii="Times New Roman" w:hAnsi="Times New Roman"/>
                <w:sz w:val="24"/>
              </w:rPr>
              <w:t xml:space="preserve"> the exposure value reported in column 110 </w:t>
            </w:r>
            <w:r w:rsidR="00BD6DB9" w:rsidRPr="00661595">
              <w:rPr>
                <w:rStyle w:val="InstructionsTabelleText"/>
                <w:rFonts w:ascii="Times New Roman" w:hAnsi="Times New Roman"/>
                <w:sz w:val="24"/>
              </w:rPr>
              <w:t>shall be</w:t>
            </w:r>
            <w:r w:rsidRPr="00661595">
              <w:rPr>
                <w:rStyle w:val="InstructionsTabelleText"/>
                <w:rFonts w:ascii="Times New Roman" w:hAnsi="Times New Roman"/>
                <w:sz w:val="24"/>
              </w:rPr>
              <w:t xml:space="preserve"> used. </w:t>
            </w:r>
            <w:r w:rsidR="006C35BA" w:rsidRPr="00661595">
              <w:rPr>
                <w:rStyle w:val="InstructionsTabelleText"/>
                <w:rFonts w:ascii="Times New Roman" w:hAnsi="Times New Roman"/>
                <w:sz w:val="24"/>
              </w:rPr>
              <w:t xml:space="preserve">The exposure weighted average PD shall be computed taking into account all exposures reported in a given row. In the row where only defaulted exposures are reported the average </w:t>
            </w:r>
            <w:r w:rsidRPr="00661595">
              <w:rPr>
                <w:rStyle w:val="InstructionsTabelleText"/>
                <w:rFonts w:ascii="Times New Roman" w:hAnsi="Times New Roman"/>
                <w:sz w:val="24"/>
              </w:rPr>
              <w:t xml:space="preserve">PD </w:t>
            </w:r>
            <w:r w:rsidR="006C35BA" w:rsidRPr="00661595">
              <w:rPr>
                <w:rStyle w:val="InstructionsTabelleText"/>
                <w:rFonts w:ascii="Times New Roman" w:hAnsi="Times New Roman"/>
                <w:sz w:val="24"/>
              </w:rPr>
              <w:t xml:space="preserve">shall be </w:t>
            </w:r>
            <w:r w:rsidRPr="00661595">
              <w:rPr>
                <w:rStyle w:val="InstructionsTabelleText"/>
                <w:rFonts w:ascii="Times New Roman" w:hAnsi="Times New Roman"/>
                <w:sz w:val="24"/>
              </w:rPr>
              <w:t>of 100</w:t>
            </w:r>
            <w:r w:rsidR="00BD6DB9" w:rsidRPr="00661595">
              <w:rPr>
                <w:rStyle w:val="InstructionsTabelleText"/>
                <w:rFonts w:ascii="Times New Roman" w:hAnsi="Times New Roman"/>
                <w:sz w:val="24"/>
              </w:rPr>
              <w:t> </w:t>
            </w:r>
            <w:r w:rsidRPr="00661595">
              <w:rPr>
                <w:rStyle w:val="InstructionsTabelleText"/>
                <w:rFonts w:ascii="Times New Roman" w:hAnsi="Times New Roman"/>
                <w:sz w:val="24"/>
              </w:rPr>
              <w:t>%.</w:t>
            </w:r>
          </w:p>
          <w:p w:rsidR="001C7AB7" w:rsidRPr="00661595" w:rsidRDefault="001C7AB7" w:rsidP="001C7AB7">
            <w:pPr>
              <w:rPr>
                <w:rFonts w:ascii="Times New Roman" w:hAnsi="Times New Roman"/>
                <w:sz w:val="24"/>
              </w:rPr>
            </w:pPr>
          </w:p>
        </w:tc>
      </w:tr>
      <w:tr w:rsidR="001C7AB7" w:rsidRPr="00661595" w:rsidTr="00672D2A">
        <w:tc>
          <w:tcPr>
            <w:tcW w:w="1188" w:type="dxa"/>
          </w:tcPr>
          <w:p w:rsidR="001C7AB7" w:rsidRPr="00661595" w:rsidRDefault="00FF15C6" w:rsidP="001C7AB7">
            <w:pPr>
              <w:rPr>
                <w:rFonts w:ascii="Times New Roman" w:hAnsi="Times New Roman"/>
                <w:sz w:val="24"/>
              </w:rPr>
            </w:pPr>
            <w:r w:rsidRPr="00661595">
              <w:rPr>
                <w:rFonts w:ascii="Times New Roman" w:hAnsi="Times New Roman"/>
                <w:sz w:val="24"/>
              </w:rPr>
              <w:t>0</w:t>
            </w:r>
            <w:r w:rsidR="001C7AB7" w:rsidRPr="00661595">
              <w:rPr>
                <w:rFonts w:ascii="Times New Roman" w:hAnsi="Times New Roman"/>
                <w:sz w:val="24"/>
              </w:rPr>
              <w:t>020</w:t>
            </w:r>
          </w:p>
        </w:tc>
        <w:tc>
          <w:tcPr>
            <w:tcW w:w="8843" w:type="dxa"/>
          </w:tcPr>
          <w:p w:rsidR="001C7AB7" w:rsidRPr="00661595" w:rsidRDefault="001C7AB7" w:rsidP="001C7AB7">
            <w:pPr>
              <w:rPr>
                <w:rFonts w:ascii="Times New Roman" w:hAnsi="Times New Roman"/>
                <w:b/>
                <w:sz w:val="24"/>
                <w:u w:val="single"/>
              </w:rPr>
            </w:pPr>
            <w:r w:rsidRPr="00661595">
              <w:rPr>
                <w:rFonts w:ascii="Times New Roman" w:hAnsi="Times New Roman"/>
                <w:b/>
                <w:sz w:val="24"/>
                <w:u w:val="single"/>
              </w:rPr>
              <w:t>ORIGINAL EXPOSURE PRE</w:t>
            </w:r>
            <w:r w:rsidR="007574C3" w:rsidRPr="00661595">
              <w:rPr>
                <w:rFonts w:ascii="Times New Roman" w:hAnsi="Times New Roman"/>
                <w:b/>
                <w:sz w:val="24"/>
                <w:u w:val="single"/>
              </w:rPr>
              <w:t>-</w:t>
            </w:r>
            <w:r w:rsidRPr="00661595">
              <w:rPr>
                <w:rFonts w:ascii="Times New Roman" w:hAnsi="Times New Roman"/>
                <w:b/>
                <w:sz w:val="24"/>
                <w:u w:val="single"/>
              </w:rPr>
              <w:t>CONVERSION FACTORS</w:t>
            </w:r>
          </w:p>
          <w:p w:rsidR="001C7AB7" w:rsidRPr="00661595" w:rsidRDefault="001C7AB7" w:rsidP="001C7AB7">
            <w:pPr>
              <w:rPr>
                <w:rFonts w:ascii="Times New Roman" w:hAnsi="Times New Roman"/>
                <w:sz w:val="24"/>
              </w:rPr>
            </w:pPr>
            <w:r w:rsidRPr="00661595">
              <w:rPr>
                <w:rFonts w:ascii="Times New Roman" w:hAnsi="Times New Roman"/>
                <w:sz w:val="24"/>
              </w:rPr>
              <w:t xml:space="preserve">Institutions </w:t>
            </w:r>
            <w:r w:rsidR="00BD6DB9" w:rsidRPr="00661595">
              <w:rPr>
                <w:rFonts w:ascii="Times New Roman" w:hAnsi="Times New Roman"/>
                <w:sz w:val="24"/>
              </w:rPr>
              <w:t xml:space="preserve">shall </w:t>
            </w:r>
            <w:r w:rsidRPr="00661595">
              <w:rPr>
                <w:rFonts w:ascii="Times New Roman" w:hAnsi="Times New Roman"/>
                <w:sz w:val="24"/>
              </w:rPr>
              <w:t xml:space="preserve">report the exposure value before taking into account any value adjustments, provisions, effects due to credit risk mitigation techniques or credit conversion factors. </w:t>
            </w:r>
          </w:p>
          <w:p w:rsidR="001C7AB7" w:rsidRPr="00661595" w:rsidRDefault="001C7AB7" w:rsidP="001C7AB7">
            <w:pPr>
              <w:rPr>
                <w:rFonts w:ascii="Times New Roman" w:hAnsi="Times New Roman"/>
                <w:sz w:val="24"/>
              </w:rPr>
            </w:pPr>
            <w:r w:rsidRPr="00661595">
              <w:rPr>
                <w:rFonts w:ascii="Times New Roman" w:hAnsi="Times New Roman"/>
                <w:sz w:val="24"/>
              </w:rPr>
              <w:t xml:space="preserve">The original exposure value </w:t>
            </w:r>
            <w:r w:rsidR="00C93697" w:rsidRPr="00661595">
              <w:rPr>
                <w:rFonts w:ascii="Times New Roman" w:hAnsi="Times New Roman"/>
                <w:sz w:val="24"/>
              </w:rPr>
              <w:t>shall</w:t>
            </w:r>
            <w:r w:rsidRPr="00661595">
              <w:rPr>
                <w:rFonts w:ascii="Times New Roman" w:hAnsi="Times New Roman"/>
                <w:sz w:val="24"/>
              </w:rPr>
              <w:t xml:space="preserve"> be reported in accordance with Article 24 </w:t>
            </w:r>
            <w:r w:rsidR="00C7103D" w:rsidRPr="00661595">
              <w:rPr>
                <w:rFonts w:ascii="Times New Roman" w:hAnsi="Times New Roman"/>
                <w:sz w:val="24"/>
              </w:rPr>
              <w:t>CRR</w:t>
            </w:r>
            <w:r w:rsidRPr="00661595">
              <w:rPr>
                <w:rFonts w:ascii="Times New Roman" w:hAnsi="Times New Roman"/>
                <w:sz w:val="24"/>
              </w:rPr>
              <w:t xml:space="preserve"> and </w:t>
            </w:r>
            <w:r w:rsidR="00BD6DB9" w:rsidRPr="00661595">
              <w:rPr>
                <w:rFonts w:ascii="Times New Roman" w:hAnsi="Times New Roman"/>
                <w:sz w:val="24"/>
              </w:rPr>
              <w:t>paragraphs 1, 2, 4</w:t>
            </w:r>
            <w:r w:rsidR="007445C4" w:rsidRPr="00661595">
              <w:rPr>
                <w:rFonts w:ascii="Times New Roman" w:hAnsi="Times New Roman"/>
                <w:sz w:val="24"/>
              </w:rPr>
              <w:t>, 5, 6</w:t>
            </w:r>
            <w:r w:rsidR="00BD6DB9" w:rsidRPr="00661595">
              <w:rPr>
                <w:rFonts w:ascii="Times New Roman" w:hAnsi="Times New Roman"/>
                <w:sz w:val="24"/>
              </w:rPr>
              <w:t xml:space="preserve"> and 7 of </w:t>
            </w:r>
            <w:r w:rsidRPr="00661595">
              <w:rPr>
                <w:rFonts w:ascii="Times New Roman" w:hAnsi="Times New Roman"/>
                <w:sz w:val="24"/>
              </w:rPr>
              <w:t xml:space="preserve">Article 166 </w:t>
            </w:r>
            <w:r w:rsidR="00C7103D" w:rsidRPr="00661595">
              <w:rPr>
                <w:rFonts w:ascii="Times New Roman" w:hAnsi="Times New Roman"/>
                <w:sz w:val="24"/>
              </w:rPr>
              <w:t>CRR</w:t>
            </w:r>
            <w:r w:rsidRPr="00661595">
              <w:rPr>
                <w:rFonts w:ascii="Times New Roman" w:hAnsi="Times New Roman"/>
                <w:sz w:val="24"/>
              </w:rPr>
              <w:t>.</w:t>
            </w:r>
          </w:p>
          <w:p w:rsidR="001C7AB7" w:rsidRPr="00661595" w:rsidRDefault="001C7AB7" w:rsidP="001C7AB7">
            <w:pPr>
              <w:rPr>
                <w:rFonts w:ascii="Times New Roman" w:hAnsi="Times New Roman"/>
                <w:sz w:val="24"/>
              </w:rPr>
            </w:pPr>
            <w:r w:rsidRPr="00661595">
              <w:rPr>
                <w:rFonts w:ascii="Times New Roman" w:hAnsi="Times New Roman"/>
                <w:sz w:val="24"/>
              </w:rPr>
              <w:t xml:space="preserve">The effect resulting from Article 166(3) </w:t>
            </w:r>
            <w:r w:rsidR="00C7103D" w:rsidRPr="00661595">
              <w:rPr>
                <w:rFonts w:ascii="Times New Roman" w:hAnsi="Times New Roman"/>
                <w:sz w:val="24"/>
              </w:rPr>
              <w:t>CRR</w:t>
            </w:r>
            <w:r w:rsidRPr="00661595">
              <w:rPr>
                <w:rFonts w:ascii="Times New Roman" w:hAnsi="Times New Roman"/>
                <w:sz w:val="24"/>
              </w:rPr>
              <w:t xml:space="preserve"> (effect of on balance sheet netting of loans and deposits) </w:t>
            </w:r>
            <w:r w:rsidR="00BD6DB9" w:rsidRPr="00661595">
              <w:rPr>
                <w:rFonts w:ascii="Times New Roman" w:hAnsi="Times New Roman"/>
                <w:sz w:val="24"/>
              </w:rPr>
              <w:t>shall be</w:t>
            </w:r>
            <w:r w:rsidRPr="00661595">
              <w:rPr>
                <w:rFonts w:ascii="Times New Roman" w:hAnsi="Times New Roman"/>
                <w:sz w:val="24"/>
              </w:rPr>
              <w:t xml:space="preserve"> reported separately as Funded Credit Protection and </w:t>
            </w:r>
            <w:r w:rsidR="00C93697" w:rsidRPr="00661595">
              <w:rPr>
                <w:rFonts w:ascii="Times New Roman" w:hAnsi="Times New Roman"/>
                <w:sz w:val="24"/>
              </w:rPr>
              <w:t>shall</w:t>
            </w:r>
            <w:r w:rsidRPr="00661595">
              <w:rPr>
                <w:rFonts w:ascii="Times New Roman" w:hAnsi="Times New Roman"/>
                <w:sz w:val="24"/>
              </w:rPr>
              <w:t xml:space="preserve"> </w:t>
            </w:r>
            <w:r w:rsidR="00BD6DB9" w:rsidRPr="00661595">
              <w:rPr>
                <w:rFonts w:ascii="Times New Roman" w:hAnsi="Times New Roman"/>
                <w:sz w:val="24"/>
              </w:rPr>
              <w:t xml:space="preserve">therefore </w:t>
            </w:r>
            <w:r w:rsidRPr="00661595">
              <w:rPr>
                <w:rFonts w:ascii="Times New Roman" w:hAnsi="Times New Roman"/>
                <w:sz w:val="24"/>
              </w:rPr>
              <w:t xml:space="preserve">not reduce the Original Exposure. </w:t>
            </w:r>
          </w:p>
          <w:p w:rsidR="001C7AB7" w:rsidRPr="00661595" w:rsidRDefault="006C35BA" w:rsidP="006C35BA">
            <w:pPr>
              <w:rPr>
                <w:rFonts w:ascii="Times New Roman" w:hAnsi="Times New Roman"/>
                <w:sz w:val="24"/>
              </w:rPr>
            </w:pPr>
            <w:r w:rsidRPr="00661595">
              <w:rPr>
                <w:rFonts w:ascii="Times New Roman" w:hAnsi="Times New Roman"/>
                <w:sz w:val="24"/>
              </w:rPr>
              <w:t xml:space="preserve">For derivative instruments, repurchase transactions, securities or commodities lending or borrowing transactions, long settlement transactions and margin lending transactions subject to counterparty credit risk (Chapter 4 or Chapter 6 of Title II of Part Three CRR), the original exposure shall correspond to the exposure value arising from counterparty credit risk (see instructions to column </w:t>
            </w:r>
            <w:r w:rsidR="00FF15C6" w:rsidRPr="00661595">
              <w:rPr>
                <w:rFonts w:ascii="Times New Roman" w:hAnsi="Times New Roman"/>
                <w:sz w:val="24"/>
              </w:rPr>
              <w:t>0</w:t>
            </w:r>
            <w:r w:rsidRPr="00661595">
              <w:rPr>
                <w:rFonts w:ascii="Times New Roman" w:hAnsi="Times New Roman"/>
                <w:sz w:val="24"/>
              </w:rPr>
              <w:t>130).</w:t>
            </w:r>
          </w:p>
        </w:tc>
      </w:tr>
      <w:tr w:rsidR="001C7AB7" w:rsidRPr="00661595" w:rsidTr="00672D2A">
        <w:tc>
          <w:tcPr>
            <w:tcW w:w="1188" w:type="dxa"/>
          </w:tcPr>
          <w:p w:rsidR="001C7AB7" w:rsidRPr="00661595" w:rsidRDefault="00FF15C6" w:rsidP="001C7AB7">
            <w:pPr>
              <w:rPr>
                <w:rFonts w:ascii="Times New Roman" w:hAnsi="Times New Roman"/>
                <w:sz w:val="24"/>
              </w:rPr>
            </w:pPr>
            <w:r w:rsidRPr="00661595">
              <w:rPr>
                <w:rFonts w:ascii="Times New Roman" w:hAnsi="Times New Roman"/>
                <w:sz w:val="24"/>
              </w:rPr>
              <w:t>0</w:t>
            </w:r>
            <w:r w:rsidR="001C7AB7" w:rsidRPr="00661595">
              <w:rPr>
                <w:rFonts w:ascii="Times New Roman" w:hAnsi="Times New Roman"/>
                <w:sz w:val="24"/>
              </w:rPr>
              <w:t>030</w:t>
            </w:r>
          </w:p>
        </w:tc>
        <w:tc>
          <w:tcPr>
            <w:tcW w:w="8843" w:type="dxa"/>
          </w:tcPr>
          <w:p w:rsidR="001C7AB7" w:rsidRPr="00661595" w:rsidRDefault="001C7AB7" w:rsidP="001C7AB7">
            <w:pPr>
              <w:rPr>
                <w:rFonts w:ascii="Times New Roman" w:hAnsi="Times New Roman"/>
                <w:b/>
                <w:sz w:val="24"/>
                <w:u w:val="single"/>
              </w:rPr>
            </w:pPr>
            <w:r w:rsidRPr="00661595">
              <w:rPr>
                <w:rFonts w:ascii="Times New Roman" w:hAnsi="Times New Roman"/>
                <w:b/>
                <w:sz w:val="24"/>
                <w:u w:val="single"/>
              </w:rPr>
              <w:t>OF WHICH: LARGE FINANCIAL SECTOR ENTITIES AND UNREGULATED FINANCIAL ENTITIES</w:t>
            </w:r>
          </w:p>
          <w:p w:rsidR="001C7AB7" w:rsidRPr="00661595" w:rsidRDefault="001C7AB7" w:rsidP="002E5096">
            <w:pPr>
              <w:rPr>
                <w:rFonts w:ascii="Times New Roman" w:hAnsi="Times New Roman"/>
                <w:b/>
                <w:sz w:val="24"/>
                <w:u w:val="single"/>
              </w:rPr>
            </w:pPr>
            <w:r w:rsidRPr="00661595">
              <w:rPr>
                <w:rFonts w:ascii="Times New Roman" w:hAnsi="Times New Roman"/>
                <w:sz w:val="24"/>
              </w:rPr>
              <w:t>Breakdown of the original exposure pre</w:t>
            </w:r>
            <w:r w:rsidR="007574C3" w:rsidRPr="00661595">
              <w:rPr>
                <w:rFonts w:ascii="Times New Roman" w:hAnsi="Times New Roman"/>
                <w:sz w:val="24"/>
              </w:rPr>
              <w:t>-</w:t>
            </w:r>
            <w:r w:rsidRPr="00661595">
              <w:rPr>
                <w:rFonts w:ascii="Times New Roman" w:hAnsi="Times New Roman"/>
                <w:sz w:val="24"/>
              </w:rPr>
              <w:t xml:space="preserve">conversion factor for all exposures </w:t>
            </w:r>
            <w:r w:rsidR="00110F40" w:rsidRPr="00661595">
              <w:rPr>
                <w:rFonts w:ascii="Times New Roman" w:hAnsi="Times New Roman"/>
                <w:sz w:val="24"/>
              </w:rPr>
              <w:t>of entities referred to in</w:t>
            </w:r>
            <w:r w:rsidRPr="00661595">
              <w:rPr>
                <w:rFonts w:ascii="Times New Roman" w:hAnsi="Times New Roman"/>
                <w:sz w:val="24"/>
              </w:rPr>
              <w:t xml:space="preserve"> </w:t>
            </w:r>
            <w:r w:rsidR="002E5096">
              <w:rPr>
                <w:rFonts w:ascii="Times New Roman" w:hAnsi="Times New Roman"/>
                <w:sz w:val="24"/>
              </w:rPr>
              <w:t>points (4) and (5) of Article 142(1)</w:t>
            </w:r>
            <w:r w:rsidRPr="00661595">
              <w:rPr>
                <w:rFonts w:ascii="Times New Roman" w:hAnsi="Times New Roman"/>
                <w:sz w:val="24"/>
              </w:rPr>
              <w:t xml:space="preserve"> CRR subject to the higher </w:t>
            </w:r>
            <w:r w:rsidR="006C35BA" w:rsidRPr="00661595">
              <w:rPr>
                <w:rFonts w:ascii="Times New Roman" w:hAnsi="Times New Roman"/>
                <w:sz w:val="24"/>
              </w:rPr>
              <w:t xml:space="preserve">coefficient of </w:t>
            </w:r>
            <w:r w:rsidRPr="00661595">
              <w:rPr>
                <w:rFonts w:ascii="Times New Roman" w:hAnsi="Times New Roman"/>
                <w:sz w:val="24"/>
              </w:rPr>
              <w:t xml:space="preserve">correlation </w:t>
            </w:r>
            <w:r w:rsidR="00BD6DB9" w:rsidRPr="00661595">
              <w:rPr>
                <w:rFonts w:ascii="Times New Roman" w:hAnsi="Times New Roman"/>
                <w:sz w:val="24"/>
              </w:rPr>
              <w:t xml:space="preserve">determined </w:t>
            </w:r>
            <w:r w:rsidR="00BB22D4" w:rsidRPr="00661595">
              <w:rPr>
                <w:rFonts w:ascii="Times New Roman" w:hAnsi="Times New Roman"/>
                <w:sz w:val="24"/>
              </w:rPr>
              <w:t>in accordance with</w:t>
            </w:r>
            <w:r w:rsidRPr="00661595">
              <w:rPr>
                <w:rFonts w:ascii="Times New Roman" w:hAnsi="Times New Roman"/>
                <w:sz w:val="24"/>
              </w:rPr>
              <w:t xml:space="preserve"> Article 153(2) CRR.</w:t>
            </w:r>
          </w:p>
        </w:tc>
      </w:tr>
      <w:tr w:rsidR="001C7AB7" w:rsidRPr="00661595" w:rsidTr="00672D2A">
        <w:tc>
          <w:tcPr>
            <w:tcW w:w="1188" w:type="dxa"/>
          </w:tcPr>
          <w:p w:rsidR="001C7AB7" w:rsidRPr="00661595" w:rsidRDefault="001C7AB7" w:rsidP="004F2B30">
            <w:pPr>
              <w:rPr>
                <w:rFonts w:ascii="Times New Roman" w:hAnsi="Times New Roman"/>
                <w:sz w:val="24"/>
              </w:rPr>
            </w:pPr>
            <w:r w:rsidRPr="00661595">
              <w:rPr>
                <w:rFonts w:ascii="Times New Roman" w:hAnsi="Times New Roman"/>
                <w:sz w:val="24"/>
              </w:rPr>
              <w:t>0</w:t>
            </w:r>
            <w:r w:rsidR="00FF15C6" w:rsidRPr="00661595">
              <w:rPr>
                <w:rFonts w:ascii="Times New Roman" w:hAnsi="Times New Roman"/>
                <w:sz w:val="24"/>
              </w:rPr>
              <w:t>0</w:t>
            </w:r>
            <w:r w:rsidRPr="00661595">
              <w:rPr>
                <w:rFonts w:ascii="Times New Roman" w:hAnsi="Times New Roman"/>
                <w:sz w:val="24"/>
              </w:rPr>
              <w:t>40</w:t>
            </w:r>
            <w:r w:rsidR="004F2B30" w:rsidRPr="00661595">
              <w:rPr>
                <w:rFonts w:ascii="Times New Roman" w:hAnsi="Times New Roman"/>
                <w:sz w:val="24"/>
              </w:rPr>
              <w:t>-</w:t>
            </w:r>
            <w:r w:rsidR="00FF15C6" w:rsidRPr="00661595">
              <w:rPr>
                <w:rFonts w:ascii="Times New Roman" w:hAnsi="Times New Roman"/>
                <w:sz w:val="24"/>
              </w:rPr>
              <w:t>0</w:t>
            </w:r>
            <w:r w:rsidRPr="00661595">
              <w:rPr>
                <w:rFonts w:ascii="Times New Roman" w:hAnsi="Times New Roman"/>
                <w:sz w:val="24"/>
              </w:rPr>
              <w:t>080</w:t>
            </w:r>
          </w:p>
        </w:tc>
        <w:tc>
          <w:tcPr>
            <w:tcW w:w="8843" w:type="dxa"/>
          </w:tcPr>
          <w:p w:rsidR="001C7AB7" w:rsidRPr="00661595" w:rsidRDefault="001C7AB7" w:rsidP="001C7AB7">
            <w:pPr>
              <w:rPr>
                <w:rFonts w:ascii="Times New Roman" w:hAnsi="Times New Roman"/>
                <w:b/>
                <w:sz w:val="24"/>
                <w:u w:val="single"/>
              </w:rPr>
            </w:pPr>
            <w:r w:rsidRPr="00661595">
              <w:rPr>
                <w:rFonts w:ascii="Times New Roman" w:hAnsi="Times New Roman"/>
                <w:b/>
                <w:sz w:val="24"/>
                <w:u w:val="single"/>
              </w:rPr>
              <w:t>CREDIT RISK MITIGATION (CRM) TECHNIQUES WITH SUBSTITUTION EFFECTS ON THE EXPOSURE</w:t>
            </w:r>
          </w:p>
          <w:p w:rsidR="001C7AB7" w:rsidRPr="00661595" w:rsidRDefault="001C7AB7" w:rsidP="001C7AB7">
            <w:pPr>
              <w:rPr>
                <w:rFonts w:ascii="Times New Roman" w:hAnsi="Times New Roman"/>
                <w:sz w:val="24"/>
              </w:rPr>
            </w:pPr>
            <w:r w:rsidRPr="00661595">
              <w:rPr>
                <w:rFonts w:ascii="Times New Roman" w:hAnsi="Times New Roman"/>
                <w:sz w:val="24"/>
              </w:rPr>
              <w:t xml:space="preserve">Credit risk mitigation as defined in </w:t>
            </w:r>
            <w:r w:rsidR="00F811C6" w:rsidRPr="00661595">
              <w:rPr>
                <w:rFonts w:ascii="Times New Roman" w:hAnsi="Times New Roman"/>
                <w:sz w:val="24"/>
              </w:rPr>
              <w:t xml:space="preserve">point (57) of </w:t>
            </w:r>
            <w:r w:rsidR="00D21B29" w:rsidRPr="00661595">
              <w:rPr>
                <w:rFonts w:ascii="Times New Roman" w:hAnsi="Times New Roman"/>
                <w:sz w:val="24"/>
              </w:rPr>
              <w:t>Article</w:t>
            </w:r>
            <w:r w:rsidRPr="00661595">
              <w:rPr>
                <w:rFonts w:ascii="Times New Roman" w:hAnsi="Times New Roman"/>
                <w:sz w:val="24"/>
              </w:rPr>
              <w:t xml:space="preserve"> 4(</w:t>
            </w:r>
            <w:r w:rsidR="00F811C6" w:rsidRPr="00661595">
              <w:rPr>
                <w:rFonts w:ascii="Times New Roman" w:hAnsi="Times New Roman"/>
                <w:sz w:val="24"/>
              </w:rPr>
              <w:t>1</w:t>
            </w:r>
            <w:r w:rsidRPr="00661595">
              <w:rPr>
                <w:rFonts w:ascii="Times New Roman" w:hAnsi="Times New Roman"/>
                <w:sz w:val="24"/>
              </w:rPr>
              <w:t xml:space="preserve">) </w:t>
            </w:r>
            <w:r w:rsidR="00C7103D" w:rsidRPr="00661595">
              <w:rPr>
                <w:rFonts w:ascii="Times New Roman" w:hAnsi="Times New Roman"/>
                <w:sz w:val="24"/>
              </w:rPr>
              <w:t>CRR</w:t>
            </w:r>
            <w:r w:rsidRPr="00661595">
              <w:rPr>
                <w:rFonts w:ascii="Times New Roman" w:hAnsi="Times New Roman"/>
                <w:sz w:val="24"/>
              </w:rPr>
              <w:t xml:space="preserve"> that reduce the credit risk of an exposure or exposures via the substitution of exposures as defined below in “SUBSTITUTION OF THE EXPOSURE DUE TO CRM”.</w:t>
            </w:r>
          </w:p>
          <w:p w:rsidR="001C7AB7" w:rsidRPr="00661595" w:rsidRDefault="001C7AB7" w:rsidP="001C7AB7">
            <w:pPr>
              <w:autoSpaceDE w:val="0"/>
              <w:autoSpaceDN w:val="0"/>
              <w:adjustRightInd w:val="0"/>
              <w:spacing w:before="0" w:after="0"/>
              <w:jc w:val="left"/>
              <w:rPr>
                <w:rFonts w:ascii="Times New Roman" w:hAnsi="Times New Roman"/>
                <w:sz w:val="24"/>
              </w:rPr>
            </w:pPr>
          </w:p>
        </w:tc>
      </w:tr>
      <w:tr w:rsidR="001C7AB7" w:rsidRPr="00661595" w:rsidTr="00672D2A">
        <w:tc>
          <w:tcPr>
            <w:tcW w:w="1188" w:type="dxa"/>
          </w:tcPr>
          <w:p w:rsidR="001C7AB7" w:rsidRPr="00661595" w:rsidRDefault="001C7AB7" w:rsidP="004F2B30">
            <w:pPr>
              <w:rPr>
                <w:rFonts w:ascii="Times New Roman" w:hAnsi="Times New Roman"/>
                <w:sz w:val="24"/>
              </w:rPr>
            </w:pPr>
            <w:r w:rsidRPr="00661595">
              <w:rPr>
                <w:rFonts w:ascii="Times New Roman" w:hAnsi="Times New Roman"/>
                <w:sz w:val="24"/>
              </w:rPr>
              <w:t>0</w:t>
            </w:r>
            <w:r w:rsidR="00FF15C6" w:rsidRPr="00661595">
              <w:rPr>
                <w:rFonts w:ascii="Times New Roman" w:hAnsi="Times New Roman"/>
                <w:sz w:val="24"/>
              </w:rPr>
              <w:t>0</w:t>
            </w:r>
            <w:r w:rsidRPr="00661595">
              <w:rPr>
                <w:rFonts w:ascii="Times New Roman" w:hAnsi="Times New Roman"/>
                <w:sz w:val="24"/>
              </w:rPr>
              <w:t>40</w:t>
            </w:r>
            <w:r w:rsidR="004F2B30" w:rsidRPr="00661595">
              <w:rPr>
                <w:rFonts w:ascii="Times New Roman" w:hAnsi="Times New Roman"/>
                <w:sz w:val="24"/>
              </w:rPr>
              <w:t>-</w:t>
            </w:r>
            <w:r w:rsidRPr="00661595">
              <w:rPr>
                <w:rFonts w:ascii="Times New Roman" w:hAnsi="Times New Roman"/>
                <w:sz w:val="24"/>
              </w:rPr>
              <w:t>0</w:t>
            </w:r>
            <w:r w:rsidR="00FF15C6" w:rsidRPr="00661595">
              <w:rPr>
                <w:rFonts w:ascii="Times New Roman" w:hAnsi="Times New Roman"/>
                <w:sz w:val="24"/>
              </w:rPr>
              <w:t>0</w:t>
            </w:r>
            <w:r w:rsidRPr="00661595">
              <w:rPr>
                <w:rFonts w:ascii="Times New Roman" w:hAnsi="Times New Roman"/>
                <w:sz w:val="24"/>
              </w:rPr>
              <w:t>50</w:t>
            </w:r>
          </w:p>
        </w:tc>
        <w:tc>
          <w:tcPr>
            <w:tcW w:w="8843" w:type="dxa"/>
          </w:tcPr>
          <w:p w:rsidR="001C7AB7" w:rsidRPr="00661595" w:rsidRDefault="001C7AB7" w:rsidP="001C7AB7">
            <w:pPr>
              <w:rPr>
                <w:rFonts w:ascii="Times New Roman" w:hAnsi="Times New Roman"/>
                <w:b/>
                <w:sz w:val="24"/>
                <w:u w:val="single"/>
              </w:rPr>
            </w:pPr>
            <w:r w:rsidRPr="00661595">
              <w:rPr>
                <w:rFonts w:ascii="Times New Roman" w:hAnsi="Times New Roman"/>
                <w:b/>
                <w:sz w:val="24"/>
                <w:u w:val="single"/>
              </w:rPr>
              <w:t>UNFUNDED CREDIT PROTECTION</w:t>
            </w:r>
          </w:p>
          <w:p w:rsidR="001C7AB7" w:rsidRPr="00661595" w:rsidRDefault="001C7AB7" w:rsidP="001C7AB7">
            <w:pPr>
              <w:rPr>
                <w:rStyle w:val="InstructionsTabelleText"/>
                <w:rFonts w:ascii="Times New Roman" w:hAnsi="Times New Roman"/>
                <w:sz w:val="24"/>
              </w:rPr>
            </w:pPr>
            <w:r w:rsidRPr="00661595">
              <w:rPr>
                <w:rStyle w:val="InstructionsTabelleText"/>
                <w:rFonts w:ascii="Times New Roman" w:hAnsi="Times New Roman"/>
                <w:sz w:val="24"/>
              </w:rPr>
              <w:t>Unfunded credit protection</w:t>
            </w:r>
            <w:r w:rsidR="00BD6DB9" w:rsidRPr="00661595">
              <w:rPr>
                <w:rStyle w:val="InstructionsTabelleText"/>
                <w:rFonts w:ascii="Times New Roman" w:hAnsi="Times New Roman"/>
                <w:sz w:val="24"/>
              </w:rPr>
              <w:t xml:space="preserve"> as </w:t>
            </w:r>
            <w:r w:rsidRPr="00661595">
              <w:rPr>
                <w:rStyle w:val="InstructionsTabelleText"/>
                <w:rFonts w:ascii="Times New Roman" w:hAnsi="Times New Roman"/>
                <w:sz w:val="24"/>
              </w:rPr>
              <w:t>defined in</w:t>
            </w:r>
            <w:r w:rsidR="0019394E" w:rsidRPr="00661595">
              <w:rPr>
                <w:rStyle w:val="InstructionsTabelleText"/>
                <w:rFonts w:ascii="Times New Roman" w:hAnsi="Times New Roman"/>
                <w:sz w:val="24"/>
              </w:rPr>
              <w:t xml:space="preserve"> point (59) of</w:t>
            </w:r>
            <w:r w:rsidRPr="00661595">
              <w:rPr>
                <w:rStyle w:val="InstructionsTabelleText"/>
                <w:rFonts w:ascii="Times New Roman" w:hAnsi="Times New Roman"/>
                <w:sz w:val="24"/>
              </w:rPr>
              <w:t xml:space="preserve"> Article 4(</w:t>
            </w:r>
            <w:r w:rsidR="0019394E" w:rsidRPr="00661595">
              <w:rPr>
                <w:rStyle w:val="InstructionsTabelleText"/>
                <w:rFonts w:ascii="Times New Roman" w:hAnsi="Times New Roman"/>
                <w:sz w:val="24"/>
              </w:rPr>
              <w:t>1</w:t>
            </w:r>
            <w:r w:rsidRPr="00661595">
              <w:rPr>
                <w:rStyle w:val="InstructionsTabelleText"/>
                <w:rFonts w:ascii="Times New Roman" w:hAnsi="Times New Roman"/>
                <w:sz w:val="24"/>
              </w:rPr>
              <w:t xml:space="preserve">) </w:t>
            </w:r>
            <w:r w:rsidR="00C7103D" w:rsidRPr="00661595">
              <w:rPr>
                <w:rStyle w:val="InstructionsTabelleText"/>
                <w:rFonts w:ascii="Times New Roman" w:hAnsi="Times New Roman"/>
                <w:sz w:val="24"/>
              </w:rPr>
              <w:t>CRR</w:t>
            </w:r>
            <w:r w:rsidRPr="00661595">
              <w:rPr>
                <w:rStyle w:val="InstructionsTabelleText"/>
                <w:rFonts w:ascii="Times New Roman" w:hAnsi="Times New Roman"/>
                <w:sz w:val="24"/>
              </w:rPr>
              <w:t>.</w:t>
            </w:r>
          </w:p>
          <w:p w:rsidR="001C7AB7" w:rsidRPr="00661595" w:rsidRDefault="005474CB" w:rsidP="00BD6DB9">
            <w:pPr>
              <w:rPr>
                <w:rFonts w:ascii="Times New Roman" w:hAnsi="Times New Roman"/>
                <w:sz w:val="24"/>
              </w:rPr>
            </w:pPr>
            <w:r w:rsidRPr="00661595">
              <w:rPr>
                <w:rFonts w:ascii="Times New Roman" w:hAnsi="Times New Roman"/>
                <w:sz w:val="24"/>
              </w:rPr>
              <w:t xml:space="preserve">Unfunded credit protection </w:t>
            </w:r>
            <w:r w:rsidR="00BD6DB9" w:rsidRPr="00661595">
              <w:rPr>
                <w:rFonts w:ascii="Times New Roman" w:hAnsi="Times New Roman"/>
                <w:sz w:val="24"/>
              </w:rPr>
              <w:t xml:space="preserve">that </w:t>
            </w:r>
            <w:r w:rsidR="001C7AB7" w:rsidRPr="00661595">
              <w:rPr>
                <w:rFonts w:ascii="Times New Roman" w:hAnsi="Times New Roman"/>
                <w:sz w:val="24"/>
              </w:rPr>
              <w:t>has an effect on the exposure (e.g. used for credit risk mitigation techniques with substitution effects on the exposure) shall be capped at the exposure value.</w:t>
            </w:r>
          </w:p>
        </w:tc>
      </w:tr>
      <w:tr w:rsidR="001C7AB7" w:rsidRPr="00661595" w:rsidTr="00672D2A">
        <w:tc>
          <w:tcPr>
            <w:tcW w:w="1188" w:type="dxa"/>
          </w:tcPr>
          <w:p w:rsidR="001C7AB7" w:rsidRPr="00661595" w:rsidRDefault="001C7AB7" w:rsidP="001C7AB7">
            <w:pPr>
              <w:rPr>
                <w:rFonts w:ascii="Times New Roman" w:hAnsi="Times New Roman"/>
                <w:sz w:val="24"/>
              </w:rPr>
            </w:pPr>
            <w:r w:rsidRPr="00661595">
              <w:rPr>
                <w:rFonts w:ascii="Times New Roman" w:hAnsi="Times New Roman"/>
                <w:sz w:val="24"/>
              </w:rPr>
              <w:t>0</w:t>
            </w:r>
            <w:r w:rsidR="00FF15C6" w:rsidRPr="00661595">
              <w:rPr>
                <w:rFonts w:ascii="Times New Roman" w:hAnsi="Times New Roman"/>
                <w:sz w:val="24"/>
              </w:rPr>
              <w:t>0</w:t>
            </w:r>
            <w:r w:rsidRPr="00661595">
              <w:rPr>
                <w:rFonts w:ascii="Times New Roman" w:hAnsi="Times New Roman"/>
                <w:sz w:val="24"/>
              </w:rPr>
              <w:t>40</w:t>
            </w:r>
          </w:p>
        </w:tc>
        <w:tc>
          <w:tcPr>
            <w:tcW w:w="8843" w:type="dxa"/>
          </w:tcPr>
          <w:p w:rsidR="001C7AB7" w:rsidRPr="00661595" w:rsidRDefault="001C7AB7" w:rsidP="001C7AB7">
            <w:pPr>
              <w:jc w:val="left"/>
              <w:rPr>
                <w:rStyle w:val="InstructionsTabelleberschrift"/>
                <w:rFonts w:ascii="Times New Roman" w:hAnsi="Times New Roman"/>
                <w:sz w:val="24"/>
              </w:rPr>
            </w:pPr>
            <w:r w:rsidRPr="00661595">
              <w:rPr>
                <w:rStyle w:val="InstructionsTabelleberschrift"/>
                <w:rFonts w:ascii="Times New Roman" w:hAnsi="Times New Roman"/>
                <w:sz w:val="24"/>
              </w:rPr>
              <w:t>GUARANTEES:</w:t>
            </w:r>
          </w:p>
          <w:p w:rsidR="001C7AB7" w:rsidRPr="00661595" w:rsidRDefault="001C7AB7" w:rsidP="001C7AB7">
            <w:pPr>
              <w:jc w:val="left"/>
              <w:rPr>
                <w:rFonts w:ascii="Times New Roman" w:hAnsi="Times New Roman"/>
                <w:sz w:val="24"/>
              </w:rPr>
            </w:pPr>
            <w:r w:rsidRPr="00661595">
              <w:rPr>
                <w:rFonts w:ascii="Times New Roman" w:hAnsi="Times New Roman"/>
                <w:sz w:val="24"/>
              </w:rPr>
              <w:t>Whe</w:t>
            </w:r>
            <w:r w:rsidR="00BD6DB9" w:rsidRPr="00661595">
              <w:rPr>
                <w:rFonts w:ascii="Times New Roman" w:hAnsi="Times New Roman"/>
                <w:sz w:val="24"/>
              </w:rPr>
              <w:t>re</w:t>
            </w:r>
            <w:r w:rsidRPr="00661595">
              <w:rPr>
                <w:rFonts w:ascii="Times New Roman" w:hAnsi="Times New Roman"/>
                <w:sz w:val="24"/>
              </w:rPr>
              <w:t xml:space="preserve"> own estimates of LGD are not used</w:t>
            </w:r>
            <w:r w:rsidR="00785F3E" w:rsidRPr="00661595">
              <w:rPr>
                <w:rFonts w:ascii="Times New Roman" w:hAnsi="Times New Roman"/>
                <w:sz w:val="24"/>
              </w:rPr>
              <w:t>,</w:t>
            </w:r>
            <w:r w:rsidRPr="00661595">
              <w:rPr>
                <w:rFonts w:ascii="Times New Roman" w:hAnsi="Times New Roman"/>
                <w:sz w:val="24"/>
              </w:rPr>
              <w:t xml:space="preserve"> </w:t>
            </w:r>
            <w:r w:rsidR="00785F3E" w:rsidRPr="00661595">
              <w:rPr>
                <w:rFonts w:ascii="Times New Roman" w:hAnsi="Times New Roman"/>
                <w:sz w:val="24"/>
              </w:rPr>
              <w:t>t</w:t>
            </w:r>
            <w:r w:rsidRPr="00661595">
              <w:rPr>
                <w:rFonts w:ascii="Times New Roman" w:hAnsi="Times New Roman"/>
                <w:sz w:val="24"/>
              </w:rPr>
              <w:t>he Adjusted Value (G</w:t>
            </w:r>
            <w:r w:rsidR="001E0C80" w:rsidRPr="00661595">
              <w:rPr>
                <w:rFonts w:ascii="Times New Roman" w:hAnsi="Times New Roman"/>
                <w:sz w:val="24"/>
                <w:vertAlign w:val="subscript"/>
              </w:rPr>
              <w:t>A</w:t>
            </w:r>
            <w:r w:rsidRPr="00661595">
              <w:rPr>
                <w:rFonts w:ascii="Times New Roman" w:hAnsi="Times New Roman"/>
                <w:sz w:val="24"/>
              </w:rPr>
              <w:t>) as defined in Article 236</w:t>
            </w:r>
            <w:r w:rsidR="00BD6DB9" w:rsidRPr="00661595">
              <w:rPr>
                <w:rFonts w:ascii="Times New Roman" w:hAnsi="Times New Roman"/>
                <w:sz w:val="24"/>
              </w:rPr>
              <w:t>(3)</w:t>
            </w:r>
            <w:r w:rsidRPr="00661595">
              <w:rPr>
                <w:rFonts w:ascii="Times New Roman" w:hAnsi="Times New Roman"/>
                <w:sz w:val="24"/>
              </w:rPr>
              <w:t xml:space="preserve"> </w:t>
            </w:r>
            <w:r w:rsidR="00C7103D" w:rsidRPr="00661595">
              <w:rPr>
                <w:rFonts w:ascii="Times New Roman" w:hAnsi="Times New Roman"/>
                <w:sz w:val="24"/>
              </w:rPr>
              <w:t>CRR</w:t>
            </w:r>
            <w:r w:rsidRPr="00661595">
              <w:rPr>
                <w:rFonts w:ascii="Times New Roman" w:hAnsi="Times New Roman"/>
                <w:sz w:val="24"/>
              </w:rPr>
              <w:t xml:space="preserve"> </w:t>
            </w:r>
            <w:r w:rsidR="00C93697" w:rsidRPr="00661595">
              <w:rPr>
                <w:rFonts w:ascii="Times New Roman" w:hAnsi="Times New Roman"/>
                <w:sz w:val="24"/>
              </w:rPr>
              <w:t>shall</w:t>
            </w:r>
            <w:r w:rsidRPr="00661595">
              <w:rPr>
                <w:rFonts w:ascii="Times New Roman" w:hAnsi="Times New Roman"/>
                <w:sz w:val="24"/>
              </w:rPr>
              <w:t xml:space="preserve"> be provided.</w:t>
            </w:r>
          </w:p>
          <w:p w:rsidR="001C7AB7" w:rsidRPr="00661595" w:rsidRDefault="001C7AB7" w:rsidP="001C7AB7">
            <w:pPr>
              <w:jc w:val="left"/>
              <w:rPr>
                <w:rFonts w:ascii="Times New Roman" w:hAnsi="Times New Roman"/>
                <w:sz w:val="24"/>
              </w:rPr>
            </w:pPr>
            <w:r w:rsidRPr="00661595">
              <w:rPr>
                <w:rFonts w:ascii="Times New Roman" w:hAnsi="Times New Roman"/>
                <w:sz w:val="24"/>
              </w:rPr>
              <w:t xml:space="preserve">When </w:t>
            </w:r>
            <w:r w:rsidR="00BD6DB9" w:rsidRPr="00661595">
              <w:rPr>
                <w:rFonts w:ascii="Times New Roman" w:hAnsi="Times New Roman"/>
                <w:sz w:val="24"/>
              </w:rPr>
              <w:t>o</w:t>
            </w:r>
            <w:r w:rsidRPr="00661595">
              <w:rPr>
                <w:rFonts w:ascii="Times New Roman" w:hAnsi="Times New Roman"/>
                <w:sz w:val="24"/>
              </w:rPr>
              <w:t>wn estimates of LGD are used</w:t>
            </w:r>
            <w:r w:rsidR="00785F3E" w:rsidRPr="00661595">
              <w:rPr>
                <w:rFonts w:ascii="Times New Roman" w:hAnsi="Times New Roman"/>
                <w:sz w:val="24"/>
              </w:rPr>
              <w:t xml:space="preserve"> </w:t>
            </w:r>
            <w:r w:rsidR="00F33ABB" w:rsidRPr="00661595">
              <w:rPr>
                <w:rFonts w:ascii="Times New Roman" w:hAnsi="Times New Roman"/>
                <w:sz w:val="24"/>
              </w:rPr>
              <w:t xml:space="preserve">in accordance with </w:t>
            </w:r>
            <w:r w:rsidRPr="00661595">
              <w:rPr>
                <w:rFonts w:ascii="Times New Roman" w:hAnsi="Times New Roman"/>
                <w:sz w:val="24"/>
              </w:rPr>
              <w:t xml:space="preserve">Article 183 </w:t>
            </w:r>
            <w:r w:rsidR="00C7103D" w:rsidRPr="00661595">
              <w:rPr>
                <w:rFonts w:ascii="Times New Roman" w:hAnsi="Times New Roman"/>
                <w:sz w:val="24"/>
              </w:rPr>
              <w:t>CRR</w:t>
            </w:r>
            <w:r w:rsidR="009F0653" w:rsidRPr="00661595">
              <w:rPr>
                <w:rFonts w:ascii="Times New Roman" w:hAnsi="Times New Roman"/>
                <w:sz w:val="24"/>
              </w:rPr>
              <w:t xml:space="preserve"> (except for paragraph 3)</w:t>
            </w:r>
            <w:r w:rsidRPr="00661595">
              <w:rPr>
                <w:rFonts w:ascii="Times New Roman" w:hAnsi="Times New Roman"/>
                <w:sz w:val="24"/>
              </w:rPr>
              <w:t xml:space="preserve">, </w:t>
            </w:r>
            <w:r w:rsidR="00785F3E" w:rsidRPr="00661595">
              <w:rPr>
                <w:rFonts w:ascii="Times New Roman" w:hAnsi="Times New Roman"/>
                <w:sz w:val="24"/>
              </w:rPr>
              <w:t>t</w:t>
            </w:r>
            <w:r w:rsidRPr="00661595">
              <w:rPr>
                <w:rFonts w:ascii="Times New Roman" w:hAnsi="Times New Roman"/>
                <w:sz w:val="24"/>
              </w:rPr>
              <w:t xml:space="preserve">he </w:t>
            </w:r>
            <w:r w:rsidR="003C3168" w:rsidRPr="00661595">
              <w:rPr>
                <w:rFonts w:ascii="Times New Roman" w:hAnsi="Times New Roman"/>
                <w:sz w:val="24"/>
              </w:rPr>
              <w:t>relevant value used in the internal model</w:t>
            </w:r>
            <w:r w:rsidRPr="00661595">
              <w:rPr>
                <w:rFonts w:ascii="Times New Roman" w:hAnsi="Times New Roman"/>
                <w:sz w:val="24"/>
              </w:rPr>
              <w:t xml:space="preserve"> </w:t>
            </w:r>
            <w:r w:rsidR="00C93697" w:rsidRPr="00661595">
              <w:rPr>
                <w:rFonts w:ascii="Times New Roman" w:hAnsi="Times New Roman"/>
                <w:sz w:val="24"/>
              </w:rPr>
              <w:t>shall</w:t>
            </w:r>
            <w:r w:rsidRPr="00661595">
              <w:rPr>
                <w:rFonts w:ascii="Times New Roman" w:hAnsi="Times New Roman"/>
                <w:sz w:val="24"/>
              </w:rPr>
              <w:t xml:space="preserve"> be reported. </w:t>
            </w:r>
          </w:p>
          <w:p w:rsidR="001C7AB7" w:rsidRPr="00661595" w:rsidRDefault="001C7AB7" w:rsidP="001C7AB7">
            <w:pPr>
              <w:jc w:val="left"/>
              <w:rPr>
                <w:rFonts w:ascii="Times New Roman" w:hAnsi="Times New Roman"/>
                <w:sz w:val="24"/>
              </w:rPr>
            </w:pPr>
            <w:r w:rsidRPr="00661595">
              <w:rPr>
                <w:rFonts w:ascii="Times New Roman" w:hAnsi="Times New Roman"/>
                <w:sz w:val="24"/>
              </w:rPr>
              <w:t xml:space="preserve">Guarantees </w:t>
            </w:r>
            <w:r w:rsidR="00B811B0" w:rsidRPr="00661595">
              <w:rPr>
                <w:rFonts w:ascii="Times New Roman" w:hAnsi="Times New Roman"/>
                <w:sz w:val="24"/>
              </w:rPr>
              <w:t>shall</w:t>
            </w:r>
            <w:r w:rsidRPr="00661595">
              <w:rPr>
                <w:rFonts w:ascii="Times New Roman" w:hAnsi="Times New Roman"/>
                <w:sz w:val="24"/>
              </w:rPr>
              <w:t xml:space="preserve"> be reported in column </w:t>
            </w:r>
            <w:r w:rsidR="00FF15C6" w:rsidRPr="00661595">
              <w:rPr>
                <w:rFonts w:ascii="Times New Roman" w:hAnsi="Times New Roman"/>
                <w:sz w:val="24"/>
              </w:rPr>
              <w:t>0</w:t>
            </w:r>
            <w:r w:rsidRPr="00661595">
              <w:rPr>
                <w:rFonts w:ascii="Times New Roman" w:hAnsi="Times New Roman"/>
                <w:sz w:val="24"/>
              </w:rPr>
              <w:t>040 whe</w:t>
            </w:r>
            <w:r w:rsidR="00BD6DB9" w:rsidRPr="00661595">
              <w:rPr>
                <w:rFonts w:ascii="Times New Roman" w:hAnsi="Times New Roman"/>
                <w:sz w:val="24"/>
              </w:rPr>
              <w:t>re</w:t>
            </w:r>
            <w:r w:rsidRPr="00661595">
              <w:rPr>
                <w:rFonts w:ascii="Times New Roman" w:hAnsi="Times New Roman"/>
                <w:sz w:val="24"/>
              </w:rPr>
              <w:t xml:space="preserve"> the adjustment is not made in the LGD. Whe</w:t>
            </w:r>
            <w:r w:rsidR="00BD6DB9" w:rsidRPr="00661595">
              <w:rPr>
                <w:rFonts w:ascii="Times New Roman" w:hAnsi="Times New Roman"/>
                <w:sz w:val="24"/>
              </w:rPr>
              <w:t>re</w:t>
            </w:r>
            <w:r w:rsidRPr="00661595">
              <w:rPr>
                <w:rFonts w:ascii="Times New Roman" w:hAnsi="Times New Roman"/>
                <w:sz w:val="24"/>
              </w:rPr>
              <w:t xml:space="preserve"> the adjustment is made in the LGD, the amount of the guarantee shall be reported in column </w:t>
            </w:r>
            <w:r w:rsidR="00FF15C6" w:rsidRPr="00661595">
              <w:rPr>
                <w:rFonts w:ascii="Times New Roman" w:hAnsi="Times New Roman"/>
                <w:sz w:val="24"/>
              </w:rPr>
              <w:t>0</w:t>
            </w:r>
            <w:r w:rsidR="000565B6" w:rsidRPr="00661595">
              <w:rPr>
                <w:rFonts w:ascii="Times New Roman" w:hAnsi="Times New Roman"/>
                <w:sz w:val="24"/>
              </w:rPr>
              <w:t>150</w:t>
            </w:r>
            <w:r w:rsidRPr="00661595">
              <w:rPr>
                <w:rFonts w:ascii="Times New Roman" w:hAnsi="Times New Roman"/>
                <w:sz w:val="24"/>
              </w:rPr>
              <w:t>.</w:t>
            </w:r>
          </w:p>
          <w:p w:rsidR="00785F3E" w:rsidRPr="00661595" w:rsidRDefault="00785F3E" w:rsidP="001C7AB7">
            <w:pPr>
              <w:jc w:val="left"/>
              <w:rPr>
                <w:rFonts w:ascii="Times New Roman" w:hAnsi="Times New Roman"/>
                <w:sz w:val="24"/>
              </w:rPr>
            </w:pPr>
            <w:r w:rsidRPr="00661595">
              <w:rPr>
                <w:rFonts w:ascii="Times New Roman" w:hAnsi="Times New Roman"/>
                <w:sz w:val="24"/>
              </w:rPr>
              <w:t xml:space="preserve">Regarding exposures subject to the double default treatment, the value of unfunded credit protection </w:t>
            </w:r>
            <w:r w:rsidR="00BD6DB9" w:rsidRPr="00661595">
              <w:rPr>
                <w:rFonts w:ascii="Times New Roman" w:hAnsi="Times New Roman"/>
                <w:sz w:val="24"/>
              </w:rPr>
              <w:t>shall be</w:t>
            </w:r>
            <w:r w:rsidRPr="00661595">
              <w:rPr>
                <w:rFonts w:ascii="Times New Roman" w:hAnsi="Times New Roman"/>
                <w:sz w:val="24"/>
              </w:rPr>
              <w:t xml:space="preserve"> reported in column </w:t>
            </w:r>
            <w:r w:rsidR="00FF15C6" w:rsidRPr="00661595">
              <w:rPr>
                <w:rFonts w:ascii="Times New Roman" w:hAnsi="Times New Roman"/>
                <w:sz w:val="24"/>
              </w:rPr>
              <w:t>0</w:t>
            </w:r>
            <w:r w:rsidRPr="00661595">
              <w:rPr>
                <w:rFonts w:ascii="Times New Roman" w:hAnsi="Times New Roman"/>
                <w:sz w:val="24"/>
              </w:rPr>
              <w:t>220.</w:t>
            </w:r>
          </w:p>
          <w:p w:rsidR="001C7AB7" w:rsidRPr="00661595" w:rsidRDefault="001C7AB7" w:rsidP="001C7AB7">
            <w:pPr>
              <w:jc w:val="left"/>
              <w:rPr>
                <w:rFonts w:ascii="Times New Roman" w:hAnsi="Times New Roman"/>
                <w:sz w:val="24"/>
              </w:rPr>
            </w:pPr>
          </w:p>
        </w:tc>
      </w:tr>
      <w:tr w:rsidR="001C7AB7" w:rsidRPr="00661595" w:rsidTr="00672D2A">
        <w:tc>
          <w:tcPr>
            <w:tcW w:w="1188" w:type="dxa"/>
          </w:tcPr>
          <w:p w:rsidR="001C7AB7" w:rsidRPr="00661595" w:rsidRDefault="001C7AB7" w:rsidP="001C7AB7">
            <w:pPr>
              <w:rPr>
                <w:rFonts w:ascii="Times New Roman" w:hAnsi="Times New Roman"/>
                <w:sz w:val="24"/>
              </w:rPr>
            </w:pPr>
            <w:r w:rsidRPr="00661595">
              <w:rPr>
                <w:rFonts w:ascii="Times New Roman" w:hAnsi="Times New Roman"/>
                <w:sz w:val="24"/>
              </w:rPr>
              <w:t>0</w:t>
            </w:r>
            <w:r w:rsidR="00FF15C6" w:rsidRPr="00661595">
              <w:rPr>
                <w:rFonts w:ascii="Times New Roman" w:hAnsi="Times New Roman"/>
                <w:sz w:val="24"/>
              </w:rPr>
              <w:t>0</w:t>
            </w:r>
            <w:r w:rsidRPr="00661595">
              <w:rPr>
                <w:rFonts w:ascii="Times New Roman" w:hAnsi="Times New Roman"/>
                <w:sz w:val="24"/>
              </w:rPr>
              <w:t>50</w:t>
            </w:r>
          </w:p>
        </w:tc>
        <w:tc>
          <w:tcPr>
            <w:tcW w:w="8843" w:type="dxa"/>
          </w:tcPr>
          <w:p w:rsidR="001C7AB7" w:rsidRPr="00661595" w:rsidRDefault="001C7AB7" w:rsidP="001C7AB7">
            <w:pPr>
              <w:rPr>
                <w:rFonts w:ascii="Times New Roman" w:hAnsi="Times New Roman"/>
                <w:b/>
                <w:sz w:val="24"/>
                <w:u w:val="single"/>
              </w:rPr>
            </w:pPr>
            <w:r w:rsidRPr="00661595">
              <w:rPr>
                <w:rFonts w:ascii="Times New Roman" w:hAnsi="Times New Roman"/>
                <w:b/>
                <w:sz w:val="24"/>
                <w:u w:val="single"/>
              </w:rPr>
              <w:t>CREDIT DERIVATIVES:</w:t>
            </w:r>
          </w:p>
          <w:p w:rsidR="001C7AB7" w:rsidRPr="00661595" w:rsidRDefault="001C7AB7" w:rsidP="001C7AB7">
            <w:pPr>
              <w:rPr>
                <w:rFonts w:ascii="Times New Roman" w:hAnsi="Times New Roman"/>
                <w:sz w:val="24"/>
              </w:rPr>
            </w:pPr>
            <w:r w:rsidRPr="00661595">
              <w:rPr>
                <w:rFonts w:ascii="Times New Roman" w:hAnsi="Times New Roman"/>
                <w:sz w:val="24"/>
              </w:rPr>
              <w:t>Whe</w:t>
            </w:r>
            <w:r w:rsidR="00BD6DB9" w:rsidRPr="00661595">
              <w:rPr>
                <w:rFonts w:ascii="Times New Roman" w:hAnsi="Times New Roman"/>
                <w:sz w:val="24"/>
              </w:rPr>
              <w:t>re</w:t>
            </w:r>
            <w:r w:rsidRPr="00661595">
              <w:rPr>
                <w:rFonts w:ascii="Times New Roman" w:hAnsi="Times New Roman"/>
                <w:sz w:val="24"/>
              </w:rPr>
              <w:t xml:space="preserve"> own estimates of LGD are not used, the Adjusted Value (</w:t>
            </w:r>
            <w:r w:rsidR="00BD4E13" w:rsidRPr="00661595">
              <w:rPr>
                <w:rFonts w:ascii="Times New Roman" w:hAnsi="Times New Roman"/>
                <w:sz w:val="24"/>
              </w:rPr>
              <w:t>G</w:t>
            </w:r>
            <w:r w:rsidR="00BD4E13" w:rsidRPr="00661595">
              <w:rPr>
                <w:rFonts w:ascii="Times New Roman" w:hAnsi="Times New Roman"/>
                <w:sz w:val="24"/>
                <w:vertAlign w:val="subscript"/>
              </w:rPr>
              <w:t>A</w:t>
            </w:r>
            <w:r w:rsidRPr="00661595">
              <w:rPr>
                <w:rFonts w:ascii="Times New Roman" w:hAnsi="Times New Roman"/>
                <w:sz w:val="24"/>
              </w:rPr>
              <w:t xml:space="preserve">) as defined in </w:t>
            </w:r>
            <w:r w:rsidRPr="00661595">
              <w:rPr>
                <w:rFonts w:ascii="Times New Roman" w:hAnsi="Times New Roman"/>
                <w:sz w:val="24"/>
                <w:lang w:eastAsia="de-DE"/>
              </w:rPr>
              <w:t>Article 2</w:t>
            </w:r>
            <w:r w:rsidR="007445C4" w:rsidRPr="00661595">
              <w:rPr>
                <w:rFonts w:ascii="Times New Roman" w:hAnsi="Times New Roman"/>
                <w:sz w:val="24"/>
                <w:lang w:eastAsia="de-DE"/>
              </w:rPr>
              <w:t>36(3)</w:t>
            </w:r>
            <w:r w:rsidRPr="00661595">
              <w:rPr>
                <w:rFonts w:ascii="Times New Roman" w:hAnsi="Times New Roman"/>
                <w:sz w:val="24"/>
                <w:lang w:eastAsia="de-DE"/>
              </w:rPr>
              <w:t xml:space="preserve"> </w:t>
            </w:r>
            <w:r w:rsidR="00C7103D" w:rsidRPr="00661595">
              <w:rPr>
                <w:rFonts w:ascii="Times New Roman" w:hAnsi="Times New Roman"/>
                <w:sz w:val="24"/>
                <w:lang w:eastAsia="de-DE"/>
              </w:rPr>
              <w:t>CRR</w:t>
            </w:r>
            <w:r w:rsidRPr="00661595">
              <w:rPr>
                <w:rFonts w:ascii="Times New Roman" w:hAnsi="Times New Roman"/>
                <w:sz w:val="24"/>
              </w:rPr>
              <w:t xml:space="preserve"> </w:t>
            </w:r>
            <w:r w:rsidR="00C93697" w:rsidRPr="00661595">
              <w:rPr>
                <w:rFonts w:ascii="Times New Roman" w:hAnsi="Times New Roman"/>
                <w:sz w:val="24"/>
              </w:rPr>
              <w:t>shall</w:t>
            </w:r>
            <w:r w:rsidRPr="00661595">
              <w:rPr>
                <w:rFonts w:ascii="Times New Roman" w:hAnsi="Times New Roman"/>
                <w:sz w:val="24"/>
              </w:rPr>
              <w:t xml:space="preserve"> be provided.</w:t>
            </w:r>
            <w:r w:rsidR="00F8411E" w:rsidRPr="00661595">
              <w:rPr>
                <w:rFonts w:ascii="Times New Roman" w:hAnsi="Times New Roman"/>
                <w:sz w:val="24"/>
              </w:rPr>
              <w:t xml:space="preserve"> </w:t>
            </w:r>
          </w:p>
          <w:p w:rsidR="00785F3E" w:rsidRPr="00661595" w:rsidRDefault="00785F3E" w:rsidP="001C7AB7">
            <w:pPr>
              <w:rPr>
                <w:rFonts w:ascii="Times New Roman" w:hAnsi="Times New Roman"/>
                <w:sz w:val="24"/>
              </w:rPr>
            </w:pPr>
            <w:r w:rsidRPr="00661595">
              <w:rPr>
                <w:rFonts w:ascii="Times New Roman" w:hAnsi="Times New Roman"/>
                <w:sz w:val="24"/>
              </w:rPr>
              <w:t>Whe</w:t>
            </w:r>
            <w:r w:rsidR="00BD6DB9" w:rsidRPr="00661595">
              <w:rPr>
                <w:rFonts w:ascii="Times New Roman" w:hAnsi="Times New Roman"/>
                <w:sz w:val="24"/>
              </w:rPr>
              <w:t>re</w:t>
            </w:r>
            <w:r w:rsidRPr="00661595">
              <w:rPr>
                <w:rFonts w:ascii="Times New Roman" w:hAnsi="Times New Roman"/>
                <w:sz w:val="24"/>
              </w:rPr>
              <w:t xml:space="preserve"> own estimates of LGD are used </w:t>
            </w:r>
            <w:r w:rsidR="00F33ABB" w:rsidRPr="00661595">
              <w:rPr>
                <w:rFonts w:ascii="Times New Roman" w:hAnsi="Times New Roman"/>
                <w:sz w:val="24"/>
              </w:rPr>
              <w:t xml:space="preserve">in accordance with </w:t>
            </w:r>
            <w:r w:rsidR="00352A45" w:rsidRPr="00661595">
              <w:rPr>
                <w:rFonts w:ascii="Times New Roman" w:hAnsi="Times New Roman"/>
                <w:sz w:val="24"/>
              </w:rPr>
              <w:t xml:space="preserve">paragraph 3 of </w:t>
            </w:r>
            <w:r w:rsidRPr="00661595">
              <w:rPr>
                <w:rFonts w:ascii="Times New Roman" w:hAnsi="Times New Roman"/>
                <w:sz w:val="24"/>
              </w:rPr>
              <w:t xml:space="preserve">Article 183 </w:t>
            </w:r>
            <w:r w:rsidR="00C7103D" w:rsidRPr="00661595">
              <w:rPr>
                <w:rFonts w:ascii="Times New Roman" w:hAnsi="Times New Roman"/>
                <w:sz w:val="24"/>
              </w:rPr>
              <w:t>CRR</w:t>
            </w:r>
            <w:r w:rsidRPr="00661595">
              <w:rPr>
                <w:rFonts w:ascii="Times New Roman" w:hAnsi="Times New Roman"/>
                <w:sz w:val="24"/>
              </w:rPr>
              <w:t>, the relevant value used in the internal modelling shall be reported.</w:t>
            </w:r>
          </w:p>
          <w:p w:rsidR="001C7AB7" w:rsidRPr="00661595" w:rsidRDefault="001C7AB7" w:rsidP="001C7AB7">
            <w:pPr>
              <w:rPr>
                <w:rFonts w:ascii="Times New Roman" w:hAnsi="Times New Roman"/>
                <w:sz w:val="24"/>
              </w:rPr>
            </w:pPr>
            <w:r w:rsidRPr="00661595">
              <w:rPr>
                <w:rFonts w:ascii="Times New Roman" w:hAnsi="Times New Roman"/>
                <w:sz w:val="24"/>
              </w:rPr>
              <w:t>Whe</w:t>
            </w:r>
            <w:r w:rsidR="00BD6DB9" w:rsidRPr="00661595">
              <w:rPr>
                <w:rFonts w:ascii="Times New Roman" w:hAnsi="Times New Roman"/>
                <w:sz w:val="24"/>
              </w:rPr>
              <w:t>re</w:t>
            </w:r>
            <w:r w:rsidRPr="00661595">
              <w:rPr>
                <w:rFonts w:ascii="Times New Roman" w:hAnsi="Times New Roman"/>
                <w:sz w:val="24"/>
              </w:rPr>
              <w:t xml:space="preserve"> the adjustment is made in the LGD, the amount of the credit derivatives shall be reported in column </w:t>
            </w:r>
            <w:r w:rsidR="00FF15C6" w:rsidRPr="00661595">
              <w:rPr>
                <w:rFonts w:ascii="Times New Roman" w:hAnsi="Times New Roman"/>
                <w:sz w:val="24"/>
              </w:rPr>
              <w:t>0</w:t>
            </w:r>
            <w:r w:rsidR="000565B6" w:rsidRPr="00661595">
              <w:rPr>
                <w:rFonts w:ascii="Times New Roman" w:hAnsi="Times New Roman"/>
                <w:sz w:val="24"/>
              </w:rPr>
              <w:t>160</w:t>
            </w:r>
            <w:r w:rsidR="007445C4" w:rsidRPr="00661595">
              <w:rPr>
                <w:rFonts w:ascii="Times New Roman" w:hAnsi="Times New Roman"/>
                <w:sz w:val="24"/>
              </w:rPr>
              <w:t>.</w:t>
            </w:r>
          </w:p>
          <w:p w:rsidR="001C7AB7" w:rsidRPr="00661595" w:rsidRDefault="001C7AB7" w:rsidP="00785F3E">
            <w:pPr>
              <w:jc w:val="left"/>
              <w:rPr>
                <w:rFonts w:ascii="Times New Roman" w:hAnsi="Times New Roman"/>
                <w:sz w:val="24"/>
              </w:rPr>
            </w:pPr>
            <w:r w:rsidRPr="00661595">
              <w:rPr>
                <w:rFonts w:ascii="Times New Roman" w:hAnsi="Times New Roman"/>
                <w:sz w:val="24"/>
              </w:rPr>
              <w:t>Regarding exposures subject to the double default treatment</w:t>
            </w:r>
            <w:r w:rsidR="00BD6DB9" w:rsidRPr="00661595">
              <w:rPr>
                <w:rFonts w:ascii="Times New Roman" w:hAnsi="Times New Roman"/>
                <w:sz w:val="24"/>
              </w:rPr>
              <w:t>,</w:t>
            </w:r>
            <w:r w:rsidRPr="00661595">
              <w:rPr>
                <w:rFonts w:ascii="Times New Roman" w:hAnsi="Times New Roman"/>
                <w:sz w:val="24"/>
              </w:rPr>
              <w:t xml:space="preserve"> the value of unfunded credit protection </w:t>
            </w:r>
            <w:r w:rsidR="00785F3E" w:rsidRPr="00661595">
              <w:rPr>
                <w:rFonts w:ascii="Times New Roman" w:hAnsi="Times New Roman"/>
                <w:sz w:val="24"/>
              </w:rPr>
              <w:t>shall be</w:t>
            </w:r>
            <w:r w:rsidRPr="00661595">
              <w:rPr>
                <w:rFonts w:ascii="Times New Roman" w:hAnsi="Times New Roman"/>
                <w:sz w:val="24"/>
              </w:rPr>
              <w:t xml:space="preserve"> reported in </w:t>
            </w:r>
            <w:r w:rsidR="00785F3E" w:rsidRPr="00661595">
              <w:rPr>
                <w:rFonts w:ascii="Times New Roman" w:hAnsi="Times New Roman"/>
                <w:sz w:val="24"/>
              </w:rPr>
              <w:t>c</w:t>
            </w:r>
            <w:r w:rsidRPr="00661595">
              <w:rPr>
                <w:rFonts w:ascii="Times New Roman" w:hAnsi="Times New Roman"/>
                <w:sz w:val="24"/>
              </w:rPr>
              <w:t xml:space="preserve">olumn </w:t>
            </w:r>
            <w:r w:rsidR="00FF15C6" w:rsidRPr="00661595">
              <w:rPr>
                <w:rFonts w:ascii="Times New Roman" w:hAnsi="Times New Roman"/>
                <w:sz w:val="24"/>
              </w:rPr>
              <w:t>0</w:t>
            </w:r>
            <w:r w:rsidRPr="00661595">
              <w:rPr>
                <w:rFonts w:ascii="Times New Roman" w:hAnsi="Times New Roman"/>
                <w:sz w:val="24"/>
              </w:rPr>
              <w:t>220.</w:t>
            </w:r>
          </w:p>
        </w:tc>
      </w:tr>
      <w:tr w:rsidR="001C7AB7" w:rsidRPr="00661595" w:rsidTr="00672D2A">
        <w:tc>
          <w:tcPr>
            <w:tcW w:w="1188" w:type="dxa"/>
          </w:tcPr>
          <w:p w:rsidR="001C7AB7" w:rsidRPr="00661595" w:rsidRDefault="001C7AB7" w:rsidP="001C7AB7">
            <w:pPr>
              <w:rPr>
                <w:rFonts w:ascii="Times New Roman" w:hAnsi="Times New Roman"/>
                <w:sz w:val="24"/>
              </w:rPr>
            </w:pPr>
            <w:r w:rsidRPr="00661595">
              <w:rPr>
                <w:rFonts w:ascii="Times New Roman" w:hAnsi="Times New Roman"/>
                <w:sz w:val="24"/>
              </w:rPr>
              <w:t>0</w:t>
            </w:r>
            <w:r w:rsidR="00FF15C6" w:rsidRPr="00661595">
              <w:rPr>
                <w:rFonts w:ascii="Times New Roman" w:hAnsi="Times New Roman"/>
                <w:sz w:val="24"/>
              </w:rPr>
              <w:t>0</w:t>
            </w:r>
            <w:r w:rsidRPr="00661595">
              <w:rPr>
                <w:rFonts w:ascii="Times New Roman" w:hAnsi="Times New Roman"/>
                <w:sz w:val="24"/>
              </w:rPr>
              <w:t>60</w:t>
            </w:r>
          </w:p>
        </w:tc>
        <w:tc>
          <w:tcPr>
            <w:tcW w:w="8843" w:type="dxa"/>
          </w:tcPr>
          <w:p w:rsidR="001C7AB7" w:rsidRPr="00661595" w:rsidRDefault="001C7AB7" w:rsidP="001C7AB7">
            <w:pPr>
              <w:rPr>
                <w:rFonts w:ascii="Times New Roman" w:hAnsi="Times New Roman"/>
                <w:b/>
                <w:sz w:val="24"/>
                <w:u w:val="single"/>
              </w:rPr>
            </w:pPr>
            <w:r w:rsidRPr="00661595">
              <w:rPr>
                <w:rFonts w:ascii="Times New Roman" w:hAnsi="Times New Roman"/>
                <w:b/>
                <w:sz w:val="24"/>
                <w:u w:val="single"/>
              </w:rPr>
              <w:t>OTHER FUNDED CREDIT PROTECTION</w:t>
            </w:r>
          </w:p>
          <w:p w:rsidR="00785F3E" w:rsidRPr="00661595" w:rsidRDefault="00BD6DB9" w:rsidP="001C7AB7">
            <w:pPr>
              <w:rPr>
                <w:rStyle w:val="InstructionsTabelleText"/>
                <w:rFonts w:ascii="Times New Roman" w:hAnsi="Times New Roman"/>
                <w:sz w:val="24"/>
              </w:rPr>
            </w:pPr>
            <w:r w:rsidRPr="00661595">
              <w:rPr>
                <w:rStyle w:val="InstructionsTabelleText"/>
                <w:rFonts w:ascii="Times New Roman" w:hAnsi="Times New Roman"/>
                <w:sz w:val="24"/>
              </w:rPr>
              <w:t>C</w:t>
            </w:r>
            <w:r w:rsidR="00785F3E" w:rsidRPr="00661595">
              <w:rPr>
                <w:rStyle w:val="InstructionsTabelleText"/>
                <w:rFonts w:ascii="Times New Roman" w:hAnsi="Times New Roman"/>
                <w:sz w:val="24"/>
              </w:rPr>
              <w:t xml:space="preserve">ollateral </w:t>
            </w:r>
            <w:r w:rsidRPr="00661595">
              <w:rPr>
                <w:rStyle w:val="InstructionsTabelleText"/>
                <w:rFonts w:ascii="Times New Roman" w:hAnsi="Times New Roman"/>
                <w:sz w:val="24"/>
              </w:rPr>
              <w:t xml:space="preserve">that </w:t>
            </w:r>
            <w:r w:rsidR="00785F3E" w:rsidRPr="00661595">
              <w:rPr>
                <w:rStyle w:val="InstructionsTabelleText"/>
                <w:rFonts w:ascii="Times New Roman" w:hAnsi="Times New Roman"/>
                <w:sz w:val="24"/>
              </w:rPr>
              <w:t xml:space="preserve">has an effect on the </w:t>
            </w:r>
            <w:r w:rsidR="006C35BA" w:rsidRPr="00661595">
              <w:rPr>
                <w:rStyle w:val="InstructionsTabelleText"/>
                <w:rFonts w:ascii="Times New Roman" w:hAnsi="Times New Roman"/>
                <w:sz w:val="24"/>
              </w:rPr>
              <w:t xml:space="preserve">PD of the </w:t>
            </w:r>
            <w:r w:rsidR="00785F3E" w:rsidRPr="00661595">
              <w:rPr>
                <w:rStyle w:val="InstructionsTabelleText"/>
                <w:rFonts w:ascii="Times New Roman" w:hAnsi="Times New Roman"/>
                <w:sz w:val="24"/>
              </w:rPr>
              <w:t xml:space="preserve">exposure shall be capped at the </w:t>
            </w:r>
            <w:r w:rsidR="006C35BA" w:rsidRPr="00661595">
              <w:rPr>
                <w:rStyle w:val="InstructionsTabelleText"/>
                <w:rFonts w:ascii="Times New Roman" w:hAnsi="Times New Roman"/>
                <w:sz w:val="24"/>
              </w:rPr>
              <w:t xml:space="preserve">value of the </w:t>
            </w:r>
            <w:r w:rsidR="006C35BA" w:rsidRPr="00661595">
              <w:rPr>
                <w:rFonts w:ascii="Times New Roman" w:hAnsi="Times New Roman"/>
                <w:sz w:val="24"/>
              </w:rPr>
              <w:t>original exposure pre conversion factors</w:t>
            </w:r>
            <w:r w:rsidR="00785F3E" w:rsidRPr="00661595">
              <w:rPr>
                <w:rStyle w:val="InstructionsTabelleText"/>
                <w:rFonts w:ascii="Times New Roman" w:hAnsi="Times New Roman"/>
                <w:sz w:val="24"/>
              </w:rPr>
              <w:t>.</w:t>
            </w:r>
          </w:p>
          <w:p w:rsidR="001C7AB7" w:rsidRPr="00661595" w:rsidRDefault="001C7AB7" w:rsidP="001C7AB7">
            <w:pPr>
              <w:rPr>
                <w:rStyle w:val="InstructionsTabelleText"/>
                <w:rFonts w:ascii="Times New Roman" w:hAnsi="Times New Roman"/>
                <w:sz w:val="24"/>
              </w:rPr>
            </w:pPr>
            <w:r w:rsidRPr="00661595">
              <w:rPr>
                <w:rStyle w:val="InstructionsTabelleText"/>
                <w:rFonts w:ascii="Times New Roman" w:hAnsi="Times New Roman"/>
                <w:sz w:val="24"/>
              </w:rPr>
              <w:t>Whe</w:t>
            </w:r>
            <w:r w:rsidR="00BD6DB9" w:rsidRPr="00661595">
              <w:rPr>
                <w:rStyle w:val="InstructionsTabelleText"/>
                <w:rFonts w:ascii="Times New Roman" w:hAnsi="Times New Roman"/>
                <w:sz w:val="24"/>
              </w:rPr>
              <w:t>re</w:t>
            </w:r>
            <w:r w:rsidRPr="00661595">
              <w:rPr>
                <w:rStyle w:val="InstructionsTabelleText"/>
                <w:rFonts w:ascii="Times New Roman" w:hAnsi="Times New Roman"/>
                <w:sz w:val="24"/>
              </w:rPr>
              <w:t xml:space="preserve"> own estimates of LGD are not used</w:t>
            </w:r>
            <w:r w:rsidR="00785F3E" w:rsidRPr="00661595">
              <w:rPr>
                <w:rStyle w:val="InstructionsTabelleText"/>
                <w:rFonts w:ascii="Times New Roman" w:hAnsi="Times New Roman"/>
                <w:sz w:val="24"/>
              </w:rPr>
              <w:t>,</w:t>
            </w:r>
            <w:r w:rsidRPr="00661595">
              <w:rPr>
                <w:rStyle w:val="InstructionsTabelleText"/>
                <w:rFonts w:ascii="Times New Roman" w:hAnsi="Times New Roman"/>
                <w:sz w:val="24"/>
              </w:rPr>
              <w:t xml:space="preserve"> Article 232</w:t>
            </w:r>
            <w:r w:rsidR="006C35BA" w:rsidRPr="00661595">
              <w:rPr>
                <w:rStyle w:val="InstructionsTabelleText"/>
                <w:rFonts w:ascii="Times New Roman" w:hAnsi="Times New Roman"/>
                <w:sz w:val="24"/>
              </w:rPr>
              <w:t>(1)</w:t>
            </w:r>
            <w:r w:rsidRPr="00661595">
              <w:rPr>
                <w:rStyle w:val="InstructionsTabelleText"/>
                <w:rFonts w:ascii="Times New Roman" w:hAnsi="Times New Roman"/>
                <w:sz w:val="24"/>
              </w:rPr>
              <w:t xml:space="preserve"> </w:t>
            </w:r>
            <w:r w:rsidR="00C7103D" w:rsidRPr="00661595">
              <w:rPr>
                <w:rStyle w:val="InstructionsTabelleText"/>
                <w:rFonts w:ascii="Times New Roman" w:hAnsi="Times New Roman"/>
                <w:sz w:val="24"/>
              </w:rPr>
              <w:t>CRR</w:t>
            </w:r>
            <w:r w:rsidR="00785F3E" w:rsidRPr="00661595">
              <w:rPr>
                <w:rStyle w:val="InstructionsTabelleText"/>
                <w:rFonts w:ascii="Times New Roman" w:hAnsi="Times New Roman"/>
                <w:sz w:val="24"/>
              </w:rPr>
              <w:t xml:space="preserve"> </w:t>
            </w:r>
            <w:r w:rsidR="006C35BA" w:rsidRPr="00661595">
              <w:rPr>
                <w:rStyle w:val="InstructionsTabelleText"/>
                <w:rFonts w:ascii="Times New Roman" w:hAnsi="Times New Roman"/>
                <w:sz w:val="24"/>
              </w:rPr>
              <w:t>applies</w:t>
            </w:r>
            <w:r w:rsidR="00785F3E" w:rsidRPr="00661595">
              <w:rPr>
                <w:rStyle w:val="InstructionsTabelleText"/>
                <w:rFonts w:ascii="Times New Roman" w:hAnsi="Times New Roman"/>
                <w:sz w:val="24"/>
              </w:rPr>
              <w:t>.</w:t>
            </w:r>
          </w:p>
          <w:p w:rsidR="001C7AB7" w:rsidRPr="00661595" w:rsidRDefault="001C7AB7" w:rsidP="001C7AB7">
            <w:pPr>
              <w:rPr>
                <w:rStyle w:val="InstructionsTabelleText"/>
                <w:rFonts w:ascii="Times New Roman" w:hAnsi="Times New Roman"/>
                <w:sz w:val="24"/>
              </w:rPr>
            </w:pPr>
            <w:r w:rsidRPr="00661595">
              <w:rPr>
                <w:rStyle w:val="InstructionsTabelleText"/>
                <w:rFonts w:ascii="Times New Roman" w:hAnsi="Times New Roman"/>
                <w:sz w:val="24"/>
              </w:rPr>
              <w:t>Whe</w:t>
            </w:r>
            <w:r w:rsidR="00BD6DB9" w:rsidRPr="00661595">
              <w:rPr>
                <w:rStyle w:val="InstructionsTabelleText"/>
                <w:rFonts w:ascii="Times New Roman" w:hAnsi="Times New Roman"/>
                <w:sz w:val="24"/>
              </w:rPr>
              <w:t>re</w:t>
            </w:r>
            <w:r w:rsidRPr="00661595">
              <w:rPr>
                <w:rStyle w:val="InstructionsTabelleText"/>
                <w:rFonts w:ascii="Times New Roman" w:hAnsi="Times New Roman"/>
                <w:sz w:val="24"/>
              </w:rPr>
              <w:t xml:space="preserve"> own estimates of LGD are used</w:t>
            </w:r>
            <w:r w:rsidR="00785F3E" w:rsidRPr="00661595">
              <w:rPr>
                <w:rStyle w:val="InstructionsTabelleText"/>
                <w:rFonts w:ascii="Times New Roman" w:hAnsi="Times New Roman"/>
                <w:sz w:val="24"/>
              </w:rPr>
              <w:t>,</w:t>
            </w:r>
            <w:r w:rsidRPr="00661595">
              <w:rPr>
                <w:rStyle w:val="InstructionsTabelleText"/>
                <w:rFonts w:ascii="Times New Roman" w:hAnsi="Times New Roman"/>
                <w:sz w:val="24"/>
              </w:rPr>
              <w:t xml:space="preserve"> those credit risk mitiga</w:t>
            </w:r>
            <w:r w:rsidR="00F33ABB" w:rsidRPr="00661595">
              <w:rPr>
                <w:rStyle w:val="InstructionsTabelleText"/>
                <w:rFonts w:ascii="Times New Roman" w:hAnsi="Times New Roman"/>
                <w:sz w:val="24"/>
              </w:rPr>
              <w:t>tion</w:t>
            </w:r>
            <w:r w:rsidRPr="00661595">
              <w:rPr>
                <w:rStyle w:val="InstructionsTabelleText"/>
                <w:rFonts w:ascii="Times New Roman" w:hAnsi="Times New Roman"/>
                <w:sz w:val="24"/>
              </w:rPr>
              <w:t xml:space="preserve"> </w:t>
            </w:r>
            <w:r w:rsidR="004A47BA">
              <w:rPr>
                <w:rStyle w:val="InstructionsTabelleText"/>
                <w:rFonts w:ascii="Times New Roman" w:hAnsi="Times New Roman"/>
                <w:sz w:val="24"/>
              </w:rPr>
              <w:t xml:space="preserve">techniques </w:t>
            </w:r>
            <w:r w:rsidRPr="00661595">
              <w:rPr>
                <w:rStyle w:val="InstructionsTabelleText"/>
                <w:rFonts w:ascii="Times New Roman" w:hAnsi="Times New Roman"/>
                <w:sz w:val="24"/>
              </w:rPr>
              <w:t xml:space="preserve">that </w:t>
            </w:r>
            <w:r w:rsidR="006C35BA" w:rsidRPr="00661595">
              <w:rPr>
                <w:rStyle w:val="InstructionsTabelleText"/>
                <w:rFonts w:ascii="Times New Roman" w:hAnsi="Times New Roman"/>
                <w:sz w:val="24"/>
              </w:rPr>
              <w:t>have effects on PD</w:t>
            </w:r>
            <w:r w:rsidR="00785F3E" w:rsidRPr="00661595">
              <w:rPr>
                <w:rStyle w:val="InstructionsTabelleText"/>
                <w:rFonts w:ascii="Times New Roman" w:hAnsi="Times New Roman"/>
                <w:sz w:val="24"/>
              </w:rPr>
              <w:t xml:space="preserve"> shall be reported</w:t>
            </w:r>
            <w:r w:rsidRPr="00661595">
              <w:rPr>
                <w:rStyle w:val="InstructionsTabelleText"/>
                <w:rFonts w:ascii="Times New Roman" w:hAnsi="Times New Roman"/>
                <w:sz w:val="24"/>
              </w:rPr>
              <w:t xml:space="preserve">. </w:t>
            </w:r>
            <w:r w:rsidR="003C3168" w:rsidRPr="00661595">
              <w:rPr>
                <w:rStyle w:val="InstructionsTabelleText"/>
                <w:rFonts w:ascii="Times New Roman" w:hAnsi="Times New Roman"/>
                <w:sz w:val="24"/>
              </w:rPr>
              <w:t xml:space="preserve">The relevant </w:t>
            </w:r>
            <w:r w:rsidR="006C35BA" w:rsidRPr="00661595">
              <w:rPr>
                <w:rStyle w:val="InstructionsTabelleText"/>
                <w:rFonts w:ascii="Times New Roman" w:hAnsi="Times New Roman"/>
                <w:sz w:val="24"/>
              </w:rPr>
              <w:t xml:space="preserve">nominal or market </w:t>
            </w:r>
            <w:r w:rsidR="003C3168" w:rsidRPr="00661595">
              <w:rPr>
                <w:rStyle w:val="InstructionsTabelleText"/>
                <w:rFonts w:ascii="Times New Roman" w:hAnsi="Times New Roman"/>
                <w:sz w:val="24"/>
              </w:rPr>
              <w:t>value shall be reported.</w:t>
            </w:r>
          </w:p>
          <w:p w:rsidR="001C7AB7" w:rsidRPr="00661595" w:rsidRDefault="001C7AB7" w:rsidP="00A94F5F">
            <w:pPr>
              <w:rPr>
                <w:rFonts w:ascii="Times New Roman" w:hAnsi="Times New Roman"/>
                <w:sz w:val="24"/>
              </w:rPr>
            </w:pPr>
            <w:r w:rsidRPr="00661595">
              <w:rPr>
                <w:rStyle w:val="InstructionsTabelleText"/>
                <w:rFonts w:ascii="Times New Roman" w:hAnsi="Times New Roman"/>
                <w:sz w:val="24"/>
              </w:rPr>
              <w:t>Whe</w:t>
            </w:r>
            <w:r w:rsidR="00BD6DB9" w:rsidRPr="00661595">
              <w:rPr>
                <w:rStyle w:val="InstructionsTabelleText"/>
                <w:rFonts w:ascii="Times New Roman" w:hAnsi="Times New Roman"/>
                <w:sz w:val="24"/>
              </w:rPr>
              <w:t>re</w:t>
            </w:r>
            <w:r w:rsidRPr="00661595">
              <w:rPr>
                <w:rStyle w:val="InstructionsTabelleText"/>
                <w:rFonts w:ascii="Times New Roman" w:hAnsi="Times New Roman"/>
                <w:sz w:val="24"/>
              </w:rPr>
              <w:t xml:space="preserve"> an adjustment is made in the LGD</w:t>
            </w:r>
            <w:r w:rsidR="00BD6DB9" w:rsidRPr="00661595">
              <w:rPr>
                <w:rStyle w:val="InstructionsTabelleText"/>
                <w:rFonts w:ascii="Times New Roman" w:hAnsi="Times New Roman"/>
                <w:sz w:val="24"/>
              </w:rPr>
              <w:t>,</w:t>
            </w:r>
            <w:r w:rsidRPr="00661595">
              <w:rPr>
                <w:rStyle w:val="InstructionsTabelleText"/>
                <w:rFonts w:ascii="Times New Roman" w:hAnsi="Times New Roman"/>
                <w:sz w:val="24"/>
              </w:rPr>
              <w:t xml:space="preserve"> th</w:t>
            </w:r>
            <w:r w:rsidR="00A94F5F" w:rsidRPr="00661595">
              <w:rPr>
                <w:rStyle w:val="InstructionsTabelleText"/>
                <w:rFonts w:ascii="Times New Roman" w:hAnsi="Times New Roman"/>
                <w:sz w:val="24"/>
              </w:rPr>
              <w:t>at</w:t>
            </w:r>
            <w:r w:rsidRPr="00661595">
              <w:rPr>
                <w:rStyle w:val="InstructionsTabelleText"/>
                <w:rFonts w:ascii="Times New Roman" w:hAnsi="Times New Roman"/>
                <w:sz w:val="24"/>
              </w:rPr>
              <w:t xml:space="preserve"> amount shall be reported in column 170</w:t>
            </w:r>
            <w:r w:rsidR="00785F3E" w:rsidRPr="00661595">
              <w:rPr>
                <w:rStyle w:val="InstructionsTabelleText"/>
                <w:rFonts w:ascii="Times New Roman" w:hAnsi="Times New Roman"/>
                <w:sz w:val="24"/>
              </w:rPr>
              <w:t>.</w:t>
            </w:r>
          </w:p>
        </w:tc>
      </w:tr>
      <w:tr w:rsidR="001C7AB7" w:rsidRPr="00661595" w:rsidTr="00672D2A">
        <w:tc>
          <w:tcPr>
            <w:tcW w:w="1188" w:type="dxa"/>
          </w:tcPr>
          <w:p w:rsidR="001C7AB7" w:rsidRPr="00661595" w:rsidRDefault="001C7AB7" w:rsidP="001C7AB7">
            <w:pPr>
              <w:rPr>
                <w:rFonts w:ascii="Times New Roman" w:hAnsi="Times New Roman"/>
                <w:sz w:val="24"/>
              </w:rPr>
            </w:pPr>
            <w:r w:rsidRPr="00661595">
              <w:rPr>
                <w:rFonts w:ascii="Times New Roman" w:hAnsi="Times New Roman"/>
                <w:sz w:val="24"/>
              </w:rPr>
              <w:t>0</w:t>
            </w:r>
            <w:r w:rsidR="00FF15C6" w:rsidRPr="00661595">
              <w:rPr>
                <w:rFonts w:ascii="Times New Roman" w:hAnsi="Times New Roman"/>
                <w:sz w:val="24"/>
              </w:rPr>
              <w:t>0</w:t>
            </w:r>
            <w:r w:rsidRPr="00661595">
              <w:rPr>
                <w:rFonts w:ascii="Times New Roman" w:hAnsi="Times New Roman"/>
                <w:sz w:val="24"/>
              </w:rPr>
              <w:t>70-</w:t>
            </w:r>
            <w:r w:rsidR="00FF15C6" w:rsidRPr="00661595">
              <w:rPr>
                <w:rFonts w:ascii="Times New Roman" w:hAnsi="Times New Roman"/>
                <w:sz w:val="24"/>
              </w:rPr>
              <w:t>0</w:t>
            </w:r>
            <w:r w:rsidRPr="00661595">
              <w:rPr>
                <w:rFonts w:ascii="Times New Roman" w:hAnsi="Times New Roman"/>
                <w:sz w:val="24"/>
              </w:rPr>
              <w:t>080</w:t>
            </w:r>
          </w:p>
        </w:tc>
        <w:tc>
          <w:tcPr>
            <w:tcW w:w="8843" w:type="dxa"/>
          </w:tcPr>
          <w:p w:rsidR="001C7AB7" w:rsidRPr="00661595" w:rsidRDefault="001C7AB7" w:rsidP="001C7AB7">
            <w:pPr>
              <w:rPr>
                <w:rFonts w:ascii="Times New Roman" w:hAnsi="Times New Roman"/>
                <w:b/>
                <w:sz w:val="24"/>
                <w:u w:val="single"/>
              </w:rPr>
            </w:pPr>
            <w:r w:rsidRPr="00661595">
              <w:rPr>
                <w:rFonts w:ascii="Times New Roman" w:hAnsi="Times New Roman"/>
                <w:b/>
                <w:sz w:val="24"/>
                <w:u w:val="single"/>
              </w:rPr>
              <w:t>SUBSTITUTION OF THE EXPOSURE DUE TO CRM</w:t>
            </w:r>
          </w:p>
          <w:p w:rsidR="001C7AB7" w:rsidRPr="00661595" w:rsidRDefault="001C7AB7" w:rsidP="001C7AB7">
            <w:pPr>
              <w:rPr>
                <w:rFonts w:ascii="Times New Roman" w:hAnsi="Times New Roman"/>
                <w:sz w:val="24"/>
              </w:rPr>
            </w:pPr>
            <w:r w:rsidRPr="00661595">
              <w:rPr>
                <w:rFonts w:ascii="Times New Roman" w:hAnsi="Times New Roman"/>
                <w:sz w:val="24"/>
              </w:rPr>
              <w:t xml:space="preserve">Outflows </w:t>
            </w:r>
            <w:r w:rsidR="00BD6DB9" w:rsidRPr="00661595">
              <w:rPr>
                <w:rFonts w:ascii="Times New Roman" w:hAnsi="Times New Roman"/>
                <w:sz w:val="24"/>
              </w:rPr>
              <w:t>shall</w:t>
            </w:r>
            <w:r w:rsidR="00F33ABB" w:rsidRPr="00661595">
              <w:rPr>
                <w:rFonts w:ascii="Times New Roman" w:hAnsi="Times New Roman"/>
                <w:sz w:val="24"/>
              </w:rPr>
              <w:t xml:space="preserve"> </w:t>
            </w:r>
            <w:r w:rsidRPr="00661595">
              <w:rPr>
                <w:rFonts w:ascii="Times New Roman" w:hAnsi="Times New Roman"/>
                <w:sz w:val="24"/>
              </w:rPr>
              <w:t xml:space="preserve">correspond to the covered part of the </w:t>
            </w:r>
            <w:r w:rsidR="00BD6DB9" w:rsidRPr="00661595">
              <w:rPr>
                <w:rFonts w:ascii="Times New Roman" w:hAnsi="Times New Roman"/>
                <w:sz w:val="24"/>
              </w:rPr>
              <w:t>o</w:t>
            </w:r>
            <w:r w:rsidRPr="00661595">
              <w:rPr>
                <w:rFonts w:ascii="Times New Roman" w:hAnsi="Times New Roman"/>
                <w:sz w:val="24"/>
              </w:rPr>
              <w:t xml:space="preserve">riginal </w:t>
            </w:r>
            <w:r w:rsidR="00BD6DB9" w:rsidRPr="00661595">
              <w:rPr>
                <w:rFonts w:ascii="Times New Roman" w:hAnsi="Times New Roman"/>
                <w:sz w:val="24"/>
              </w:rPr>
              <w:t>e</w:t>
            </w:r>
            <w:r w:rsidRPr="00661595">
              <w:rPr>
                <w:rFonts w:ascii="Times New Roman" w:hAnsi="Times New Roman"/>
                <w:sz w:val="24"/>
              </w:rPr>
              <w:t>xposure pre</w:t>
            </w:r>
            <w:r w:rsidR="007574C3" w:rsidRPr="00661595">
              <w:rPr>
                <w:rFonts w:ascii="Times New Roman" w:hAnsi="Times New Roman"/>
                <w:sz w:val="24"/>
              </w:rPr>
              <w:t>-</w:t>
            </w:r>
            <w:r w:rsidRPr="00661595">
              <w:rPr>
                <w:rFonts w:ascii="Times New Roman" w:hAnsi="Times New Roman"/>
                <w:sz w:val="24"/>
              </w:rPr>
              <w:t>conversion factors, that is deducted from the obligor's exposure class and, whe</w:t>
            </w:r>
            <w:r w:rsidR="00BD6DB9" w:rsidRPr="00661595">
              <w:rPr>
                <w:rFonts w:ascii="Times New Roman" w:hAnsi="Times New Roman"/>
                <w:sz w:val="24"/>
              </w:rPr>
              <w:t>re</w:t>
            </w:r>
            <w:r w:rsidRPr="00661595">
              <w:rPr>
                <w:rFonts w:ascii="Times New Roman" w:hAnsi="Times New Roman"/>
                <w:sz w:val="24"/>
              </w:rPr>
              <w:t xml:space="preserve"> relevant, obligor grade or pool, and subsequently assigned to the </w:t>
            </w:r>
            <w:r w:rsidR="00E64990" w:rsidRPr="00661595">
              <w:rPr>
                <w:rFonts w:ascii="Times New Roman" w:hAnsi="Times New Roman"/>
                <w:sz w:val="24"/>
              </w:rPr>
              <w:t>guarantor</w:t>
            </w:r>
            <w:r w:rsidRPr="00661595">
              <w:rPr>
                <w:rFonts w:ascii="Times New Roman" w:hAnsi="Times New Roman"/>
                <w:sz w:val="24"/>
              </w:rPr>
              <w:t>'s exposure class and, whe</w:t>
            </w:r>
            <w:r w:rsidR="00BD6DB9" w:rsidRPr="00661595">
              <w:rPr>
                <w:rFonts w:ascii="Times New Roman" w:hAnsi="Times New Roman"/>
                <w:sz w:val="24"/>
              </w:rPr>
              <w:t>re</w:t>
            </w:r>
            <w:r w:rsidRPr="00661595">
              <w:rPr>
                <w:rFonts w:ascii="Times New Roman" w:hAnsi="Times New Roman"/>
                <w:sz w:val="24"/>
              </w:rPr>
              <w:t xml:space="preserve"> relevant, obligor grade or pool. Th</w:t>
            </w:r>
            <w:r w:rsidR="00BD6DB9" w:rsidRPr="00661595">
              <w:rPr>
                <w:rFonts w:ascii="Times New Roman" w:hAnsi="Times New Roman"/>
                <w:sz w:val="24"/>
              </w:rPr>
              <w:t>at</w:t>
            </w:r>
            <w:r w:rsidRPr="00661595">
              <w:rPr>
                <w:rFonts w:ascii="Times New Roman" w:hAnsi="Times New Roman"/>
                <w:sz w:val="24"/>
              </w:rPr>
              <w:t xml:space="preserve"> amount </w:t>
            </w:r>
            <w:r w:rsidR="00B811B0" w:rsidRPr="00661595">
              <w:rPr>
                <w:rFonts w:ascii="Times New Roman" w:hAnsi="Times New Roman"/>
                <w:sz w:val="24"/>
              </w:rPr>
              <w:t>shall</w:t>
            </w:r>
            <w:r w:rsidRPr="00661595">
              <w:rPr>
                <w:rFonts w:ascii="Times New Roman" w:hAnsi="Times New Roman"/>
                <w:sz w:val="24"/>
              </w:rPr>
              <w:t xml:space="preserve"> be considered as an </w:t>
            </w:r>
            <w:r w:rsidR="00BD6DB9" w:rsidRPr="00661595">
              <w:rPr>
                <w:rFonts w:ascii="Times New Roman" w:hAnsi="Times New Roman"/>
                <w:sz w:val="24"/>
              </w:rPr>
              <w:t>i</w:t>
            </w:r>
            <w:r w:rsidRPr="00661595">
              <w:rPr>
                <w:rFonts w:ascii="Times New Roman" w:hAnsi="Times New Roman"/>
                <w:sz w:val="24"/>
              </w:rPr>
              <w:t xml:space="preserve">nflow into the </w:t>
            </w:r>
            <w:r w:rsidR="00E64990" w:rsidRPr="00661595">
              <w:rPr>
                <w:rFonts w:ascii="Times New Roman" w:hAnsi="Times New Roman"/>
                <w:sz w:val="24"/>
              </w:rPr>
              <w:t>guarantor</w:t>
            </w:r>
            <w:r w:rsidRPr="00661595">
              <w:rPr>
                <w:rFonts w:ascii="Times New Roman" w:hAnsi="Times New Roman"/>
                <w:sz w:val="24"/>
              </w:rPr>
              <w:t>'s exposure class and, whe</w:t>
            </w:r>
            <w:r w:rsidR="00BD6DB9" w:rsidRPr="00661595">
              <w:rPr>
                <w:rFonts w:ascii="Times New Roman" w:hAnsi="Times New Roman"/>
                <w:sz w:val="24"/>
              </w:rPr>
              <w:t>re</w:t>
            </w:r>
            <w:r w:rsidRPr="00661595">
              <w:rPr>
                <w:rFonts w:ascii="Times New Roman" w:hAnsi="Times New Roman"/>
                <w:sz w:val="24"/>
              </w:rPr>
              <w:t xml:space="preserve"> relevant, obligor grades or pools.</w:t>
            </w:r>
          </w:p>
          <w:p w:rsidR="001C7AB7" w:rsidRPr="00661595" w:rsidRDefault="001C7AB7" w:rsidP="001C7AB7">
            <w:pPr>
              <w:rPr>
                <w:rFonts w:ascii="Times New Roman" w:hAnsi="Times New Roman"/>
                <w:b/>
                <w:sz w:val="24"/>
              </w:rPr>
            </w:pPr>
            <w:r w:rsidRPr="00661595">
              <w:rPr>
                <w:rFonts w:ascii="Times New Roman" w:hAnsi="Times New Roman"/>
                <w:sz w:val="24"/>
              </w:rPr>
              <w:t>Inflows and outflows within the same exposure classes and, whe</w:t>
            </w:r>
            <w:r w:rsidR="00BD6DB9" w:rsidRPr="00661595">
              <w:rPr>
                <w:rFonts w:ascii="Times New Roman" w:hAnsi="Times New Roman"/>
                <w:sz w:val="24"/>
              </w:rPr>
              <w:t>re</w:t>
            </w:r>
            <w:r w:rsidRPr="00661595">
              <w:rPr>
                <w:rFonts w:ascii="Times New Roman" w:hAnsi="Times New Roman"/>
                <w:sz w:val="24"/>
              </w:rPr>
              <w:t xml:space="preserve"> relevant, obligor grades or pools</w:t>
            </w:r>
            <w:r w:rsidR="00BD6DB9" w:rsidRPr="00661595">
              <w:rPr>
                <w:rFonts w:ascii="Times New Roman" w:hAnsi="Times New Roman"/>
                <w:sz w:val="24"/>
              </w:rPr>
              <w:t>,</w:t>
            </w:r>
            <w:r w:rsidRPr="00661595">
              <w:rPr>
                <w:rFonts w:ascii="Times New Roman" w:hAnsi="Times New Roman"/>
                <w:sz w:val="24"/>
              </w:rPr>
              <w:t xml:space="preserve"> </w:t>
            </w:r>
            <w:r w:rsidR="00C93697" w:rsidRPr="00661595">
              <w:rPr>
                <w:rFonts w:ascii="Times New Roman" w:hAnsi="Times New Roman"/>
                <w:sz w:val="24"/>
              </w:rPr>
              <w:t>shall</w:t>
            </w:r>
            <w:r w:rsidRPr="00661595">
              <w:rPr>
                <w:rFonts w:ascii="Times New Roman" w:hAnsi="Times New Roman"/>
                <w:sz w:val="24"/>
              </w:rPr>
              <w:t xml:space="preserve"> also be considered.</w:t>
            </w:r>
          </w:p>
          <w:p w:rsidR="001C7AB7" w:rsidRPr="00661595" w:rsidRDefault="001C7AB7" w:rsidP="001C7AB7">
            <w:pPr>
              <w:rPr>
                <w:rFonts w:ascii="Times New Roman" w:hAnsi="Times New Roman"/>
                <w:sz w:val="24"/>
              </w:rPr>
            </w:pPr>
            <w:r w:rsidRPr="00661595">
              <w:rPr>
                <w:rFonts w:ascii="Times New Roman" w:hAnsi="Times New Roman"/>
                <w:sz w:val="24"/>
              </w:rPr>
              <w:t xml:space="preserve">Exposures stemming from possible in- and outflows from and to other templates </w:t>
            </w:r>
            <w:r w:rsidR="00C93697" w:rsidRPr="00661595">
              <w:rPr>
                <w:rFonts w:ascii="Times New Roman" w:hAnsi="Times New Roman"/>
                <w:sz w:val="24"/>
              </w:rPr>
              <w:t>shall</w:t>
            </w:r>
            <w:r w:rsidRPr="00661595">
              <w:rPr>
                <w:rFonts w:ascii="Times New Roman" w:hAnsi="Times New Roman"/>
                <w:sz w:val="24"/>
              </w:rPr>
              <w:t xml:space="preserve"> be taken into account.</w:t>
            </w:r>
          </w:p>
          <w:p w:rsidR="006C35BA" w:rsidRPr="00661595" w:rsidRDefault="006C35BA" w:rsidP="009A4399">
            <w:pPr>
              <w:rPr>
                <w:rFonts w:ascii="Times New Roman" w:hAnsi="Times New Roman"/>
                <w:sz w:val="24"/>
              </w:rPr>
            </w:pPr>
            <w:r w:rsidRPr="00661595">
              <w:rPr>
                <w:rFonts w:ascii="Times New Roman" w:hAnsi="Times New Roman"/>
                <w:sz w:val="24"/>
              </w:rPr>
              <w:t xml:space="preserve">These columns shall only be used where institutions have obtained permission from their competent authority to treat these secured exposures under the permanent partial use of the Standardised </w:t>
            </w:r>
            <w:r w:rsidR="009A4399" w:rsidRPr="00661595">
              <w:rPr>
                <w:rFonts w:ascii="Times New Roman" w:hAnsi="Times New Roman"/>
                <w:sz w:val="24"/>
              </w:rPr>
              <w:t>a</w:t>
            </w:r>
            <w:r w:rsidRPr="00661595">
              <w:rPr>
                <w:rFonts w:ascii="Times New Roman" w:hAnsi="Times New Roman"/>
                <w:sz w:val="24"/>
              </w:rPr>
              <w:t>pproach in</w:t>
            </w:r>
            <w:r w:rsidR="00AF6F2C" w:rsidRPr="00661595">
              <w:rPr>
                <w:rFonts w:ascii="Times New Roman" w:hAnsi="Times New Roman"/>
                <w:sz w:val="24"/>
              </w:rPr>
              <w:t xml:space="preserve"> accordance with Article 150 </w:t>
            </w:r>
            <w:r w:rsidRPr="00661595">
              <w:rPr>
                <w:rFonts w:ascii="Times New Roman" w:hAnsi="Times New Roman"/>
                <w:sz w:val="24"/>
              </w:rPr>
              <w:t xml:space="preserve">CRR or to classify the exposures to exposure classes in accordance with the characteristic of the </w:t>
            </w:r>
            <w:r w:rsidR="00E64990" w:rsidRPr="00661595">
              <w:rPr>
                <w:rFonts w:ascii="Times New Roman" w:hAnsi="Times New Roman"/>
                <w:sz w:val="24"/>
              </w:rPr>
              <w:t>guarantor</w:t>
            </w:r>
            <w:r w:rsidRPr="00661595">
              <w:rPr>
                <w:rFonts w:ascii="Times New Roman" w:hAnsi="Times New Roman"/>
                <w:sz w:val="24"/>
              </w:rPr>
              <w:t>.</w:t>
            </w:r>
          </w:p>
        </w:tc>
      </w:tr>
      <w:tr w:rsidR="001C7AB7" w:rsidRPr="00661595" w:rsidTr="00672D2A">
        <w:tc>
          <w:tcPr>
            <w:tcW w:w="1188" w:type="dxa"/>
          </w:tcPr>
          <w:p w:rsidR="001C7AB7" w:rsidRPr="00661595" w:rsidRDefault="001C7AB7" w:rsidP="001C7AB7">
            <w:pPr>
              <w:rPr>
                <w:rFonts w:ascii="Times New Roman" w:hAnsi="Times New Roman"/>
                <w:sz w:val="24"/>
              </w:rPr>
            </w:pPr>
            <w:r w:rsidRPr="00661595">
              <w:rPr>
                <w:rFonts w:ascii="Times New Roman" w:hAnsi="Times New Roman"/>
                <w:sz w:val="24"/>
              </w:rPr>
              <w:t>0</w:t>
            </w:r>
            <w:r w:rsidR="00FF15C6" w:rsidRPr="00661595">
              <w:rPr>
                <w:rFonts w:ascii="Times New Roman" w:hAnsi="Times New Roman"/>
                <w:sz w:val="24"/>
              </w:rPr>
              <w:t>0</w:t>
            </w:r>
            <w:r w:rsidRPr="00661595">
              <w:rPr>
                <w:rFonts w:ascii="Times New Roman" w:hAnsi="Times New Roman"/>
                <w:sz w:val="24"/>
              </w:rPr>
              <w:t>90</w:t>
            </w:r>
          </w:p>
        </w:tc>
        <w:tc>
          <w:tcPr>
            <w:tcW w:w="8843" w:type="dxa"/>
          </w:tcPr>
          <w:p w:rsidR="001C7AB7" w:rsidRPr="00661595" w:rsidRDefault="001C7AB7" w:rsidP="001C7AB7">
            <w:pPr>
              <w:rPr>
                <w:rFonts w:ascii="Times New Roman" w:hAnsi="Times New Roman"/>
                <w:b/>
                <w:sz w:val="24"/>
                <w:u w:val="single"/>
              </w:rPr>
            </w:pPr>
            <w:r w:rsidRPr="00661595">
              <w:rPr>
                <w:rFonts w:ascii="Times New Roman" w:hAnsi="Times New Roman"/>
                <w:b/>
                <w:sz w:val="24"/>
                <w:u w:val="single"/>
              </w:rPr>
              <w:t>EXPOSURE AFTER CRM SUBSTITUTION EFFECTS PRE</w:t>
            </w:r>
            <w:r w:rsidR="007574C3" w:rsidRPr="00661595">
              <w:rPr>
                <w:rFonts w:ascii="Times New Roman" w:hAnsi="Times New Roman"/>
                <w:b/>
                <w:sz w:val="24"/>
                <w:u w:val="single"/>
              </w:rPr>
              <w:t>-</w:t>
            </w:r>
            <w:r w:rsidRPr="00661595">
              <w:rPr>
                <w:rFonts w:ascii="Times New Roman" w:hAnsi="Times New Roman"/>
                <w:b/>
                <w:sz w:val="24"/>
                <w:u w:val="single"/>
              </w:rPr>
              <w:t>CONVERSION FACTORS</w:t>
            </w:r>
          </w:p>
          <w:p w:rsidR="001C7AB7" w:rsidRPr="00661595" w:rsidRDefault="001C7AB7" w:rsidP="001C7AB7">
            <w:pPr>
              <w:rPr>
                <w:rFonts w:ascii="Times New Roman" w:hAnsi="Times New Roman"/>
                <w:sz w:val="24"/>
              </w:rPr>
            </w:pPr>
            <w:r w:rsidRPr="00661595">
              <w:rPr>
                <w:rFonts w:ascii="Times New Roman" w:hAnsi="Times New Roman"/>
                <w:sz w:val="24"/>
              </w:rPr>
              <w:t>Exposure assigned in the corresponding obligor grade or pool and exposure class after taking into account outflows and inflows due to CRM techniques with substitution effects on the exposure.</w:t>
            </w:r>
          </w:p>
        </w:tc>
      </w:tr>
      <w:tr w:rsidR="001C7AB7" w:rsidRPr="00661595" w:rsidTr="00672D2A">
        <w:tc>
          <w:tcPr>
            <w:tcW w:w="1188" w:type="dxa"/>
          </w:tcPr>
          <w:p w:rsidR="001C7AB7" w:rsidRPr="00661595" w:rsidRDefault="00FF15C6" w:rsidP="001C7AB7">
            <w:pPr>
              <w:rPr>
                <w:rFonts w:ascii="Times New Roman" w:hAnsi="Times New Roman"/>
                <w:sz w:val="24"/>
              </w:rPr>
            </w:pPr>
            <w:r w:rsidRPr="00661595">
              <w:rPr>
                <w:rFonts w:ascii="Times New Roman" w:hAnsi="Times New Roman"/>
                <w:sz w:val="24"/>
              </w:rPr>
              <w:t>0</w:t>
            </w:r>
            <w:r w:rsidR="001C7AB7" w:rsidRPr="00661595">
              <w:rPr>
                <w:rFonts w:ascii="Times New Roman" w:hAnsi="Times New Roman"/>
                <w:sz w:val="24"/>
              </w:rPr>
              <w:t xml:space="preserve">100, </w:t>
            </w:r>
            <w:r w:rsidRPr="00661595">
              <w:rPr>
                <w:rFonts w:ascii="Times New Roman" w:hAnsi="Times New Roman"/>
                <w:sz w:val="24"/>
              </w:rPr>
              <w:t>0</w:t>
            </w:r>
            <w:r w:rsidR="001C7AB7" w:rsidRPr="00661595">
              <w:rPr>
                <w:rFonts w:ascii="Times New Roman" w:hAnsi="Times New Roman"/>
                <w:sz w:val="24"/>
              </w:rPr>
              <w:t>120</w:t>
            </w:r>
          </w:p>
        </w:tc>
        <w:tc>
          <w:tcPr>
            <w:tcW w:w="8843" w:type="dxa"/>
          </w:tcPr>
          <w:p w:rsidR="001C7AB7" w:rsidRPr="00661595" w:rsidRDefault="001C7AB7" w:rsidP="001C7AB7">
            <w:pPr>
              <w:rPr>
                <w:rStyle w:val="InstructionsTabelleberschrift"/>
                <w:rFonts w:ascii="Times New Roman" w:hAnsi="Times New Roman"/>
                <w:sz w:val="24"/>
              </w:rPr>
            </w:pPr>
            <w:r w:rsidRPr="00661595">
              <w:rPr>
                <w:rStyle w:val="InstructionsTabelleberschrift"/>
                <w:rFonts w:ascii="Times New Roman" w:hAnsi="Times New Roman"/>
                <w:sz w:val="24"/>
              </w:rPr>
              <w:t xml:space="preserve">Of which: Off Balance Sheet Items </w:t>
            </w:r>
          </w:p>
          <w:p w:rsidR="001C7AB7" w:rsidRPr="00661595" w:rsidRDefault="001C7AB7" w:rsidP="001C7AB7">
            <w:pPr>
              <w:rPr>
                <w:rFonts w:ascii="Times New Roman" w:hAnsi="Times New Roman"/>
                <w:sz w:val="24"/>
              </w:rPr>
            </w:pPr>
            <w:r w:rsidRPr="00661595">
              <w:rPr>
                <w:rFonts w:ascii="Times New Roman" w:hAnsi="Times New Roman"/>
                <w:sz w:val="24"/>
              </w:rPr>
              <w:t>See CR-SA instructions</w:t>
            </w:r>
          </w:p>
        </w:tc>
      </w:tr>
      <w:tr w:rsidR="001C7AB7" w:rsidRPr="00661595" w:rsidTr="00672D2A">
        <w:tc>
          <w:tcPr>
            <w:tcW w:w="1188" w:type="dxa"/>
          </w:tcPr>
          <w:p w:rsidR="001C7AB7" w:rsidRPr="00661595" w:rsidRDefault="00FF15C6" w:rsidP="001C7AB7">
            <w:pPr>
              <w:rPr>
                <w:rFonts w:ascii="Times New Roman" w:hAnsi="Times New Roman"/>
                <w:sz w:val="24"/>
              </w:rPr>
            </w:pPr>
            <w:r w:rsidRPr="00661595">
              <w:rPr>
                <w:rFonts w:ascii="Times New Roman" w:hAnsi="Times New Roman"/>
                <w:sz w:val="24"/>
              </w:rPr>
              <w:t>0</w:t>
            </w:r>
            <w:r w:rsidR="001C7AB7" w:rsidRPr="00661595">
              <w:rPr>
                <w:rFonts w:ascii="Times New Roman" w:hAnsi="Times New Roman"/>
                <w:sz w:val="24"/>
              </w:rPr>
              <w:t>110</w:t>
            </w:r>
          </w:p>
        </w:tc>
        <w:tc>
          <w:tcPr>
            <w:tcW w:w="8843" w:type="dxa"/>
          </w:tcPr>
          <w:p w:rsidR="001C7AB7" w:rsidRPr="00661595" w:rsidRDefault="001C7AB7" w:rsidP="001C7AB7">
            <w:pPr>
              <w:rPr>
                <w:rFonts w:ascii="Times New Roman" w:hAnsi="Times New Roman"/>
                <w:b/>
                <w:sz w:val="24"/>
                <w:u w:val="single"/>
              </w:rPr>
            </w:pPr>
            <w:r w:rsidRPr="00661595">
              <w:rPr>
                <w:rFonts w:ascii="Times New Roman" w:hAnsi="Times New Roman"/>
                <w:b/>
                <w:sz w:val="24"/>
                <w:u w:val="single"/>
              </w:rPr>
              <w:t>EXPOSURE VALUE</w:t>
            </w:r>
          </w:p>
          <w:p w:rsidR="001C7AB7" w:rsidRPr="00661595" w:rsidRDefault="001C7AB7" w:rsidP="001C7AB7">
            <w:pPr>
              <w:rPr>
                <w:rFonts w:ascii="Times New Roman" w:hAnsi="Times New Roman"/>
                <w:sz w:val="24"/>
              </w:rPr>
            </w:pPr>
            <w:r w:rsidRPr="00661595">
              <w:rPr>
                <w:rFonts w:ascii="Times New Roman" w:hAnsi="Times New Roman"/>
                <w:sz w:val="24"/>
              </w:rPr>
              <w:t xml:space="preserve">The </w:t>
            </w:r>
            <w:r w:rsidR="00BD6DB9" w:rsidRPr="00661595">
              <w:rPr>
                <w:rFonts w:ascii="Times New Roman" w:hAnsi="Times New Roman"/>
                <w:sz w:val="24"/>
              </w:rPr>
              <w:t xml:space="preserve">exposure </w:t>
            </w:r>
            <w:r w:rsidRPr="00661595">
              <w:rPr>
                <w:rFonts w:ascii="Times New Roman" w:hAnsi="Times New Roman"/>
                <w:sz w:val="24"/>
              </w:rPr>
              <w:t>value</w:t>
            </w:r>
            <w:r w:rsidR="008D24A6" w:rsidRPr="00661595">
              <w:rPr>
                <w:rFonts w:ascii="Times New Roman" w:hAnsi="Times New Roman"/>
                <w:sz w:val="24"/>
              </w:rPr>
              <w:t>s</w:t>
            </w:r>
            <w:r w:rsidRPr="00661595">
              <w:rPr>
                <w:rFonts w:ascii="Times New Roman" w:hAnsi="Times New Roman"/>
                <w:sz w:val="24"/>
              </w:rPr>
              <w:t xml:space="preserve"> </w:t>
            </w:r>
            <w:r w:rsidR="00BD6DB9" w:rsidRPr="00661595">
              <w:rPr>
                <w:rFonts w:ascii="Times New Roman" w:hAnsi="Times New Roman"/>
                <w:sz w:val="24"/>
              </w:rPr>
              <w:t xml:space="preserve">determined </w:t>
            </w:r>
            <w:r w:rsidRPr="00661595">
              <w:rPr>
                <w:rFonts w:ascii="Times New Roman" w:hAnsi="Times New Roman"/>
                <w:sz w:val="24"/>
              </w:rPr>
              <w:t xml:space="preserve">in accordance with Article 166 </w:t>
            </w:r>
            <w:r w:rsidR="00C7103D" w:rsidRPr="00661595">
              <w:rPr>
                <w:rFonts w:ascii="Times New Roman" w:hAnsi="Times New Roman"/>
                <w:sz w:val="24"/>
              </w:rPr>
              <w:t>CRR</w:t>
            </w:r>
            <w:r w:rsidRPr="00661595">
              <w:rPr>
                <w:rFonts w:ascii="Times New Roman" w:hAnsi="Times New Roman"/>
                <w:sz w:val="24"/>
              </w:rPr>
              <w:t xml:space="preserve"> and </w:t>
            </w:r>
            <w:r w:rsidR="00705025" w:rsidRPr="00661595">
              <w:rPr>
                <w:rFonts w:ascii="Times New Roman" w:hAnsi="Times New Roman"/>
                <w:sz w:val="24"/>
              </w:rPr>
              <w:t xml:space="preserve">the second sentence of </w:t>
            </w:r>
            <w:r w:rsidRPr="00661595">
              <w:rPr>
                <w:rFonts w:ascii="Times New Roman" w:hAnsi="Times New Roman"/>
                <w:sz w:val="24"/>
              </w:rPr>
              <w:t xml:space="preserve">Article 230(1) </w:t>
            </w:r>
            <w:r w:rsidR="00C7103D" w:rsidRPr="00661595">
              <w:rPr>
                <w:rFonts w:ascii="Times New Roman" w:hAnsi="Times New Roman"/>
                <w:sz w:val="24"/>
              </w:rPr>
              <w:t>CRR</w:t>
            </w:r>
            <w:r w:rsidRPr="00661595">
              <w:rPr>
                <w:rFonts w:ascii="Times New Roman" w:hAnsi="Times New Roman"/>
                <w:sz w:val="24"/>
              </w:rPr>
              <w:t xml:space="preserve"> </w:t>
            </w:r>
            <w:r w:rsidR="00BD6DB9" w:rsidRPr="00661595">
              <w:rPr>
                <w:rFonts w:ascii="Times New Roman" w:hAnsi="Times New Roman"/>
                <w:sz w:val="24"/>
              </w:rPr>
              <w:t>shall be</w:t>
            </w:r>
            <w:r w:rsidRPr="00661595">
              <w:rPr>
                <w:rFonts w:ascii="Times New Roman" w:hAnsi="Times New Roman"/>
                <w:sz w:val="24"/>
              </w:rPr>
              <w:t xml:space="preserve"> reported.</w:t>
            </w:r>
          </w:p>
          <w:p w:rsidR="001C7AB7" w:rsidRPr="00661595" w:rsidRDefault="001C7AB7" w:rsidP="001C7AB7">
            <w:pPr>
              <w:rPr>
                <w:rFonts w:ascii="Times New Roman" w:hAnsi="Times New Roman"/>
                <w:sz w:val="24"/>
              </w:rPr>
            </w:pPr>
            <w:r w:rsidRPr="00661595">
              <w:rPr>
                <w:rFonts w:ascii="Times New Roman" w:hAnsi="Times New Roman"/>
                <w:sz w:val="24"/>
              </w:rPr>
              <w:t xml:space="preserve">For the instruments </w:t>
            </w:r>
            <w:r w:rsidR="00BD6DB9" w:rsidRPr="00661595">
              <w:rPr>
                <w:rFonts w:ascii="Times New Roman" w:hAnsi="Times New Roman"/>
                <w:sz w:val="24"/>
              </w:rPr>
              <w:t xml:space="preserve">referred to </w:t>
            </w:r>
            <w:r w:rsidRPr="00661595">
              <w:rPr>
                <w:rFonts w:ascii="Times New Roman" w:hAnsi="Times New Roman"/>
                <w:sz w:val="24"/>
              </w:rPr>
              <w:t xml:space="preserve">in Annex I, credit conversion factors </w:t>
            </w:r>
            <w:r w:rsidR="008D24A6" w:rsidRPr="00661595">
              <w:rPr>
                <w:rFonts w:ascii="Times New Roman" w:hAnsi="Times New Roman"/>
                <w:sz w:val="24"/>
              </w:rPr>
              <w:t xml:space="preserve">and percentages </w:t>
            </w:r>
            <w:r w:rsidR="00EA1F5A" w:rsidRPr="00661595">
              <w:rPr>
                <w:rFonts w:ascii="Times New Roman" w:hAnsi="Times New Roman"/>
                <w:sz w:val="24"/>
              </w:rPr>
              <w:t>in accordance with</w:t>
            </w:r>
            <w:r w:rsidR="008D24A6" w:rsidRPr="00661595">
              <w:rPr>
                <w:rFonts w:ascii="Times New Roman" w:hAnsi="Times New Roman"/>
                <w:sz w:val="24"/>
              </w:rPr>
              <w:t xml:space="preserve"> </w:t>
            </w:r>
            <w:r w:rsidR="00BD6DB9" w:rsidRPr="00661595">
              <w:rPr>
                <w:rFonts w:ascii="Times New Roman" w:hAnsi="Times New Roman"/>
                <w:sz w:val="24"/>
              </w:rPr>
              <w:t xml:space="preserve">paragraphs </w:t>
            </w:r>
            <w:r w:rsidR="00A94F5F" w:rsidRPr="00661595">
              <w:rPr>
                <w:rFonts w:ascii="Times New Roman" w:hAnsi="Times New Roman"/>
                <w:sz w:val="24"/>
              </w:rPr>
              <w:t>8</w:t>
            </w:r>
            <w:r w:rsidR="00BD6DB9" w:rsidRPr="00661595">
              <w:rPr>
                <w:rFonts w:ascii="Times New Roman" w:hAnsi="Times New Roman"/>
                <w:sz w:val="24"/>
              </w:rPr>
              <w:t xml:space="preserve">, 9 and 10 of </w:t>
            </w:r>
            <w:r w:rsidRPr="00661595">
              <w:rPr>
                <w:rFonts w:ascii="Times New Roman" w:hAnsi="Times New Roman"/>
                <w:sz w:val="24"/>
              </w:rPr>
              <w:t xml:space="preserve">Article 166 </w:t>
            </w:r>
            <w:r w:rsidR="00C7103D" w:rsidRPr="00661595">
              <w:rPr>
                <w:rFonts w:ascii="Times New Roman" w:hAnsi="Times New Roman"/>
                <w:sz w:val="24"/>
              </w:rPr>
              <w:t>CRR</w:t>
            </w:r>
            <w:r w:rsidR="008D24A6" w:rsidRPr="00661595">
              <w:rPr>
                <w:rFonts w:ascii="Times New Roman" w:hAnsi="Times New Roman"/>
                <w:sz w:val="24"/>
              </w:rPr>
              <w:t xml:space="preserve"> are applied</w:t>
            </w:r>
            <w:r w:rsidR="00BD6DB9" w:rsidRPr="00661595">
              <w:rPr>
                <w:rFonts w:ascii="Times New Roman" w:hAnsi="Times New Roman"/>
                <w:sz w:val="24"/>
              </w:rPr>
              <w:t>,</w:t>
            </w:r>
            <w:r w:rsidRPr="00661595">
              <w:rPr>
                <w:rFonts w:ascii="Times New Roman" w:hAnsi="Times New Roman"/>
                <w:sz w:val="24"/>
              </w:rPr>
              <w:t xml:space="preserve"> irrespective</w:t>
            </w:r>
            <w:r w:rsidR="00BD6DB9" w:rsidRPr="00661595">
              <w:rPr>
                <w:rFonts w:ascii="Times New Roman" w:hAnsi="Times New Roman"/>
                <w:sz w:val="24"/>
              </w:rPr>
              <w:t xml:space="preserve"> of</w:t>
            </w:r>
            <w:r w:rsidRPr="00661595">
              <w:rPr>
                <w:rFonts w:ascii="Times New Roman" w:hAnsi="Times New Roman"/>
                <w:sz w:val="24"/>
              </w:rPr>
              <w:t xml:space="preserve"> the approach chosen by the institution.</w:t>
            </w:r>
          </w:p>
          <w:p w:rsidR="001C7AB7" w:rsidRPr="00661595" w:rsidRDefault="008D24A6" w:rsidP="00BD6DB9">
            <w:pPr>
              <w:rPr>
                <w:rFonts w:ascii="Times New Roman" w:hAnsi="Times New Roman"/>
                <w:sz w:val="24"/>
              </w:rPr>
            </w:pPr>
            <w:r w:rsidRPr="00661595">
              <w:rPr>
                <w:rFonts w:ascii="Times New Roman" w:hAnsi="Times New Roman"/>
                <w:sz w:val="24"/>
              </w:rPr>
              <w:t xml:space="preserve">Exposure values for CCR business shall be the same as reported in column </w:t>
            </w:r>
            <w:r w:rsidR="00FF15C6" w:rsidRPr="00661595">
              <w:rPr>
                <w:rFonts w:ascii="Times New Roman" w:hAnsi="Times New Roman"/>
                <w:sz w:val="24"/>
              </w:rPr>
              <w:t>0</w:t>
            </w:r>
            <w:r w:rsidRPr="00661595">
              <w:rPr>
                <w:rFonts w:ascii="Times New Roman" w:hAnsi="Times New Roman"/>
                <w:sz w:val="24"/>
              </w:rPr>
              <w:t>130.</w:t>
            </w:r>
          </w:p>
        </w:tc>
      </w:tr>
      <w:tr w:rsidR="001C7AB7" w:rsidRPr="00661595" w:rsidTr="00672D2A">
        <w:tc>
          <w:tcPr>
            <w:tcW w:w="1188" w:type="dxa"/>
          </w:tcPr>
          <w:p w:rsidR="001C7AB7" w:rsidRPr="00661595" w:rsidRDefault="00FF15C6" w:rsidP="001C7AB7">
            <w:pPr>
              <w:rPr>
                <w:rFonts w:ascii="Times New Roman" w:hAnsi="Times New Roman"/>
                <w:sz w:val="24"/>
              </w:rPr>
            </w:pPr>
            <w:r w:rsidRPr="00661595">
              <w:rPr>
                <w:rFonts w:ascii="Times New Roman" w:hAnsi="Times New Roman"/>
                <w:sz w:val="24"/>
              </w:rPr>
              <w:t>0</w:t>
            </w:r>
            <w:r w:rsidR="001C7AB7" w:rsidRPr="00661595">
              <w:rPr>
                <w:rFonts w:ascii="Times New Roman" w:hAnsi="Times New Roman"/>
                <w:sz w:val="24"/>
              </w:rPr>
              <w:t>130</w:t>
            </w:r>
          </w:p>
        </w:tc>
        <w:tc>
          <w:tcPr>
            <w:tcW w:w="8843" w:type="dxa"/>
          </w:tcPr>
          <w:p w:rsidR="001C7AB7" w:rsidRPr="00661595" w:rsidRDefault="001C7AB7" w:rsidP="001C7AB7">
            <w:pPr>
              <w:rPr>
                <w:rStyle w:val="InstructionsTabelleberschrift"/>
                <w:rFonts w:ascii="Times New Roman" w:hAnsi="Times New Roman"/>
                <w:sz w:val="24"/>
              </w:rPr>
            </w:pPr>
            <w:r w:rsidRPr="00661595">
              <w:rPr>
                <w:rStyle w:val="InstructionsTabelleberschrift"/>
                <w:rFonts w:ascii="Times New Roman" w:hAnsi="Times New Roman"/>
                <w:sz w:val="24"/>
              </w:rPr>
              <w:t xml:space="preserve">Of which: Arising from counterparty Credit Risk </w:t>
            </w:r>
          </w:p>
          <w:p w:rsidR="001C7AB7" w:rsidRPr="00661595" w:rsidRDefault="001C7AB7" w:rsidP="00FD6CCB">
            <w:pPr>
              <w:rPr>
                <w:rFonts w:ascii="Times New Roman" w:hAnsi="Times New Roman"/>
                <w:sz w:val="24"/>
              </w:rPr>
            </w:pPr>
            <w:r w:rsidRPr="00661595">
              <w:rPr>
                <w:rFonts w:ascii="Times New Roman" w:hAnsi="Times New Roman"/>
                <w:sz w:val="24"/>
              </w:rPr>
              <w:t xml:space="preserve">See </w:t>
            </w:r>
            <w:r w:rsidR="008D24A6" w:rsidRPr="00661595">
              <w:rPr>
                <w:rFonts w:ascii="Times New Roman" w:hAnsi="Times New Roman"/>
                <w:sz w:val="24"/>
              </w:rPr>
              <w:t xml:space="preserve">the corresponding </w:t>
            </w:r>
            <w:r w:rsidRPr="00661595">
              <w:rPr>
                <w:rFonts w:ascii="Times New Roman" w:hAnsi="Times New Roman"/>
                <w:sz w:val="24"/>
              </w:rPr>
              <w:t>CR</w:t>
            </w:r>
            <w:r w:rsidR="00FD6CCB" w:rsidRPr="00661595">
              <w:rPr>
                <w:rFonts w:ascii="Times New Roman" w:hAnsi="Times New Roman"/>
                <w:sz w:val="24"/>
              </w:rPr>
              <w:t xml:space="preserve"> </w:t>
            </w:r>
            <w:r w:rsidRPr="00661595">
              <w:rPr>
                <w:rFonts w:ascii="Times New Roman" w:hAnsi="Times New Roman"/>
                <w:sz w:val="24"/>
              </w:rPr>
              <w:t>SA instructions</w:t>
            </w:r>
            <w:r w:rsidR="008D24A6" w:rsidRPr="00661595">
              <w:rPr>
                <w:rFonts w:ascii="Times New Roman" w:hAnsi="Times New Roman"/>
                <w:sz w:val="24"/>
              </w:rPr>
              <w:t xml:space="preserve"> in column </w:t>
            </w:r>
            <w:r w:rsidR="00FF15C6" w:rsidRPr="00661595">
              <w:rPr>
                <w:rFonts w:ascii="Times New Roman" w:hAnsi="Times New Roman"/>
                <w:sz w:val="24"/>
              </w:rPr>
              <w:t>0</w:t>
            </w:r>
            <w:r w:rsidR="008D24A6" w:rsidRPr="00661595">
              <w:rPr>
                <w:rFonts w:ascii="Times New Roman" w:hAnsi="Times New Roman"/>
                <w:sz w:val="24"/>
              </w:rPr>
              <w:t>210</w:t>
            </w:r>
            <w:r w:rsidRPr="00661595">
              <w:rPr>
                <w:rFonts w:ascii="Times New Roman" w:hAnsi="Times New Roman"/>
                <w:sz w:val="24"/>
              </w:rPr>
              <w:t>.</w:t>
            </w:r>
            <w:r w:rsidRPr="00661595">
              <w:rPr>
                <w:rStyle w:val="InstructionsTabelleText"/>
                <w:rFonts w:ascii="Times New Roman" w:hAnsi="Times New Roman"/>
                <w:sz w:val="24"/>
              </w:rPr>
              <w:t xml:space="preserve"> </w:t>
            </w:r>
          </w:p>
        </w:tc>
      </w:tr>
      <w:tr w:rsidR="001C7AB7" w:rsidRPr="00661595" w:rsidTr="00672D2A">
        <w:tc>
          <w:tcPr>
            <w:tcW w:w="1188" w:type="dxa"/>
          </w:tcPr>
          <w:p w:rsidR="001C7AB7" w:rsidRPr="00661595" w:rsidRDefault="00FF15C6" w:rsidP="001C7AB7">
            <w:pPr>
              <w:rPr>
                <w:rFonts w:ascii="Times New Roman" w:hAnsi="Times New Roman"/>
                <w:sz w:val="24"/>
              </w:rPr>
            </w:pPr>
            <w:r w:rsidRPr="00661595">
              <w:rPr>
                <w:rFonts w:ascii="Times New Roman" w:hAnsi="Times New Roman"/>
                <w:sz w:val="24"/>
              </w:rPr>
              <w:t>0</w:t>
            </w:r>
            <w:r w:rsidR="001C7AB7" w:rsidRPr="00661595">
              <w:rPr>
                <w:rFonts w:ascii="Times New Roman" w:hAnsi="Times New Roman"/>
                <w:sz w:val="24"/>
              </w:rPr>
              <w:t>140</w:t>
            </w:r>
          </w:p>
        </w:tc>
        <w:tc>
          <w:tcPr>
            <w:tcW w:w="8843" w:type="dxa"/>
          </w:tcPr>
          <w:p w:rsidR="001C7AB7" w:rsidRPr="00661595" w:rsidRDefault="001C7AB7" w:rsidP="001C7AB7">
            <w:pPr>
              <w:rPr>
                <w:rFonts w:ascii="Times New Roman" w:hAnsi="Times New Roman"/>
                <w:b/>
                <w:sz w:val="24"/>
                <w:u w:val="single"/>
              </w:rPr>
            </w:pPr>
            <w:r w:rsidRPr="00661595">
              <w:rPr>
                <w:rFonts w:ascii="Times New Roman" w:hAnsi="Times New Roman"/>
                <w:b/>
                <w:sz w:val="24"/>
                <w:u w:val="single"/>
              </w:rPr>
              <w:t>OF WHICH: LARGE FINANCIAL SECTOR ENTITIES AND UNREGULATED FINANCIAL ENTITIES</w:t>
            </w:r>
          </w:p>
          <w:p w:rsidR="001C7AB7" w:rsidRPr="00661595" w:rsidRDefault="001C7AB7" w:rsidP="002E5096">
            <w:pPr>
              <w:rPr>
                <w:rFonts w:ascii="Times New Roman" w:hAnsi="Times New Roman"/>
                <w:b/>
                <w:sz w:val="24"/>
                <w:u w:val="single"/>
              </w:rPr>
            </w:pPr>
            <w:r w:rsidRPr="00661595">
              <w:rPr>
                <w:rFonts w:ascii="Times New Roman" w:hAnsi="Times New Roman"/>
                <w:sz w:val="24"/>
              </w:rPr>
              <w:t xml:space="preserve">Breakdown of the exposure value for all exposures </w:t>
            </w:r>
            <w:r w:rsidR="00A94F5F" w:rsidRPr="00661595">
              <w:rPr>
                <w:rFonts w:ascii="Times New Roman" w:hAnsi="Times New Roman"/>
                <w:sz w:val="24"/>
              </w:rPr>
              <w:t>to</w:t>
            </w:r>
            <w:r w:rsidR="00F33ABB" w:rsidRPr="00661595">
              <w:rPr>
                <w:rFonts w:ascii="Times New Roman" w:hAnsi="Times New Roman"/>
                <w:sz w:val="24"/>
              </w:rPr>
              <w:t xml:space="preserve"> entities referred to in </w:t>
            </w:r>
            <w:r w:rsidR="002E5096">
              <w:rPr>
                <w:rFonts w:ascii="Times New Roman" w:hAnsi="Times New Roman"/>
                <w:sz w:val="24"/>
              </w:rPr>
              <w:t xml:space="preserve">points (4) and (5) of </w:t>
            </w:r>
            <w:r w:rsidRPr="00661595">
              <w:rPr>
                <w:rFonts w:ascii="Times New Roman" w:hAnsi="Times New Roman"/>
                <w:sz w:val="24"/>
              </w:rPr>
              <w:t>Article 142</w:t>
            </w:r>
            <w:r w:rsidR="00F811C6" w:rsidRPr="00661595">
              <w:rPr>
                <w:rFonts w:ascii="Times New Roman" w:hAnsi="Times New Roman"/>
                <w:sz w:val="24"/>
              </w:rPr>
              <w:t>(</w:t>
            </w:r>
            <w:r w:rsidR="002E5096">
              <w:rPr>
                <w:rFonts w:ascii="Times New Roman" w:hAnsi="Times New Roman"/>
                <w:sz w:val="24"/>
              </w:rPr>
              <w:t>1</w:t>
            </w:r>
            <w:r w:rsidR="00F811C6" w:rsidRPr="00661595">
              <w:rPr>
                <w:rFonts w:ascii="Times New Roman" w:hAnsi="Times New Roman"/>
                <w:sz w:val="24"/>
              </w:rPr>
              <w:t xml:space="preserve">) </w:t>
            </w:r>
            <w:r w:rsidRPr="00661595">
              <w:rPr>
                <w:rFonts w:ascii="Times New Roman" w:hAnsi="Times New Roman"/>
                <w:sz w:val="24"/>
              </w:rPr>
              <w:t xml:space="preserve">CRR subject to the higher </w:t>
            </w:r>
            <w:r w:rsidR="008D24A6" w:rsidRPr="00661595">
              <w:rPr>
                <w:rFonts w:ascii="Times New Roman" w:hAnsi="Times New Roman"/>
                <w:sz w:val="24"/>
              </w:rPr>
              <w:t xml:space="preserve">coefficient of </w:t>
            </w:r>
            <w:r w:rsidRPr="00661595">
              <w:rPr>
                <w:rFonts w:ascii="Times New Roman" w:hAnsi="Times New Roman"/>
                <w:sz w:val="24"/>
              </w:rPr>
              <w:t xml:space="preserve">correlation </w:t>
            </w:r>
            <w:r w:rsidR="00F33ABB" w:rsidRPr="00661595">
              <w:rPr>
                <w:rFonts w:ascii="Times New Roman" w:hAnsi="Times New Roman"/>
                <w:sz w:val="24"/>
              </w:rPr>
              <w:t xml:space="preserve">determined </w:t>
            </w:r>
            <w:r w:rsidR="00BB22D4" w:rsidRPr="00661595">
              <w:rPr>
                <w:rFonts w:ascii="Times New Roman" w:hAnsi="Times New Roman"/>
                <w:sz w:val="24"/>
              </w:rPr>
              <w:t>in accordance with</w:t>
            </w:r>
            <w:r w:rsidRPr="00661595">
              <w:rPr>
                <w:rFonts w:ascii="Times New Roman" w:hAnsi="Times New Roman"/>
                <w:sz w:val="24"/>
              </w:rPr>
              <w:t xml:space="preserve"> Article 153(2) CRR.</w:t>
            </w:r>
          </w:p>
        </w:tc>
      </w:tr>
      <w:tr w:rsidR="001C7AB7" w:rsidRPr="00661595" w:rsidTr="00672D2A">
        <w:trPr>
          <w:trHeight w:val="2109"/>
        </w:trPr>
        <w:tc>
          <w:tcPr>
            <w:tcW w:w="1188" w:type="dxa"/>
          </w:tcPr>
          <w:p w:rsidR="001C7AB7" w:rsidRPr="00661595" w:rsidDel="001D4BE0" w:rsidRDefault="00FF15C6" w:rsidP="001C7AB7">
            <w:pPr>
              <w:rPr>
                <w:rFonts w:ascii="Times New Roman" w:hAnsi="Times New Roman"/>
                <w:sz w:val="24"/>
              </w:rPr>
            </w:pPr>
            <w:r w:rsidRPr="00661595">
              <w:rPr>
                <w:rFonts w:ascii="Times New Roman" w:hAnsi="Times New Roman"/>
                <w:sz w:val="24"/>
              </w:rPr>
              <w:t>0</w:t>
            </w:r>
            <w:r w:rsidR="001C7AB7" w:rsidRPr="00661595">
              <w:rPr>
                <w:rFonts w:ascii="Times New Roman" w:hAnsi="Times New Roman"/>
                <w:sz w:val="24"/>
              </w:rPr>
              <w:t>150-</w:t>
            </w:r>
            <w:r w:rsidRPr="00661595">
              <w:rPr>
                <w:rFonts w:ascii="Times New Roman" w:hAnsi="Times New Roman"/>
                <w:sz w:val="24"/>
              </w:rPr>
              <w:t>0</w:t>
            </w:r>
            <w:r w:rsidR="001C7AB7" w:rsidRPr="00661595">
              <w:rPr>
                <w:rFonts w:ascii="Times New Roman" w:hAnsi="Times New Roman"/>
                <w:sz w:val="24"/>
              </w:rPr>
              <w:t>210</w:t>
            </w:r>
          </w:p>
        </w:tc>
        <w:tc>
          <w:tcPr>
            <w:tcW w:w="8843" w:type="dxa"/>
          </w:tcPr>
          <w:p w:rsidR="001C7AB7" w:rsidRPr="00661595" w:rsidRDefault="001C7AB7" w:rsidP="001C7AB7">
            <w:pPr>
              <w:rPr>
                <w:rFonts w:ascii="Times New Roman" w:hAnsi="Times New Roman"/>
                <w:b/>
                <w:sz w:val="24"/>
                <w:u w:val="single"/>
              </w:rPr>
            </w:pPr>
            <w:r w:rsidRPr="00661595">
              <w:rPr>
                <w:rFonts w:ascii="Times New Roman" w:hAnsi="Times New Roman"/>
                <w:b/>
                <w:sz w:val="24"/>
                <w:u w:val="single"/>
              </w:rPr>
              <w:t>CREDIT RISK MITIGATION TECHNIQUES TAKEN INTO ACCOUNT IN LGD ESTIMATES EXCLUDING DOUBLE DEFAULT TREATMENT</w:t>
            </w:r>
          </w:p>
          <w:p w:rsidR="001C7AB7" w:rsidRPr="00661595" w:rsidRDefault="001C7AB7" w:rsidP="001C7AB7">
            <w:pPr>
              <w:rPr>
                <w:rFonts w:ascii="Times New Roman" w:hAnsi="Times New Roman"/>
                <w:sz w:val="24"/>
              </w:rPr>
            </w:pPr>
            <w:r w:rsidRPr="00661595">
              <w:rPr>
                <w:rFonts w:ascii="Times New Roman" w:hAnsi="Times New Roman"/>
                <w:sz w:val="24"/>
              </w:rPr>
              <w:t xml:space="preserve">CRM techniques that have an impact on </w:t>
            </w:r>
            <w:r w:rsidR="00E64990" w:rsidRPr="00661595">
              <w:rPr>
                <w:rFonts w:ascii="Times New Roman" w:hAnsi="Times New Roman"/>
                <w:sz w:val="24"/>
              </w:rPr>
              <w:t xml:space="preserve">LGD estimates </w:t>
            </w:r>
            <w:r w:rsidRPr="00661595">
              <w:rPr>
                <w:rFonts w:ascii="Times New Roman" w:hAnsi="Times New Roman"/>
                <w:sz w:val="24"/>
              </w:rPr>
              <w:t>as a result of the application of the substitution effect of CRM techniques shall not be included in these columns.</w:t>
            </w:r>
          </w:p>
          <w:p w:rsidR="001C7AB7" w:rsidRPr="00661595" w:rsidRDefault="00C61FF5" w:rsidP="001C7AB7">
            <w:pPr>
              <w:rPr>
                <w:rFonts w:ascii="Times New Roman" w:hAnsi="Times New Roman"/>
                <w:sz w:val="24"/>
              </w:rPr>
            </w:pPr>
            <w:r w:rsidRPr="00661595">
              <w:rPr>
                <w:rFonts w:ascii="Times New Roman" w:hAnsi="Times New Roman"/>
                <w:sz w:val="24"/>
              </w:rPr>
              <w:t>Where</w:t>
            </w:r>
            <w:r w:rsidR="001C7AB7" w:rsidRPr="00661595">
              <w:rPr>
                <w:rFonts w:ascii="Times New Roman" w:hAnsi="Times New Roman"/>
                <w:sz w:val="24"/>
              </w:rPr>
              <w:t xml:space="preserve"> own estimates of LGD are not used</w:t>
            </w:r>
            <w:r w:rsidR="004F5C89" w:rsidRPr="00661595">
              <w:rPr>
                <w:rFonts w:ascii="Times New Roman" w:hAnsi="Times New Roman"/>
                <w:sz w:val="24"/>
              </w:rPr>
              <w:t>,</w:t>
            </w:r>
            <w:r w:rsidR="00F33ABB" w:rsidRPr="00661595">
              <w:rPr>
                <w:rFonts w:ascii="Times New Roman" w:hAnsi="Times New Roman"/>
                <w:sz w:val="24"/>
              </w:rPr>
              <w:t xml:space="preserve"> </w:t>
            </w:r>
            <w:r w:rsidR="001C7AB7" w:rsidRPr="00661595">
              <w:rPr>
                <w:rFonts w:ascii="Times New Roman" w:hAnsi="Times New Roman"/>
                <w:sz w:val="24"/>
              </w:rPr>
              <w:t xml:space="preserve">Article 228(2), </w:t>
            </w:r>
            <w:r w:rsidR="00BD6DB9" w:rsidRPr="00661595">
              <w:rPr>
                <w:rFonts w:ascii="Times New Roman" w:hAnsi="Times New Roman"/>
                <w:sz w:val="24"/>
              </w:rPr>
              <w:t xml:space="preserve">Article </w:t>
            </w:r>
            <w:r w:rsidR="001C7AB7" w:rsidRPr="00661595">
              <w:rPr>
                <w:rFonts w:ascii="Times New Roman" w:hAnsi="Times New Roman"/>
                <w:sz w:val="24"/>
              </w:rPr>
              <w:t>230</w:t>
            </w:r>
            <w:r w:rsidR="00F811C6" w:rsidRPr="00661595">
              <w:rPr>
                <w:rFonts w:ascii="Times New Roman" w:hAnsi="Times New Roman"/>
                <w:sz w:val="24"/>
              </w:rPr>
              <w:t>(1) and (2)</w:t>
            </w:r>
            <w:r w:rsidR="004F5C89" w:rsidRPr="00661595">
              <w:rPr>
                <w:rFonts w:ascii="Times New Roman" w:hAnsi="Times New Roman"/>
                <w:sz w:val="24"/>
              </w:rPr>
              <w:t xml:space="preserve"> </w:t>
            </w:r>
            <w:r w:rsidR="00BD6DB9" w:rsidRPr="00661595">
              <w:rPr>
                <w:rFonts w:ascii="Times New Roman" w:hAnsi="Times New Roman"/>
                <w:sz w:val="24"/>
              </w:rPr>
              <w:t>and</w:t>
            </w:r>
            <w:r w:rsidR="001C7AB7" w:rsidRPr="00661595">
              <w:rPr>
                <w:rFonts w:ascii="Times New Roman" w:hAnsi="Times New Roman"/>
                <w:sz w:val="24"/>
              </w:rPr>
              <w:t xml:space="preserve"> </w:t>
            </w:r>
            <w:r w:rsidR="001E0C80" w:rsidRPr="00661595">
              <w:rPr>
                <w:rFonts w:ascii="Times New Roman" w:hAnsi="Times New Roman"/>
                <w:sz w:val="24"/>
              </w:rPr>
              <w:t xml:space="preserve">Article </w:t>
            </w:r>
            <w:r w:rsidR="001C7AB7" w:rsidRPr="00661595">
              <w:rPr>
                <w:rFonts w:ascii="Times New Roman" w:hAnsi="Times New Roman"/>
                <w:sz w:val="24"/>
              </w:rPr>
              <w:t xml:space="preserve">231 </w:t>
            </w:r>
            <w:r w:rsidR="00C7103D" w:rsidRPr="00661595">
              <w:rPr>
                <w:rFonts w:ascii="Times New Roman" w:hAnsi="Times New Roman"/>
                <w:sz w:val="24"/>
              </w:rPr>
              <w:t>CRR</w:t>
            </w:r>
            <w:r w:rsidR="00F33ABB" w:rsidRPr="00661595">
              <w:rPr>
                <w:rFonts w:ascii="Times New Roman" w:hAnsi="Times New Roman"/>
                <w:sz w:val="24"/>
              </w:rPr>
              <w:t xml:space="preserve"> shall be taken into account.</w:t>
            </w:r>
          </w:p>
          <w:p w:rsidR="001C7AB7" w:rsidRPr="00661595" w:rsidRDefault="00C61FF5" w:rsidP="001C7AB7">
            <w:pPr>
              <w:rPr>
                <w:rFonts w:ascii="Times New Roman" w:hAnsi="Times New Roman"/>
                <w:sz w:val="24"/>
              </w:rPr>
            </w:pPr>
            <w:r w:rsidRPr="00661595">
              <w:rPr>
                <w:rFonts w:ascii="Times New Roman" w:hAnsi="Times New Roman"/>
                <w:sz w:val="24"/>
              </w:rPr>
              <w:t>Where</w:t>
            </w:r>
            <w:r w:rsidR="001C7AB7" w:rsidRPr="00661595">
              <w:rPr>
                <w:rFonts w:ascii="Times New Roman" w:hAnsi="Times New Roman"/>
                <w:sz w:val="24"/>
              </w:rPr>
              <w:t xml:space="preserve"> own estimates of LGD are used: </w:t>
            </w:r>
          </w:p>
          <w:p w:rsidR="001C7AB7" w:rsidRPr="00661595" w:rsidRDefault="001C7AB7" w:rsidP="001C7AB7">
            <w:pPr>
              <w:rPr>
                <w:rFonts w:ascii="Times New Roman" w:hAnsi="Times New Roman"/>
                <w:sz w:val="24"/>
              </w:rPr>
            </w:pPr>
            <w:r w:rsidRPr="00661595">
              <w:rPr>
                <w:rFonts w:ascii="Times New Roman" w:hAnsi="Times New Roman"/>
                <w:sz w:val="24"/>
              </w:rPr>
              <w:t>- Regarding unfunded credit protection, for exposures to central government</w:t>
            </w:r>
            <w:r w:rsidR="00BD6DB9" w:rsidRPr="00661595">
              <w:rPr>
                <w:rFonts w:ascii="Times New Roman" w:hAnsi="Times New Roman"/>
                <w:sz w:val="24"/>
              </w:rPr>
              <w:t>s</w:t>
            </w:r>
            <w:r w:rsidR="009F0653" w:rsidRPr="00661595">
              <w:rPr>
                <w:rFonts w:ascii="Times New Roman" w:hAnsi="Times New Roman"/>
                <w:sz w:val="24"/>
              </w:rPr>
              <w:t xml:space="preserve"> and</w:t>
            </w:r>
            <w:r w:rsidRPr="00661595">
              <w:rPr>
                <w:rFonts w:ascii="Times New Roman" w:hAnsi="Times New Roman"/>
                <w:sz w:val="24"/>
              </w:rPr>
              <w:t xml:space="preserve"> central banks, institutions and corporates</w:t>
            </w:r>
            <w:r w:rsidR="00F33ABB" w:rsidRPr="00661595">
              <w:rPr>
                <w:rFonts w:ascii="Times New Roman" w:hAnsi="Times New Roman"/>
                <w:sz w:val="24"/>
              </w:rPr>
              <w:t>,</w:t>
            </w:r>
            <w:r w:rsidRPr="00661595">
              <w:rPr>
                <w:rFonts w:ascii="Times New Roman" w:hAnsi="Times New Roman"/>
                <w:sz w:val="24"/>
              </w:rPr>
              <w:t xml:space="preserve"> Article 161</w:t>
            </w:r>
            <w:r w:rsidR="00BD6DB9" w:rsidRPr="00661595">
              <w:rPr>
                <w:rFonts w:ascii="Times New Roman" w:hAnsi="Times New Roman"/>
                <w:sz w:val="24"/>
              </w:rPr>
              <w:t>(3)</w:t>
            </w:r>
            <w:r w:rsidRPr="00661595">
              <w:rPr>
                <w:rFonts w:ascii="Times New Roman" w:hAnsi="Times New Roman"/>
                <w:sz w:val="24"/>
              </w:rPr>
              <w:t xml:space="preserve"> </w:t>
            </w:r>
            <w:r w:rsidR="00C7103D" w:rsidRPr="00661595">
              <w:rPr>
                <w:rFonts w:ascii="Times New Roman" w:hAnsi="Times New Roman"/>
                <w:sz w:val="24"/>
              </w:rPr>
              <w:t>CRR</w:t>
            </w:r>
            <w:r w:rsidR="00F33ABB" w:rsidRPr="00661595">
              <w:rPr>
                <w:rFonts w:ascii="Times New Roman" w:hAnsi="Times New Roman"/>
                <w:sz w:val="24"/>
              </w:rPr>
              <w:t xml:space="preserve"> shall be taken into account</w:t>
            </w:r>
            <w:r w:rsidRPr="00661595">
              <w:rPr>
                <w:rFonts w:ascii="Times New Roman" w:hAnsi="Times New Roman"/>
                <w:sz w:val="24"/>
              </w:rPr>
              <w:t>. For retail exposures</w:t>
            </w:r>
            <w:r w:rsidR="00F33ABB" w:rsidRPr="00661595">
              <w:rPr>
                <w:rFonts w:ascii="Times New Roman" w:hAnsi="Times New Roman"/>
                <w:sz w:val="24"/>
              </w:rPr>
              <w:t>,</w:t>
            </w:r>
            <w:r w:rsidRPr="00661595">
              <w:rPr>
                <w:rFonts w:ascii="Times New Roman" w:hAnsi="Times New Roman"/>
                <w:sz w:val="24"/>
              </w:rPr>
              <w:t xml:space="preserve"> Article 164</w:t>
            </w:r>
            <w:r w:rsidR="00255BA9" w:rsidRPr="00661595">
              <w:rPr>
                <w:rFonts w:ascii="Times New Roman" w:hAnsi="Times New Roman"/>
                <w:sz w:val="24"/>
              </w:rPr>
              <w:t>(</w:t>
            </w:r>
            <w:r w:rsidRPr="00661595">
              <w:rPr>
                <w:rFonts w:ascii="Times New Roman" w:hAnsi="Times New Roman"/>
                <w:sz w:val="24"/>
              </w:rPr>
              <w:t>2</w:t>
            </w:r>
            <w:r w:rsidR="00255BA9" w:rsidRPr="00661595">
              <w:rPr>
                <w:rFonts w:ascii="Times New Roman" w:hAnsi="Times New Roman"/>
                <w:sz w:val="24"/>
              </w:rPr>
              <w:t>)</w:t>
            </w:r>
            <w:r w:rsidRPr="00661595">
              <w:rPr>
                <w:rFonts w:ascii="Times New Roman" w:hAnsi="Times New Roman"/>
                <w:sz w:val="24"/>
              </w:rPr>
              <w:t xml:space="preserve"> </w:t>
            </w:r>
            <w:r w:rsidR="00C7103D" w:rsidRPr="00661595">
              <w:rPr>
                <w:rFonts w:ascii="Times New Roman" w:hAnsi="Times New Roman"/>
                <w:sz w:val="24"/>
              </w:rPr>
              <w:t>CRR</w:t>
            </w:r>
            <w:r w:rsidR="00F33ABB" w:rsidRPr="00661595">
              <w:rPr>
                <w:rFonts w:ascii="Times New Roman" w:hAnsi="Times New Roman"/>
                <w:sz w:val="24"/>
              </w:rPr>
              <w:t xml:space="preserve"> shall be taken into acco</w:t>
            </w:r>
            <w:r w:rsidR="004F5C89" w:rsidRPr="00661595">
              <w:rPr>
                <w:rFonts w:ascii="Times New Roman" w:hAnsi="Times New Roman"/>
                <w:sz w:val="24"/>
              </w:rPr>
              <w:t>u</w:t>
            </w:r>
            <w:r w:rsidR="00F33ABB" w:rsidRPr="00661595">
              <w:rPr>
                <w:rFonts w:ascii="Times New Roman" w:hAnsi="Times New Roman"/>
                <w:sz w:val="24"/>
              </w:rPr>
              <w:t>nt</w:t>
            </w:r>
            <w:r w:rsidRPr="00661595">
              <w:rPr>
                <w:rFonts w:ascii="Times New Roman" w:hAnsi="Times New Roman"/>
                <w:sz w:val="24"/>
              </w:rPr>
              <w:t>.</w:t>
            </w:r>
          </w:p>
          <w:p w:rsidR="001C7AB7" w:rsidRPr="00661595" w:rsidRDefault="001C7AB7" w:rsidP="00255BA9">
            <w:pPr>
              <w:rPr>
                <w:rFonts w:ascii="Times New Roman" w:hAnsi="Times New Roman"/>
                <w:b/>
                <w:sz w:val="24"/>
                <w:u w:val="single"/>
              </w:rPr>
            </w:pPr>
            <w:r w:rsidRPr="00661595">
              <w:rPr>
                <w:rFonts w:ascii="Times New Roman" w:hAnsi="Times New Roman"/>
                <w:sz w:val="24"/>
              </w:rPr>
              <w:t>- Regarding funded credit protection</w:t>
            </w:r>
            <w:r w:rsidR="00F33ABB" w:rsidRPr="00661595">
              <w:rPr>
                <w:rFonts w:ascii="Times New Roman" w:hAnsi="Times New Roman"/>
                <w:sz w:val="24"/>
              </w:rPr>
              <w:t>,</w:t>
            </w:r>
            <w:r w:rsidRPr="00661595">
              <w:rPr>
                <w:rFonts w:ascii="Times New Roman" w:hAnsi="Times New Roman"/>
                <w:sz w:val="24"/>
              </w:rPr>
              <w:t xml:space="preserve"> </w:t>
            </w:r>
            <w:r w:rsidR="00F33ABB" w:rsidRPr="00661595">
              <w:rPr>
                <w:rFonts w:ascii="Times New Roman" w:hAnsi="Times New Roman"/>
                <w:sz w:val="24"/>
              </w:rPr>
              <w:t xml:space="preserve">the </w:t>
            </w:r>
            <w:r w:rsidRPr="00661595">
              <w:rPr>
                <w:rFonts w:ascii="Times New Roman" w:hAnsi="Times New Roman"/>
                <w:sz w:val="24"/>
              </w:rPr>
              <w:t xml:space="preserve">collateral </w:t>
            </w:r>
            <w:r w:rsidR="00F33ABB" w:rsidRPr="00661595">
              <w:rPr>
                <w:rFonts w:ascii="Times New Roman" w:hAnsi="Times New Roman"/>
                <w:sz w:val="24"/>
              </w:rPr>
              <w:t xml:space="preserve">shall be </w:t>
            </w:r>
            <w:r w:rsidRPr="00661595">
              <w:rPr>
                <w:rFonts w:ascii="Times New Roman" w:hAnsi="Times New Roman"/>
                <w:sz w:val="24"/>
              </w:rPr>
              <w:t xml:space="preserve">taken into account in the LGD estimates </w:t>
            </w:r>
            <w:r w:rsidR="00BB22D4" w:rsidRPr="00661595">
              <w:rPr>
                <w:rFonts w:ascii="Times New Roman" w:hAnsi="Times New Roman"/>
                <w:sz w:val="24"/>
              </w:rPr>
              <w:t>in accordance with</w:t>
            </w:r>
            <w:r w:rsidRPr="00661595">
              <w:rPr>
                <w:rFonts w:ascii="Times New Roman" w:hAnsi="Times New Roman"/>
                <w:sz w:val="24"/>
              </w:rPr>
              <w:t xml:space="preserve"> </w:t>
            </w:r>
            <w:r w:rsidR="00255BA9" w:rsidRPr="00661595">
              <w:rPr>
                <w:rFonts w:ascii="Times New Roman" w:hAnsi="Times New Roman"/>
                <w:sz w:val="24"/>
              </w:rPr>
              <w:t xml:space="preserve">points (e) and (f) of </w:t>
            </w:r>
            <w:r w:rsidRPr="00661595">
              <w:rPr>
                <w:rFonts w:ascii="Times New Roman" w:hAnsi="Times New Roman"/>
                <w:sz w:val="24"/>
              </w:rPr>
              <w:t xml:space="preserve">Article 181(1) </w:t>
            </w:r>
            <w:r w:rsidR="00C7103D" w:rsidRPr="00661595">
              <w:rPr>
                <w:rFonts w:ascii="Times New Roman" w:hAnsi="Times New Roman"/>
                <w:sz w:val="24"/>
              </w:rPr>
              <w:t>CRR</w:t>
            </w:r>
            <w:r w:rsidRPr="00661595">
              <w:rPr>
                <w:rFonts w:ascii="Times New Roman" w:hAnsi="Times New Roman"/>
                <w:sz w:val="24"/>
              </w:rPr>
              <w:t>.</w:t>
            </w:r>
          </w:p>
        </w:tc>
      </w:tr>
      <w:tr w:rsidR="001C7AB7" w:rsidRPr="00661595" w:rsidTr="00672D2A">
        <w:trPr>
          <w:trHeight w:val="957"/>
        </w:trPr>
        <w:tc>
          <w:tcPr>
            <w:tcW w:w="1188" w:type="dxa"/>
          </w:tcPr>
          <w:p w:rsidR="001C7AB7" w:rsidRPr="00661595" w:rsidRDefault="00FF15C6" w:rsidP="001C7AB7">
            <w:pPr>
              <w:rPr>
                <w:rFonts w:ascii="Times New Roman" w:hAnsi="Times New Roman"/>
                <w:sz w:val="24"/>
              </w:rPr>
            </w:pPr>
            <w:r w:rsidRPr="00661595">
              <w:rPr>
                <w:rFonts w:ascii="Times New Roman" w:hAnsi="Times New Roman"/>
                <w:sz w:val="24"/>
              </w:rPr>
              <w:t>0</w:t>
            </w:r>
            <w:r w:rsidR="001C7AB7" w:rsidRPr="00661595">
              <w:rPr>
                <w:rFonts w:ascii="Times New Roman" w:hAnsi="Times New Roman"/>
                <w:sz w:val="24"/>
              </w:rPr>
              <w:t>150</w:t>
            </w:r>
          </w:p>
        </w:tc>
        <w:tc>
          <w:tcPr>
            <w:tcW w:w="8843" w:type="dxa"/>
          </w:tcPr>
          <w:p w:rsidR="001C7AB7" w:rsidRPr="00661595" w:rsidRDefault="001C7AB7" w:rsidP="001C7AB7">
            <w:pPr>
              <w:rPr>
                <w:rFonts w:ascii="Times New Roman" w:hAnsi="Times New Roman"/>
                <w:b/>
                <w:sz w:val="24"/>
                <w:u w:val="single"/>
              </w:rPr>
            </w:pPr>
            <w:r w:rsidRPr="00661595">
              <w:rPr>
                <w:rFonts w:ascii="Times New Roman" w:hAnsi="Times New Roman"/>
                <w:b/>
                <w:sz w:val="24"/>
                <w:u w:val="single"/>
              </w:rPr>
              <w:t xml:space="preserve">GUARANTEES </w:t>
            </w:r>
          </w:p>
          <w:p w:rsidR="001C7AB7" w:rsidRPr="00661595" w:rsidRDefault="001C7AB7" w:rsidP="001C7AB7">
            <w:pPr>
              <w:jc w:val="left"/>
              <w:rPr>
                <w:rFonts w:ascii="Times New Roman" w:hAnsi="Times New Roman"/>
                <w:b/>
                <w:sz w:val="24"/>
                <w:u w:val="single"/>
              </w:rPr>
            </w:pPr>
            <w:r w:rsidRPr="00661595">
              <w:rPr>
                <w:rFonts w:ascii="Times New Roman" w:hAnsi="Times New Roman"/>
                <w:sz w:val="24"/>
              </w:rPr>
              <w:t xml:space="preserve">See instructions to column </w:t>
            </w:r>
            <w:r w:rsidR="00FF15C6" w:rsidRPr="00661595">
              <w:rPr>
                <w:rFonts w:ascii="Times New Roman" w:hAnsi="Times New Roman"/>
                <w:sz w:val="24"/>
              </w:rPr>
              <w:t>0</w:t>
            </w:r>
            <w:r w:rsidRPr="00661595">
              <w:rPr>
                <w:rFonts w:ascii="Times New Roman" w:hAnsi="Times New Roman"/>
                <w:sz w:val="24"/>
              </w:rPr>
              <w:t>040.</w:t>
            </w:r>
          </w:p>
        </w:tc>
      </w:tr>
      <w:tr w:rsidR="001C7AB7" w:rsidRPr="00661595" w:rsidTr="00672D2A">
        <w:tc>
          <w:tcPr>
            <w:tcW w:w="1188" w:type="dxa"/>
          </w:tcPr>
          <w:p w:rsidR="001C7AB7" w:rsidRPr="00661595" w:rsidRDefault="00FF15C6" w:rsidP="001C7AB7">
            <w:pPr>
              <w:rPr>
                <w:rFonts w:ascii="Times New Roman" w:hAnsi="Times New Roman"/>
                <w:sz w:val="24"/>
              </w:rPr>
            </w:pPr>
            <w:r w:rsidRPr="00661595">
              <w:rPr>
                <w:rFonts w:ascii="Times New Roman" w:hAnsi="Times New Roman"/>
                <w:sz w:val="24"/>
              </w:rPr>
              <w:t>0</w:t>
            </w:r>
            <w:r w:rsidR="001C7AB7" w:rsidRPr="00661595">
              <w:rPr>
                <w:rFonts w:ascii="Times New Roman" w:hAnsi="Times New Roman"/>
                <w:sz w:val="24"/>
              </w:rPr>
              <w:t>160</w:t>
            </w:r>
          </w:p>
        </w:tc>
        <w:tc>
          <w:tcPr>
            <w:tcW w:w="8843" w:type="dxa"/>
          </w:tcPr>
          <w:p w:rsidR="001C7AB7" w:rsidRPr="00661595" w:rsidRDefault="001C7AB7" w:rsidP="001C7AB7">
            <w:pPr>
              <w:rPr>
                <w:rFonts w:ascii="Times New Roman" w:hAnsi="Times New Roman"/>
                <w:b/>
                <w:sz w:val="24"/>
                <w:u w:val="single"/>
              </w:rPr>
            </w:pPr>
            <w:r w:rsidRPr="00661595">
              <w:rPr>
                <w:rFonts w:ascii="Times New Roman" w:hAnsi="Times New Roman"/>
                <w:b/>
                <w:sz w:val="24"/>
                <w:u w:val="single"/>
              </w:rPr>
              <w:t xml:space="preserve">CREDIT DERIVATIVES </w:t>
            </w:r>
          </w:p>
          <w:p w:rsidR="001C7AB7" w:rsidRPr="00661595" w:rsidRDefault="001C7AB7" w:rsidP="001C7AB7">
            <w:pPr>
              <w:rPr>
                <w:rFonts w:ascii="Times New Roman" w:hAnsi="Times New Roman"/>
                <w:sz w:val="24"/>
              </w:rPr>
            </w:pPr>
            <w:r w:rsidRPr="00661595">
              <w:rPr>
                <w:rFonts w:ascii="Times New Roman" w:hAnsi="Times New Roman"/>
                <w:sz w:val="24"/>
              </w:rPr>
              <w:t xml:space="preserve">See instructions to column </w:t>
            </w:r>
            <w:r w:rsidR="00FF15C6" w:rsidRPr="00661595">
              <w:rPr>
                <w:rFonts w:ascii="Times New Roman" w:hAnsi="Times New Roman"/>
                <w:sz w:val="24"/>
              </w:rPr>
              <w:t>0</w:t>
            </w:r>
            <w:r w:rsidRPr="00661595">
              <w:rPr>
                <w:rFonts w:ascii="Times New Roman" w:hAnsi="Times New Roman"/>
                <w:sz w:val="24"/>
              </w:rPr>
              <w:t>050.</w:t>
            </w:r>
          </w:p>
        </w:tc>
      </w:tr>
      <w:tr w:rsidR="001C7AB7" w:rsidRPr="00661595" w:rsidTr="00672D2A">
        <w:tc>
          <w:tcPr>
            <w:tcW w:w="1188" w:type="dxa"/>
          </w:tcPr>
          <w:p w:rsidR="001C7AB7" w:rsidRPr="00661595" w:rsidRDefault="00FF15C6" w:rsidP="001C7AB7">
            <w:pPr>
              <w:rPr>
                <w:rFonts w:ascii="Times New Roman" w:hAnsi="Times New Roman"/>
                <w:sz w:val="24"/>
              </w:rPr>
            </w:pPr>
            <w:r w:rsidRPr="00661595">
              <w:rPr>
                <w:rFonts w:ascii="Times New Roman" w:hAnsi="Times New Roman"/>
                <w:sz w:val="24"/>
              </w:rPr>
              <w:t>0</w:t>
            </w:r>
            <w:r w:rsidR="001C7AB7" w:rsidRPr="00661595">
              <w:rPr>
                <w:rFonts w:ascii="Times New Roman" w:hAnsi="Times New Roman"/>
                <w:sz w:val="24"/>
              </w:rPr>
              <w:t>170</w:t>
            </w:r>
          </w:p>
        </w:tc>
        <w:tc>
          <w:tcPr>
            <w:tcW w:w="8843" w:type="dxa"/>
          </w:tcPr>
          <w:p w:rsidR="001C7AB7" w:rsidRPr="00661595" w:rsidRDefault="001C7AB7" w:rsidP="001C7AB7">
            <w:pPr>
              <w:rPr>
                <w:rFonts w:ascii="Times New Roman" w:hAnsi="Times New Roman"/>
                <w:b/>
                <w:sz w:val="24"/>
                <w:u w:val="single"/>
              </w:rPr>
            </w:pPr>
            <w:r w:rsidRPr="00661595">
              <w:rPr>
                <w:rFonts w:ascii="Times New Roman" w:hAnsi="Times New Roman"/>
                <w:b/>
                <w:sz w:val="24"/>
                <w:u w:val="single"/>
              </w:rPr>
              <w:t xml:space="preserve">OWN ESTIMATES OF LGDS ARE USED: OTHER FUNDED CREDIT PROTECTION </w:t>
            </w:r>
          </w:p>
          <w:p w:rsidR="001C7AB7" w:rsidRPr="00661595" w:rsidRDefault="001C7AB7" w:rsidP="001C7AB7">
            <w:pPr>
              <w:rPr>
                <w:rStyle w:val="InstructionsTabelleText"/>
                <w:rFonts w:ascii="Times New Roman" w:hAnsi="Times New Roman"/>
                <w:sz w:val="24"/>
              </w:rPr>
            </w:pPr>
            <w:r w:rsidRPr="00661595">
              <w:rPr>
                <w:rStyle w:val="InstructionsTabelleText"/>
                <w:rFonts w:ascii="Times New Roman" w:hAnsi="Times New Roman"/>
                <w:sz w:val="24"/>
              </w:rPr>
              <w:t>The relevant value used in the internal modelling of the institution.</w:t>
            </w:r>
          </w:p>
          <w:p w:rsidR="001C7AB7" w:rsidRPr="00661595" w:rsidRDefault="001C7AB7" w:rsidP="00255BA9">
            <w:pPr>
              <w:rPr>
                <w:rFonts w:ascii="Times New Roman" w:hAnsi="Times New Roman"/>
                <w:sz w:val="24"/>
              </w:rPr>
            </w:pPr>
            <w:r w:rsidRPr="00661595">
              <w:rPr>
                <w:rFonts w:ascii="Times New Roman" w:hAnsi="Times New Roman"/>
                <w:sz w:val="24"/>
              </w:rPr>
              <w:t xml:space="preserve">Those credit risk mitigants that comply with the criteria in Article 212 </w:t>
            </w:r>
            <w:r w:rsidR="00C7103D" w:rsidRPr="00661595">
              <w:rPr>
                <w:rFonts w:ascii="Times New Roman" w:hAnsi="Times New Roman"/>
                <w:sz w:val="24"/>
              </w:rPr>
              <w:t>CRR</w:t>
            </w:r>
            <w:r w:rsidRPr="00661595">
              <w:rPr>
                <w:rFonts w:ascii="Times New Roman" w:hAnsi="Times New Roman"/>
                <w:sz w:val="24"/>
              </w:rPr>
              <w:t xml:space="preserve">. </w:t>
            </w:r>
          </w:p>
        </w:tc>
      </w:tr>
      <w:tr w:rsidR="008D24A6" w:rsidRPr="00661595" w:rsidTr="00672D2A">
        <w:tc>
          <w:tcPr>
            <w:tcW w:w="1188" w:type="dxa"/>
          </w:tcPr>
          <w:p w:rsidR="008D24A6" w:rsidRPr="00661595" w:rsidRDefault="00FF15C6" w:rsidP="008D24A6">
            <w:pPr>
              <w:rPr>
                <w:rFonts w:ascii="Times New Roman" w:hAnsi="Times New Roman"/>
                <w:sz w:val="24"/>
              </w:rPr>
            </w:pPr>
            <w:r w:rsidRPr="00661595">
              <w:rPr>
                <w:rFonts w:ascii="Times New Roman" w:hAnsi="Times New Roman"/>
                <w:sz w:val="24"/>
              </w:rPr>
              <w:t>0</w:t>
            </w:r>
            <w:r w:rsidR="008D24A6" w:rsidRPr="00661595">
              <w:rPr>
                <w:rFonts w:ascii="Times New Roman" w:hAnsi="Times New Roman"/>
                <w:sz w:val="24"/>
              </w:rPr>
              <w:t>171</w:t>
            </w:r>
          </w:p>
        </w:tc>
        <w:tc>
          <w:tcPr>
            <w:tcW w:w="8843" w:type="dxa"/>
          </w:tcPr>
          <w:p w:rsidR="008D24A6" w:rsidRPr="00661595" w:rsidRDefault="008D24A6" w:rsidP="008D24A6">
            <w:pPr>
              <w:rPr>
                <w:rFonts w:ascii="Times New Roman" w:hAnsi="Times New Roman"/>
                <w:b/>
                <w:sz w:val="24"/>
                <w:u w:val="single"/>
              </w:rPr>
            </w:pPr>
            <w:r w:rsidRPr="00661595">
              <w:rPr>
                <w:rFonts w:ascii="Times New Roman" w:hAnsi="Times New Roman"/>
                <w:b/>
                <w:sz w:val="24"/>
                <w:u w:val="single"/>
              </w:rPr>
              <w:t>CASH ON DEPOSIT</w:t>
            </w:r>
          </w:p>
          <w:p w:rsidR="00B85B8C" w:rsidRDefault="008D24A6" w:rsidP="008D24A6">
            <w:pPr>
              <w:rPr>
                <w:rFonts w:ascii="Times New Roman" w:hAnsi="Times New Roman"/>
                <w:sz w:val="24"/>
              </w:rPr>
            </w:pPr>
            <w:r w:rsidRPr="00661595">
              <w:rPr>
                <w:rFonts w:ascii="Times New Roman" w:hAnsi="Times New Roman"/>
                <w:sz w:val="24"/>
              </w:rPr>
              <w:t xml:space="preserve">Point (a) of Article 200 CRR </w:t>
            </w:r>
          </w:p>
          <w:p w:rsidR="008D24A6" w:rsidRPr="00661595" w:rsidRDefault="008D24A6" w:rsidP="008D24A6">
            <w:pPr>
              <w:rPr>
                <w:rFonts w:ascii="Times New Roman" w:hAnsi="Times New Roman"/>
                <w:b/>
                <w:sz w:val="24"/>
                <w:u w:val="single"/>
              </w:rPr>
            </w:pPr>
            <w:r w:rsidRPr="00661595">
              <w:rPr>
                <w:rFonts w:ascii="Times New Roman" w:hAnsi="Times New Roman"/>
                <w:sz w:val="24"/>
              </w:rPr>
              <w:t>Cash on deposit with, or cash assimilated instruments held by third party institution in a non-custodial arrangement and pledged to the lending institution. The value of collateral reported shall be limited to the value of the exposure at the level of an individual exposure.</w:t>
            </w:r>
          </w:p>
        </w:tc>
      </w:tr>
      <w:tr w:rsidR="008D24A6" w:rsidRPr="00661595" w:rsidTr="00672D2A">
        <w:tc>
          <w:tcPr>
            <w:tcW w:w="1188" w:type="dxa"/>
          </w:tcPr>
          <w:p w:rsidR="008D24A6" w:rsidRPr="00661595" w:rsidRDefault="00FF15C6" w:rsidP="008D24A6">
            <w:pPr>
              <w:rPr>
                <w:rFonts w:ascii="Times New Roman" w:hAnsi="Times New Roman"/>
                <w:sz w:val="24"/>
              </w:rPr>
            </w:pPr>
            <w:r w:rsidRPr="00661595">
              <w:rPr>
                <w:rFonts w:ascii="Times New Roman" w:hAnsi="Times New Roman"/>
                <w:sz w:val="24"/>
              </w:rPr>
              <w:t>0</w:t>
            </w:r>
            <w:r w:rsidR="008D24A6" w:rsidRPr="00661595">
              <w:rPr>
                <w:rFonts w:ascii="Times New Roman" w:hAnsi="Times New Roman"/>
                <w:sz w:val="24"/>
              </w:rPr>
              <w:t>172</w:t>
            </w:r>
          </w:p>
        </w:tc>
        <w:tc>
          <w:tcPr>
            <w:tcW w:w="8843" w:type="dxa"/>
          </w:tcPr>
          <w:p w:rsidR="008D24A6" w:rsidRPr="00661595" w:rsidRDefault="008D24A6" w:rsidP="008D24A6">
            <w:pPr>
              <w:rPr>
                <w:rFonts w:ascii="Times New Roman" w:hAnsi="Times New Roman"/>
                <w:b/>
                <w:sz w:val="24"/>
                <w:u w:val="single"/>
              </w:rPr>
            </w:pPr>
            <w:r w:rsidRPr="00661595">
              <w:rPr>
                <w:rFonts w:ascii="Times New Roman" w:hAnsi="Times New Roman"/>
                <w:b/>
                <w:sz w:val="24"/>
                <w:u w:val="single"/>
              </w:rPr>
              <w:t>LIFE INSURANCE POLICIES</w:t>
            </w:r>
          </w:p>
          <w:p w:rsidR="00B85B8C" w:rsidRDefault="008D24A6" w:rsidP="008D24A6">
            <w:pPr>
              <w:rPr>
                <w:rFonts w:ascii="Times New Roman" w:hAnsi="Times New Roman"/>
                <w:sz w:val="24"/>
              </w:rPr>
            </w:pPr>
            <w:r w:rsidRPr="00661595">
              <w:rPr>
                <w:rFonts w:ascii="Times New Roman" w:hAnsi="Times New Roman"/>
                <w:sz w:val="24"/>
              </w:rPr>
              <w:t xml:space="preserve">Point (b) of Article 200 CRR </w:t>
            </w:r>
          </w:p>
          <w:p w:rsidR="008D24A6" w:rsidRPr="00661595" w:rsidRDefault="008D24A6" w:rsidP="008D24A6">
            <w:pPr>
              <w:rPr>
                <w:rFonts w:ascii="Times New Roman" w:hAnsi="Times New Roman"/>
                <w:b/>
                <w:sz w:val="24"/>
                <w:u w:val="single"/>
              </w:rPr>
            </w:pPr>
            <w:r w:rsidRPr="00661595">
              <w:rPr>
                <w:rFonts w:ascii="Times New Roman" w:hAnsi="Times New Roman"/>
                <w:sz w:val="24"/>
              </w:rPr>
              <w:t>The value of collateral reported shall be limited to the value of the exposure at the level of an individual exposure.</w:t>
            </w:r>
          </w:p>
        </w:tc>
      </w:tr>
      <w:tr w:rsidR="008D24A6" w:rsidRPr="00661595" w:rsidTr="00672D2A">
        <w:tc>
          <w:tcPr>
            <w:tcW w:w="1188" w:type="dxa"/>
          </w:tcPr>
          <w:p w:rsidR="008D24A6" w:rsidRPr="00661595" w:rsidRDefault="00FF15C6" w:rsidP="008D24A6">
            <w:pPr>
              <w:rPr>
                <w:rFonts w:ascii="Times New Roman" w:hAnsi="Times New Roman"/>
                <w:sz w:val="24"/>
              </w:rPr>
            </w:pPr>
            <w:r w:rsidRPr="00661595">
              <w:rPr>
                <w:rFonts w:ascii="Times New Roman" w:hAnsi="Times New Roman"/>
                <w:sz w:val="24"/>
              </w:rPr>
              <w:t>0</w:t>
            </w:r>
            <w:r w:rsidR="008D24A6" w:rsidRPr="00661595">
              <w:rPr>
                <w:rFonts w:ascii="Times New Roman" w:hAnsi="Times New Roman"/>
                <w:sz w:val="24"/>
              </w:rPr>
              <w:t>173</w:t>
            </w:r>
          </w:p>
        </w:tc>
        <w:tc>
          <w:tcPr>
            <w:tcW w:w="8843" w:type="dxa"/>
          </w:tcPr>
          <w:p w:rsidR="008D24A6" w:rsidRPr="00661595" w:rsidRDefault="008D24A6" w:rsidP="008D24A6">
            <w:pPr>
              <w:rPr>
                <w:rFonts w:ascii="Times New Roman" w:hAnsi="Times New Roman"/>
                <w:b/>
                <w:sz w:val="24"/>
                <w:u w:val="single"/>
              </w:rPr>
            </w:pPr>
            <w:r w:rsidRPr="00661595">
              <w:rPr>
                <w:rFonts w:ascii="Times New Roman" w:hAnsi="Times New Roman"/>
                <w:b/>
                <w:sz w:val="24"/>
                <w:u w:val="single"/>
              </w:rPr>
              <w:t>INSTRUMENTS HELD BY A THIRD PARTY</w:t>
            </w:r>
          </w:p>
          <w:p w:rsidR="00B85B8C" w:rsidRDefault="008D24A6" w:rsidP="00F66371">
            <w:pPr>
              <w:rPr>
                <w:rFonts w:ascii="Times New Roman" w:hAnsi="Times New Roman"/>
                <w:sz w:val="24"/>
              </w:rPr>
            </w:pPr>
            <w:r w:rsidRPr="00661595">
              <w:rPr>
                <w:rFonts w:ascii="Times New Roman" w:hAnsi="Times New Roman"/>
                <w:sz w:val="24"/>
              </w:rPr>
              <w:t xml:space="preserve">Point (c) of Article 200 CRR </w:t>
            </w:r>
          </w:p>
          <w:p w:rsidR="008D24A6" w:rsidRPr="00661595" w:rsidRDefault="008D24A6" w:rsidP="00127FEA">
            <w:pPr>
              <w:rPr>
                <w:rFonts w:ascii="Times New Roman" w:hAnsi="Times New Roman"/>
                <w:b/>
                <w:sz w:val="24"/>
                <w:u w:val="single"/>
              </w:rPr>
            </w:pPr>
            <w:r w:rsidRPr="00661595">
              <w:rPr>
                <w:rFonts w:ascii="Times New Roman" w:hAnsi="Times New Roman"/>
                <w:sz w:val="24"/>
              </w:rPr>
              <w:t xml:space="preserve">This includes instruments issued by a third party </w:t>
            </w:r>
            <w:r w:rsidR="0032755B" w:rsidRPr="00661595">
              <w:rPr>
                <w:rFonts w:ascii="Times New Roman" w:hAnsi="Times New Roman"/>
                <w:sz w:val="24"/>
              </w:rPr>
              <w:t>institution, which</w:t>
            </w:r>
            <w:r w:rsidRPr="00661595">
              <w:rPr>
                <w:rFonts w:ascii="Times New Roman" w:hAnsi="Times New Roman"/>
                <w:sz w:val="24"/>
              </w:rPr>
              <w:t xml:space="preserve"> will be repurchased by that institution on request. The value of collateral reported shall be limited to the value of the exposure at the level of an individual exposure.</w:t>
            </w:r>
            <w:r w:rsidR="00F66371" w:rsidRPr="00661595">
              <w:rPr>
                <w:rFonts w:ascii="Times New Roman" w:hAnsi="Times New Roman"/>
                <w:sz w:val="24"/>
              </w:rPr>
              <w:t xml:space="preserve"> This column shall exclude those exposures covered by instruments held by a third party where, </w:t>
            </w:r>
            <w:r w:rsidR="0032755B">
              <w:rPr>
                <w:rFonts w:ascii="Times New Roman" w:hAnsi="Times New Roman"/>
                <w:sz w:val="24"/>
              </w:rPr>
              <w:t>in accordance with</w:t>
            </w:r>
            <w:r w:rsidR="0032755B" w:rsidRPr="00661595">
              <w:rPr>
                <w:rFonts w:ascii="Times New Roman" w:hAnsi="Times New Roman"/>
                <w:sz w:val="24"/>
              </w:rPr>
              <w:t xml:space="preserve"> </w:t>
            </w:r>
            <w:r w:rsidR="00F66371" w:rsidRPr="00661595">
              <w:rPr>
                <w:rFonts w:ascii="Times New Roman" w:hAnsi="Times New Roman"/>
                <w:sz w:val="24"/>
              </w:rPr>
              <w:t xml:space="preserve">Article 232(4) CRR, institutions treat instruments repurchased on request that are eligible under </w:t>
            </w:r>
            <w:r w:rsidR="00127FEA">
              <w:rPr>
                <w:rFonts w:ascii="Times New Roman" w:hAnsi="Times New Roman"/>
                <w:sz w:val="24"/>
              </w:rPr>
              <w:t xml:space="preserve">point (c) of </w:t>
            </w:r>
            <w:r w:rsidR="00F66371" w:rsidRPr="00661595">
              <w:rPr>
                <w:rFonts w:ascii="Times New Roman" w:hAnsi="Times New Roman"/>
                <w:sz w:val="24"/>
              </w:rPr>
              <w:t>Article 200 CRR as a guarantee by the issuing institution.</w:t>
            </w:r>
          </w:p>
        </w:tc>
      </w:tr>
      <w:tr w:rsidR="008D24A6" w:rsidRPr="00661595" w:rsidTr="00672D2A">
        <w:tc>
          <w:tcPr>
            <w:tcW w:w="1188" w:type="dxa"/>
          </w:tcPr>
          <w:p w:rsidR="008D24A6" w:rsidRPr="00661595" w:rsidRDefault="001452FC" w:rsidP="008D24A6">
            <w:pPr>
              <w:rPr>
                <w:rFonts w:ascii="Times New Roman" w:hAnsi="Times New Roman"/>
                <w:sz w:val="24"/>
              </w:rPr>
            </w:pPr>
            <w:r w:rsidRPr="00661595">
              <w:rPr>
                <w:rFonts w:ascii="Times New Roman" w:hAnsi="Times New Roman"/>
                <w:sz w:val="24"/>
              </w:rPr>
              <w:t>0</w:t>
            </w:r>
            <w:r w:rsidR="008D24A6" w:rsidRPr="00661595">
              <w:rPr>
                <w:rFonts w:ascii="Times New Roman" w:hAnsi="Times New Roman"/>
                <w:sz w:val="24"/>
              </w:rPr>
              <w:t>180</w:t>
            </w:r>
          </w:p>
        </w:tc>
        <w:tc>
          <w:tcPr>
            <w:tcW w:w="8843" w:type="dxa"/>
          </w:tcPr>
          <w:p w:rsidR="008D24A6" w:rsidRPr="00661595" w:rsidRDefault="008D24A6" w:rsidP="008D24A6">
            <w:pPr>
              <w:rPr>
                <w:rFonts w:ascii="Times New Roman" w:hAnsi="Times New Roman"/>
                <w:b/>
                <w:sz w:val="24"/>
                <w:u w:val="single"/>
              </w:rPr>
            </w:pPr>
            <w:r w:rsidRPr="00661595">
              <w:rPr>
                <w:rFonts w:ascii="Times New Roman" w:hAnsi="Times New Roman"/>
                <w:b/>
                <w:sz w:val="24"/>
                <w:u w:val="single"/>
              </w:rPr>
              <w:t>ELIGIBLE FINANCIAL COLLATERAL</w:t>
            </w:r>
          </w:p>
          <w:p w:rsidR="008D24A6" w:rsidRPr="00661595" w:rsidRDefault="008D24A6" w:rsidP="008D24A6">
            <w:pPr>
              <w:rPr>
                <w:rFonts w:ascii="Times New Roman" w:hAnsi="Times New Roman"/>
                <w:sz w:val="24"/>
              </w:rPr>
            </w:pPr>
            <w:r w:rsidRPr="00661595">
              <w:rPr>
                <w:rFonts w:ascii="Times New Roman" w:hAnsi="Times New Roman"/>
                <w:sz w:val="24"/>
              </w:rPr>
              <w:t>For trading book operations, financial instruments and commodities eligible for trading book exposures in accordance with points (c) to (f) of Article 299(2) CRR shall be included. Credit linked notes and on -balance sheet netting in accordance with Section 4 of Chapter 4 of Title II of Part Three CRR shall be treated as cash collateral.</w:t>
            </w:r>
          </w:p>
          <w:p w:rsidR="008D24A6" w:rsidRPr="00661595" w:rsidRDefault="008D24A6" w:rsidP="008D24A6">
            <w:pPr>
              <w:rPr>
                <w:rFonts w:ascii="Times New Roman" w:hAnsi="Times New Roman"/>
                <w:sz w:val="24"/>
              </w:rPr>
            </w:pPr>
            <w:r w:rsidRPr="00661595">
              <w:rPr>
                <w:rFonts w:ascii="Times New Roman" w:hAnsi="Times New Roman"/>
                <w:sz w:val="24"/>
              </w:rPr>
              <w:t xml:space="preserve">Where own estimates of LGD are not used, for eligible financial collateral </w:t>
            </w:r>
            <w:r w:rsidR="00EA1F5A" w:rsidRPr="00661595">
              <w:rPr>
                <w:rFonts w:ascii="Times New Roman" w:hAnsi="Times New Roman"/>
                <w:sz w:val="24"/>
              </w:rPr>
              <w:t>in accordance with</w:t>
            </w:r>
            <w:r w:rsidRPr="00661595">
              <w:rPr>
                <w:rFonts w:ascii="Times New Roman" w:hAnsi="Times New Roman"/>
                <w:sz w:val="24"/>
              </w:rPr>
              <w:t xml:space="preserve"> Article 197 CRR,the adjusted value (Cvam) as set out in Article 223(2) CRR shall be reported.</w:t>
            </w:r>
          </w:p>
          <w:p w:rsidR="008D24A6" w:rsidRPr="00661595" w:rsidRDefault="008D24A6" w:rsidP="008D24A6">
            <w:pPr>
              <w:rPr>
                <w:rFonts w:ascii="Times New Roman" w:hAnsi="Times New Roman"/>
                <w:b/>
                <w:sz w:val="24"/>
                <w:u w:val="single"/>
              </w:rPr>
            </w:pPr>
            <w:r w:rsidRPr="00661595">
              <w:rPr>
                <w:rFonts w:ascii="Times New Roman" w:hAnsi="Times New Roman"/>
                <w:sz w:val="24"/>
              </w:rPr>
              <w:t>Where own estimates of LGD are used, the financial collateral shall be taken into account in the LGD estimates in accordance with points (e) and (f) of Article 181(1) CRR. The amount to be reported shall be the estimated market value of the collateral.</w:t>
            </w:r>
          </w:p>
        </w:tc>
      </w:tr>
      <w:tr w:rsidR="008D24A6" w:rsidRPr="00661595" w:rsidTr="00672D2A">
        <w:tc>
          <w:tcPr>
            <w:tcW w:w="1188" w:type="dxa"/>
          </w:tcPr>
          <w:p w:rsidR="008D24A6" w:rsidRPr="00661595" w:rsidDel="001D4BE0" w:rsidRDefault="001452FC" w:rsidP="008D24A6">
            <w:pPr>
              <w:rPr>
                <w:rFonts w:ascii="Times New Roman" w:hAnsi="Times New Roman"/>
                <w:sz w:val="24"/>
              </w:rPr>
            </w:pPr>
            <w:r w:rsidRPr="00661595">
              <w:rPr>
                <w:rFonts w:ascii="Times New Roman" w:hAnsi="Times New Roman"/>
                <w:sz w:val="24"/>
              </w:rPr>
              <w:t>0</w:t>
            </w:r>
            <w:r w:rsidR="008D24A6" w:rsidRPr="00661595">
              <w:rPr>
                <w:rFonts w:ascii="Times New Roman" w:hAnsi="Times New Roman"/>
                <w:sz w:val="24"/>
              </w:rPr>
              <w:t>190-</w:t>
            </w:r>
            <w:r w:rsidRPr="00661595">
              <w:rPr>
                <w:rFonts w:ascii="Times New Roman" w:hAnsi="Times New Roman"/>
                <w:sz w:val="24"/>
              </w:rPr>
              <w:t>0</w:t>
            </w:r>
            <w:r w:rsidR="008D24A6" w:rsidRPr="00661595">
              <w:rPr>
                <w:rFonts w:ascii="Times New Roman" w:hAnsi="Times New Roman"/>
                <w:sz w:val="24"/>
              </w:rPr>
              <w:t>210</w:t>
            </w:r>
          </w:p>
        </w:tc>
        <w:tc>
          <w:tcPr>
            <w:tcW w:w="8843" w:type="dxa"/>
          </w:tcPr>
          <w:p w:rsidR="008D24A6" w:rsidRPr="00661595" w:rsidRDefault="008D24A6" w:rsidP="008D24A6">
            <w:pPr>
              <w:rPr>
                <w:rFonts w:ascii="Times New Roman" w:hAnsi="Times New Roman"/>
                <w:b/>
                <w:sz w:val="24"/>
                <w:u w:val="single"/>
              </w:rPr>
            </w:pPr>
            <w:r w:rsidRPr="00661595">
              <w:rPr>
                <w:rFonts w:ascii="Times New Roman" w:hAnsi="Times New Roman"/>
                <w:b/>
                <w:sz w:val="24"/>
                <w:u w:val="single"/>
              </w:rPr>
              <w:t>OTHER ELIGIBLE COLLATERAL</w:t>
            </w:r>
          </w:p>
          <w:p w:rsidR="008D24A6" w:rsidRPr="00661595" w:rsidRDefault="008D24A6" w:rsidP="008D24A6">
            <w:pPr>
              <w:rPr>
                <w:rFonts w:ascii="Times New Roman" w:hAnsi="Times New Roman"/>
                <w:sz w:val="24"/>
              </w:rPr>
            </w:pPr>
            <w:r w:rsidRPr="00661595">
              <w:rPr>
                <w:rFonts w:ascii="Times New Roman" w:hAnsi="Times New Roman"/>
                <w:sz w:val="24"/>
              </w:rPr>
              <w:t>Where own estimates of LGD are not used, values shall be determined in accordance with paragraphs 1 to 8 of Article 199 CRR and Article 229 CRR.</w:t>
            </w:r>
          </w:p>
          <w:p w:rsidR="008D24A6" w:rsidRPr="00661595" w:rsidRDefault="008D24A6" w:rsidP="008D24A6">
            <w:pPr>
              <w:rPr>
                <w:rFonts w:ascii="Times New Roman" w:hAnsi="Times New Roman"/>
                <w:b/>
                <w:sz w:val="24"/>
                <w:u w:val="single"/>
              </w:rPr>
            </w:pPr>
            <w:r w:rsidRPr="00661595">
              <w:rPr>
                <w:rFonts w:ascii="Times New Roman" w:hAnsi="Times New Roman"/>
                <w:sz w:val="24"/>
              </w:rPr>
              <w:t>Where own estimates of LGD are used, other collateral shall be taken into account in the LGD estimates in accordance with points (e) and (f) of Article 181(1) CRR.</w:t>
            </w:r>
          </w:p>
        </w:tc>
      </w:tr>
      <w:tr w:rsidR="008D24A6" w:rsidRPr="00661595" w:rsidTr="00672D2A">
        <w:tc>
          <w:tcPr>
            <w:tcW w:w="1188" w:type="dxa"/>
          </w:tcPr>
          <w:p w:rsidR="008D24A6" w:rsidRPr="00661595" w:rsidRDefault="001452FC" w:rsidP="008D24A6">
            <w:pPr>
              <w:spacing w:line="240" w:lineRule="exact"/>
              <w:rPr>
                <w:rFonts w:ascii="Times New Roman" w:hAnsi="Times New Roman"/>
                <w:sz w:val="24"/>
              </w:rPr>
            </w:pPr>
            <w:r w:rsidRPr="00661595">
              <w:rPr>
                <w:rFonts w:ascii="Times New Roman" w:hAnsi="Times New Roman"/>
                <w:sz w:val="24"/>
              </w:rPr>
              <w:t>0</w:t>
            </w:r>
            <w:r w:rsidR="008D24A6" w:rsidRPr="00661595">
              <w:rPr>
                <w:rFonts w:ascii="Times New Roman" w:hAnsi="Times New Roman"/>
                <w:sz w:val="24"/>
              </w:rPr>
              <w:t>190</w:t>
            </w:r>
          </w:p>
        </w:tc>
        <w:tc>
          <w:tcPr>
            <w:tcW w:w="8843" w:type="dxa"/>
          </w:tcPr>
          <w:p w:rsidR="008D24A6" w:rsidRPr="00661595" w:rsidRDefault="008D24A6" w:rsidP="008D24A6">
            <w:pPr>
              <w:spacing w:line="240" w:lineRule="exact"/>
              <w:rPr>
                <w:rFonts w:ascii="Times New Roman" w:hAnsi="Times New Roman"/>
                <w:sz w:val="24"/>
              </w:rPr>
            </w:pPr>
            <w:r w:rsidRPr="00661595">
              <w:rPr>
                <w:rFonts w:ascii="Times New Roman" w:hAnsi="Times New Roman"/>
                <w:b/>
                <w:sz w:val="24"/>
                <w:u w:val="single"/>
              </w:rPr>
              <w:t>REAL ESTATE</w:t>
            </w:r>
          </w:p>
          <w:p w:rsidR="008D24A6" w:rsidRPr="00661595" w:rsidRDefault="008D24A6" w:rsidP="008D24A6">
            <w:pPr>
              <w:spacing w:line="240" w:lineRule="exact"/>
              <w:rPr>
                <w:rFonts w:ascii="Times New Roman" w:hAnsi="Times New Roman"/>
                <w:sz w:val="24"/>
              </w:rPr>
            </w:pPr>
            <w:r w:rsidRPr="00661595">
              <w:rPr>
                <w:rFonts w:ascii="Times New Roman" w:hAnsi="Times New Roman"/>
                <w:sz w:val="24"/>
              </w:rPr>
              <w:t>Where own estimates of LGD are not used, values shall be determined in accordance with paragraphs 2, 3 and 4 of Article 199 CRR and shall be reported in this column. Leasing of real estate property shall also be included (see Article 199(7) CRR). See also Article 229 CRR.</w:t>
            </w:r>
          </w:p>
          <w:p w:rsidR="008D24A6" w:rsidRPr="00661595" w:rsidRDefault="008D24A6" w:rsidP="008D24A6">
            <w:pPr>
              <w:spacing w:line="240" w:lineRule="exact"/>
              <w:rPr>
                <w:rFonts w:ascii="Times New Roman" w:hAnsi="Times New Roman"/>
                <w:sz w:val="24"/>
              </w:rPr>
            </w:pPr>
            <w:r w:rsidRPr="00661595">
              <w:rPr>
                <w:rFonts w:ascii="Times New Roman" w:hAnsi="Times New Roman"/>
                <w:sz w:val="24"/>
              </w:rPr>
              <w:t>Where own estimates of LGD are used, the amount to be reported shall be the estimated market value.</w:t>
            </w:r>
          </w:p>
        </w:tc>
      </w:tr>
      <w:tr w:rsidR="008D24A6" w:rsidRPr="00661595" w:rsidTr="00672D2A">
        <w:tc>
          <w:tcPr>
            <w:tcW w:w="1188" w:type="dxa"/>
          </w:tcPr>
          <w:p w:rsidR="008D24A6" w:rsidRPr="00661595" w:rsidRDefault="001452FC" w:rsidP="008D24A6">
            <w:pPr>
              <w:rPr>
                <w:rFonts w:ascii="Times New Roman" w:hAnsi="Times New Roman"/>
                <w:sz w:val="24"/>
              </w:rPr>
            </w:pPr>
            <w:r w:rsidRPr="00661595">
              <w:rPr>
                <w:rFonts w:ascii="Times New Roman" w:hAnsi="Times New Roman"/>
                <w:sz w:val="24"/>
              </w:rPr>
              <w:t>0</w:t>
            </w:r>
            <w:r w:rsidR="008D24A6" w:rsidRPr="00661595">
              <w:rPr>
                <w:rFonts w:ascii="Times New Roman" w:hAnsi="Times New Roman"/>
                <w:sz w:val="24"/>
              </w:rPr>
              <w:t>200</w:t>
            </w:r>
          </w:p>
        </w:tc>
        <w:tc>
          <w:tcPr>
            <w:tcW w:w="8843" w:type="dxa"/>
          </w:tcPr>
          <w:p w:rsidR="008D24A6" w:rsidRPr="00661595" w:rsidRDefault="008D24A6" w:rsidP="008D24A6">
            <w:pPr>
              <w:rPr>
                <w:rFonts w:ascii="Times New Roman" w:hAnsi="Times New Roman"/>
                <w:b/>
                <w:sz w:val="24"/>
                <w:u w:val="single"/>
              </w:rPr>
            </w:pPr>
            <w:r w:rsidRPr="00661595">
              <w:rPr>
                <w:rFonts w:ascii="Times New Roman" w:hAnsi="Times New Roman"/>
                <w:b/>
                <w:sz w:val="24"/>
                <w:u w:val="single"/>
              </w:rPr>
              <w:t>OTHER PHYSICAL COLLATERAL</w:t>
            </w:r>
          </w:p>
          <w:p w:rsidR="008D24A6" w:rsidRPr="00661595" w:rsidRDefault="008D24A6" w:rsidP="008D24A6">
            <w:pPr>
              <w:rPr>
                <w:rFonts w:ascii="Times New Roman" w:hAnsi="Times New Roman"/>
                <w:sz w:val="24"/>
              </w:rPr>
            </w:pPr>
            <w:r w:rsidRPr="00661595">
              <w:rPr>
                <w:rFonts w:ascii="Times New Roman" w:hAnsi="Times New Roman"/>
                <w:sz w:val="24"/>
              </w:rPr>
              <w:t xml:space="preserve">Where own estimates of LGD are not used, values shall be determined in accordance with paragraphs 6 and 8 of Article 199 CRR and shall be reported in this column. Leasing of property different from real estate shall also be included (see Article 199(7) CRR). See also Article 229(3) CRR. </w:t>
            </w:r>
          </w:p>
          <w:p w:rsidR="008D24A6" w:rsidRPr="00661595" w:rsidRDefault="008D24A6" w:rsidP="008D24A6">
            <w:pPr>
              <w:rPr>
                <w:rFonts w:ascii="Times New Roman" w:hAnsi="Times New Roman"/>
                <w:b/>
                <w:sz w:val="24"/>
                <w:u w:val="single"/>
              </w:rPr>
            </w:pPr>
            <w:r w:rsidRPr="00661595">
              <w:rPr>
                <w:rFonts w:ascii="Times New Roman" w:hAnsi="Times New Roman"/>
                <w:sz w:val="24"/>
              </w:rPr>
              <w:t>Where own estimates of LGD are used, the amount to be reported shall be the estimated market value of collateral.</w:t>
            </w:r>
          </w:p>
        </w:tc>
      </w:tr>
      <w:tr w:rsidR="008D24A6" w:rsidRPr="00661595" w:rsidTr="00672D2A">
        <w:tc>
          <w:tcPr>
            <w:tcW w:w="1188" w:type="dxa"/>
          </w:tcPr>
          <w:p w:rsidR="008D24A6" w:rsidRPr="00661595" w:rsidRDefault="001452FC" w:rsidP="008D24A6">
            <w:pPr>
              <w:rPr>
                <w:rFonts w:ascii="Times New Roman" w:hAnsi="Times New Roman"/>
                <w:sz w:val="24"/>
              </w:rPr>
            </w:pPr>
            <w:r w:rsidRPr="00661595">
              <w:rPr>
                <w:rFonts w:ascii="Times New Roman" w:hAnsi="Times New Roman"/>
                <w:sz w:val="24"/>
              </w:rPr>
              <w:t>0</w:t>
            </w:r>
            <w:r w:rsidR="008D24A6" w:rsidRPr="00661595">
              <w:rPr>
                <w:rFonts w:ascii="Times New Roman" w:hAnsi="Times New Roman"/>
                <w:sz w:val="24"/>
              </w:rPr>
              <w:t>210</w:t>
            </w:r>
          </w:p>
        </w:tc>
        <w:tc>
          <w:tcPr>
            <w:tcW w:w="8843" w:type="dxa"/>
          </w:tcPr>
          <w:p w:rsidR="008D24A6" w:rsidRPr="00661595" w:rsidRDefault="008D24A6" w:rsidP="008D24A6">
            <w:pPr>
              <w:rPr>
                <w:rFonts w:ascii="Times New Roman" w:hAnsi="Times New Roman"/>
                <w:b/>
                <w:sz w:val="24"/>
                <w:u w:val="single"/>
              </w:rPr>
            </w:pPr>
            <w:r w:rsidRPr="00661595">
              <w:rPr>
                <w:rFonts w:ascii="Times New Roman" w:hAnsi="Times New Roman"/>
                <w:b/>
                <w:sz w:val="24"/>
                <w:u w:val="single"/>
              </w:rPr>
              <w:t>RECEIVABLES</w:t>
            </w:r>
          </w:p>
          <w:p w:rsidR="008D24A6" w:rsidRPr="00661595" w:rsidRDefault="008D24A6" w:rsidP="008D24A6">
            <w:pPr>
              <w:rPr>
                <w:rFonts w:ascii="Times New Roman" w:hAnsi="Times New Roman"/>
                <w:sz w:val="24"/>
              </w:rPr>
            </w:pPr>
            <w:r w:rsidRPr="00661595">
              <w:rPr>
                <w:rFonts w:ascii="Times New Roman" w:hAnsi="Times New Roman"/>
                <w:sz w:val="24"/>
              </w:rPr>
              <w:t>Where own estimates of LGD are not used, values shall be determined in accordance with Articles 199(5) and 229(2) CRR and shall be reported in this column.</w:t>
            </w:r>
          </w:p>
          <w:p w:rsidR="008D24A6" w:rsidRPr="00661595" w:rsidRDefault="008D24A6" w:rsidP="008D24A6">
            <w:pPr>
              <w:rPr>
                <w:rFonts w:ascii="Times New Roman" w:hAnsi="Times New Roman"/>
                <w:b/>
                <w:sz w:val="24"/>
                <w:u w:val="single"/>
              </w:rPr>
            </w:pPr>
            <w:r w:rsidRPr="00661595">
              <w:rPr>
                <w:rFonts w:ascii="Times New Roman" w:hAnsi="Times New Roman"/>
                <w:sz w:val="24"/>
              </w:rPr>
              <w:t>Where own estimates of LGD are used, the amount to be reported shall be the estimated market value of collateral.</w:t>
            </w:r>
          </w:p>
        </w:tc>
      </w:tr>
      <w:tr w:rsidR="008D24A6" w:rsidRPr="00661595" w:rsidTr="00672D2A">
        <w:tc>
          <w:tcPr>
            <w:tcW w:w="1188" w:type="dxa"/>
          </w:tcPr>
          <w:p w:rsidR="008D24A6" w:rsidRPr="00661595" w:rsidRDefault="001452FC" w:rsidP="008D24A6">
            <w:pPr>
              <w:rPr>
                <w:rFonts w:ascii="Times New Roman" w:hAnsi="Times New Roman"/>
                <w:sz w:val="24"/>
              </w:rPr>
            </w:pPr>
            <w:r w:rsidRPr="00661595">
              <w:rPr>
                <w:rFonts w:ascii="Times New Roman" w:hAnsi="Times New Roman"/>
                <w:sz w:val="24"/>
              </w:rPr>
              <w:t>0</w:t>
            </w:r>
            <w:r w:rsidR="008D24A6" w:rsidRPr="00661595">
              <w:rPr>
                <w:rFonts w:ascii="Times New Roman" w:hAnsi="Times New Roman"/>
                <w:sz w:val="24"/>
              </w:rPr>
              <w:t>220</w:t>
            </w:r>
          </w:p>
        </w:tc>
        <w:tc>
          <w:tcPr>
            <w:tcW w:w="8843" w:type="dxa"/>
          </w:tcPr>
          <w:p w:rsidR="008D24A6" w:rsidRPr="00661595" w:rsidRDefault="008D24A6" w:rsidP="008D24A6">
            <w:pPr>
              <w:rPr>
                <w:rFonts w:ascii="Times New Roman" w:hAnsi="Times New Roman"/>
                <w:b/>
                <w:sz w:val="24"/>
                <w:u w:val="single"/>
              </w:rPr>
            </w:pPr>
            <w:r w:rsidRPr="00661595">
              <w:rPr>
                <w:rFonts w:ascii="Times New Roman" w:hAnsi="Times New Roman"/>
                <w:b/>
                <w:sz w:val="24"/>
                <w:u w:val="single"/>
              </w:rPr>
              <w:t>SUBJECT TO DOUBLE DEFAULT TREATMENT: UNFUNDED CREDIT PROTECTION</w:t>
            </w:r>
          </w:p>
          <w:p w:rsidR="008D24A6" w:rsidRPr="00661595" w:rsidRDefault="008D24A6" w:rsidP="008D24A6">
            <w:pPr>
              <w:rPr>
                <w:rFonts w:ascii="Times New Roman" w:hAnsi="Times New Roman"/>
                <w:sz w:val="24"/>
              </w:rPr>
            </w:pPr>
            <w:r w:rsidRPr="00661595">
              <w:rPr>
                <w:rFonts w:ascii="Times New Roman" w:hAnsi="Times New Roman"/>
                <w:sz w:val="24"/>
              </w:rPr>
              <w:t xml:space="preserve">Guarantees and credit derivatives covering exposures subject to the double default treatment in accordance with Article 153(3) CRR and taking into account Article 202 and Article 217(1) CRR. </w:t>
            </w:r>
          </w:p>
          <w:p w:rsidR="008D24A6" w:rsidRPr="00661595" w:rsidRDefault="008D24A6" w:rsidP="008D24A6">
            <w:pPr>
              <w:rPr>
                <w:rFonts w:ascii="Times New Roman" w:hAnsi="Times New Roman"/>
                <w:b/>
                <w:sz w:val="24"/>
                <w:u w:val="single"/>
              </w:rPr>
            </w:pPr>
            <w:r w:rsidRPr="00661595">
              <w:rPr>
                <w:rFonts w:ascii="Times New Roman" w:hAnsi="Times New Roman"/>
                <w:sz w:val="24"/>
              </w:rPr>
              <w:t xml:space="preserve">The values to be reported shall not exceed the value of the corresponding exposures.   </w:t>
            </w:r>
          </w:p>
        </w:tc>
      </w:tr>
      <w:tr w:rsidR="008D24A6" w:rsidRPr="00661595" w:rsidTr="00672D2A">
        <w:tc>
          <w:tcPr>
            <w:tcW w:w="1188" w:type="dxa"/>
          </w:tcPr>
          <w:p w:rsidR="008D24A6" w:rsidRPr="00661595" w:rsidRDefault="001452FC" w:rsidP="008D24A6">
            <w:pPr>
              <w:rPr>
                <w:rFonts w:ascii="Times New Roman" w:hAnsi="Times New Roman"/>
                <w:sz w:val="24"/>
              </w:rPr>
            </w:pPr>
            <w:r w:rsidRPr="00661595">
              <w:rPr>
                <w:rFonts w:ascii="Times New Roman" w:hAnsi="Times New Roman"/>
                <w:sz w:val="24"/>
              </w:rPr>
              <w:t>0</w:t>
            </w:r>
            <w:r w:rsidR="008D24A6" w:rsidRPr="00661595">
              <w:rPr>
                <w:rFonts w:ascii="Times New Roman" w:hAnsi="Times New Roman"/>
                <w:sz w:val="24"/>
              </w:rPr>
              <w:t>230</w:t>
            </w:r>
          </w:p>
        </w:tc>
        <w:tc>
          <w:tcPr>
            <w:tcW w:w="8843" w:type="dxa"/>
          </w:tcPr>
          <w:p w:rsidR="008D24A6" w:rsidRPr="00661595" w:rsidRDefault="008D24A6" w:rsidP="008D24A6">
            <w:pPr>
              <w:rPr>
                <w:rFonts w:ascii="Times New Roman" w:hAnsi="Times New Roman"/>
                <w:b/>
                <w:sz w:val="24"/>
                <w:u w:val="single"/>
              </w:rPr>
            </w:pPr>
            <w:r w:rsidRPr="00661595">
              <w:rPr>
                <w:rFonts w:ascii="Times New Roman" w:hAnsi="Times New Roman"/>
                <w:b/>
                <w:sz w:val="24"/>
                <w:u w:val="single"/>
              </w:rPr>
              <w:t>EXPOSURE WEIGHTED AVERAGE LGD (%)</w:t>
            </w:r>
          </w:p>
          <w:p w:rsidR="008D24A6" w:rsidRPr="00661595" w:rsidRDefault="008D24A6" w:rsidP="008D24A6">
            <w:pPr>
              <w:rPr>
                <w:rFonts w:ascii="Times New Roman" w:hAnsi="Times New Roman"/>
                <w:sz w:val="24"/>
              </w:rPr>
            </w:pPr>
            <w:r w:rsidRPr="00661595">
              <w:rPr>
                <w:rFonts w:ascii="Times New Roman" w:hAnsi="Times New Roman"/>
                <w:sz w:val="24"/>
              </w:rPr>
              <w:t>All the impact of CRM techniques on LGD values as specified in Chapters 3 and 4 of Title II of Part Three CRR shall be considered. In case of exposures subject to the double default treatment, the LGD to be reported shall correspond to the LGD selected in accordance with Article 161(4) CRR.</w:t>
            </w:r>
          </w:p>
          <w:p w:rsidR="008D24A6" w:rsidRPr="00661595" w:rsidRDefault="008D24A6" w:rsidP="008D24A6">
            <w:pPr>
              <w:rPr>
                <w:rFonts w:ascii="Times New Roman" w:hAnsi="Times New Roman"/>
                <w:sz w:val="24"/>
              </w:rPr>
            </w:pPr>
            <w:r w:rsidRPr="00661595">
              <w:rPr>
                <w:rFonts w:ascii="Times New Roman" w:hAnsi="Times New Roman"/>
                <w:sz w:val="24"/>
              </w:rPr>
              <w:t>For defaulted exposures, point (h) of Article 181(1) CRR shall be taken into account.</w:t>
            </w:r>
          </w:p>
          <w:p w:rsidR="008D24A6" w:rsidRPr="00661595" w:rsidRDefault="008D24A6" w:rsidP="008D24A6">
            <w:pPr>
              <w:rPr>
                <w:rFonts w:ascii="Times New Roman" w:hAnsi="Times New Roman"/>
                <w:sz w:val="24"/>
              </w:rPr>
            </w:pPr>
            <w:r w:rsidRPr="00661595">
              <w:rPr>
                <w:rFonts w:ascii="Times New Roman" w:hAnsi="Times New Roman"/>
                <w:sz w:val="24"/>
              </w:rPr>
              <w:t xml:space="preserve">The exposure value referred to in column </w:t>
            </w:r>
            <w:r w:rsidR="001452FC" w:rsidRPr="00661595">
              <w:rPr>
                <w:rFonts w:ascii="Times New Roman" w:hAnsi="Times New Roman"/>
                <w:sz w:val="24"/>
              </w:rPr>
              <w:t>0</w:t>
            </w:r>
            <w:r w:rsidRPr="00661595">
              <w:rPr>
                <w:rFonts w:ascii="Times New Roman" w:hAnsi="Times New Roman"/>
                <w:sz w:val="24"/>
              </w:rPr>
              <w:t>110 shall be used for the calculation of the exposure-weighted averages.</w:t>
            </w:r>
          </w:p>
          <w:p w:rsidR="008D24A6" w:rsidRPr="00661595" w:rsidRDefault="008D24A6" w:rsidP="008D24A6">
            <w:pPr>
              <w:rPr>
                <w:rFonts w:ascii="Times New Roman" w:hAnsi="Times New Roman"/>
                <w:sz w:val="24"/>
              </w:rPr>
            </w:pPr>
            <w:r w:rsidRPr="00661595">
              <w:rPr>
                <w:rFonts w:ascii="Times New Roman" w:hAnsi="Times New Roman"/>
                <w:sz w:val="24"/>
              </w:rPr>
              <w:t>All effects shall be considered (so the effects of the floor applicable to exposures secured by immovable property in accordance with Article 164(4) CRR shall be included in the reporting).</w:t>
            </w:r>
          </w:p>
          <w:p w:rsidR="008D24A6" w:rsidRPr="00661595" w:rsidRDefault="008D24A6" w:rsidP="008D24A6">
            <w:pPr>
              <w:rPr>
                <w:rFonts w:ascii="Times New Roman" w:hAnsi="Times New Roman"/>
                <w:sz w:val="24"/>
              </w:rPr>
            </w:pPr>
            <w:r w:rsidRPr="00661595">
              <w:rPr>
                <w:rFonts w:ascii="Times New Roman" w:hAnsi="Times New Roman"/>
                <w:sz w:val="24"/>
              </w:rPr>
              <w:t xml:space="preserve">For institutions applying the IRB </w:t>
            </w:r>
            <w:r w:rsidR="009A4399" w:rsidRPr="00661595">
              <w:rPr>
                <w:rFonts w:ascii="Times New Roman" w:hAnsi="Times New Roman"/>
                <w:sz w:val="24"/>
              </w:rPr>
              <w:t xml:space="preserve">approach </w:t>
            </w:r>
            <w:r w:rsidRPr="00661595">
              <w:rPr>
                <w:rFonts w:ascii="Times New Roman" w:hAnsi="Times New Roman"/>
                <w:sz w:val="24"/>
              </w:rPr>
              <w:t>but not using their own estimates of LGD, the risk mitigation effects of financial collateral shall be reflected in E*, the fully adjusted value of the exposure, and then reflected in LGD* as referred to in Article 228(2) CRR.</w:t>
            </w:r>
          </w:p>
          <w:p w:rsidR="008D24A6" w:rsidRPr="00661595" w:rsidRDefault="008D24A6" w:rsidP="008D24A6">
            <w:pPr>
              <w:rPr>
                <w:rFonts w:ascii="Times New Roman" w:hAnsi="Times New Roman"/>
                <w:sz w:val="24"/>
              </w:rPr>
            </w:pPr>
            <w:r w:rsidRPr="00661595">
              <w:rPr>
                <w:rFonts w:ascii="Times New Roman" w:hAnsi="Times New Roman"/>
                <w:sz w:val="24"/>
              </w:rPr>
              <w:t xml:space="preserve">The exposure weighted average LGD associated to each PD “obligor grade or pool” shall result from the average of the prudential LGDs, assigned to the exposures of that PD grade/pool, weighted by the respective exposure value of column </w:t>
            </w:r>
            <w:r w:rsidR="001452FC" w:rsidRPr="00661595">
              <w:rPr>
                <w:rFonts w:ascii="Times New Roman" w:hAnsi="Times New Roman"/>
                <w:sz w:val="24"/>
              </w:rPr>
              <w:t>0</w:t>
            </w:r>
            <w:r w:rsidRPr="00661595">
              <w:rPr>
                <w:rFonts w:ascii="Times New Roman" w:hAnsi="Times New Roman"/>
                <w:sz w:val="24"/>
              </w:rPr>
              <w:t>110.</w:t>
            </w:r>
          </w:p>
          <w:p w:rsidR="008D24A6" w:rsidRPr="00661595" w:rsidRDefault="008D24A6" w:rsidP="008D24A6">
            <w:pPr>
              <w:rPr>
                <w:rFonts w:ascii="Times New Roman" w:hAnsi="Times New Roman"/>
                <w:sz w:val="24"/>
              </w:rPr>
            </w:pPr>
            <w:r w:rsidRPr="00661595">
              <w:rPr>
                <w:rFonts w:ascii="Times New Roman" w:hAnsi="Times New Roman"/>
                <w:sz w:val="24"/>
              </w:rPr>
              <w:t>Where own estimates of LGD are applied, Article 175 and paragraphs 1 and 2 of Article 181 CRR shall be taken into account.</w:t>
            </w:r>
          </w:p>
          <w:p w:rsidR="008D24A6" w:rsidRPr="00661595" w:rsidRDefault="008D24A6" w:rsidP="008D24A6">
            <w:pPr>
              <w:rPr>
                <w:rFonts w:ascii="Times New Roman" w:hAnsi="Times New Roman"/>
                <w:sz w:val="24"/>
              </w:rPr>
            </w:pPr>
            <w:r w:rsidRPr="00661595">
              <w:rPr>
                <w:rFonts w:ascii="Times New Roman" w:hAnsi="Times New Roman"/>
                <w:sz w:val="24"/>
              </w:rPr>
              <w:t>In case of exposures subject to the double default treatment, the LGD to be reported shall correspond to the LGD selected in accordance with Article 161(4) CRR.</w:t>
            </w:r>
          </w:p>
          <w:p w:rsidR="008D24A6" w:rsidRPr="00661595" w:rsidRDefault="008D24A6" w:rsidP="008D24A6">
            <w:pPr>
              <w:rPr>
                <w:rFonts w:ascii="Times New Roman" w:hAnsi="Times New Roman"/>
                <w:sz w:val="24"/>
              </w:rPr>
            </w:pPr>
            <w:r w:rsidRPr="00661595">
              <w:rPr>
                <w:rFonts w:ascii="Times New Roman" w:hAnsi="Times New Roman"/>
                <w:sz w:val="24"/>
              </w:rPr>
              <w:t xml:space="preserve">The calculation of the exposure weighted average LGD shall be derived from the risk parameters really used in the internal </w:t>
            </w:r>
            <w:r w:rsidR="009A4399" w:rsidRPr="00661595">
              <w:rPr>
                <w:rFonts w:ascii="Times New Roman" w:hAnsi="Times New Roman"/>
                <w:sz w:val="24"/>
              </w:rPr>
              <w:t>rating scale</w:t>
            </w:r>
            <w:r w:rsidRPr="00661595">
              <w:rPr>
                <w:rFonts w:ascii="Times New Roman" w:hAnsi="Times New Roman"/>
                <w:sz w:val="24"/>
              </w:rPr>
              <w:t xml:space="preserve"> approved by the respective competent authority.</w:t>
            </w:r>
          </w:p>
          <w:p w:rsidR="008D24A6" w:rsidRPr="00661595" w:rsidRDefault="008D24A6" w:rsidP="008D24A6">
            <w:pPr>
              <w:rPr>
                <w:rFonts w:ascii="Times New Roman" w:hAnsi="Times New Roman"/>
                <w:sz w:val="24"/>
              </w:rPr>
            </w:pPr>
            <w:r w:rsidRPr="00661595">
              <w:rPr>
                <w:rFonts w:ascii="Times New Roman" w:hAnsi="Times New Roman"/>
                <w:sz w:val="24"/>
              </w:rPr>
              <w:t>Data shall not be reported for specialised lending exposures referred to in Article 153(5) CRR. Where PD is estimated for specialised lending exposures, data shall be reported based on own estimates of LGDs or regulatory LGDs.</w:t>
            </w:r>
          </w:p>
          <w:p w:rsidR="008D24A6" w:rsidRPr="00661595" w:rsidRDefault="008D24A6" w:rsidP="008D24A6">
            <w:pPr>
              <w:rPr>
                <w:rFonts w:ascii="Times New Roman" w:hAnsi="Times New Roman"/>
                <w:sz w:val="24"/>
              </w:rPr>
            </w:pPr>
            <w:r w:rsidRPr="00661595">
              <w:rPr>
                <w:rFonts w:ascii="Times New Roman" w:hAnsi="Times New Roman"/>
                <w:sz w:val="24"/>
              </w:rPr>
              <w:t xml:space="preserve">Exposures and the respective LGDs for large regulated financial sector entities and unregulated financial entities shall not be included in the calculation of column </w:t>
            </w:r>
            <w:r w:rsidR="001452FC" w:rsidRPr="00661595">
              <w:rPr>
                <w:rFonts w:ascii="Times New Roman" w:hAnsi="Times New Roman"/>
                <w:sz w:val="24"/>
              </w:rPr>
              <w:t>0</w:t>
            </w:r>
            <w:r w:rsidRPr="00661595">
              <w:rPr>
                <w:rFonts w:ascii="Times New Roman" w:hAnsi="Times New Roman"/>
                <w:sz w:val="24"/>
              </w:rPr>
              <w:t xml:space="preserve">230, but only be included in the calculation of column </w:t>
            </w:r>
            <w:r w:rsidR="001452FC" w:rsidRPr="00661595">
              <w:rPr>
                <w:rFonts w:ascii="Times New Roman" w:hAnsi="Times New Roman"/>
                <w:sz w:val="24"/>
              </w:rPr>
              <w:t>0</w:t>
            </w:r>
            <w:r w:rsidRPr="00661595">
              <w:rPr>
                <w:rFonts w:ascii="Times New Roman" w:hAnsi="Times New Roman"/>
                <w:sz w:val="24"/>
              </w:rPr>
              <w:t xml:space="preserve">240. </w:t>
            </w:r>
          </w:p>
        </w:tc>
      </w:tr>
      <w:tr w:rsidR="008D24A6" w:rsidRPr="00661595" w:rsidTr="00672D2A">
        <w:tc>
          <w:tcPr>
            <w:tcW w:w="1188" w:type="dxa"/>
          </w:tcPr>
          <w:p w:rsidR="008D24A6" w:rsidRPr="00661595" w:rsidRDefault="001452FC" w:rsidP="008D24A6">
            <w:pPr>
              <w:rPr>
                <w:rFonts w:ascii="Times New Roman" w:hAnsi="Times New Roman"/>
                <w:sz w:val="24"/>
              </w:rPr>
            </w:pPr>
            <w:r w:rsidRPr="00661595">
              <w:rPr>
                <w:rFonts w:ascii="Times New Roman" w:hAnsi="Times New Roman"/>
                <w:sz w:val="24"/>
              </w:rPr>
              <w:t>0</w:t>
            </w:r>
            <w:r w:rsidR="008D24A6" w:rsidRPr="00661595">
              <w:rPr>
                <w:rFonts w:ascii="Times New Roman" w:hAnsi="Times New Roman"/>
                <w:sz w:val="24"/>
              </w:rPr>
              <w:t>240</w:t>
            </w:r>
          </w:p>
        </w:tc>
        <w:tc>
          <w:tcPr>
            <w:tcW w:w="8843" w:type="dxa"/>
          </w:tcPr>
          <w:p w:rsidR="008D24A6" w:rsidRPr="00661595" w:rsidRDefault="008D24A6" w:rsidP="008D24A6">
            <w:pPr>
              <w:rPr>
                <w:rFonts w:ascii="Times New Roman" w:hAnsi="Times New Roman"/>
                <w:b/>
                <w:sz w:val="24"/>
                <w:u w:val="single"/>
              </w:rPr>
            </w:pPr>
            <w:r w:rsidRPr="00661595">
              <w:rPr>
                <w:rFonts w:ascii="Times New Roman" w:hAnsi="Times New Roman"/>
                <w:b/>
                <w:sz w:val="24"/>
                <w:u w:val="single"/>
              </w:rPr>
              <w:t>EXPOSURE WEIGHTED AVERAGE LGD (%) FOR LARGE FINANCIAL SECTOR ENTITIES AND UNREGULATED FINANCIAL ENTITIES</w:t>
            </w:r>
          </w:p>
          <w:p w:rsidR="008D24A6" w:rsidRPr="00661595" w:rsidRDefault="008D24A6" w:rsidP="002669F8">
            <w:pPr>
              <w:rPr>
                <w:rFonts w:ascii="Times New Roman" w:hAnsi="Times New Roman"/>
                <w:sz w:val="24"/>
              </w:rPr>
            </w:pPr>
            <w:r w:rsidRPr="00661595">
              <w:rPr>
                <w:rFonts w:ascii="Times New Roman" w:hAnsi="Times New Roman"/>
                <w:sz w:val="24"/>
              </w:rPr>
              <w:t xml:space="preserve">Exposure weighted average LGD (%) for all exposures to large financial sector entities as defined in </w:t>
            </w:r>
            <w:r w:rsidR="002669F8">
              <w:rPr>
                <w:rFonts w:ascii="Times New Roman" w:hAnsi="Times New Roman"/>
                <w:sz w:val="24"/>
              </w:rPr>
              <w:t>point (4) of Article 142(1</w:t>
            </w:r>
            <w:r w:rsidRPr="00661595">
              <w:rPr>
                <w:rFonts w:ascii="Times New Roman" w:hAnsi="Times New Roman"/>
                <w:sz w:val="24"/>
              </w:rPr>
              <w:t xml:space="preserve">) CRR and to unregulated financial sector entities as defined in </w:t>
            </w:r>
            <w:r w:rsidR="002669F8">
              <w:rPr>
                <w:rFonts w:ascii="Times New Roman" w:hAnsi="Times New Roman"/>
                <w:sz w:val="24"/>
              </w:rPr>
              <w:t>point (5) of Article 142(1</w:t>
            </w:r>
            <w:r w:rsidRPr="00661595">
              <w:rPr>
                <w:rFonts w:ascii="Times New Roman" w:hAnsi="Times New Roman"/>
                <w:sz w:val="24"/>
              </w:rPr>
              <w:t xml:space="preserve">) CRR subject to the higher coefficient </w:t>
            </w:r>
            <w:r w:rsidR="004F0068">
              <w:rPr>
                <w:rFonts w:ascii="Times New Roman" w:hAnsi="Times New Roman"/>
                <w:sz w:val="24"/>
              </w:rPr>
              <w:t xml:space="preserve">of </w:t>
            </w:r>
            <w:r w:rsidRPr="00661595">
              <w:rPr>
                <w:rFonts w:ascii="Times New Roman" w:hAnsi="Times New Roman"/>
                <w:sz w:val="24"/>
              </w:rPr>
              <w:t>correlation determined in accordance with Article 153(2) CRR</w:t>
            </w:r>
          </w:p>
        </w:tc>
      </w:tr>
      <w:tr w:rsidR="008D24A6" w:rsidRPr="00661595" w:rsidTr="00672D2A">
        <w:tc>
          <w:tcPr>
            <w:tcW w:w="1188" w:type="dxa"/>
          </w:tcPr>
          <w:p w:rsidR="008D24A6" w:rsidRPr="00661595" w:rsidRDefault="001452FC" w:rsidP="008D24A6">
            <w:pPr>
              <w:rPr>
                <w:rFonts w:ascii="Times New Roman" w:hAnsi="Times New Roman"/>
                <w:sz w:val="24"/>
              </w:rPr>
            </w:pPr>
            <w:r w:rsidRPr="00661595">
              <w:rPr>
                <w:rFonts w:ascii="Times New Roman" w:hAnsi="Times New Roman"/>
                <w:sz w:val="24"/>
              </w:rPr>
              <w:t>0</w:t>
            </w:r>
            <w:r w:rsidR="008D24A6" w:rsidRPr="00661595">
              <w:rPr>
                <w:rFonts w:ascii="Times New Roman" w:hAnsi="Times New Roman"/>
                <w:sz w:val="24"/>
              </w:rPr>
              <w:t>250</w:t>
            </w:r>
          </w:p>
        </w:tc>
        <w:tc>
          <w:tcPr>
            <w:tcW w:w="8843" w:type="dxa"/>
          </w:tcPr>
          <w:p w:rsidR="008D24A6" w:rsidRPr="00661595" w:rsidRDefault="008D24A6" w:rsidP="008D24A6">
            <w:pPr>
              <w:rPr>
                <w:rFonts w:ascii="Times New Roman" w:hAnsi="Times New Roman"/>
                <w:b/>
                <w:sz w:val="24"/>
                <w:u w:val="single"/>
              </w:rPr>
            </w:pPr>
            <w:r w:rsidRPr="00661595">
              <w:rPr>
                <w:rFonts w:ascii="Times New Roman" w:hAnsi="Times New Roman"/>
                <w:b/>
                <w:sz w:val="24"/>
                <w:u w:val="single"/>
              </w:rPr>
              <w:t>EXPOSURE-WEIGHTED AVERAGE MATURITY VALUE (DAYS)</w:t>
            </w:r>
          </w:p>
          <w:p w:rsidR="008D24A6" w:rsidRPr="00661595" w:rsidRDefault="008D24A6" w:rsidP="008D24A6">
            <w:pPr>
              <w:rPr>
                <w:rFonts w:ascii="Times New Roman" w:hAnsi="Times New Roman"/>
                <w:sz w:val="24"/>
              </w:rPr>
            </w:pPr>
            <w:r w:rsidRPr="00661595">
              <w:rPr>
                <w:rFonts w:ascii="Times New Roman" w:hAnsi="Times New Roman"/>
                <w:sz w:val="24"/>
              </w:rPr>
              <w:t xml:space="preserve">The value reported shall be determined in accordance with Article 162 CRR. The exposure value (column </w:t>
            </w:r>
            <w:r w:rsidR="001452FC" w:rsidRPr="00661595">
              <w:rPr>
                <w:rFonts w:ascii="Times New Roman" w:hAnsi="Times New Roman"/>
                <w:sz w:val="24"/>
              </w:rPr>
              <w:t>0</w:t>
            </w:r>
            <w:r w:rsidRPr="00661595">
              <w:rPr>
                <w:rFonts w:ascii="Times New Roman" w:hAnsi="Times New Roman"/>
                <w:sz w:val="24"/>
              </w:rPr>
              <w:t>110) shall be used for the calculation of the exposure-weighted averages. The average maturity shall be reported in days.</w:t>
            </w:r>
          </w:p>
          <w:p w:rsidR="008D24A6" w:rsidRPr="00661595" w:rsidRDefault="008D24A6" w:rsidP="008D24A6">
            <w:pPr>
              <w:rPr>
                <w:rFonts w:ascii="Times New Roman" w:hAnsi="Times New Roman"/>
                <w:sz w:val="24"/>
              </w:rPr>
            </w:pPr>
            <w:r w:rsidRPr="00661595">
              <w:rPr>
                <w:rFonts w:ascii="Times New Roman" w:hAnsi="Times New Roman"/>
                <w:sz w:val="24"/>
              </w:rPr>
              <w:t xml:space="preserve">This data shall not be reported for the exposure values for which the maturity is not an element in the calculation of </w:t>
            </w:r>
            <w:r w:rsidRPr="00661595">
              <w:rPr>
                <w:rStyle w:val="InstructionsTabelleText"/>
                <w:rFonts w:ascii="Times New Roman" w:hAnsi="Times New Roman"/>
                <w:sz w:val="24"/>
              </w:rPr>
              <w:t>risk weighted exposure amounts</w:t>
            </w:r>
            <w:r w:rsidRPr="00661595">
              <w:rPr>
                <w:rFonts w:ascii="Times New Roman" w:hAnsi="Times New Roman"/>
                <w:sz w:val="24"/>
              </w:rPr>
              <w:t>. That means that this column shall not be filled in for the exposure class “retail”.</w:t>
            </w:r>
          </w:p>
        </w:tc>
      </w:tr>
      <w:tr w:rsidR="008D24A6" w:rsidRPr="00661595" w:rsidTr="00672D2A">
        <w:tc>
          <w:tcPr>
            <w:tcW w:w="1188" w:type="dxa"/>
          </w:tcPr>
          <w:p w:rsidR="008D24A6" w:rsidRPr="00661595" w:rsidRDefault="001452FC" w:rsidP="008D24A6">
            <w:pPr>
              <w:rPr>
                <w:rFonts w:ascii="Times New Roman" w:hAnsi="Times New Roman"/>
                <w:sz w:val="24"/>
              </w:rPr>
            </w:pPr>
            <w:r w:rsidRPr="00661595">
              <w:rPr>
                <w:rFonts w:ascii="Times New Roman" w:hAnsi="Times New Roman"/>
                <w:sz w:val="24"/>
              </w:rPr>
              <w:t>0</w:t>
            </w:r>
            <w:r w:rsidR="008D24A6" w:rsidRPr="00661595">
              <w:rPr>
                <w:rFonts w:ascii="Times New Roman" w:hAnsi="Times New Roman"/>
                <w:sz w:val="24"/>
              </w:rPr>
              <w:t>255</w:t>
            </w:r>
          </w:p>
        </w:tc>
        <w:tc>
          <w:tcPr>
            <w:tcW w:w="8843" w:type="dxa"/>
          </w:tcPr>
          <w:p w:rsidR="008D24A6" w:rsidRPr="00661595" w:rsidRDefault="008D24A6" w:rsidP="008D24A6">
            <w:pPr>
              <w:rPr>
                <w:rFonts w:ascii="Times New Roman" w:hAnsi="Times New Roman"/>
                <w:b/>
                <w:sz w:val="24"/>
                <w:u w:val="single"/>
              </w:rPr>
            </w:pPr>
            <w:r w:rsidRPr="00661595">
              <w:rPr>
                <w:rFonts w:ascii="Times New Roman" w:hAnsi="Times New Roman"/>
                <w:b/>
                <w:sz w:val="24"/>
                <w:u w:val="single"/>
              </w:rPr>
              <w:t>RISK WEIGHTED EXPOSURE AMOUNT PRE SUPPORTING FACTORS</w:t>
            </w:r>
          </w:p>
          <w:p w:rsidR="008D24A6" w:rsidRPr="00661595" w:rsidRDefault="008D24A6" w:rsidP="008D24A6">
            <w:pPr>
              <w:rPr>
                <w:rFonts w:ascii="Times New Roman" w:hAnsi="Times New Roman"/>
                <w:sz w:val="24"/>
              </w:rPr>
            </w:pPr>
            <w:r w:rsidRPr="00661595">
              <w:rPr>
                <w:rFonts w:ascii="Times New Roman" w:hAnsi="Times New Roman"/>
                <w:sz w:val="24"/>
              </w:rPr>
              <w:t>For central governments and central banks, corporate and institutions, see paragraphs 1, 2, 3 and 4 of Article 153 CRR</w:t>
            </w:r>
            <w:r w:rsidR="00696434">
              <w:rPr>
                <w:rFonts w:ascii="Times New Roman" w:hAnsi="Times New Roman"/>
                <w:sz w:val="24"/>
              </w:rPr>
              <w:t>;</w:t>
            </w:r>
            <w:r w:rsidRPr="00661595">
              <w:rPr>
                <w:rFonts w:ascii="Times New Roman" w:hAnsi="Times New Roman"/>
                <w:sz w:val="24"/>
              </w:rPr>
              <w:t xml:space="preserve"> For retail, see Article 154(1) CRR </w:t>
            </w:r>
          </w:p>
          <w:p w:rsidR="008D24A6" w:rsidRPr="00661595" w:rsidRDefault="008D24A6" w:rsidP="003F19BA">
            <w:pPr>
              <w:rPr>
                <w:rFonts w:ascii="Times New Roman" w:hAnsi="Times New Roman"/>
                <w:b/>
                <w:sz w:val="24"/>
                <w:u w:val="single"/>
              </w:rPr>
            </w:pPr>
            <w:r w:rsidRPr="00661595">
              <w:rPr>
                <w:rFonts w:ascii="Times New Roman" w:hAnsi="Times New Roman"/>
                <w:sz w:val="24"/>
              </w:rPr>
              <w:t xml:space="preserve">The SME and </w:t>
            </w:r>
            <w:r w:rsidR="001A217F">
              <w:rPr>
                <w:rFonts w:ascii="Times New Roman" w:hAnsi="Times New Roman"/>
                <w:sz w:val="24"/>
              </w:rPr>
              <w:t>i</w:t>
            </w:r>
            <w:r w:rsidRPr="00661595">
              <w:rPr>
                <w:rFonts w:ascii="Times New Roman" w:hAnsi="Times New Roman"/>
                <w:sz w:val="24"/>
              </w:rPr>
              <w:t xml:space="preserve">nfrastructure </w:t>
            </w:r>
            <w:r w:rsidR="005C29CD">
              <w:rPr>
                <w:rFonts w:ascii="Times New Roman" w:hAnsi="Times New Roman"/>
                <w:sz w:val="24"/>
              </w:rPr>
              <w:t>supporting factors laid down in</w:t>
            </w:r>
            <w:r w:rsidRPr="00661595">
              <w:rPr>
                <w:rFonts w:ascii="Times New Roman" w:hAnsi="Times New Roman"/>
                <w:sz w:val="24"/>
              </w:rPr>
              <w:t xml:space="preserve"> Articles 501 and 501a CRR shall not be taken into account.</w:t>
            </w:r>
          </w:p>
        </w:tc>
      </w:tr>
      <w:tr w:rsidR="008D24A6" w:rsidRPr="00661595" w:rsidTr="00672D2A">
        <w:tc>
          <w:tcPr>
            <w:tcW w:w="1188" w:type="dxa"/>
          </w:tcPr>
          <w:p w:rsidR="008D24A6" w:rsidRPr="00661595" w:rsidRDefault="001452FC" w:rsidP="008D24A6">
            <w:pPr>
              <w:rPr>
                <w:rFonts w:ascii="Times New Roman" w:hAnsi="Times New Roman"/>
                <w:sz w:val="24"/>
              </w:rPr>
            </w:pPr>
            <w:r w:rsidRPr="00661595">
              <w:rPr>
                <w:rFonts w:ascii="Times New Roman" w:hAnsi="Times New Roman"/>
                <w:sz w:val="24"/>
              </w:rPr>
              <w:t>0</w:t>
            </w:r>
            <w:r w:rsidR="008D24A6" w:rsidRPr="00661595">
              <w:rPr>
                <w:rFonts w:ascii="Times New Roman" w:hAnsi="Times New Roman"/>
                <w:sz w:val="24"/>
              </w:rPr>
              <w:t>256</w:t>
            </w:r>
          </w:p>
        </w:tc>
        <w:tc>
          <w:tcPr>
            <w:tcW w:w="8843" w:type="dxa"/>
          </w:tcPr>
          <w:p w:rsidR="008D24A6" w:rsidRPr="00661595" w:rsidRDefault="008D24A6" w:rsidP="008D24A6">
            <w:pPr>
              <w:rPr>
                <w:rFonts w:ascii="Times New Roman" w:hAnsi="Times New Roman"/>
                <w:b/>
                <w:sz w:val="24"/>
                <w:u w:val="single"/>
              </w:rPr>
            </w:pPr>
            <w:r w:rsidRPr="00661595">
              <w:rPr>
                <w:rFonts w:ascii="Times New Roman" w:hAnsi="Times New Roman"/>
                <w:b/>
                <w:sz w:val="24"/>
                <w:u w:val="single"/>
              </w:rPr>
              <w:t>(-)  ADJUSTMENT TO THE RISK-WEIGHTED EXPOSURE AMOUNT DUE TO SME SUPPORTING FACTOR</w:t>
            </w:r>
          </w:p>
          <w:p w:rsidR="008D24A6" w:rsidRPr="00661595" w:rsidRDefault="008D24A6" w:rsidP="008D24A6">
            <w:pPr>
              <w:rPr>
                <w:rFonts w:ascii="Times New Roman" w:hAnsi="Times New Roman"/>
                <w:b/>
                <w:sz w:val="24"/>
                <w:u w:val="single"/>
              </w:rPr>
            </w:pPr>
            <w:r w:rsidRPr="00661595">
              <w:rPr>
                <w:rFonts w:ascii="Times New Roman" w:hAnsi="Times New Roman"/>
                <w:sz w:val="24"/>
              </w:rPr>
              <w:t xml:space="preserve">Deduction of the difference of the risk-weighted exposure amounts for non-defaulted exposures to an SME (RWEA), which are calculated in accordance with Chapter 3 of Title II of Part Three CRR, as applicable and RWEA* </w:t>
            </w:r>
            <w:r w:rsidR="00EA1F5A" w:rsidRPr="00661595">
              <w:rPr>
                <w:rFonts w:ascii="Times New Roman" w:hAnsi="Times New Roman"/>
                <w:sz w:val="24"/>
              </w:rPr>
              <w:t>in accordance with</w:t>
            </w:r>
            <w:r w:rsidRPr="00661595">
              <w:rPr>
                <w:rFonts w:ascii="Times New Roman" w:hAnsi="Times New Roman"/>
                <w:sz w:val="24"/>
              </w:rPr>
              <w:t xml:space="preserve"> Article 501 CRR.</w:t>
            </w:r>
          </w:p>
        </w:tc>
      </w:tr>
      <w:tr w:rsidR="008D24A6" w:rsidRPr="00661595" w:rsidTr="00672D2A">
        <w:tc>
          <w:tcPr>
            <w:tcW w:w="1188" w:type="dxa"/>
          </w:tcPr>
          <w:p w:rsidR="008D24A6" w:rsidRPr="00661595" w:rsidRDefault="001452FC" w:rsidP="008D24A6">
            <w:pPr>
              <w:rPr>
                <w:rFonts w:ascii="Times New Roman" w:hAnsi="Times New Roman"/>
                <w:sz w:val="24"/>
              </w:rPr>
            </w:pPr>
            <w:r w:rsidRPr="00661595">
              <w:rPr>
                <w:rFonts w:ascii="Times New Roman" w:hAnsi="Times New Roman"/>
                <w:sz w:val="24"/>
              </w:rPr>
              <w:t>0</w:t>
            </w:r>
            <w:r w:rsidR="008D24A6" w:rsidRPr="00661595">
              <w:rPr>
                <w:rFonts w:ascii="Times New Roman" w:hAnsi="Times New Roman"/>
                <w:sz w:val="24"/>
              </w:rPr>
              <w:t>257</w:t>
            </w:r>
          </w:p>
        </w:tc>
        <w:tc>
          <w:tcPr>
            <w:tcW w:w="8843" w:type="dxa"/>
          </w:tcPr>
          <w:p w:rsidR="008D24A6" w:rsidRPr="00661595" w:rsidRDefault="008D24A6" w:rsidP="008D24A6">
            <w:pPr>
              <w:rPr>
                <w:rFonts w:ascii="Times New Roman" w:hAnsi="Times New Roman"/>
                <w:b/>
                <w:sz w:val="24"/>
                <w:u w:val="single"/>
              </w:rPr>
            </w:pPr>
            <w:r w:rsidRPr="00661595">
              <w:rPr>
                <w:rFonts w:ascii="Times New Roman" w:hAnsi="Times New Roman"/>
                <w:b/>
                <w:sz w:val="24"/>
                <w:u w:val="single"/>
              </w:rPr>
              <w:t xml:space="preserve">(-) ADJUSTMENT TO THE RISK-WEIGHTED EXPOSURE AMOUNT DUE TO </w:t>
            </w:r>
            <w:r w:rsidR="00927B49">
              <w:rPr>
                <w:rFonts w:ascii="Times New Roman" w:hAnsi="Times New Roman"/>
                <w:b/>
                <w:sz w:val="24"/>
                <w:u w:val="single"/>
              </w:rPr>
              <w:t xml:space="preserve">THE </w:t>
            </w:r>
            <w:r w:rsidRPr="00661595">
              <w:rPr>
                <w:rFonts w:ascii="Times New Roman" w:hAnsi="Times New Roman"/>
                <w:b/>
                <w:sz w:val="24"/>
                <w:u w:val="single"/>
              </w:rPr>
              <w:t>INFRASTRUCTURE SUPPORTING FACTOR</w:t>
            </w:r>
          </w:p>
          <w:p w:rsidR="008D24A6" w:rsidRPr="00661595" w:rsidRDefault="008D24A6" w:rsidP="00E50FA0">
            <w:pPr>
              <w:rPr>
                <w:rFonts w:ascii="Times New Roman" w:hAnsi="Times New Roman"/>
                <w:b/>
                <w:sz w:val="24"/>
                <w:u w:val="single"/>
              </w:rPr>
            </w:pPr>
            <w:r w:rsidRPr="00661595">
              <w:rPr>
                <w:rFonts w:ascii="Times New Roman" w:hAnsi="Times New Roman"/>
                <w:sz w:val="24"/>
              </w:rPr>
              <w:t xml:space="preserve">Deduction of the difference of the risk weighted exposure amounts calculated in accordance with Title II of Part Three CRR and the adjusted RWEA for credit risk for exposures to entities that operate or finance physical structures or facilities, systems and networks that provide or support essential public services </w:t>
            </w:r>
            <w:r w:rsidR="00EA1F5A" w:rsidRPr="00661595">
              <w:rPr>
                <w:rFonts w:ascii="Times New Roman" w:hAnsi="Times New Roman"/>
                <w:sz w:val="24"/>
              </w:rPr>
              <w:t>in accordance with</w:t>
            </w:r>
            <w:r w:rsidRPr="00661595">
              <w:rPr>
                <w:rFonts w:ascii="Times New Roman" w:hAnsi="Times New Roman"/>
                <w:sz w:val="24"/>
              </w:rPr>
              <w:t xml:space="preserve"> Article 501a CRR</w:t>
            </w:r>
          </w:p>
        </w:tc>
      </w:tr>
      <w:tr w:rsidR="008D24A6" w:rsidRPr="00661595" w:rsidTr="00672D2A">
        <w:tc>
          <w:tcPr>
            <w:tcW w:w="1188" w:type="dxa"/>
            <w:shd w:val="clear" w:color="auto" w:fill="auto"/>
          </w:tcPr>
          <w:p w:rsidR="008D24A6" w:rsidRPr="00661595" w:rsidRDefault="001452FC" w:rsidP="008D24A6">
            <w:pPr>
              <w:rPr>
                <w:rFonts w:ascii="Times New Roman" w:hAnsi="Times New Roman"/>
                <w:sz w:val="24"/>
              </w:rPr>
            </w:pPr>
            <w:r w:rsidRPr="00661595">
              <w:rPr>
                <w:rFonts w:ascii="Times New Roman" w:hAnsi="Times New Roman"/>
                <w:sz w:val="24"/>
              </w:rPr>
              <w:t>0</w:t>
            </w:r>
            <w:r w:rsidR="008D24A6" w:rsidRPr="00661595">
              <w:rPr>
                <w:rFonts w:ascii="Times New Roman" w:hAnsi="Times New Roman"/>
                <w:sz w:val="24"/>
              </w:rPr>
              <w:t>260</w:t>
            </w:r>
          </w:p>
        </w:tc>
        <w:tc>
          <w:tcPr>
            <w:tcW w:w="8843" w:type="dxa"/>
            <w:shd w:val="clear" w:color="auto" w:fill="auto"/>
          </w:tcPr>
          <w:p w:rsidR="008D24A6" w:rsidRPr="00661595" w:rsidRDefault="008D24A6" w:rsidP="008D24A6">
            <w:pPr>
              <w:rPr>
                <w:rFonts w:ascii="Times New Roman" w:hAnsi="Times New Roman"/>
                <w:b/>
                <w:sz w:val="24"/>
                <w:u w:val="single"/>
              </w:rPr>
            </w:pPr>
            <w:r w:rsidRPr="00661595">
              <w:rPr>
                <w:rFonts w:ascii="Times New Roman" w:hAnsi="Times New Roman"/>
                <w:b/>
                <w:sz w:val="24"/>
                <w:u w:val="single"/>
              </w:rPr>
              <w:t>RISK WEIGHTED EXPOSURE AMOUNT AFTER SUPPORTING FACTORS</w:t>
            </w:r>
          </w:p>
          <w:p w:rsidR="008D24A6" w:rsidRPr="00661595" w:rsidRDefault="008D24A6" w:rsidP="008D24A6">
            <w:pPr>
              <w:rPr>
                <w:rFonts w:ascii="Times New Roman" w:hAnsi="Times New Roman"/>
                <w:sz w:val="24"/>
              </w:rPr>
            </w:pPr>
            <w:r w:rsidRPr="00661595">
              <w:rPr>
                <w:rFonts w:ascii="Times New Roman" w:hAnsi="Times New Roman"/>
                <w:sz w:val="24"/>
              </w:rPr>
              <w:t>For central governments and central banks, corporate and institutions, see paragraphs 1, 2</w:t>
            </w:r>
            <w:r w:rsidR="005C29CD" w:rsidRPr="00661595">
              <w:rPr>
                <w:rFonts w:ascii="Times New Roman" w:hAnsi="Times New Roman"/>
                <w:sz w:val="24"/>
              </w:rPr>
              <w:t>, 3</w:t>
            </w:r>
            <w:r w:rsidRPr="00661595">
              <w:rPr>
                <w:rFonts w:ascii="Times New Roman" w:hAnsi="Times New Roman"/>
                <w:sz w:val="24"/>
              </w:rPr>
              <w:t xml:space="preserve"> and 4 of Article 153 CRR. For retail, see Article 154(1) CRR.</w:t>
            </w:r>
          </w:p>
          <w:p w:rsidR="008D24A6" w:rsidRPr="00661595" w:rsidRDefault="008D24A6" w:rsidP="003F19BA">
            <w:pPr>
              <w:rPr>
                <w:rFonts w:ascii="Times New Roman" w:hAnsi="Times New Roman"/>
                <w:b/>
                <w:sz w:val="24"/>
                <w:u w:val="single"/>
              </w:rPr>
            </w:pPr>
            <w:r w:rsidRPr="00661595">
              <w:rPr>
                <w:rFonts w:ascii="Times New Roman" w:hAnsi="Times New Roman"/>
                <w:sz w:val="24"/>
              </w:rPr>
              <w:t xml:space="preserve">The SME and </w:t>
            </w:r>
            <w:r w:rsidR="000E197A">
              <w:rPr>
                <w:rFonts w:ascii="Times New Roman" w:hAnsi="Times New Roman"/>
                <w:sz w:val="24"/>
              </w:rPr>
              <w:t>i</w:t>
            </w:r>
            <w:r w:rsidRPr="00661595">
              <w:rPr>
                <w:rFonts w:ascii="Times New Roman" w:hAnsi="Times New Roman"/>
                <w:sz w:val="24"/>
              </w:rPr>
              <w:t xml:space="preserve">nfrastructure supporting factors </w:t>
            </w:r>
            <w:r w:rsidR="005C29CD">
              <w:rPr>
                <w:rFonts w:ascii="Times New Roman" w:hAnsi="Times New Roman"/>
                <w:sz w:val="24"/>
              </w:rPr>
              <w:t>laid down in</w:t>
            </w:r>
            <w:r w:rsidRPr="00661595">
              <w:rPr>
                <w:rFonts w:ascii="Times New Roman" w:hAnsi="Times New Roman"/>
                <w:sz w:val="24"/>
              </w:rPr>
              <w:t xml:space="preserve"> Article</w:t>
            </w:r>
            <w:r w:rsidR="00127FEA">
              <w:rPr>
                <w:rFonts w:ascii="Times New Roman" w:hAnsi="Times New Roman"/>
                <w:sz w:val="24"/>
              </w:rPr>
              <w:t>s</w:t>
            </w:r>
            <w:r w:rsidRPr="00661595">
              <w:rPr>
                <w:rFonts w:ascii="Times New Roman" w:hAnsi="Times New Roman"/>
                <w:sz w:val="24"/>
              </w:rPr>
              <w:t xml:space="preserve"> 501 and 501a CRR shall be taken into account.</w:t>
            </w:r>
          </w:p>
        </w:tc>
      </w:tr>
      <w:tr w:rsidR="008D24A6" w:rsidRPr="00661595" w:rsidTr="00672D2A">
        <w:tc>
          <w:tcPr>
            <w:tcW w:w="1188" w:type="dxa"/>
            <w:shd w:val="clear" w:color="auto" w:fill="auto"/>
          </w:tcPr>
          <w:p w:rsidR="008D24A6" w:rsidRPr="00661595" w:rsidRDefault="001452FC" w:rsidP="008D24A6">
            <w:pPr>
              <w:rPr>
                <w:rFonts w:ascii="Times New Roman" w:hAnsi="Times New Roman"/>
                <w:sz w:val="24"/>
              </w:rPr>
            </w:pPr>
            <w:r w:rsidRPr="00661595">
              <w:rPr>
                <w:rFonts w:ascii="Times New Roman" w:hAnsi="Times New Roman"/>
                <w:sz w:val="24"/>
              </w:rPr>
              <w:t>0</w:t>
            </w:r>
            <w:r w:rsidR="008D24A6" w:rsidRPr="00661595">
              <w:rPr>
                <w:rFonts w:ascii="Times New Roman" w:hAnsi="Times New Roman"/>
                <w:sz w:val="24"/>
              </w:rPr>
              <w:t>270</w:t>
            </w:r>
          </w:p>
        </w:tc>
        <w:tc>
          <w:tcPr>
            <w:tcW w:w="8843" w:type="dxa"/>
            <w:shd w:val="clear" w:color="auto" w:fill="auto"/>
          </w:tcPr>
          <w:p w:rsidR="008D24A6" w:rsidRPr="00661595" w:rsidRDefault="008D24A6" w:rsidP="008D24A6">
            <w:pPr>
              <w:rPr>
                <w:rFonts w:ascii="Times New Roman" w:hAnsi="Times New Roman"/>
                <w:b/>
                <w:sz w:val="24"/>
                <w:u w:val="single"/>
              </w:rPr>
            </w:pPr>
            <w:r w:rsidRPr="00661595">
              <w:rPr>
                <w:rFonts w:ascii="Times New Roman" w:hAnsi="Times New Roman"/>
                <w:b/>
                <w:sz w:val="24"/>
                <w:u w:val="single"/>
              </w:rPr>
              <w:t>OF WHICH: LARGE FINANCIAL SECTOR ENTITIES AND UNREGULATED FINANCIAL ENTITIES</w:t>
            </w:r>
          </w:p>
          <w:p w:rsidR="008D24A6" w:rsidRPr="00661595" w:rsidDel="005A2363" w:rsidRDefault="008D24A6" w:rsidP="008D24A6">
            <w:pPr>
              <w:rPr>
                <w:rFonts w:ascii="Times New Roman" w:hAnsi="Times New Roman"/>
                <w:sz w:val="24"/>
              </w:rPr>
            </w:pPr>
            <w:r w:rsidRPr="00661595">
              <w:rPr>
                <w:rFonts w:ascii="Times New Roman" w:hAnsi="Times New Roman"/>
                <w:sz w:val="24"/>
              </w:rPr>
              <w:t xml:space="preserve">Breakdown of the risk weighted exposure amount after SME supporting factor for all exposures to large financial sectors entities as defined in </w:t>
            </w:r>
            <w:r w:rsidR="002669F8">
              <w:rPr>
                <w:rFonts w:ascii="Times New Roman" w:hAnsi="Times New Roman"/>
                <w:sz w:val="24"/>
              </w:rPr>
              <w:t>point (4) of Article 142(1</w:t>
            </w:r>
            <w:r w:rsidRPr="00661595">
              <w:rPr>
                <w:rFonts w:ascii="Times New Roman" w:hAnsi="Times New Roman"/>
                <w:sz w:val="24"/>
              </w:rPr>
              <w:t xml:space="preserve">) CRR and to unregulated financial sector entities as defined in </w:t>
            </w:r>
            <w:r w:rsidR="002669F8">
              <w:rPr>
                <w:rFonts w:ascii="Times New Roman" w:hAnsi="Times New Roman"/>
                <w:sz w:val="24"/>
              </w:rPr>
              <w:t>point (5) of Article 142(1</w:t>
            </w:r>
            <w:r w:rsidRPr="00661595">
              <w:rPr>
                <w:rFonts w:ascii="Times New Roman" w:hAnsi="Times New Roman"/>
                <w:sz w:val="24"/>
              </w:rPr>
              <w:t>) CRR, subject to the higher coefficient of correlation determined in accordance with Article 153(2) CRR.</w:t>
            </w:r>
          </w:p>
        </w:tc>
      </w:tr>
      <w:tr w:rsidR="008D24A6" w:rsidRPr="00661595" w:rsidTr="00672D2A">
        <w:tc>
          <w:tcPr>
            <w:tcW w:w="1188" w:type="dxa"/>
          </w:tcPr>
          <w:p w:rsidR="008D24A6" w:rsidRPr="00661595" w:rsidRDefault="001452FC" w:rsidP="008D24A6">
            <w:pPr>
              <w:rPr>
                <w:rFonts w:ascii="Times New Roman" w:hAnsi="Times New Roman"/>
                <w:sz w:val="24"/>
              </w:rPr>
            </w:pPr>
            <w:r w:rsidRPr="00661595">
              <w:rPr>
                <w:rFonts w:ascii="Times New Roman" w:hAnsi="Times New Roman"/>
                <w:sz w:val="24"/>
              </w:rPr>
              <w:t>0</w:t>
            </w:r>
            <w:r w:rsidR="008D24A6" w:rsidRPr="00661595">
              <w:rPr>
                <w:rFonts w:ascii="Times New Roman" w:hAnsi="Times New Roman"/>
                <w:sz w:val="24"/>
              </w:rPr>
              <w:t>280</w:t>
            </w:r>
          </w:p>
        </w:tc>
        <w:tc>
          <w:tcPr>
            <w:tcW w:w="8843" w:type="dxa"/>
          </w:tcPr>
          <w:p w:rsidR="008D24A6" w:rsidRPr="00661595" w:rsidRDefault="008D24A6" w:rsidP="008D24A6">
            <w:pPr>
              <w:rPr>
                <w:rFonts w:ascii="Times New Roman" w:hAnsi="Times New Roman"/>
                <w:b/>
                <w:sz w:val="24"/>
                <w:u w:val="single"/>
              </w:rPr>
            </w:pPr>
            <w:r w:rsidRPr="00661595">
              <w:rPr>
                <w:rFonts w:ascii="Times New Roman" w:hAnsi="Times New Roman"/>
                <w:b/>
                <w:sz w:val="24"/>
                <w:u w:val="single"/>
              </w:rPr>
              <w:t>EXPECTED LOSS AMOUNT</w:t>
            </w:r>
          </w:p>
          <w:p w:rsidR="008D24A6" w:rsidRPr="00661595" w:rsidRDefault="008D24A6" w:rsidP="008D24A6">
            <w:pPr>
              <w:jc w:val="left"/>
              <w:rPr>
                <w:rFonts w:ascii="Times New Roman" w:hAnsi="Times New Roman"/>
                <w:sz w:val="24"/>
              </w:rPr>
            </w:pPr>
            <w:r w:rsidRPr="00661595">
              <w:rPr>
                <w:rFonts w:ascii="Times New Roman" w:hAnsi="Times New Roman"/>
                <w:sz w:val="24"/>
              </w:rPr>
              <w:t xml:space="preserve">For the definition of Expected Loss, see Article 5(3) CRR and, for the calculation of expected loss amounts, see Article 158 CRR. For defaulted exposures, see </w:t>
            </w:r>
            <w:r w:rsidR="004D45AA" w:rsidRPr="00661595">
              <w:rPr>
                <w:rFonts w:ascii="Times New Roman" w:hAnsi="Times New Roman"/>
                <w:sz w:val="24"/>
              </w:rPr>
              <w:t xml:space="preserve">point (h) of </w:t>
            </w:r>
            <w:r w:rsidRPr="00661595">
              <w:rPr>
                <w:rFonts w:ascii="Times New Roman" w:hAnsi="Times New Roman"/>
                <w:sz w:val="24"/>
              </w:rPr>
              <w:t xml:space="preserve">Article 181(1) CRR. The expected loss amount to be reported shall be based on the risk parameters really used in the internal </w:t>
            </w:r>
            <w:r w:rsidR="009A4399" w:rsidRPr="00661595">
              <w:rPr>
                <w:rFonts w:ascii="Times New Roman" w:hAnsi="Times New Roman"/>
                <w:sz w:val="24"/>
              </w:rPr>
              <w:t>rating scale</w:t>
            </w:r>
            <w:r w:rsidRPr="00661595">
              <w:rPr>
                <w:rFonts w:ascii="Times New Roman" w:hAnsi="Times New Roman"/>
                <w:sz w:val="24"/>
              </w:rPr>
              <w:t xml:space="preserve"> approved by the respective competent authority.</w:t>
            </w:r>
          </w:p>
        </w:tc>
      </w:tr>
      <w:tr w:rsidR="008D24A6" w:rsidRPr="00661595" w:rsidTr="00672D2A">
        <w:tc>
          <w:tcPr>
            <w:tcW w:w="1188" w:type="dxa"/>
          </w:tcPr>
          <w:p w:rsidR="008D24A6" w:rsidRPr="00661595" w:rsidRDefault="001452FC" w:rsidP="008D24A6">
            <w:pPr>
              <w:rPr>
                <w:rFonts w:ascii="Times New Roman" w:hAnsi="Times New Roman"/>
                <w:sz w:val="24"/>
              </w:rPr>
            </w:pPr>
            <w:r w:rsidRPr="00661595">
              <w:rPr>
                <w:rFonts w:ascii="Times New Roman" w:hAnsi="Times New Roman"/>
                <w:sz w:val="24"/>
              </w:rPr>
              <w:t>0</w:t>
            </w:r>
            <w:r w:rsidR="008D24A6" w:rsidRPr="00661595">
              <w:rPr>
                <w:rFonts w:ascii="Times New Roman" w:hAnsi="Times New Roman"/>
                <w:sz w:val="24"/>
              </w:rPr>
              <w:t>290</w:t>
            </w:r>
          </w:p>
        </w:tc>
        <w:tc>
          <w:tcPr>
            <w:tcW w:w="8843" w:type="dxa"/>
          </w:tcPr>
          <w:p w:rsidR="008D24A6" w:rsidRPr="00661595" w:rsidRDefault="008D24A6" w:rsidP="008D24A6">
            <w:pPr>
              <w:rPr>
                <w:rFonts w:ascii="Times New Roman" w:hAnsi="Times New Roman"/>
                <w:b/>
                <w:sz w:val="24"/>
                <w:u w:val="single"/>
              </w:rPr>
            </w:pPr>
            <w:r w:rsidRPr="00661595">
              <w:rPr>
                <w:rFonts w:ascii="Times New Roman" w:hAnsi="Times New Roman"/>
                <w:b/>
                <w:sz w:val="24"/>
                <w:u w:val="single"/>
              </w:rPr>
              <w:t>(-) VALUE ADJUSTMENTS AND PROVISIONS</w:t>
            </w:r>
          </w:p>
          <w:p w:rsidR="008D24A6" w:rsidRPr="00661595" w:rsidRDefault="008D24A6" w:rsidP="008D24A6">
            <w:pPr>
              <w:rPr>
                <w:rFonts w:ascii="Times New Roman" w:hAnsi="Times New Roman"/>
                <w:sz w:val="24"/>
              </w:rPr>
            </w:pPr>
            <w:r w:rsidRPr="00661595">
              <w:rPr>
                <w:rFonts w:ascii="Times New Roman" w:hAnsi="Times New Roman"/>
                <w:sz w:val="24"/>
              </w:rPr>
              <w:t>Value Adjustments as well as specific and general credit risk adjustments in accordance with Article 159 CRR shall be reported. General</w:t>
            </w:r>
            <w:r w:rsidRPr="00661595">
              <w:rPr>
                <w:rFonts w:ascii="Times New Roman" w:hAnsi="Times New Roman"/>
                <w:b/>
                <w:bCs/>
                <w:i/>
                <w:iCs/>
                <w:sz w:val="24"/>
              </w:rPr>
              <w:t xml:space="preserve"> </w:t>
            </w:r>
            <w:r w:rsidRPr="00661595">
              <w:rPr>
                <w:rFonts w:ascii="Times New Roman" w:hAnsi="Times New Roman"/>
                <w:sz w:val="24"/>
              </w:rPr>
              <w:t>credit risk adjustments shall be reported by assigning the amount pro rata on the basis of the expected loss of the different obligor grades.</w:t>
            </w:r>
          </w:p>
        </w:tc>
      </w:tr>
      <w:tr w:rsidR="008D24A6" w:rsidRPr="00661595" w:rsidTr="00672D2A">
        <w:tc>
          <w:tcPr>
            <w:tcW w:w="1188" w:type="dxa"/>
          </w:tcPr>
          <w:p w:rsidR="008D24A6" w:rsidRPr="00661595" w:rsidRDefault="001452FC" w:rsidP="008D24A6">
            <w:pPr>
              <w:ind w:right="-288"/>
              <w:rPr>
                <w:rFonts w:ascii="Times New Roman" w:hAnsi="Times New Roman"/>
                <w:sz w:val="24"/>
              </w:rPr>
            </w:pPr>
            <w:r w:rsidRPr="00661595">
              <w:rPr>
                <w:rFonts w:ascii="Times New Roman" w:hAnsi="Times New Roman"/>
                <w:sz w:val="24"/>
              </w:rPr>
              <w:t>0</w:t>
            </w:r>
            <w:r w:rsidR="008D24A6" w:rsidRPr="00661595">
              <w:rPr>
                <w:rFonts w:ascii="Times New Roman" w:hAnsi="Times New Roman"/>
                <w:sz w:val="24"/>
              </w:rPr>
              <w:t>300</w:t>
            </w:r>
          </w:p>
        </w:tc>
        <w:tc>
          <w:tcPr>
            <w:tcW w:w="8843" w:type="dxa"/>
          </w:tcPr>
          <w:p w:rsidR="008D24A6" w:rsidRPr="00661595" w:rsidRDefault="008D24A6" w:rsidP="008D24A6">
            <w:pPr>
              <w:ind w:right="-288"/>
              <w:rPr>
                <w:rFonts w:ascii="Times New Roman" w:hAnsi="Times New Roman"/>
                <w:b/>
                <w:sz w:val="24"/>
                <w:u w:val="single"/>
              </w:rPr>
            </w:pPr>
            <w:r w:rsidRPr="00661595">
              <w:rPr>
                <w:rFonts w:ascii="Times New Roman" w:hAnsi="Times New Roman"/>
                <w:b/>
                <w:sz w:val="24"/>
                <w:u w:val="single"/>
              </w:rPr>
              <w:t>NUMBER OF OBLIGORS</w:t>
            </w:r>
          </w:p>
          <w:p w:rsidR="008D24A6" w:rsidRPr="00661595" w:rsidRDefault="008D24A6" w:rsidP="008D24A6">
            <w:pPr>
              <w:rPr>
                <w:rFonts w:ascii="Times New Roman" w:hAnsi="Times New Roman"/>
                <w:sz w:val="24"/>
              </w:rPr>
            </w:pPr>
            <w:r w:rsidRPr="00661595">
              <w:rPr>
                <w:rFonts w:ascii="Times New Roman" w:hAnsi="Times New Roman"/>
                <w:sz w:val="24"/>
              </w:rPr>
              <w:t>Paragraphs 1 and 2 of Article 172 CRR.</w:t>
            </w:r>
          </w:p>
          <w:p w:rsidR="008D24A6" w:rsidRPr="00661595" w:rsidRDefault="008D24A6" w:rsidP="008D24A6">
            <w:pPr>
              <w:rPr>
                <w:rFonts w:ascii="Times New Roman" w:hAnsi="Times New Roman"/>
                <w:sz w:val="24"/>
              </w:rPr>
            </w:pPr>
            <w:r w:rsidRPr="00661595">
              <w:rPr>
                <w:rFonts w:ascii="Times New Roman" w:hAnsi="Times New Roman"/>
                <w:sz w:val="24"/>
              </w:rPr>
              <w:t xml:space="preserve">For all exposure classes, with the exception of the exposure class retail and the cases mentioned in the second sentence of point (e) of Article 172(1) CRR, the institution shall report the number of legal entities/obligors which were separately rated, regardless of the number of different loans or exposures granted. </w:t>
            </w:r>
          </w:p>
          <w:p w:rsidR="008D24A6" w:rsidRPr="00661595" w:rsidRDefault="008D24A6" w:rsidP="008D24A6">
            <w:pPr>
              <w:rPr>
                <w:rFonts w:ascii="Times New Roman" w:hAnsi="Times New Roman"/>
                <w:sz w:val="24"/>
              </w:rPr>
            </w:pPr>
            <w:r w:rsidRPr="00661595">
              <w:rPr>
                <w:rFonts w:ascii="Times New Roman" w:hAnsi="Times New Roman"/>
                <w:sz w:val="24"/>
              </w:rPr>
              <w:t>Within the exposure class retail, or if separate exposures to the same obligor are assigned to different obligor grades in accordance with the second sentence of point (e) of Article 172(1) CRR in other exposure classes, the institution shall report the number of exposures which were separately assigned to a certain rating grade or pool. In case Article 172(2) CRR applies, an obligor may be considered in more than one grade.</w:t>
            </w:r>
          </w:p>
          <w:p w:rsidR="008D24A6" w:rsidRPr="00661595" w:rsidRDefault="008D24A6" w:rsidP="008D24A6">
            <w:pPr>
              <w:rPr>
                <w:rFonts w:ascii="Times New Roman" w:hAnsi="Times New Roman"/>
                <w:sz w:val="24"/>
              </w:rPr>
            </w:pPr>
            <w:r w:rsidRPr="00661595">
              <w:rPr>
                <w:rStyle w:val="InstructionsTabelleText"/>
                <w:rFonts w:ascii="Times New Roman" w:hAnsi="Times New Roman"/>
                <w:sz w:val="24"/>
              </w:rPr>
              <w:t xml:space="preserve">As this column deals with an element of the structure of the </w:t>
            </w:r>
            <w:r w:rsidR="009A4399" w:rsidRPr="00661595">
              <w:rPr>
                <w:rStyle w:val="InstructionsTabelleText"/>
                <w:rFonts w:ascii="Times New Roman" w:hAnsi="Times New Roman"/>
                <w:sz w:val="24"/>
              </w:rPr>
              <w:t>rating scale</w:t>
            </w:r>
            <w:r w:rsidRPr="00661595">
              <w:rPr>
                <w:rStyle w:val="InstructionsTabelleText"/>
                <w:rFonts w:ascii="Times New Roman" w:hAnsi="Times New Roman"/>
                <w:sz w:val="24"/>
              </w:rPr>
              <w:t>s, it relates to the original exposures pre-conversion factor assigned to each obligor grade or pool without taking into account the effect of CRM techniques (in particular redistribution effects).</w:t>
            </w:r>
          </w:p>
        </w:tc>
      </w:tr>
      <w:tr w:rsidR="004D45AA" w:rsidRPr="00661595" w:rsidTr="00672D2A">
        <w:tc>
          <w:tcPr>
            <w:tcW w:w="1188" w:type="dxa"/>
          </w:tcPr>
          <w:p w:rsidR="004D45AA" w:rsidRPr="00661595" w:rsidRDefault="001452FC" w:rsidP="004D45AA">
            <w:pPr>
              <w:ind w:right="-288"/>
              <w:rPr>
                <w:rFonts w:ascii="Times New Roman" w:hAnsi="Times New Roman"/>
                <w:sz w:val="24"/>
              </w:rPr>
            </w:pPr>
            <w:r w:rsidRPr="00661595">
              <w:rPr>
                <w:rFonts w:ascii="Times New Roman" w:hAnsi="Times New Roman"/>
                <w:sz w:val="24"/>
              </w:rPr>
              <w:t>0</w:t>
            </w:r>
            <w:r w:rsidR="004D45AA" w:rsidRPr="00661595">
              <w:rPr>
                <w:rFonts w:ascii="Times New Roman" w:hAnsi="Times New Roman"/>
                <w:sz w:val="24"/>
              </w:rPr>
              <w:t>310</w:t>
            </w:r>
          </w:p>
        </w:tc>
        <w:tc>
          <w:tcPr>
            <w:tcW w:w="8843" w:type="dxa"/>
          </w:tcPr>
          <w:p w:rsidR="004D45AA" w:rsidRPr="00661595" w:rsidRDefault="004D45AA" w:rsidP="004D45AA">
            <w:pPr>
              <w:ind w:right="-288"/>
              <w:rPr>
                <w:rFonts w:ascii="Times New Roman" w:hAnsi="Times New Roman"/>
                <w:b/>
                <w:sz w:val="24"/>
                <w:u w:val="single"/>
              </w:rPr>
            </w:pPr>
            <w:r w:rsidRPr="00661595">
              <w:rPr>
                <w:rFonts w:ascii="Times New Roman" w:hAnsi="Times New Roman"/>
                <w:b/>
                <w:sz w:val="24"/>
                <w:u w:val="single"/>
              </w:rPr>
              <w:t>PRE-CREDIT DERIVATIVES RISK WEIGHTED EXPOSURE AMOUNT</w:t>
            </w:r>
          </w:p>
          <w:p w:rsidR="004D45AA" w:rsidRPr="00661595" w:rsidRDefault="00BC61F2" w:rsidP="00974F0C">
            <w:pPr>
              <w:ind w:right="6"/>
              <w:rPr>
                <w:rFonts w:ascii="Times New Roman" w:hAnsi="Times New Roman"/>
                <w:b/>
                <w:sz w:val="24"/>
                <w:u w:val="single"/>
              </w:rPr>
            </w:pPr>
            <w:r>
              <w:rPr>
                <w:rStyle w:val="InstructionsTabelleText"/>
                <w:rFonts w:ascii="Times New Roman" w:hAnsi="Times New Roman"/>
                <w:sz w:val="24"/>
              </w:rPr>
              <w:t>Institutions shall report h</w:t>
            </w:r>
            <w:r w:rsidR="004D45AA" w:rsidRPr="00661595">
              <w:rPr>
                <w:rStyle w:val="InstructionsTabelleText"/>
                <w:rFonts w:ascii="Times New Roman" w:hAnsi="Times New Roman"/>
                <w:sz w:val="24"/>
              </w:rPr>
              <w:t xml:space="preserve">ypothetical risk weighted exposure amount </w:t>
            </w:r>
            <w:r>
              <w:rPr>
                <w:rStyle w:val="InstructionsTabelleText"/>
                <w:rFonts w:ascii="Times New Roman" w:hAnsi="Times New Roman"/>
                <w:sz w:val="24"/>
              </w:rPr>
              <w:t xml:space="preserve">to be </w:t>
            </w:r>
            <w:r w:rsidR="004D45AA" w:rsidRPr="00661595">
              <w:rPr>
                <w:rStyle w:val="InstructionsTabelleText"/>
                <w:rFonts w:ascii="Times New Roman" w:hAnsi="Times New Roman"/>
                <w:sz w:val="24"/>
              </w:rPr>
              <w:t>calculated</w:t>
            </w:r>
            <w:r w:rsidR="002754C0" w:rsidRPr="00661595">
              <w:rPr>
                <w:rStyle w:val="InstructionsTabelleText"/>
                <w:rFonts w:ascii="Times New Roman" w:hAnsi="Times New Roman"/>
                <w:sz w:val="24"/>
              </w:rPr>
              <w:t xml:space="preserve"> </w:t>
            </w:r>
            <w:r>
              <w:rPr>
                <w:rStyle w:val="InstructionsTabelleText"/>
                <w:rFonts w:ascii="Times New Roman" w:hAnsi="Times New Roman"/>
                <w:sz w:val="24"/>
              </w:rPr>
              <w:t xml:space="preserve">as </w:t>
            </w:r>
            <w:r w:rsidR="002754C0" w:rsidRPr="00661595">
              <w:rPr>
                <w:rStyle w:val="InstructionsTabelleText"/>
                <w:rFonts w:ascii="Times New Roman" w:hAnsi="Times New Roman"/>
                <w:sz w:val="24"/>
              </w:rPr>
              <w:t>the RWEA</w:t>
            </w:r>
            <w:r w:rsidR="004D45AA" w:rsidRPr="00661595">
              <w:rPr>
                <w:rStyle w:val="InstructionsTabelleText"/>
                <w:rFonts w:ascii="Times New Roman" w:hAnsi="Times New Roman"/>
                <w:sz w:val="24"/>
              </w:rPr>
              <w:t xml:space="preserve"> </w:t>
            </w:r>
            <w:r w:rsidR="00974F0C">
              <w:rPr>
                <w:rStyle w:val="InstructionsTabelleText"/>
                <w:rFonts w:ascii="Times New Roman" w:hAnsi="Times New Roman"/>
                <w:sz w:val="24"/>
              </w:rPr>
              <w:t>without the</w:t>
            </w:r>
            <w:r w:rsidR="004D45AA" w:rsidRPr="00661595">
              <w:rPr>
                <w:rStyle w:val="InstructionsTabelleText"/>
                <w:rFonts w:ascii="Times New Roman" w:hAnsi="Times New Roman"/>
                <w:sz w:val="24"/>
              </w:rPr>
              <w:t xml:space="preserve"> recognition of the </w:t>
            </w:r>
            <w:r w:rsidR="00974F0C">
              <w:rPr>
                <w:rStyle w:val="InstructionsTabelleText"/>
                <w:rFonts w:ascii="Times New Roman" w:hAnsi="Times New Roman"/>
                <w:sz w:val="24"/>
              </w:rPr>
              <w:t xml:space="preserve">eligible </w:t>
            </w:r>
            <w:r w:rsidR="004D45AA" w:rsidRPr="00661595">
              <w:rPr>
                <w:rStyle w:val="InstructionsTabelleText"/>
                <w:rFonts w:ascii="Times New Roman" w:hAnsi="Times New Roman"/>
                <w:sz w:val="24"/>
              </w:rPr>
              <w:t>credit derivative as a CRM technique as specified in Article 204 CRR. The amounts shall be presented in the exposure classes relevant for the exposures to the original obligor.</w:t>
            </w:r>
          </w:p>
        </w:tc>
      </w:tr>
    </w:tbl>
    <w:p w:rsidR="001C7AB7" w:rsidRPr="00661595" w:rsidRDefault="001C7AB7" w:rsidP="001C7AB7">
      <w:pPr>
        <w:rPr>
          <w:rFonts w:ascii="Times New Roman" w:hAnsi="Times New Roman"/>
          <w:sz w:val="24"/>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8789"/>
      </w:tblGrid>
      <w:tr w:rsidR="001C7AB7" w:rsidRPr="00661595" w:rsidTr="00672D2A">
        <w:tc>
          <w:tcPr>
            <w:tcW w:w="1242" w:type="dxa"/>
            <w:shd w:val="clear" w:color="auto" w:fill="CCCCCC"/>
          </w:tcPr>
          <w:p w:rsidR="001C7AB7" w:rsidRPr="00661595" w:rsidRDefault="001C7AB7" w:rsidP="001C7AB7">
            <w:pPr>
              <w:rPr>
                <w:rFonts w:ascii="Times New Roman" w:hAnsi="Times New Roman"/>
                <w:sz w:val="24"/>
              </w:rPr>
            </w:pPr>
            <w:r w:rsidRPr="00661595">
              <w:rPr>
                <w:rFonts w:ascii="Times New Roman" w:hAnsi="Times New Roman"/>
                <w:sz w:val="24"/>
              </w:rPr>
              <w:t>Rows</w:t>
            </w:r>
          </w:p>
        </w:tc>
        <w:tc>
          <w:tcPr>
            <w:tcW w:w="8789" w:type="dxa"/>
            <w:shd w:val="clear" w:color="auto" w:fill="CCCCCC"/>
          </w:tcPr>
          <w:p w:rsidR="001C7AB7" w:rsidRPr="00661595" w:rsidRDefault="001C7AB7" w:rsidP="001C7AB7">
            <w:pPr>
              <w:ind w:left="72"/>
              <w:rPr>
                <w:rFonts w:ascii="Times New Roman" w:hAnsi="Times New Roman"/>
                <w:sz w:val="24"/>
              </w:rPr>
            </w:pPr>
            <w:r w:rsidRPr="00661595">
              <w:rPr>
                <w:rFonts w:ascii="Times New Roman" w:hAnsi="Times New Roman"/>
                <w:sz w:val="24"/>
              </w:rPr>
              <w:t>Instructions</w:t>
            </w:r>
          </w:p>
        </w:tc>
      </w:tr>
      <w:tr w:rsidR="001C7AB7" w:rsidRPr="00661595" w:rsidTr="00672D2A">
        <w:tc>
          <w:tcPr>
            <w:tcW w:w="1242" w:type="dxa"/>
          </w:tcPr>
          <w:p w:rsidR="001C7AB7" w:rsidRPr="00661595" w:rsidRDefault="001452FC" w:rsidP="001C7AB7">
            <w:pPr>
              <w:rPr>
                <w:rFonts w:ascii="Times New Roman" w:hAnsi="Times New Roman"/>
                <w:sz w:val="24"/>
              </w:rPr>
            </w:pPr>
            <w:r w:rsidRPr="00661595">
              <w:rPr>
                <w:rFonts w:ascii="Times New Roman" w:hAnsi="Times New Roman"/>
                <w:sz w:val="24"/>
              </w:rPr>
              <w:t>0</w:t>
            </w:r>
            <w:r w:rsidR="001C7AB7" w:rsidRPr="00661595">
              <w:rPr>
                <w:rFonts w:ascii="Times New Roman" w:hAnsi="Times New Roman"/>
                <w:sz w:val="24"/>
              </w:rPr>
              <w:t>010</w:t>
            </w:r>
          </w:p>
        </w:tc>
        <w:tc>
          <w:tcPr>
            <w:tcW w:w="8789" w:type="dxa"/>
          </w:tcPr>
          <w:p w:rsidR="00284A6D" w:rsidRPr="00661595" w:rsidRDefault="001C7AB7" w:rsidP="004D45AA">
            <w:pPr>
              <w:rPr>
                <w:rFonts w:ascii="Times New Roman" w:hAnsi="Times New Roman"/>
                <w:sz w:val="24"/>
              </w:rPr>
            </w:pPr>
            <w:r w:rsidRPr="00661595">
              <w:rPr>
                <w:rFonts w:ascii="Times New Roman" w:hAnsi="Times New Roman"/>
                <w:b/>
                <w:sz w:val="24"/>
                <w:u w:val="single"/>
              </w:rPr>
              <w:t>TOTAL EXPOSURES</w:t>
            </w:r>
          </w:p>
        </w:tc>
      </w:tr>
      <w:tr w:rsidR="00785F3E" w:rsidRPr="00661595" w:rsidTr="00672D2A">
        <w:tc>
          <w:tcPr>
            <w:tcW w:w="1242" w:type="dxa"/>
          </w:tcPr>
          <w:p w:rsidR="00785F3E" w:rsidRPr="00661595" w:rsidRDefault="003C3168" w:rsidP="001C7AB7">
            <w:pPr>
              <w:rPr>
                <w:rFonts w:ascii="Times New Roman" w:hAnsi="Times New Roman"/>
                <w:sz w:val="24"/>
              </w:rPr>
            </w:pPr>
            <w:r w:rsidRPr="00661595">
              <w:rPr>
                <w:rFonts w:ascii="Times New Roman" w:hAnsi="Times New Roman"/>
                <w:sz w:val="24"/>
              </w:rPr>
              <w:t>0</w:t>
            </w:r>
            <w:r w:rsidR="001452FC" w:rsidRPr="00661595">
              <w:rPr>
                <w:rFonts w:ascii="Times New Roman" w:hAnsi="Times New Roman"/>
                <w:sz w:val="24"/>
              </w:rPr>
              <w:t>0</w:t>
            </w:r>
            <w:r w:rsidRPr="00661595">
              <w:rPr>
                <w:rFonts w:ascii="Times New Roman" w:hAnsi="Times New Roman"/>
                <w:sz w:val="24"/>
              </w:rPr>
              <w:t>15</w:t>
            </w:r>
          </w:p>
        </w:tc>
        <w:tc>
          <w:tcPr>
            <w:tcW w:w="8789" w:type="dxa"/>
          </w:tcPr>
          <w:p w:rsidR="00785F3E" w:rsidRPr="00661595" w:rsidRDefault="00785F3E" w:rsidP="00785F3E">
            <w:pPr>
              <w:rPr>
                <w:rFonts w:ascii="Times New Roman" w:hAnsi="Times New Roman"/>
                <w:b/>
                <w:sz w:val="24"/>
                <w:u w:val="single"/>
              </w:rPr>
            </w:pPr>
            <w:r w:rsidRPr="00661595">
              <w:rPr>
                <w:rFonts w:ascii="Times New Roman" w:hAnsi="Times New Roman"/>
                <w:b/>
                <w:sz w:val="24"/>
                <w:u w:val="single"/>
              </w:rPr>
              <w:t xml:space="preserve">of which: Exposures subject to </w:t>
            </w:r>
            <w:r w:rsidR="00927B49">
              <w:rPr>
                <w:rFonts w:ascii="Times New Roman" w:hAnsi="Times New Roman"/>
                <w:b/>
                <w:sz w:val="24"/>
                <w:u w:val="single"/>
              </w:rPr>
              <w:t xml:space="preserve">the </w:t>
            </w:r>
            <w:r w:rsidRPr="00661595">
              <w:rPr>
                <w:rFonts w:ascii="Times New Roman" w:hAnsi="Times New Roman"/>
                <w:b/>
                <w:sz w:val="24"/>
                <w:u w:val="single"/>
              </w:rPr>
              <w:t>SME</w:t>
            </w:r>
            <w:r w:rsidR="001A217F">
              <w:rPr>
                <w:rFonts w:ascii="Times New Roman" w:hAnsi="Times New Roman"/>
                <w:b/>
                <w:sz w:val="24"/>
                <w:u w:val="single"/>
              </w:rPr>
              <w:t xml:space="preserve"> </w:t>
            </w:r>
            <w:r w:rsidRPr="00661595">
              <w:rPr>
                <w:rFonts w:ascii="Times New Roman" w:hAnsi="Times New Roman"/>
                <w:b/>
                <w:sz w:val="24"/>
                <w:u w:val="single"/>
              </w:rPr>
              <w:t>supporting factor</w:t>
            </w:r>
          </w:p>
          <w:p w:rsidR="00785F3E" w:rsidRPr="00661595" w:rsidRDefault="00785F3E" w:rsidP="00785F3E">
            <w:pPr>
              <w:rPr>
                <w:rFonts w:ascii="Times New Roman" w:hAnsi="Times New Roman"/>
                <w:sz w:val="24"/>
              </w:rPr>
            </w:pPr>
            <w:r w:rsidRPr="00661595">
              <w:rPr>
                <w:rFonts w:ascii="Times New Roman" w:hAnsi="Times New Roman"/>
                <w:sz w:val="24"/>
              </w:rPr>
              <w:t>Only exposures which meet the requirements of Article 501 CRR shall be reported here.</w:t>
            </w:r>
          </w:p>
        </w:tc>
      </w:tr>
      <w:tr w:rsidR="004D45AA" w:rsidRPr="00661595" w:rsidTr="00672D2A">
        <w:tc>
          <w:tcPr>
            <w:tcW w:w="1242" w:type="dxa"/>
          </w:tcPr>
          <w:p w:rsidR="004D45AA" w:rsidRPr="00661595" w:rsidRDefault="004D45AA" w:rsidP="004D45AA">
            <w:pPr>
              <w:rPr>
                <w:rFonts w:ascii="Times New Roman" w:hAnsi="Times New Roman"/>
                <w:sz w:val="24"/>
              </w:rPr>
            </w:pPr>
            <w:r w:rsidRPr="00661595">
              <w:rPr>
                <w:rFonts w:ascii="Times New Roman" w:hAnsi="Times New Roman"/>
                <w:sz w:val="24"/>
              </w:rPr>
              <w:t>0</w:t>
            </w:r>
            <w:r w:rsidR="001452FC" w:rsidRPr="00661595">
              <w:rPr>
                <w:rFonts w:ascii="Times New Roman" w:hAnsi="Times New Roman"/>
                <w:sz w:val="24"/>
              </w:rPr>
              <w:t>0</w:t>
            </w:r>
            <w:r w:rsidRPr="00661595">
              <w:rPr>
                <w:rFonts w:ascii="Times New Roman" w:hAnsi="Times New Roman"/>
                <w:sz w:val="24"/>
              </w:rPr>
              <w:t>16</w:t>
            </w:r>
          </w:p>
        </w:tc>
        <w:tc>
          <w:tcPr>
            <w:tcW w:w="8789" w:type="dxa"/>
          </w:tcPr>
          <w:p w:rsidR="004D45AA" w:rsidRPr="00661595" w:rsidRDefault="004D45AA" w:rsidP="004D45AA">
            <w:pPr>
              <w:rPr>
                <w:rFonts w:ascii="Times New Roman" w:hAnsi="Times New Roman"/>
                <w:b/>
                <w:sz w:val="24"/>
                <w:u w:val="single"/>
              </w:rPr>
            </w:pPr>
            <w:r w:rsidRPr="00661595">
              <w:rPr>
                <w:rFonts w:ascii="Times New Roman" w:hAnsi="Times New Roman"/>
                <w:b/>
                <w:sz w:val="24"/>
                <w:u w:val="single"/>
              </w:rPr>
              <w:t xml:space="preserve">of which: Exposures subject to </w:t>
            </w:r>
            <w:r w:rsidR="00927B49">
              <w:rPr>
                <w:rFonts w:ascii="Times New Roman" w:hAnsi="Times New Roman"/>
                <w:b/>
                <w:sz w:val="24"/>
                <w:u w:val="single"/>
              </w:rPr>
              <w:t xml:space="preserve">the </w:t>
            </w:r>
            <w:r w:rsidR="003B05AE">
              <w:rPr>
                <w:rFonts w:ascii="Times New Roman" w:hAnsi="Times New Roman"/>
                <w:b/>
                <w:sz w:val="24"/>
                <w:u w:val="single"/>
              </w:rPr>
              <w:t>i</w:t>
            </w:r>
            <w:r w:rsidRPr="00661595">
              <w:rPr>
                <w:rFonts w:ascii="Times New Roman" w:hAnsi="Times New Roman"/>
                <w:b/>
                <w:sz w:val="24"/>
                <w:u w:val="single"/>
              </w:rPr>
              <w:t xml:space="preserve">nfrastructure </w:t>
            </w:r>
            <w:r w:rsidR="003B05AE">
              <w:rPr>
                <w:rFonts w:ascii="Times New Roman" w:hAnsi="Times New Roman"/>
                <w:b/>
                <w:sz w:val="24"/>
                <w:u w:val="single"/>
              </w:rPr>
              <w:t>supporting factor</w:t>
            </w:r>
          </w:p>
          <w:p w:rsidR="004D45AA" w:rsidRPr="00661595" w:rsidRDefault="004D45AA" w:rsidP="004D45AA">
            <w:pPr>
              <w:rPr>
                <w:rFonts w:ascii="Times New Roman" w:hAnsi="Times New Roman"/>
                <w:b/>
                <w:sz w:val="24"/>
                <w:u w:val="single"/>
              </w:rPr>
            </w:pPr>
            <w:r w:rsidRPr="00661595">
              <w:rPr>
                <w:rFonts w:ascii="Times New Roman" w:hAnsi="Times New Roman"/>
                <w:sz w:val="24"/>
              </w:rPr>
              <w:t>Only exposures which meet the requirements of Article 501a CRR shall be reported here.</w:t>
            </w:r>
          </w:p>
        </w:tc>
      </w:tr>
      <w:tr w:rsidR="004D45AA" w:rsidRPr="00661595" w:rsidTr="00672D2A">
        <w:tc>
          <w:tcPr>
            <w:tcW w:w="1242" w:type="dxa"/>
          </w:tcPr>
          <w:p w:rsidR="004D45AA" w:rsidRPr="00661595" w:rsidRDefault="004D45AA" w:rsidP="004D45AA">
            <w:pPr>
              <w:rPr>
                <w:rFonts w:ascii="Times New Roman" w:hAnsi="Times New Roman"/>
                <w:sz w:val="24"/>
              </w:rPr>
            </w:pPr>
            <w:r w:rsidRPr="00661595">
              <w:rPr>
                <w:rFonts w:ascii="Times New Roman" w:hAnsi="Times New Roman"/>
                <w:sz w:val="24"/>
              </w:rPr>
              <w:t>0</w:t>
            </w:r>
            <w:r w:rsidR="001452FC" w:rsidRPr="00661595">
              <w:rPr>
                <w:rFonts w:ascii="Times New Roman" w:hAnsi="Times New Roman"/>
                <w:sz w:val="24"/>
              </w:rPr>
              <w:t>0</w:t>
            </w:r>
            <w:r w:rsidRPr="00661595">
              <w:rPr>
                <w:rFonts w:ascii="Times New Roman" w:hAnsi="Times New Roman"/>
                <w:sz w:val="24"/>
              </w:rPr>
              <w:t>20-0</w:t>
            </w:r>
            <w:r w:rsidR="001452FC" w:rsidRPr="00661595">
              <w:rPr>
                <w:rFonts w:ascii="Times New Roman" w:hAnsi="Times New Roman"/>
                <w:sz w:val="24"/>
              </w:rPr>
              <w:t>0</w:t>
            </w:r>
            <w:r w:rsidRPr="00661595">
              <w:rPr>
                <w:rFonts w:ascii="Times New Roman" w:hAnsi="Times New Roman"/>
                <w:sz w:val="24"/>
              </w:rPr>
              <w:t>60</w:t>
            </w:r>
          </w:p>
        </w:tc>
        <w:tc>
          <w:tcPr>
            <w:tcW w:w="8789" w:type="dxa"/>
          </w:tcPr>
          <w:p w:rsidR="004D45AA" w:rsidRPr="00661595" w:rsidRDefault="004D45AA" w:rsidP="004D45AA">
            <w:pPr>
              <w:rPr>
                <w:rFonts w:ascii="Times New Roman" w:hAnsi="Times New Roman"/>
                <w:sz w:val="24"/>
              </w:rPr>
            </w:pPr>
            <w:r w:rsidRPr="00661595">
              <w:rPr>
                <w:rFonts w:ascii="Times New Roman" w:hAnsi="Times New Roman"/>
                <w:sz w:val="24"/>
              </w:rPr>
              <w:t>BREAKDOWN OF TOTAL EXPOSURES BY EXPOSURE TYPES:</w:t>
            </w:r>
          </w:p>
        </w:tc>
      </w:tr>
      <w:tr w:rsidR="004D45AA" w:rsidRPr="00661595" w:rsidTr="00672D2A">
        <w:tc>
          <w:tcPr>
            <w:tcW w:w="1242" w:type="dxa"/>
          </w:tcPr>
          <w:p w:rsidR="004D45AA" w:rsidRPr="00661595" w:rsidRDefault="004D45AA" w:rsidP="004D45AA">
            <w:pPr>
              <w:rPr>
                <w:rFonts w:ascii="Times New Roman" w:hAnsi="Times New Roman"/>
                <w:sz w:val="24"/>
              </w:rPr>
            </w:pPr>
            <w:r w:rsidRPr="00661595">
              <w:rPr>
                <w:rFonts w:ascii="Times New Roman" w:hAnsi="Times New Roman"/>
                <w:sz w:val="24"/>
              </w:rPr>
              <w:t>0</w:t>
            </w:r>
            <w:r w:rsidR="001452FC" w:rsidRPr="00661595">
              <w:rPr>
                <w:rFonts w:ascii="Times New Roman" w:hAnsi="Times New Roman"/>
                <w:sz w:val="24"/>
              </w:rPr>
              <w:t>0</w:t>
            </w:r>
            <w:r w:rsidRPr="00661595">
              <w:rPr>
                <w:rFonts w:ascii="Times New Roman" w:hAnsi="Times New Roman"/>
                <w:sz w:val="24"/>
              </w:rPr>
              <w:t>20</w:t>
            </w:r>
          </w:p>
        </w:tc>
        <w:tc>
          <w:tcPr>
            <w:tcW w:w="8789" w:type="dxa"/>
          </w:tcPr>
          <w:p w:rsidR="004D45AA" w:rsidRPr="00661595" w:rsidRDefault="004D45AA" w:rsidP="004D45AA">
            <w:pPr>
              <w:rPr>
                <w:rFonts w:ascii="Times New Roman" w:hAnsi="Times New Roman"/>
                <w:b/>
                <w:sz w:val="24"/>
                <w:u w:val="single"/>
              </w:rPr>
            </w:pPr>
            <w:r w:rsidRPr="00661595">
              <w:rPr>
                <w:rFonts w:ascii="Times New Roman" w:hAnsi="Times New Roman"/>
                <w:b/>
                <w:sz w:val="24"/>
                <w:u w:val="single"/>
              </w:rPr>
              <w:t xml:space="preserve">On balance sheet items subject to credit risk </w:t>
            </w:r>
          </w:p>
          <w:p w:rsidR="004D45AA" w:rsidRPr="00661595" w:rsidRDefault="004D45AA" w:rsidP="004D45AA">
            <w:pPr>
              <w:rPr>
                <w:rStyle w:val="InstructionsTabelleText"/>
                <w:rFonts w:ascii="Times New Roman" w:hAnsi="Times New Roman"/>
                <w:sz w:val="24"/>
              </w:rPr>
            </w:pPr>
            <w:r w:rsidRPr="00661595">
              <w:rPr>
                <w:rStyle w:val="InstructionsTabelleText"/>
                <w:rFonts w:ascii="Times New Roman" w:hAnsi="Times New Roman"/>
                <w:sz w:val="24"/>
              </w:rPr>
              <w:t>Assets referred to in Article 24 CRR shall not be included in any other category.</w:t>
            </w:r>
          </w:p>
          <w:p w:rsidR="004D45AA" w:rsidRPr="00661595" w:rsidRDefault="004D45AA" w:rsidP="004D45AA">
            <w:pPr>
              <w:rPr>
                <w:rStyle w:val="InstructionsTabelleText"/>
                <w:rFonts w:ascii="Times New Roman" w:hAnsi="Times New Roman"/>
                <w:sz w:val="24"/>
              </w:rPr>
            </w:pPr>
            <w:r w:rsidRPr="00661595">
              <w:rPr>
                <w:rStyle w:val="InstructionsTabelleText"/>
                <w:rFonts w:ascii="Times New Roman" w:hAnsi="Times New Roman"/>
                <w:sz w:val="24"/>
              </w:rPr>
              <w:t>Exposures that are subject to counterparty credit risk shall be reported in rows 0</w:t>
            </w:r>
            <w:r w:rsidR="001452FC" w:rsidRPr="00661595">
              <w:rPr>
                <w:rStyle w:val="InstructionsTabelleText"/>
                <w:rFonts w:ascii="Times New Roman" w:hAnsi="Times New Roman"/>
                <w:sz w:val="24"/>
              </w:rPr>
              <w:t>0</w:t>
            </w:r>
            <w:r w:rsidRPr="00661595">
              <w:rPr>
                <w:rStyle w:val="InstructionsTabelleText"/>
                <w:rFonts w:ascii="Times New Roman" w:hAnsi="Times New Roman"/>
                <w:sz w:val="24"/>
              </w:rPr>
              <w:t>40-0</w:t>
            </w:r>
            <w:r w:rsidR="001452FC" w:rsidRPr="00661595">
              <w:rPr>
                <w:rStyle w:val="InstructionsTabelleText"/>
                <w:rFonts w:ascii="Times New Roman" w:hAnsi="Times New Roman"/>
                <w:sz w:val="24"/>
              </w:rPr>
              <w:t>0</w:t>
            </w:r>
            <w:r w:rsidRPr="00661595">
              <w:rPr>
                <w:rStyle w:val="InstructionsTabelleText"/>
                <w:rFonts w:ascii="Times New Roman" w:hAnsi="Times New Roman"/>
                <w:sz w:val="24"/>
              </w:rPr>
              <w:t>60 and, therefore, shall not be reported in this row.</w:t>
            </w:r>
          </w:p>
          <w:p w:rsidR="004D45AA" w:rsidRPr="00661595" w:rsidRDefault="004D45AA" w:rsidP="004D45AA">
            <w:pPr>
              <w:rPr>
                <w:rStyle w:val="InstructionsTabelleText"/>
                <w:rFonts w:ascii="Times New Roman" w:hAnsi="Times New Roman"/>
                <w:sz w:val="24"/>
              </w:rPr>
            </w:pPr>
            <w:r w:rsidRPr="00661595">
              <w:rPr>
                <w:rStyle w:val="InstructionsTabelleText"/>
                <w:rFonts w:ascii="Times New Roman" w:hAnsi="Times New Roman"/>
                <w:sz w:val="24"/>
              </w:rPr>
              <w:t>Free deliveries as referred to in Article 379(1) CRR (if not deducted) do not constitute an on-balance sheet item, but nevertheless shall be reported in this row.</w:t>
            </w:r>
          </w:p>
          <w:p w:rsidR="004D45AA" w:rsidRPr="00661595" w:rsidRDefault="004D45AA" w:rsidP="004D45AA">
            <w:pPr>
              <w:rPr>
                <w:rFonts w:ascii="Times New Roman" w:hAnsi="Times New Roman"/>
                <w:sz w:val="24"/>
              </w:rPr>
            </w:pPr>
          </w:p>
        </w:tc>
      </w:tr>
      <w:tr w:rsidR="004D45AA" w:rsidRPr="00661595" w:rsidTr="00672D2A">
        <w:tc>
          <w:tcPr>
            <w:tcW w:w="1242" w:type="dxa"/>
          </w:tcPr>
          <w:p w:rsidR="004D45AA" w:rsidRPr="00661595" w:rsidRDefault="004D45AA" w:rsidP="004D45AA">
            <w:pPr>
              <w:rPr>
                <w:rFonts w:ascii="Times New Roman" w:hAnsi="Times New Roman"/>
                <w:sz w:val="24"/>
              </w:rPr>
            </w:pPr>
            <w:r w:rsidRPr="00661595">
              <w:rPr>
                <w:rFonts w:ascii="Times New Roman" w:hAnsi="Times New Roman"/>
                <w:sz w:val="24"/>
              </w:rPr>
              <w:t>0</w:t>
            </w:r>
            <w:r w:rsidR="001452FC" w:rsidRPr="00661595">
              <w:rPr>
                <w:rFonts w:ascii="Times New Roman" w:hAnsi="Times New Roman"/>
                <w:sz w:val="24"/>
              </w:rPr>
              <w:t>0</w:t>
            </w:r>
            <w:r w:rsidRPr="00661595">
              <w:rPr>
                <w:rFonts w:ascii="Times New Roman" w:hAnsi="Times New Roman"/>
                <w:sz w:val="24"/>
              </w:rPr>
              <w:t>30</w:t>
            </w:r>
          </w:p>
        </w:tc>
        <w:tc>
          <w:tcPr>
            <w:tcW w:w="8789" w:type="dxa"/>
          </w:tcPr>
          <w:p w:rsidR="004D45AA" w:rsidRPr="00661595" w:rsidRDefault="004D45AA" w:rsidP="004D45AA">
            <w:pPr>
              <w:rPr>
                <w:rFonts w:ascii="Times New Roman" w:hAnsi="Times New Roman"/>
                <w:b/>
                <w:sz w:val="24"/>
                <w:u w:val="single"/>
              </w:rPr>
            </w:pPr>
            <w:r w:rsidRPr="00661595">
              <w:rPr>
                <w:rFonts w:ascii="Times New Roman" w:hAnsi="Times New Roman"/>
                <w:b/>
                <w:sz w:val="24"/>
                <w:u w:val="single"/>
              </w:rPr>
              <w:t>Off balance sheet items subject to credit risk</w:t>
            </w:r>
          </w:p>
          <w:p w:rsidR="004D45AA" w:rsidRPr="00661595" w:rsidRDefault="004D45AA" w:rsidP="004D45AA">
            <w:pPr>
              <w:rPr>
                <w:rStyle w:val="InstructionsTabelleText"/>
                <w:rFonts w:ascii="Times New Roman" w:hAnsi="Times New Roman"/>
                <w:sz w:val="24"/>
              </w:rPr>
            </w:pPr>
            <w:r w:rsidRPr="00661595">
              <w:rPr>
                <w:rStyle w:val="InstructionsTabelleText"/>
                <w:rFonts w:ascii="Times New Roman" w:hAnsi="Times New Roman"/>
                <w:sz w:val="24"/>
              </w:rPr>
              <w:t xml:space="preserve">Off-balance sheet items shall comprise </w:t>
            </w:r>
            <w:r w:rsidR="009265F9" w:rsidRPr="00661595">
              <w:rPr>
                <w:rStyle w:val="InstructionsTabelleText"/>
                <w:rFonts w:ascii="Times New Roman" w:hAnsi="Times New Roman"/>
                <w:sz w:val="24"/>
              </w:rPr>
              <w:t xml:space="preserve">items </w:t>
            </w:r>
            <w:r w:rsidR="00EA1F5A" w:rsidRPr="00661595">
              <w:rPr>
                <w:rStyle w:val="InstructionsTabelleText"/>
                <w:rFonts w:ascii="Times New Roman" w:hAnsi="Times New Roman"/>
                <w:sz w:val="24"/>
              </w:rPr>
              <w:t>in accordance with</w:t>
            </w:r>
            <w:r w:rsidR="009265F9" w:rsidRPr="00661595">
              <w:rPr>
                <w:rStyle w:val="InstructionsTabelleText"/>
                <w:rFonts w:ascii="Times New Roman" w:hAnsi="Times New Roman"/>
                <w:sz w:val="24"/>
              </w:rPr>
              <w:t xml:space="preserve"> Article 166</w:t>
            </w:r>
            <w:r w:rsidR="0044539D" w:rsidRPr="00661595">
              <w:rPr>
                <w:rStyle w:val="InstructionsTabelleText"/>
                <w:rFonts w:ascii="Times New Roman" w:hAnsi="Times New Roman"/>
                <w:sz w:val="24"/>
              </w:rPr>
              <w:t>(8)</w:t>
            </w:r>
            <w:r w:rsidRPr="00661595">
              <w:rPr>
                <w:rStyle w:val="InstructionsTabelleText"/>
                <w:rFonts w:ascii="Times New Roman" w:hAnsi="Times New Roman"/>
                <w:sz w:val="24"/>
              </w:rPr>
              <w:t xml:space="preserve"> CRR, as well as those items that are listed in Annex I CRR.</w:t>
            </w:r>
          </w:p>
          <w:p w:rsidR="004D45AA" w:rsidRPr="00661595" w:rsidRDefault="004D45AA" w:rsidP="004D45AA">
            <w:pPr>
              <w:rPr>
                <w:rStyle w:val="InstructionsTabelleText"/>
                <w:rFonts w:ascii="Times New Roman" w:hAnsi="Times New Roman"/>
                <w:sz w:val="24"/>
              </w:rPr>
            </w:pPr>
            <w:r w:rsidRPr="00661595">
              <w:rPr>
                <w:rStyle w:val="InstructionsTabelleText"/>
                <w:rFonts w:ascii="Times New Roman" w:hAnsi="Times New Roman"/>
                <w:sz w:val="24"/>
              </w:rPr>
              <w:t>Exposures that are subject to counterparty credit risk</w:t>
            </w:r>
            <w:r w:rsidR="00284A6D" w:rsidRPr="00661595">
              <w:rPr>
                <w:rStyle w:val="InstructionsTabelleText"/>
                <w:rFonts w:ascii="Times New Roman" w:hAnsi="Times New Roman"/>
                <w:sz w:val="24"/>
              </w:rPr>
              <w:t xml:space="preserve"> </w:t>
            </w:r>
            <w:r w:rsidRPr="00661595">
              <w:rPr>
                <w:rStyle w:val="InstructionsTabelleText"/>
                <w:rFonts w:ascii="Times New Roman" w:hAnsi="Times New Roman"/>
                <w:sz w:val="24"/>
              </w:rPr>
              <w:t>shall be reported in rows 0</w:t>
            </w:r>
            <w:r w:rsidR="001452FC" w:rsidRPr="00661595">
              <w:rPr>
                <w:rStyle w:val="InstructionsTabelleText"/>
                <w:rFonts w:ascii="Times New Roman" w:hAnsi="Times New Roman"/>
                <w:sz w:val="24"/>
              </w:rPr>
              <w:t>0</w:t>
            </w:r>
            <w:r w:rsidRPr="00661595">
              <w:rPr>
                <w:rStyle w:val="InstructionsTabelleText"/>
                <w:rFonts w:ascii="Times New Roman" w:hAnsi="Times New Roman"/>
                <w:sz w:val="24"/>
              </w:rPr>
              <w:t>40-0</w:t>
            </w:r>
            <w:r w:rsidR="001452FC" w:rsidRPr="00661595">
              <w:rPr>
                <w:rStyle w:val="InstructionsTabelleText"/>
                <w:rFonts w:ascii="Times New Roman" w:hAnsi="Times New Roman"/>
                <w:sz w:val="24"/>
              </w:rPr>
              <w:t>0</w:t>
            </w:r>
            <w:r w:rsidRPr="00661595">
              <w:rPr>
                <w:rStyle w:val="InstructionsTabelleText"/>
                <w:rFonts w:ascii="Times New Roman" w:hAnsi="Times New Roman"/>
                <w:sz w:val="24"/>
              </w:rPr>
              <w:t>60 and, therefore, shall not be in this row.</w:t>
            </w:r>
          </w:p>
          <w:p w:rsidR="004D45AA" w:rsidRPr="00661595" w:rsidRDefault="004D45AA" w:rsidP="004D45AA">
            <w:pPr>
              <w:rPr>
                <w:rFonts w:ascii="Times New Roman" w:hAnsi="Times New Roman"/>
                <w:sz w:val="24"/>
              </w:rPr>
            </w:pPr>
          </w:p>
        </w:tc>
      </w:tr>
      <w:tr w:rsidR="004D45AA" w:rsidRPr="00661595" w:rsidTr="00672D2A">
        <w:tc>
          <w:tcPr>
            <w:tcW w:w="1242" w:type="dxa"/>
          </w:tcPr>
          <w:p w:rsidR="004D45AA" w:rsidRPr="00661595" w:rsidRDefault="004D45AA" w:rsidP="004D45AA">
            <w:pPr>
              <w:rPr>
                <w:rFonts w:ascii="Times New Roman" w:hAnsi="Times New Roman"/>
                <w:sz w:val="24"/>
              </w:rPr>
            </w:pPr>
            <w:r w:rsidRPr="00661595">
              <w:rPr>
                <w:rStyle w:val="InstructionsTabelleText"/>
                <w:rFonts w:ascii="Times New Roman" w:hAnsi="Times New Roman"/>
                <w:sz w:val="24"/>
              </w:rPr>
              <w:t>0</w:t>
            </w:r>
            <w:r w:rsidR="001452FC" w:rsidRPr="00661595">
              <w:rPr>
                <w:rStyle w:val="InstructionsTabelleText"/>
                <w:rFonts w:ascii="Times New Roman" w:hAnsi="Times New Roman"/>
                <w:sz w:val="24"/>
              </w:rPr>
              <w:t>0</w:t>
            </w:r>
            <w:r w:rsidRPr="00661595">
              <w:rPr>
                <w:rStyle w:val="InstructionsTabelleText"/>
                <w:rFonts w:ascii="Times New Roman" w:hAnsi="Times New Roman"/>
                <w:sz w:val="24"/>
              </w:rPr>
              <w:t>40-0</w:t>
            </w:r>
            <w:r w:rsidR="001452FC" w:rsidRPr="00661595">
              <w:rPr>
                <w:rStyle w:val="InstructionsTabelleText"/>
                <w:rFonts w:ascii="Times New Roman" w:hAnsi="Times New Roman"/>
                <w:sz w:val="24"/>
              </w:rPr>
              <w:t>0</w:t>
            </w:r>
            <w:r w:rsidRPr="00661595">
              <w:rPr>
                <w:rStyle w:val="InstructionsTabelleText"/>
                <w:rFonts w:ascii="Times New Roman" w:hAnsi="Times New Roman"/>
                <w:sz w:val="24"/>
              </w:rPr>
              <w:t>60</w:t>
            </w:r>
          </w:p>
        </w:tc>
        <w:tc>
          <w:tcPr>
            <w:tcW w:w="8789" w:type="dxa"/>
          </w:tcPr>
          <w:p w:rsidR="004D45AA" w:rsidRPr="00661595" w:rsidRDefault="004D45AA" w:rsidP="004D45AA">
            <w:pPr>
              <w:rPr>
                <w:rStyle w:val="InstructionsTabelleberschrift"/>
                <w:rFonts w:ascii="Times New Roman" w:hAnsi="Times New Roman"/>
                <w:sz w:val="24"/>
              </w:rPr>
            </w:pPr>
            <w:r w:rsidRPr="00661595">
              <w:rPr>
                <w:rStyle w:val="InstructionsTabelleberschrift"/>
                <w:rFonts w:ascii="Times New Roman" w:hAnsi="Times New Roman"/>
                <w:sz w:val="24"/>
              </w:rPr>
              <w:t>Exposures / Transactions subject to counterparty credit risk</w:t>
            </w:r>
          </w:p>
          <w:p w:rsidR="004D45AA" w:rsidRPr="00661595" w:rsidRDefault="004D45AA" w:rsidP="004D45AA">
            <w:pPr>
              <w:rPr>
                <w:rFonts w:ascii="Times New Roman" w:hAnsi="Times New Roman"/>
                <w:b/>
                <w:sz w:val="24"/>
                <w:u w:val="single"/>
              </w:rPr>
            </w:pPr>
            <w:r w:rsidRPr="00661595">
              <w:rPr>
                <w:rFonts w:ascii="Times New Roman" w:hAnsi="Times New Roman"/>
                <w:sz w:val="24"/>
              </w:rPr>
              <w:t>See the corresponding CR SA instructions</w:t>
            </w:r>
            <w:r w:rsidR="00834E93" w:rsidRPr="00661595">
              <w:rPr>
                <w:rFonts w:ascii="Times New Roman" w:hAnsi="Times New Roman"/>
                <w:sz w:val="24"/>
              </w:rPr>
              <w:t xml:space="preserve"> in rows 0090-0130</w:t>
            </w:r>
            <w:r w:rsidRPr="00661595">
              <w:rPr>
                <w:rFonts w:ascii="Times New Roman" w:hAnsi="Times New Roman"/>
                <w:sz w:val="24"/>
              </w:rPr>
              <w:t>.</w:t>
            </w:r>
          </w:p>
        </w:tc>
      </w:tr>
      <w:tr w:rsidR="004D45AA" w:rsidRPr="00661595" w:rsidTr="00672D2A">
        <w:tc>
          <w:tcPr>
            <w:tcW w:w="1242" w:type="dxa"/>
          </w:tcPr>
          <w:p w:rsidR="004D45AA" w:rsidRPr="00661595" w:rsidRDefault="004D45AA" w:rsidP="004D45AA">
            <w:pPr>
              <w:rPr>
                <w:rFonts w:ascii="Times New Roman" w:hAnsi="Times New Roman"/>
                <w:sz w:val="24"/>
              </w:rPr>
            </w:pPr>
            <w:r w:rsidRPr="00661595">
              <w:rPr>
                <w:rFonts w:ascii="Times New Roman" w:hAnsi="Times New Roman"/>
                <w:sz w:val="24"/>
              </w:rPr>
              <w:t>0</w:t>
            </w:r>
            <w:r w:rsidR="001452FC" w:rsidRPr="00661595">
              <w:rPr>
                <w:rFonts w:ascii="Times New Roman" w:hAnsi="Times New Roman"/>
                <w:sz w:val="24"/>
              </w:rPr>
              <w:t>0</w:t>
            </w:r>
            <w:r w:rsidRPr="00661595">
              <w:rPr>
                <w:rFonts w:ascii="Times New Roman" w:hAnsi="Times New Roman"/>
                <w:sz w:val="24"/>
              </w:rPr>
              <w:t>40</w:t>
            </w:r>
          </w:p>
        </w:tc>
        <w:tc>
          <w:tcPr>
            <w:tcW w:w="8789" w:type="dxa"/>
          </w:tcPr>
          <w:p w:rsidR="004D45AA" w:rsidRPr="00661595" w:rsidRDefault="004D45AA" w:rsidP="00393FF2">
            <w:pPr>
              <w:rPr>
                <w:rStyle w:val="InstructionsTabelleberschrift"/>
                <w:rFonts w:ascii="Times New Roman" w:hAnsi="Times New Roman"/>
                <w:sz w:val="24"/>
              </w:rPr>
            </w:pPr>
            <w:r w:rsidRPr="00661595">
              <w:rPr>
                <w:rStyle w:val="InstructionsTabelleberschrift"/>
                <w:rFonts w:ascii="Times New Roman" w:hAnsi="Times New Roman"/>
                <w:sz w:val="24"/>
              </w:rPr>
              <w:t>Securities Financing Transactions netting sets</w:t>
            </w:r>
          </w:p>
          <w:p w:rsidR="004D45AA" w:rsidRPr="00661595" w:rsidRDefault="004D45AA" w:rsidP="00393FF2">
            <w:pPr>
              <w:rPr>
                <w:rFonts w:ascii="Times New Roman" w:hAnsi="Times New Roman"/>
                <w:sz w:val="24"/>
              </w:rPr>
            </w:pPr>
            <w:r w:rsidRPr="00661595">
              <w:rPr>
                <w:rFonts w:ascii="Times New Roman" w:hAnsi="Times New Roman"/>
                <w:sz w:val="24"/>
              </w:rPr>
              <w:t xml:space="preserve">See the corresponding CR SA instructions in row </w:t>
            </w:r>
            <w:r w:rsidR="001452FC" w:rsidRPr="00661595">
              <w:rPr>
                <w:rFonts w:ascii="Times New Roman" w:hAnsi="Times New Roman"/>
                <w:sz w:val="24"/>
              </w:rPr>
              <w:t>0</w:t>
            </w:r>
            <w:r w:rsidRPr="00661595">
              <w:rPr>
                <w:rFonts w:ascii="Times New Roman" w:hAnsi="Times New Roman"/>
                <w:sz w:val="24"/>
              </w:rPr>
              <w:t>090.</w:t>
            </w:r>
          </w:p>
          <w:p w:rsidR="004D45AA" w:rsidRPr="00661595" w:rsidRDefault="004D45AA" w:rsidP="004D45AA">
            <w:pPr>
              <w:rPr>
                <w:rFonts w:ascii="Times New Roman" w:hAnsi="Times New Roman"/>
                <w:sz w:val="24"/>
              </w:rPr>
            </w:pPr>
          </w:p>
        </w:tc>
      </w:tr>
      <w:tr w:rsidR="004D45AA" w:rsidRPr="00661595" w:rsidTr="00672D2A">
        <w:tc>
          <w:tcPr>
            <w:tcW w:w="1242" w:type="dxa"/>
          </w:tcPr>
          <w:p w:rsidR="004D45AA" w:rsidRPr="00661595" w:rsidRDefault="004D45AA" w:rsidP="004D45AA">
            <w:pPr>
              <w:rPr>
                <w:rFonts w:ascii="Times New Roman" w:hAnsi="Times New Roman"/>
                <w:sz w:val="24"/>
              </w:rPr>
            </w:pPr>
            <w:r w:rsidRPr="00661595">
              <w:rPr>
                <w:rFonts w:ascii="Times New Roman" w:hAnsi="Times New Roman"/>
                <w:sz w:val="24"/>
              </w:rPr>
              <w:t>0</w:t>
            </w:r>
            <w:r w:rsidR="001452FC" w:rsidRPr="00661595">
              <w:rPr>
                <w:rFonts w:ascii="Times New Roman" w:hAnsi="Times New Roman"/>
                <w:sz w:val="24"/>
              </w:rPr>
              <w:t>0</w:t>
            </w:r>
            <w:r w:rsidRPr="00661595">
              <w:rPr>
                <w:rFonts w:ascii="Times New Roman" w:hAnsi="Times New Roman"/>
                <w:sz w:val="24"/>
              </w:rPr>
              <w:t>50</w:t>
            </w:r>
          </w:p>
        </w:tc>
        <w:tc>
          <w:tcPr>
            <w:tcW w:w="8789" w:type="dxa"/>
          </w:tcPr>
          <w:p w:rsidR="004D45AA" w:rsidRPr="00661595" w:rsidRDefault="004D45AA" w:rsidP="004D45AA">
            <w:pPr>
              <w:rPr>
                <w:rFonts w:ascii="Times New Roman" w:hAnsi="Times New Roman"/>
                <w:b/>
                <w:sz w:val="24"/>
                <w:u w:val="single"/>
              </w:rPr>
            </w:pPr>
            <w:r w:rsidRPr="00661595">
              <w:rPr>
                <w:rFonts w:ascii="Times New Roman" w:hAnsi="Times New Roman"/>
                <w:b/>
                <w:sz w:val="24"/>
                <w:u w:val="single"/>
              </w:rPr>
              <w:t xml:space="preserve">Derivatives </w:t>
            </w:r>
            <w:r w:rsidRPr="00661595">
              <w:rPr>
                <w:rStyle w:val="InstructionsTabelleberschrift"/>
                <w:rFonts w:ascii="Times New Roman" w:hAnsi="Times New Roman"/>
                <w:sz w:val="24"/>
              </w:rPr>
              <w:t>and Long Settlement Transactions netting sets</w:t>
            </w:r>
          </w:p>
          <w:p w:rsidR="004D45AA" w:rsidRPr="00661595" w:rsidRDefault="004D45AA" w:rsidP="00393FF2">
            <w:pPr>
              <w:rPr>
                <w:rFonts w:ascii="Times New Roman" w:hAnsi="Times New Roman"/>
                <w:sz w:val="24"/>
              </w:rPr>
            </w:pPr>
            <w:r w:rsidRPr="00661595">
              <w:rPr>
                <w:rFonts w:ascii="Times New Roman" w:hAnsi="Times New Roman"/>
                <w:sz w:val="24"/>
              </w:rPr>
              <w:t xml:space="preserve">See the corresponding CR SA instructions in row </w:t>
            </w:r>
            <w:r w:rsidR="001452FC" w:rsidRPr="00661595">
              <w:rPr>
                <w:rFonts w:ascii="Times New Roman" w:hAnsi="Times New Roman"/>
                <w:sz w:val="24"/>
              </w:rPr>
              <w:t>0</w:t>
            </w:r>
            <w:r w:rsidRPr="00661595">
              <w:rPr>
                <w:rFonts w:ascii="Times New Roman" w:hAnsi="Times New Roman"/>
                <w:sz w:val="24"/>
              </w:rPr>
              <w:t>110.</w:t>
            </w:r>
          </w:p>
          <w:p w:rsidR="004D45AA" w:rsidRPr="00661595" w:rsidRDefault="004D45AA" w:rsidP="004D45AA">
            <w:pPr>
              <w:ind w:left="72"/>
              <w:rPr>
                <w:rFonts w:ascii="Times New Roman" w:hAnsi="Times New Roman"/>
                <w:sz w:val="24"/>
              </w:rPr>
            </w:pPr>
          </w:p>
        </w:tc>
      </w:tr>
      <w:tr w:rsidR="004D45AA" w:rsidRPr="00661595" w:rsidTr="00672D2A">
        <w:tc>
          <w:tcPr>
            <w:tcW w:w="1242" w:type="dxa"/>
          </w:tcPr>
          <w:p w:rsidR="004D45AA" w:rsidRPr="00661595" w:rsidRDefault="004D45AA" w:rsidP="004D45AA">
            <w:pPr>
              <w:rPr>
                <w:rFonts w:ascii="Times New Roman" w:hAnsi="Times New Roman"/>
                <w:sz w:val="24"/>
              </w:rPr>
            </w:pPr>
            <w:r w:rsidRPr="00661595">
              <w:rPr>
                <w:rFonts w:ascii="Times New Roman" w:hAnsi="Times New Roman"/>
                <w:sz w:val="24"/>
              </w:rPr>
              <w:t>0</w:t>
            </w:r>
            <w:r w:rsidR="001452FC" w:rsidRPr="00661595">
              <w:rPr>
                <w:rFonts w:ascii="Times New Roman" w:hAnsi="Times New Roman"/>
                <w:sz w:val="24"/>
              </w:rPr>
              <w:t>0</w:t>
            </w:r>
            <w:r w:rsidRPr="00661595">
              <w:rPr>
                <w:rFonts w:ascii="Times New Roman" w:hAnsi="Times New Roman"/>
                <w:sz w:val="24"/>
              </w:rPr>
              <w:t>60</w:t>
            </w:r>
          </w:p>
        </w:tc>
        <w:tc>
          <w:tcPr>
            <w:tcW w:w="8789" w:type="dxa"/>
          </w:tcPr>
          <w:p w:rsidR="004D45AA" w:rsidRPr="00661595" w:rsidRDefault="004D45AA" w:rsidP="004D45AA">
            <w:pPr>
              <w:rPr>
                <w:rFonts w:ascii="Times New Roman" w:hAnsi="Times New Roman"/>
                <w:b/>
                <w:sz w:val="24"/>
                <w:u w:val="single"/>
              </w:rPr>
            </w:pPr>
            <w:r w:rsidRPr="00661595">
              <w:rPr>
                <w:rFonts w:ascii="Times New Roman" w:hAnsi="Times New Roman"/>
                <w:b/>
                <w:sz w:val="24"/>
                <w:u w:val="single"/>
              </w:rPr>
              <w:t>From Contractual Cross Product netting sets</w:t>
            </w:r>
          </w:p>
          <w:p w:rsidR="004D45AA" w:rsidRPr="00661595" w:rsidRDefault="004D45AA" w:rsidP="004D45AA">
            <w:pPr>
              <w:rPr>
                <w:rFonts w:ascii="Times New Roman" w:hAnsi="Times New Roman"/>
                <w:sz w:val="24"/>
              </w:rPr>
            </w:pPr>
            <w:r w:rsidRPr="00661595">
              <w:rPr>
                <w:rFonts w:ascii="Times New Roman" w:hAnsi="Times New Roman"/>
                <w:sz w:val="24"/>
              </w:rPr>
              <w:t xml:space="preserve">See the corresponding CR SA instructions in row </w:t>
            </w:r>
            <w:r w:rsidR="001452FC" w:rsidRPr="00661595">
              <w:rPr>
                <w:rFonts w:ascii="Times New Roman" w:hAnsi="Times New Roman"/>
                <w:sz w:val="24"/>
              </w:rPr>
              <w:t>0</w:t>
            </w:r>
            <w:r w:rsidRPr="00661595">
              <w:rPr>
                <w:rFonts w:ascii="Times New Roman" w:hAnsi="Times New Roman"/>
                <w:sz w:val="24"/>
              </w:rPr>
              <w:t>130.</w:t>
            </w:r>
          </w:p>
        </w:tc>
      </w:tr>
      <w:tr w:rsidR="004D45AA" w:rsidRPr="00661595" w:rsidTr="00672D2A">
        <w:tc>
          <w:tcPr>
            <w:tcW w:w="1242" w:type="dxa"/>
          </w:tcPr>
          <w:p w:rsidR="004D45AA" w:rsidRPr="00661595" w:rsidRDefault="004D45AA" w:rsidP="004D45AA">
            <w:pPr>
              <w:rPr>
                <w:rFonts w:ascii="Times New Roman" w:hAnsi="Times New Roman"/>
                <w:sz w:val="24"/>
              </w:rPr>
            </w:pPr>
            <w:r w:rsidRPr="00661595">
              <w:rPr>
                <w:rFonts w:ascii="Times New Roman" w:hAnsi="Times New Roman"/>
                <w:sz w:val="24"/>
              </w:rPr>
              <w:t>0</w:t>
            </w:r>
            <w:r w:rsidR="001452FC" w:rsidRPr="00661595">
              <w:rPr>
                <w:rFonts w:ascii="Times New Roman" w:hAnsi="Times New Roman"/>
                <w:sz w:val="24"/>
              </w:rPr>
              <w:t>0</w:t>
            </w:r>
            <w:r w:rsidRPr="00661595">
              <w:rPr>
                <w:rFonts w:ascii="Times New Roman" w:hAnsi="Times New Roman"/>
                <w:sz w:val="24"/>
              </w:rPr>
              <w:t>70</w:t>
            </w:r>
          </w:p>
        </w:tc>
        <w:tc>
          <w:tcPr>
            <w:tcW w:w="8789" w:type="dxa"/>
          </w:tcPr>
          <w:p w:rsidR="004D45AA" w:rsidRPr="00661595" w:rsidRDefault="004D45AA" w:rsidP="004D45AA">
            <w:pPr>
              <w:rPr>
                <w:rFonts w:ascii="Times New Roman" w:hAnsi="Times New Roman"/>
                <w:b/>
                <w:sz w:val="24"/>
                <w:u w:val="single"/>
              </w:rPr>
            </w:pPr>
            <w:r w:rsidRPr="00661595">
              <w:rPr>
                <w:rFonts w:ascii="Times New Roman" w:hAnsi="Times New Roman"/>
                <w:b/>
                <w:sz w:val="24"/>
                <w:u w:val="single"/>
              </w:rPr>
              <w:t>EXPOSURES ASSIGNED TO OBLIGOR GRADES OR POOLS: TOTAL</w:t>
            </w:r>
          </w:p>
          <w:p w:rsidR="004D45AA" w:rsidRPr="00661595" w:rsidRDefault="004D45AA" w:rsidP="004D45AA">
            <w:pPr>
              <w:rPr>
                <w:rFonts w:ascii="Times New Roman" w:hAnsi="Times New Roman"/>
                <w:sz w:val="24"/>
              </w:rPr>
            </w:pPr>
            <w:r w:rsidRPr="00661595">
              <w:rPr>
                <w:rFonts w:ascii="Times New Roman" w:hAnsi="Times New Roman"/>
                <w:sz w:val="24"/>
              </w:rPr>
              <w:t xml:space="preserve">For exposures to corporates, institutions and central governments and central banks, see point (6) of Article 142(1) and point (c) of Article 170(1) CRR. </w:t>
            </w:r>
          </w:p>
          <w:p w:rsidR="004D45AA" w:rsidRPr="00661595" w:rsidRDefault="004D45AA" w:rsidP="004D45AA">
            <w:pPr>
              <w:rPr>
                <w:rFonts w:ascii="Times New Roman" w:hAnsi="Times New Roman"/>
                <w:sz w:val="24"/>
              </w:rPr>
            </w:pPr>
            <w:r w:rsidRPr="00661595">
              <w:rPr>
                <w:rFonts w:ascii="Times New Roman" w:hAnsi="Times New Roman"/>
                <w:sz w:val="24"/>
              </w:rPr>
              <w:t xml:space="preserve">For retail exposures see point (b) of Article 170(3) CRR. For exposures arising from purchased receivables, see Article 166(6) CRR. </w:t>
            </w:r>
          </w:p>
          <w:p w:rsidR="004D45AA" w:rsidRPr="00661595" w:rsidRDefault="004D45AA" w:rsidP="004D45AA">
            <w:pPr>
              <w:rPr>
                <w:rFonts w:ascii="Times New Roman" w:hAnsi="Times New Roman"/>
                <w:sz w:val="24"/>
              </w:rPr>
            </w:pPr>
            <w:r w:rsidRPr="00661595">
              <w:rPr>
                <w:rFonts w:ascii="Times New Roman" w:hAnsi="Times New Roman"/>
                <w:sz w:val="24"/>
              </w:rPr>
              <w:t xml:space="preserve">Exposures for dilution risk of purchased receivables shall not be reported by obligor grades or pools and shall be reported in row </w:t>
            </w:r>
            <w:r w:rsidR="001452FC" w:rsidRPr="00661595">
              <w:rPr>
                <w:rFonts w:ascii="Times New Roman" w:hAnsi="Times New Roman"/>
                <w:sz w:val="24"/>
              </w:rPr>
              <w:t>0</w:t>
            </w:r>
            <w:r w:rsidRPr="00661595">
              <w:rPr>
                <w:rFonts w:ascii="Times New Roman" w:hAnsi="Times New Roman"/>
                <w:sz w:val="24"/>
              </w:rPr>
              <w:t>180.</w:t>
            </w:r>
          </w:p>
          <w:p w:rsidR="004D45AA" w:rsidRPr="00661595" w:rsidRDefault="004D45AA" w:rsidP="004D45AA">
            <w:pPr>
              <w:rPr>
                <w:rFonts w:ascii="Times New Roman" w:hAnsi="Times New Roman"/>
                <w:sz w:val="24"/>
              </w:rPr>
            </w:pPr>
            <w:r w:rsidRPr="00661595">
              <w:rPr>
                <w:rFonts w:ascii="Times New Roman" w:hAnsi="Times New Roman"/>
                <w:sz w:val="24"/>
              </w:rPr>
              <w:t xml:space="preserve">Where the institution uses a large number of grades or pools, a reduced number of grades or pools to be reported may be agreed with the competent authorities. </w:t>
            </w:r>
          </w:p>
          <w:p w:rsidR="004D45AA" w:rsidRPr="00661595" w:rsidRDefault="004D45AA" w:rsidP="004D45AA">
            <w:pPr>
              <w:rPr>
                <w:rFonts w:ascii="Times New Roman" w:hAnsi="Times New Roman"/>
                <w:sz w:val="24"/>
              </w:rPr>
            </w:pPr>
            <w:r w:rsidRPr="00661595">
              <w:rPr>
                <w:rFonts w:ascii="Times New Roman" w:hAnsi="Times New Roman"/>
                <w:sz w:val="24"/>
              </w:rPr>
              <w:t xml:space="preserve">A supervisory master scale is not used. Instead, institutions shall determine the scale to be used themselves. </w:t>
            </w:r>
          </w:p>
        </w:tc>
      </w:tr>
      <w:tr w:rsidR="004D45AA" w:rsidRPr="00661595" w:rsidTr="00672D2A">
        <w:tc>
          <w:tcPr>
            <w:tcW w:w="1242" w:type="dxa"/>
          </w:tcPr>
          <w:p w:rsidR="004D45AA" w:rsidRPr="00661595" w:rsidRDefault="004D45AA" w:rsidP="004D45AA">
            <w:pPr>
              <w:rPr>
                <w:rFonts w:ascii="Times New Roman" w:hAnsi="Times New Roman"/>
                <w:sz w:val="24"/>
              </w:rPr>
            </w:pPr>
            <w:r w:rsidRPr="00661595">
              <w:rPr>
                <w:rFonts w:ascii="Times New Roman" w:hAnsi="Times New Roman"/>
                <w:sz w:val="24"/>
              </w:rPr>
              <w:t>0</w:t>
            </w:r>
            <w:r w:rsidR="001452FC" w:rsidRPr="00661595">
              <w:rPr>
                <w:rFonts w:ascii="Times New Roman" w:hAnsi="Times New Roman"/>
                <w:sz w:val="24"/>
              </w:rPr>
              <w:t>0</w:t>
            </w:r>
            <w:r w:rsidRPr="00661595">
              <w:rPr>
                <w:rFonts w:ascii="Times New Roman" w:hAnsi="Times New Roman"/>
                <w:sz w:val="24"/>
              </w:rPr>
              <w:t>80</w:t>
            </w:r>
          </w:p>
        </w:tc>
        <w:tc>
          <w:tcPr>
            <w:tcW w:w="8789" w:type="dxa"/>
          </w:tcPr>
          <w:p w:rsidR="004D45AA" w:rsidRPr="00661595" w:rsidRDefault="004D45AA" w:rsidP="004D45AA">
            <w:pPr>
              <w:rPr>
                <w:rFonts w:ascii="Times New Roman" w:hAnsi="Times New Roman"/>
                <w:sz w:val="24"/>
              </w:rPr>
            </w:pPr>
            <w:r w:rsidRPr="00661595">
              <w:rPr>
                <w:rFonts w:ascii="Times New Roman" w:hAnsi="Times New Roman"/>
                <w:b/>
                <w:sz w:val="24"/>
                <w:u w:val="single"/>
              </w:rPr>
              <w:t xml:space="preserve">SPECIALISED LENDING SLOTTING </w:t>
            </w:r>
            <w:r w:rsidR="00AC6619" w:rsidRPr="00661595">
              <w:rPr>
                <w:rFonts w:ascii="Times New Roman" w:hAnsi="Times New Roman"/>
                <w:b/>
                <w:sz w:val="24"/>
                <w:u w:val="single"/>
              </w:rPr>
              <w:t>APPROACH</w:t>
            </w:r>
            <w:r w:rsidRPr="00661595">
              <w:rPr>
                <w:rFonts w:ascii="Times New Roman" w:hAnsi="Times New Roman"/>
                <w:b/>
                <w:sz w:val="24"/>
                <w:u w:val="single"/>
              </w:rPr>
              <w:t>: TOTAL</w:t>
            </w:r>
          </w:p>
          <w:p w:rsidR="004D45AA" w:rsidRPr="00661595" w:rsidRDefault="004D45AA" w:rsidP="00AC6619">
            <w:pPr>
              <w:rPr>
                <w:rFonts w:ascii="Times New Roman" w:hAnsi="Times New Roman"/>
                <w:sz w:val="24"/>
              </w:rPr>
            </w:pPr>
            <w:r w:rsidRPr="00661595">
              <w:rPr>
                <w:rFonts w:ascii="Times New Roman" w:hAnsi="Times New Roman"/>
                <w:sz w:val="24"/>
              </w:rPr>
              <w:t>Article 153(5) CRR. This shall only apply to the exposure classe corporate</w:t>
            </w:r>
            <w:r w:rsidR="00AC6619" w:rsidRPr="00661595">
              <w:rPr>
                <w:rFonts w:ascii="Times New Roman" w:hAnsi="Times New Roman"/>
                <w:sz w:val="24"/>
              </w:rPr>
              <w:t xml:space="preserve"> – specialised lending. </w:t>
            </w:r>
            <w:r w:rsidRPr="00661595">
              <w:rPr>
                <w:rFonts w:ascii="Times New Roman" w:hAnsi="Times New Roman"/>
                <w:sz w:val="24"/>
              </w:rPr>
              <w:t xml:space="preserve"> </w:t>
            </w:r>
          </w:p>
        </w:tc>
      </w:tr>
      <w:tr w:rsidR="004D45AA" w:rsidRPr="00661595" w:rsidTr="00672D2A">
        <w:tc>
          <w:tcPr>
            <w:tcW w:w="1242" w:type="dxa"/>
          </w:tcPr>
          <w:p w:rsidR="004D45AA" w:rsidRPr="00661595" w:rsidRDefault="001452FC" w:rsidP="004D45AA">
            <w:pPr>
              <w:rPr>
                <w:rFonts w:ascii="Times New Roman" w:hAnsi="Times New Roman"/>
                <w:sz w:val="24"/>
              </w:rPr>
            </w:pPr>
            <w:r w:rsidRPr="00661595">
              <w:rPr>
                <w:rFonts w:ascii="Times New Roman" w:hAnsi="Times New Roman"/>
                <w:sz w:val="24"/>
              </w:rPr>
              <w:t>0</w:t>
            </w:r>
            <w:r w:rsidR="004D45AA" w:rsidRPr="00661595">
              <w:rPr>
                <w:rFonts w:ascii="Times New Roman" w:hAnsi="Times New Roman"/>
                <w:sz w:val="24"/>
              </w:rPr>
              <w:t>160</w:t>
            </w:r>
          </w:p>
        </w:tc>
        <w:tc>
          <w:tcPr>
            <w:tcW w:w="8789" w:type="dxa"/>
          </w:tcPr>
          <w:p w:rsidR="004D45AA" w:rsidRPr="00661595" w:rsidRDefault="004D45AA" w:rsidP="004D45AA">
            <w:pPr>
              <w:rPr>
                <w:rStyle w:val="InstructionsTabelleberschrift"/>
                <w:rFonts w:ascii="Times New Roman" w:hAnsi="Times New Roman"/>
                <w:sz w:val="24"/>
              </w:rPr>
            </w:pPr>
            <w:r w:rsidRPr="00661595">
              <w:rPr>
                <w:rStyle w:val="InstructionsTabelleberschrift"/>
                <w:rFonts w:ascii="Times New Roman" w:hAnsi="Times New Roman"/>
                <w:sz w:val="24"/>
              </w:rPr>
              <w:t>ALTERNATIVE TREATMENT: SECURED BY REAL ESTATE</w:t>
            </w:r>
          </w:p>
          <w:p w:rsidR="004D45AA" w:rsidRPr="00661595" w:rsidRDefault="004D45AA" w:rsidP="004D45AA">
            <w:pPr>
              <w:rPr>
                <w:rFonts w:ascii="Times New Roman" w:hAnsi="Times New Roman"/>
                <w:sz w:val="24"/>
              </w:rPr>
            </w:pPr>
            <w:r w:rsidRPr="00661595">
              <w:rPr>
                <w:rFonts w:ascii="Times New Roman" w:hAnsi="Times New Roman"/>
                <w:sz w:val="24"/>
              </w:rPr>
              <w:t>Paragraphs 1 and 2 of Article 193, paragraphs 1 to 7 of Article 194 and Article 230(3) CRR.</w:t>
            </w:r>
          </w:p>
          <w:p w:rsidR="004D45AA" w:rsidRPr="00661595" w:rsidRDefault="004D45AA" w:rsidP="004D45AA">
            <w:pPr>
              <w:rPr>
                <w:rFonts w:ascii="Times New Roman" w:hAnsi="Times New Roman"/>
                <w:sz w:val="24"/>
              </w:rPr>
            </w:pPr>
            <w:r w:rsidRPr="00661595">
              <w:rPr>
                <w:rFonts w:ascii="Times New Roman" w:hAnsi="Times New Roman"/>
                <w:sz w:val="24"/>
              </w:rPr>
              <w:t>This alternative is available only for institutions using Foundation-IRB approach.</w:t>
            </w:r>
          </w:p>
        </w:tc>
      </w:tr>
      <w:tr w:rsidR="004D45AA" w:rsidRPr="00661595" w:rsidTr="00672D2A">
        <w:tc>
          <w:tcPr>
            <w:tcW w:w="1242" w:type="dxa"/>
          </w:tcPr>
          <w:p w:rsidR="004D45AA" w:rsidRPr="00661595" w:rsidRDefault="001452FC" w:rsidP="004D45AA">
            <w:pPr>
              <w:rPr>
                <w:rFonts w:ascii="Times New Roman" w:hAnsi="Times New Roman"/>
                <w:sz w:val="24"/>
              </w:rPr>
            </w:pPr>
            <w:r w:rsidRPr="00661595">
              <w:rPr>
                <w:rFonts w:ascii="Times New Roman" w:hAnsi="Times New Roman"/>
                <w:sz w:val="24"/>
              </w:rPr>
              <w:t>0</w:t>
            </w:r>
            <w:r w:rsidR="004D45AA" w:rsidRPr="00661595">
              <w:rPr>
                <w:rFonts w:ascii="Times New Roman" w:hAnsi="Times New Roman"/>
                <w:sz w:val="24"/>
              </w:rPr>
              <w:t>170</w:t>
            </w:r>
          </w:p>
        </w:tc>
        <w:tc>
          <w:tcPr>
            <w:tcW w:w="8789" w:type="dxa"/>
          </w:tcPr>
          <w:p w:rsidR="004D45AA" w:rsidRPr="00661595" w:rsidRDefault="004D45AA" w:rsidP="004D45AA">
            <w:pPr>
              <w:rPr>
                <w:rStyle w:val="InstructionsTabelleberschrift"/>
                <w:rFonts w:ascii="Times New Roman" w:hAnsi="Times New Roman"/>
                <w:sz w:val="24"/>
              </w:rPr>
            </w:pPr>
            <w:r w:rsidRPr="00661595">
              <w:rPr>
                <w:rStyle w:val="InstructionsTabelleberschrift"/>
                <w:rFonts w:ascii="Times New Roman" w:hAnsi="Times New Roman"/>
                <w:sz w:val="24"/>
              </w:rPr>
              <w:t>EXPOSURES FROM FREE DELIVERIES APPLYING RISK WEIGHTS UNDER THE ALTERNATIVE TREATMENT OR 100% AND OTHER EXPOSURES SUBJECT TO RISK WEIGHTS</w:t>
            </w:r>
          </w:p>
          <w:p w:rsidR="004D45AA" w:rsidRPr="00661595" w:rsidRDefault="004D45AA" w:rsidP="004D45AA">
            <w:pPr>
              <w:rPr>
                <w:rFonts w:ascii="Times New Roman" w:hAnsi="Times New Roman"/>
                <w:sz w:val="24"/>
              </w:rPr>
            </w:pPr>
            <w:r w:rsidRPr="00661595">
              <w:rPr>
                <w:rFonts w:ascii="Times New Roman" w:hAnsi="Times New Roman"/>
                <w:sz w:val="24"/>
              </w:rPr>
              <w:t>Exposures arising from free deliveries for which the alternative treatment referred to in the last sentence of the first subparagraph of Article 379(2) CRR is used, or for which a 100% risk weight is applied in accordance with the last subparagraph of Article 379(2) CRR. Unrated nth-to-default credit derivatives in accordance with Article 153(8) CRR and any other exposure subject to risk weights not included in any other row shall be reported in this row.</w:t>
            </w:r>
          </w:p>
        </w:tc>
      </w:tr>
      <w:tr w:rsidR="004D45AA" w:rsidRPr="00661595" w:rsidTr="00672D2A">
        <w:tc>
          <w:tcPr>
            <w:tcW w:w="1242" w:type="dxa"/>
          </w:tcPr>
          <w:p w:rsidR="004D45AA" w:rsidRPr="00661595" w:rsidRDefault="001452FC" w:rsidP="004D45AA">
            <w:pPr>
              <w:rPr>
                <w:rFonts w:ascii="Times New Roman" w:hAnsi="Times New Roman"/>
                <w:sz w:val="24"/>
              </w:rPr>
            </w:pPr>
            <w:r w:rsidRPr="00661595">
              <w:rPr>
                <w:rFonts w:ascii="Times New Roman" w:hAnsi="Times New Roman"/>
                <w:sz w:val="24"/>
              </w:rPr>
              <w:t>0</w:t>
            </w:r>
            <w:r w:rsidR="004D45AA" w:rsidRPr="00661595">
              <w:rPr>
                <w:rFonts w:ascii="Times New Roman" w:hAnsi="Times New Roman"/>
                <w:sz w:val="24"/>
              </w:rPr>
              <w:t>180</w:t>
            </w:r>
          </w:p>
        </w:tc>
        <w:tc>
          <w:tcPr>
            <w:tcW w:w="8789" w:type="dxa"/>
          </w:tcPr>
          <w:p w:rsidR="004D45AA" w:rsidRPr="00661595" w:rsidRDefault="004D45AA" w:rsidP="004D45AA">
            <w:pPr>
              <w:rPr>
                <w:rStyle w:val="InstructionsTabelleberschrift"/>
                <w:rFonts w:ascii="Times New Roman" w:hAnsi="Times New Roman"/>
                <w:sz w:val="24"/>
              </w:rPr>
            </w:pPr>
            <w:r w:rsidRPr="00661595">
              <w:rPr>
                <w:rStyle w:val="InstructionsTabelleberschrift"/>
                <w:rFonts w:ascii="Times New Roman" w:hAnsi="Times New Roman"/>
                <w:sz w:val="24"/>
              </w:rPr>
              <w:t>DILUTION RISK: TOTAL PURCHASED RECEIVABLES</w:t>
            </w:r>
          </w:p>
          <w:p w:rsidR="004D45AA" w:rsidRPr="00661595" w:rsidRDefault="004D45AA" w:rsidP="004D45AA">
            <w:pPr>
              <w:rPr>
                <w:rFonts w:ascii="Times New Roman" w:hAnsi="Times New Roman"/>
                <w:sz w:val="24"/>
              </w:rPr>
            </w:pPr>
            <w:r w:rsidRPr="00661595">
              <w:rPr>
                <w:rFonts w:ascii="Times New Roman" w:hAnsi="Times New Roman"/>
                <w:sz w:val="24"/>
              </w:rPr>
              <w:t>See point (53) of Article 4(1) CRR for a definition of dilution risk. For calculation of risk weight</w:t>
            </w:r>
            <w:r w:rsidR="008151A6" w:rsidRPr="00661595">
              <w:rPr>
                <w:rFonts w:ascii="Times New Roman" w:hAnsi="Times New Roman"/>
                <w:sz w:val="24"/>
              </w:rPr>
              <w:t>ed exposure amounts</w:t>
            </w:r>
            <w:r w:rsidRPr="00661595">
              <w:rPr>
                <w:rFonts w:ascii="Times New Roman" w:hAnsi="Times New Roman"/>
                <w:sz w:val="24"/>
              </w:rPr>
              <w:t xml:space="preserve"> for dilution risk see Article 157</w:t>
            </w:r>
            <w:r w:rsidR="008151A6" w:rsidRPr="00661595">
              <w:rPr>
                <w:rFonts w:ascii="Times New Roman" w:hAnsi="Times New Roman"/>
                <w:sz w:val="24"/>
              </w:rPr>
              <w:t xml:space="preserve"> </w:t>
            </w:r>
            <w:r w:rsidRPr="00661595">
              <w:rPr>
                <w:rFonts w:ascii="Times New Roman" w:hAnsi="Times New Roman"/>
                <w:sz w:val="24"/>
              </w:rPr>
              <w:t>CRR.</w:t>
            </w:r>
            <w:r w:rsidR="008151A6" w:rsidRPr="00661595">
              <w:rPr>
                <w:rFonts w:ascii="Times New Roman" w:hAnsi="Times New Roman"/>
                <w:sz w:val="24"/>
              </w:rPr>
              <w:t xml:space="preserve"> Dilution risk shall be reported for corporate and retail purchased receivables.</w:t>
            </w:r>
          </w:p>
          <w:p w:rsidR="004D45AA" w:rsidRPr="00661595" w:rsidRDefault="004D45AA" w:rsidP="004D45AA">
            <w:pPr>
              <w:rPr>
                <w:rFonts w:ascii="Times New Roman" w:hAnsi="Times New Roman"/>
                <w:sz w:val="24"/>
              </w:rPr>
            </w:pPr>
          </w:p>
        </w:tc>
      </w:tr>
    </w:tbl>
    <w:p w:rsidR="004357B9" w:rsidRPr="00661595" w:rsidRDefault="004357B9" w:rsidP="004357B9">
      <w:pPr>
        <w:autoSpaceDE w:val="0"/>
        <w:autoSpaceDN w:val="0"/>
        <w:adjustRightInd w:val="0"/>
        <w:spacing w:before="0" w:after="0"/>
        <w:ind w:left="284"/>
        <w:jc w:val="left"/>
        <w:rPr>
          <w:rFonts w:ascii="Times New Roman" w:hAnsi="Times New Roman"/>
          <w:sz w:val="24"/>
          <w:lang w:eastAsia="de-DE"/>
        </w:rPr>
      </w:pPr>
      <w:bookmarkStart w:id="241" w:name="_Toc120327823"/>
      <w:bookmarkStart w:id="242" w:name="_Toc120072325"/>
      <w:bookmarkStart w:id="243" w:name="_Toc294280272"/>
      <w:bookmarkStart w:id="244" w:name="_Toc294281597"/>
      <w:bookmarkStart w:id="245" w:name="_Toc294281817"/>
      <w:bookmarkStart w:id="246" w:name="_Toc294282031"/>
      <w:bookmarkStart w:id="247" w:name="_Toc294282234"/>
      <w:bookmarkStart w:id="248" w:name="_Toc294714169"/>
      <w:bookmarkStart w:id="249" w:name="_Toc295314195"/>
      <w:bookmarkStart w:id="250" w:name="_Toc295829584"/>
      <w:bookmarkStart w:id="251" w:name="_Toc295829867"/>
      <w:bookmarkStart w:id="252" w:name="_Toc301772755"/>
      <w:bookmarkStart w:id="253" w:name="_Toc301772833"/>
      <w:bookmarkStart w:id="254" w:name="_Toc302657772"/>
      <w:bookmarkStart w:id="255" w:name="_Toc302657891"/>
      <w:bookmarkStart w:id="256" w:name="_Toc294280294"/>
      <w:bookmarkStart w:id="257" w:name="_Toc294281619"/>
      <w:bookmarkStart w:id="258" w:name="_Toc294281839"/>
      <w:bookmarkStart w:id="259" w:name="_Toc294282053"/>
      <w:bookmarkStart w:id="260" w:name="_Toc294282256"/>
      <w:bookmarkStart w:id="261" w:name="_Toc294714191"/>
      <w:bookmarkStart w:id="262" w:name="_Toc295314217"/>
      <w:bookmarkStart w:id="263" w:name="_Toc295829606"/>
      <w:bookmarkStart w:id="264" w:name="_Toc295829889"/>
      <w:bookmarkStart w:id="265" w:name="_Toc301772777"/>
      <w:bookmarkStart w:id="266" w:name="_Toc301772855"/>
      <w:bookmarkStart w:id="267" w:name="_Toc302657794"/>
      <w:bookmarkStart w:id="268" w:name="_Toc302657913"/>
      <w:bookmarkStart w:id="269" w:name="_Toc294280312"/>
      <w:bookmarkStart w:id="270" w:name="_Toc294281637"/>
      <w:bookmarkStart w:id="271" w:name="_Toc294281857"/>
      <w:bookmarkStart w:id="272" w:name="_Toc294282071"/>
      <w:bookmarkStart w:id="273" w:name="_Toc294282274"/>
      <w:bookmarkStart w:id="274" w:name="_Toc294714209"/>
      <w:bookmarkStart w:id="275" w:name="_Toc295314235"/>
      <w:bookmarkStart w:id="276" w:name="_Toc295829624"/>
      <w:bookmarkStart w:id="277" w:name="_Toc295829907"/>
      <w:bookmarkStart w:id="278" w:name="_Toc301772795"/>
      <w:bookmarkStart w:id="279" w:name="_Toc301772873"/>
      <w:bookmarkStart w:id="280" w:name="_Toc302657812"/>
      <w:bookmarkStart w:id="281" w:name="_Toc302657931"/>
      <w:bookmarkStart w:id="282" w:name="_Toc294280316"/>
      <w:bookmarkStart w:id="283" w:name="_Toc294281641"/>
      <w:bookmarkStart w:id="284" w:name="_Toc294281861"/>
      <w:bookmarkStart w:id="285" w:name="_Toc294282075"/>
      <w:bookmarkStart w:id="286" w:name="_Toc294282278"/>
      <w:bookmarkStart w:id="287" w:name="_Toc294714213"/>
      <w:bookmarkStart w:id="288" w:name="_Toc295314239"/>
      <w:bookmarkStart w:id="289" w:name="_Toc295829628"/>
      <w:bookmarkStart w:id="290" w:name="_Toc295829911"/>
      <w:bookmarkStart w:id="291" w:name="_Toc301772799"/>
      <w:bookmarkStart w:id="292" w:name="_Toc301772877"/>
      <w:bookmarkStart w:id="293" w:name="_Toc302657816"/>
      <w:bookmarkStart w:id="294" w:name="_Toc302657935"/>
      <w:bookmarkStart w:id="295" w:name="_Toc294280319"/>
      <w:bookmarkStart w:id="296" w:name="_Toc294281644"/>
      <w:bookmarkStart w:id="297" w:name="_Toc294281864"/>
      <w:bookmarkStart w:id="298" w:name="_Toc294282078"/>
      <w:bookmarkStart w:id="299" w:name="_Toc294282281"/>
      <w:bookmarkStart w:id="300" w:name="_Toc294714216"/>
      <w:bookmarkStart w:id="301" w:name="_Toc295314242"/>
      <w:bookmarkStart w:id="302" w:name="_Toc295829631"/>
      <w:bookmarkStart w:id="303" w:name="_Toc295829914"/>
      <w:bookmarkStart w:id="304" w:name="_Toc301772802"/>
      <w:bookmarkStart w:id="305" w:name="_Toc301772880"/>
      <w:bookmarkStart w:id="306" w:name="_Toc302657819"/>
      <w:bookmarkStart w:id="307" w:name="_Toc302657938"/>
      <w:bookmarkStart w:id="308" w:name="_Toc294280322"/>
      <w:bookmarkStart w:id="309" w:name="_Toc294281647"/>
      <w:bookmarkStart w:id="310" w:name="_Toc294281867"/>
      <w:bookmarkStart w:id="311" w:name="_Toc294282081"/>
      <w:bookmarkStart w:id="312" w:name="_Toc294282284"/>
      <w:bookmarkStart w:id="313" w:name="_Toc294714219"/>
      <w:bookmarkStart w:id="314" w:name="_Toc295314245"/>
      <w:bookmarkStart w:id="315" w:name="_Toc295829634"/>
      <w:bookmarkStart w:id="316" w:name="_Toc295829917"/>
      <w:bookmarkStart w:id="317" w:name="_Toc301772805"/>
      <w:bookmarkStart w:id="318" w:name="_Toc301772883"/>
      <w:bookmarkStart w:id="319" w:name="_Toc302657822"/>
      <w:bookmarkStart w:id="320" w:name="_Toc302657941"/>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p>
    <w:p w:rsidR="001C7AB7"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321" w:name="_Toc473560911"/>
      <w:bookmarkStart w:id="322" w:name="_Toc57831551"/>
      <w:r w:rsidRPr="00661595">
        <w:rPr>
          <w:rFonts w:ascii="Times New Roman" w:hAnsi="Times New Roman" w:cs="Times New Roman"/>
          <w:sz w:val="24"/>
          <w:u w:val="none"/>
          <w:lang w:val="en-GB"/>
        </w:rPr>
        <w:t>3.3.4.</w:t>
      </w:r>
      <w:r w:rsidRPr="00661595">
        <w:rPr>
          <w:rFonts w:ascii="Times New Roman" w:hAnsi="Times New Roman" w:cs="Times New Roman"/>
          <w:sz w:val="24"/>
          <w:u w:val="none"/>
          <w:lang w:val="en-GB"/>
        </w:rPr>
        <w:tab/>
      </w:r>
      <w:r w:rsidR="009769DE" w:rsidRPr="00661595">
        <w:rPr>
          <w:rFonts w:ascii="Times New Roman" w:hAnsi="Times New Roman" w:cs="Times New Roman"/>
          <w:sz w:val="24"/>
          <w:lang w:val="en-GB"/>
        </w:rPr>
        <w:t xml:space="preserve">C 08.02 - </w:t>
      </w:r>
      <w:r w:rsidR="001C7AB7" w:rsidRPr="00661595">
        <w:rPr>
          <w:rFonts w:ascii="Times New Roman" w:hAnsi="Times New Roman" w:cs="Times New Roman"/>
          <w:sz w:val="24"/>
          <w:lang w:val="en-GB"/>
        </w:rPr>
        <w:t xml:space="preserve">Credit and counterparty credit risks and free deliveries: </w:t>
      </w:r>
      <w:r w:rsidR="008241B9" w:rsidRPr="00661595">
        <w:rPr>
          <w:rFonts w:ascii="Times New Roman" w:hAnsi="Times New Roman" w:cs="Times New Roman"/>
          <w:sz w:val="24"/>
          <w:lang w:val="en-GB"/>
        </w:rPr>
        <w:t xml:space="preserve">IRB </w:t>
      </w:r>
      <w:r w:rsidR="009A4399" w:rsidRPr="00661595">
        <w:rPr>
          <w:rFonts w:ascii="Times New Roman" w:hAnsi="Times New Roman" w:cs="Times New Roman"/>
          <w:sz w:val="24"/>
          <w:lang w:val="en-GB"/>
        </w:rPr>
        <w:t>a</w:t>
      </w:r>
      <w:r w:rsidR="008241B9" w:rsidRPr="00661595">
        <w:rPr>
          <w:rFonts w:ascii="Times New Roman" w:hAnsi="Times New Roman" w:cs="Times New Roman"/>
          <w:sz w:val="24"/>
          <w:lang w:val="en-GB"/>
        </w:rPr>
        <w:t>pproach</w:t>
      </w:r>
      <w:r w:rsidR="001C7AB7" w:rsidRPr="00661595">
        <w:rPr>
          <w:rFonts w:ascii="Times New Roman" w:hAnsi="Times New Roman" w:cs="Times New Roman"/>
          <w:sz w:val="24"/>
          <w:lang w:val="en-GB"/>
        </w:rPr>
        <w:t xml:space="preserve"> to capital requirements</w:t>
      </w:r>
      <w:r w:rsidR="00F855D5" w:rsidRPr="00661595">
        <w:rPr>
          <w:rFonts w:ascii="Times New Roman" w:hAnsi="Times New Roman" w:cs="Times New Roman"/>
          <w:sz w:val="24"/>
          <w:lang w:val="en-GB"/>
        </w:rPr>
        <w:t xml:space="preserve">: </w:t>
      </w:r>
      <w:r w:rsidR="001C7AB7" w:rsidRPr="00661595">
        <w:rPr>
          <w:rFonts w:ascii="Times New Roman" w:hAnsi="Times New Roman" w:cs="Times New Roman"/>
          <w:sz w:val="24"/>
          <w:lang w:val="en-GB"/>
        </w:rPr>
        <w:t>breakdown by obligor grades or pools</w:t>
      </w:r>
      <w:r w:rsidR="009769DE" w:rsidRPr="00661595">
        <w:rPr>
          <w:rFonts w:ascii="Times New Roman" w:hAnsi="Times New Roman" w:cs="Times New Roman"/>
          <w:sz w:val="24"/>
          <w:lang w:val="en-GB"/>
        </w:rPr>
        <w:t xml:space="preserve"> (CR IRB 2 template)</w:t>
      </w:r>
      <w:bookmarkEnd w:id="321"/>
      <w:bookmarkEnd w:id="322"/>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4"/>
        <w:gridCol w:w="7804"/>
      </w:tblGrid>
      <w:tr w:rsidR="001C7AB7" w:rsidRPr="00661595" w:rsidTr="00672D2A">
        <w:tc>
          <w:tcPr>
            <w:tcW w:w="2024" w:type="dxa"/>
            <w:shd w:val="clear" w:color="auto" w:fill="BFBFBF"/>
          </w:tcPr>
          <w:p w:rsidR="001C7AB7" w:rsidRPr="00661595" w:rsidRDefault="001C7AB7" w:rsidP="001C7AB7">
            <w:pPr>
              <w:rPr>
                <w:rFonts w:ascii="Times New Roman" w:hAnsi="Times New Roman"/>
                <w:sz w:val="24"/>
              </w:rPr>
            </w:pPr>
            <w:r w:rsidRPr="00661595">
              <w:rPr>
                <w:rFonts w:ascii="Times New Roman" w:hAnsi="Times New Roman"/>
                <w:sz w:val="24"/>
              </w:rPr>
              <w:t>Column</w:t>
            </w:r>
          </w:p>
        </w:tc>
        <w:tc>
          <w:tcPr>
            <w:tcW w:w="7804" w:type="dxa"/>
            <w:shd w:val="clear" w:color="auto" w:fill="BFBFBF"/>
          </w:tcPr>
          <w:p w:rsidR="001C7AB7" w:rsidRPr="00661595" w:rsidRDefault="001C7AB7" w:rsidP="001C7AB7">
            <w:pPr>
              <w:rPr>
                <w:rFonts w:ascii="Times New Roman" w:hAnsi="Times New Roman"/>
                <w:sz w:val="24"/>
              </w:rPr>
            </w:pPr>
            <w:r w:rsidRPr="00661595">
              <w:rPr>
                <w:rFonts w:ascii="Times New Roman" w:hAnsi="Times New Roman"/>
                <w:sz w:val="24"/>
              </w:rPr>
              <w:t>Instructions</w:t>
            </w:r>
          </w:p>
        </w:tc>
      </w:tr>
      <w:tr w:rsidR="00E97CD2" w:rsidRPr="00661595" w:rsidTr="00672D2A">
        <w:tc>
          <w:tcPr>
            <w:tcW w:w="2024" w:type="dxa"/>
          </w:tcPr>
          <w:p w:rsidR="00E97CD2" w:rsidRPr="00661595" w:rsidRDefault="001452FC" w:rsidP="001C7AB7">
            <w:pPr>
              <w:rPr>
                <w:rFonts w:ascii="Times New Roman" w:hAnsi="Times New Roman"/>
                <w:sz w:val="24"/>
              </w:rPr>
            </w:pPr>
            <w:r w:rsidRPr="00661595">
              <w:rPr>
                <w:rFonts w:ascii="Times New Roman" w:hAnsi="Times New Roman"/>
                <w:sz w:val="24"/>
              </w:rPr>
              <w:t>0</w:t>
            </w:r>
            <w:r w:rsidR="00E97CD2" w:rsidRPr="00661595">
              <w:rPr>
                <w:rFonts w:ascii="Times New Roman" w:hAnsi="Times New Roman"/>
                <w:sz w:val="24"/>
              </w:rPr>
              <w:t>005</w:t>
            </w:r>
          </w:p>
        </w:tc>
        <w:tc>
          <w:tcPr>
            <w:tcW w:w="7804" w:type="dxa"/>
          </w:tcPr>
          <w:p w:rsidR="00E97CD2" w:rsidRPr="00661595" w:rsidRDefault="00E97CD2" w:rsidP="001C7AB7">
            <w:pPr>
              <w:rPr>
                <w:rFonts w:ascii="Times New Roman" w:hAnsi="Times New Roman"/>
                <w:b/>
                <w:sz w:val="24"/>
                <w:u w:val="single"/>
              </w:rPr>
            </w:pPr>
            <w:r w:rsidRPr="00661595">
              <w:rPr>
                <w:rFonts w:ascii="Times New Roman" w:hAnsi="Times New Roman"/>
                <w:b/>
                <w:sz w:val="24"/>
                <w:u w:val="single"/>
              </w:rPr>
              <w:t>Obligor grade</w:t>
            </w:r>
            <w:r w:rsidR="006D3B1A" w:rsidRPr="00661595">
              <w:rPr>
                <w:rFonts w:ascii="Times New Roman" w:hAnsi="Times New Roman"/>
                <w:b/>
                <w:sz w:val="24"/>
                <w:u w:val="single"/>
              </w:rPr>
              <w:t xml:space="preserve"> (row identifier)</w:t>
            </w:r>
          </w:p>
          <w:p w:rsidR="00E97CD2" w:rsidRPr="00661595" w:rsidRDefault="00E97CD2" w:rsidP="00133396">
            <w:pPr>
              <w:rPr>
                <w:rFonts w:ascii="Times New Roman" w:hAnsi="Times New Roman"/>
                <w:sz w:val="24"/>
              </w:rPr>
            </w:pPr>
            <w:r w:rsidRPr="00661595">
              <w:rPr>
                <w:rFonts w:ascii="Times New Roman" w:hAnsi="Times New Roman"/>
                <w:sz w:val="24"/>
              </w:rPr>
              <w:t xml:space="preserve">This is a row identifier and </w:t>
            </w:r>
            <w:r w:rsidR="003F05A0" w:rsidRPr="00661595">
              <w:rPr>
                <w:rFonts w:ascii="Times New Roman" w:hAnsi="Times New Roman"/>
                <w:sz w:val="24"/>
              </w:rPr>
              <w:t>shall</w:t>
            </w:r>
            <w:r w:rsidRPr="00661595">
              <w:rPr>
                <w:rFonts w:ascii="Times New Roman" w:hAnsi="Times New Roman"/>
                <w:sz w:val="24"/>
              </w:rPr>
              <w:t xml:space="preserve"> be unique for each row on a particular sheet of the </w:t>
            </w:r>
            <w:r w:rsidR="00133396" w:rsidRPr="00661595">
              <w:rPr>
                <w:rFonts w:ascii="Times New Roman" w:hAnsi="Times New Roman"/>
                <w:sz w:val="24"/>
              </w:rPr>
              <w:t>template</w:t>
            </w:r>
            <w:r w:rsidRPr="00661595">
              <w:rPr>
                <w:rFonts w:ascii="Times New Roman" w:hAnsi="Times New Roman"/>
                <w:sz w:val="24"/>
              </w:rPr>
              <w:t>.</w:t>
            </w:r>
            <w:r w:rsidR="006D3B1A" w:rsidRPr="00661595">
              <w:rPr>
                <w:rFonts w:ascii="Times New Roman" w:hAnsi="Times New Roman"/>
                <w:sz w:val="24"/>
              </w:rPr>
              <w:t xml:space="preserve"> It shall follow the numerical order 1,</w:t>
            </w:r>
            <w:r w:rsidR="001959EF" w:rsidRPr="00661595">
              <w:rPr>
                <w:rFonts w:ascii="Times New Roman" w:hAnsi="Times New Roman"/>
                <w:sz w:val="24"/>
              </w:rPr>
              <w:t xml:space="preserve"> </w:t>
            </w:r>
            <w:r w:rsidR="006D3B1A" w:rsidRPr="00661595">
              <w:rPr>
                <w:rFonts w:ascii="Times New Roman" w:hAnsi="Times New Roman"/>
                <w:sz w:val="24"/>
              </w:rPr>
              <w:t>2,</w:t>
            </w:r>
            <w:r w:rsidR="001959EF" w:rsidRPr="00661595">
              <w:rPr>
                <w:rFonts w:ascii="Times New Roman" w:hAnsi="Times New Roman"/>
                <w:sz w:val="24"/>
              </w:rPr>
              <w:t xml:space="preserve"> </w:t>
            </w:r>
            <w:r w:rsidR="006D3B1A" w:rsidRPr="00661595">
              <w:rPr>
                <w:rFonts w:ascii="Times New Roman" w:hAnsi="Times New Roman"/>
                <w:sz w:val="24"/>
              </w:rPr>
              <w:t>3</w:t>
            </w:r>
            <w:r w:rsidR="001C7F2A" w:rsidRPr="00661595">
              <w:rPr>
                <w:rFonts w:ascii="Times New Roman" w:hAnsi="Times New Roman"/>
                <w:sz w:val="24"/>
              </w:rPr>
              <w:t>,</w:t>
            </w:r>
            <w:r w:rsidR="006D3B1A" w:rsidRPr="00661595">
              <w:rPr>
                <w:rFonts w:ascii="Times New Roman" w:hAnsi="Times New Roman"/>
                <w:sz w:val="24"/>
              </w:rPr>
              <w:t xml:space="preserve"> etc.</w:t>
            </w:r>
          </w:p>
          <w:p w:rsidR="008151A6" w:rsidRPr="00661595" w:rsidRDefault="008151A6" w:rsidP="00133396">
            <w:pPr>
              <w:rPr>
                <w:rFonts w:ascii="Times New Roman" w:hAnsi="Times New Roman"/>
                <w:sz w:val="24"/>
              </w:rPr>
            </w:pPr>
            <w:r w:rsidRPr="00661595">
              <w:rPr>
                <w:rFonts w:ascii="Times New Roman" w:hAnsi="Times New Roman"/>
                <w:sz w:val="24"/>
              </w:rPr>
              <w:t>The first grade (or pool) to be reported is the best, then the second-best and so on. The last reported grade or grades (or pool) shall be that of exposures in default.</w:t>
            </w:r>
            <w:r w:rsidRPr="00661595" w:rsidDel="00293892">
              <w:rPr>
                <w:rFonts w:ascii="Times New Roman" w:hAnsi="Times New Roman"/>
                <w:sz w:val="24"/>
              </w:rPr>
              <w:t xml:space="preserve"> </w:t>
            </w:r>
          </w:p>
        </w:tc>
      </w:tr>
      <w:tr w:rsidR="001C7AB7" w:rsidRPr="00661595" w:rsidTr="00672D2A">
        <w:tc>
          <w:tcPr>
            <w:tcW w:w="2024" w:type="dxa"/>
          </w:tcPr>
          <w:p w:rsidR="001C7AB7" w:rsidRPr="00661595" w:rsidRDefault="001452FC" w:rsidP="001C7AB7">
            <w:pPr>
              <w:rPr>
                <w:rFonts w:ascii="Times New Roman" w:hAnsi="Times New Roman"/>
                <w:sz w:val="24"/>
              </w:rPr>
            </w:pPr>
            <w:r w:rsidRPr="00661595">
              <w:rPr>
                <w:rFonts w:ascii="Times New Roman" w:hAnsi="Times New Roman"/>
                <w:sz w:val="24"/>
              </w:rPr>
              <w:t>0</w:t>
            </w:r>
            <w:r w:rsidR="001C7AB7" w:rsidRPr="00661595">
              <w:rPr>
                <w:rFonts w:ascii="Times New Roman" w:hAnsi="Times New Roman"/>
                <w:sz w:val="24"/>
              </w:rPr>
              <w:t>010-</w:t>
            </w:r>
            <w:r w:rsidRPr="00661595">
              <w:rPr>
                <w:rFonts w:ascii="Times New Roman" w:hAnsi="Times New Roman"/>
                <w:sz w:val="24"/>
              </w:rPr>
              <w:t>0</w:t>
            </w:r>
            <w:r w:rsidR="001C7AB7" w:rsidRPr="00661595">
              <w:rPr>
                <w:rFonts w:ascii="Times New Roman" w:hAnsi="Times New Roman"/>
                <w:sz w:val="24"/>
              </w:rPr>
              <w:t>300</w:t>
            </w:r>
          </w:p>
        </w:tc>
        <w:tc>
          <w:tcPr>
            <w:tcW w:w="7804" w:type="dxa"/>
          </w:tcPr>
          <w:p w:rsidR="001C7AB7" w:rsidRPr="00661595" w:rsidRDefault="001C7AB7" w:rsidP="00133396">
            <w:pPr>
              <w:rPr>
                <w:rFonts w:ascii="Times New Roman" w:hAnsi="Times New Roman"/>
                <w:sz w:val="24"/>
              </w:rPr>
            </w:pPr>
            <w:r w:rsidRPr="00661595">
              <w:rPr>
                <w:rFonts w:ascii="Times New Roman" w:hAnsi="Times New Roman"/>
                <w:sz w:val="24"/>
              </w:rPr>
              <w:t>Instructions for each of these columns are the same as for the corresponding numbered columns in CR IRB 1</w:t>
            </w:r>
            <w:r w:rsidR="00133396" w:rsidRPr="00661595">
              <w:rPr>
                <w:rFonts w:ascii="Times New Roman" w:hAnsi="Times New Roman"/>
                <w:sz w:val="24"/>
              </w:rPr>
              <w:t xml:space="preserve"> template</w:t>
            </w:r>
            <w:r w:rsidRPr="00661595">
              <w:rPr>
                <w:rFonts w:ascii="Times New Roman" w:hAnsi="Times New Roman"/>
                <w:sz w:val="24"/>
              </w:rPr>
              <w:t>.</w:t>
            </w:r>
          </w:p>
        </w:tc>
      </w:tr>
    </w:tbl>
    <w:p w:rsidR="001C7AB7" w:rsidRPr="00661595" w:rsidRDefault="001C7AB7" w:rsidP="001C7AB7">
      <w:pPr>
        <w:rPr>
          <w:rFonts w:ascii="Times New Roman" w:hAnsi="Times New Roman"/>
          <w:sz w:val="24"/>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4"/>
        <w:gridCol w:w="7804"/>
      </w:tblGrid>
      <w:tr w:rsidR="001C7AB7" w:rsidRPr="00661595" w:rsidTr="00672D2A">
        <w:tc>
          <w:tcPr>
            <w:tcW w:w="2024" w:type="dxa"/>
            <w:shd w:val="pct25" w:color="auto" w:fill="auto"/>
          </w:tcPr>
          <w:p w:rsidR="001C7AB7" w:rsidRPr="00661595" w:rsidRDefault="001C7AB7" w:rsidP="001C7AB7">
            <w:pPr>
              <w:rPr>
                <w:rFonts w:ascii="Times New Roman" w:hAnsi="Times New Roman"/>
                <w:sz w:val="24"/>
              </w:rPr>
            </w:pPr>
            <w:r w:rsidRPr="00661595">
              <w:rPr>
                <w:rFonts w:ascii="Times New Roman" w:hAnsi="Times New Roman"/>
                <w:sz w:val="24"/>
              </w:rPr>
              <w:t>Row</w:t>
            </w:r>
          </w:p>
        </w:tc>
        <w:tc>
          <w:tcPr>
            <w:tcW w:w="7804" w:type="dxa"/>
            <w:shd w:val="pct25" w:color="auto" w:fill="auto"/>
          </w:tcPr>
          <w:p w:rsidR="001C7AB7" w:rsidRPr="00661595" w:rsidRDefault="001C7AB7" w:rsidP="001C7AB7">
            <w:pPr>
              <w:rPr>
                <w:rFonts w:ascii="Times New Roman" w:hAnsi="Times New Roman"/>
                <w:sz w:val="24"/>
              </w:rPr>
            </w:pPr>
            <w:r w:rsidRPr="00661595">
              <w:rPr>
                <w:rFonts w:ascii="Times New Roman" w:hAnsi="Times New Roman"/>
                <w:sz w:val="24"/>
              </w:rPr>
              <w:t>Instructions</w:t>
            </w:r>
          </w:p>
        </w:tc>
      </w:tr>
      <w:tr w:rsidR="001C7AB7" w:rsidRPr="00661595" w:rsidTr="00672D2A">
        <w:tc>
          <w:tcPr>
            <w:tcW w:w="2024" w:type="dxa"/>
          </w:tcPr>
          <w:p w:rsidR="001C7AB7" w:rsidRPr="00661595" w:rsidRDefault="001C7AB7" w:rsidP="001C7AB7">
            <w:pPr>
              <w:rPr>
                <w:rFonts w:ascii="Times New Roman" w:hAnsi="Times New Roman"/>
                <w:sz w:val="24"/>
              </w:rPr>
            </w:pPr>
            <w:r w:rsidRPr="00661595">
              <w:rPr>
                <w:rFonts w:ascii="Times New Roman" w:hAnsi="Times New Roman"/>
                <w:sz w:val="24"/>
              </w:rPr>
              <w:t>0</w:t>
            </w:r>
            <w:r w:rsidR="001452FC" w:rsidRPr="00661595">
              <w:rPr>
                <w:rFonts w:ascii="Times New Roman" w:hAnsi="Times New Roman"/>
                <w:sz w:val="24"/>
              </w:rPr>
              <w:t>0</w:t>
            </w:r>
            <w:r w:rsidRPr="00661595">
              <w:rPr>
                <w:rFonts w:ascii="Times New Roman" w:hAnsi="Times New Roman"/>
                <w:sz w:val="24"/>
              </w:rPr>
              <w:t>10-00</w:t>
            </w:r>
            <w:r w:rsidR="001452FC" w:rsidRPr="00661595">
              <w:rPr>
                <w:rFonts w:ascii="Times New Roman" w:hAnsi="Times New Roman"/>
                <w:sz w:val="24"/>
              </w:rPr>
              <w:t>0</w:t>
            </w:r>
            <w:r w:rsidRPr="00661595">
              <w:rPr>
                <w:rFonts w:ascii="Times New Roman" w:hAnsi="Times New Roman"/>
                <w:sz w:val="24"/>
              </w:rPr>
              <w:t xml:space="preserve">1 – </w:t>
            </w:r>
            <w:r w:rsidR="001452FC" w:rsidRPr="00661595">
              <w:rPr>
                <w:rFonts w:ascii="Times New Roman" w:hAnsi="Times New Roman"/>
                <w:sz w:val="24"/>
              </w:rPr>
              <w:t>0</w:t>
            </w:r>
            <w:r w:rsidRPr="00661595">
              <w:rPr>
                <w:rFonts w:ascii="Times New Roman" w:hAnsi="Times New Roman"/>
                <w:sz w:val="24"/>
              </w:rPr>
              <w:t>010-</w:t>
            </w:r>
            <w:r w:rsidR="001452FC" w:rsidRPr="00661595">
              <w:rPr>
                <w:rFonts w:ascii="Times New Roman" w:hAnsi="Times New Roman"/>
                <w:sz w:val="24"/>
              </w:rPr>
              <w:t>N</w:t>
            </w:r>
            <w:r w:rsidRPr="00661595">
              <w:rPr>
                <w:rFonts w:ascii="Times New Roman" w:hAnsi="Times New Roman"/>
                <w:sz w:val="24"/>
              </w:rPr>
              <w:t>NNN</w:t>
            </w:r>
          </w:p>
        </w:tc>
        <w:tc>
          <w:tcPr>
            <w:tcW w:w="7804" w:type="dxa"/>
          </w:tcPr>
          <w:p w:rsidR="001C7AB7" w:rsidRPr="00661595" w:rsidRDefault="001C7AB7" w:rsidP="00763B4B">
            <w:pPr>
              <w:rPr>
                <w:rFonts w:ascii="Times New Roman" w:hAnsi="Times New Roman"/>
                <w:sz w:val="24"/>
              </w:rPr>
            </w:pPr>
            <w:r w:rsidRPr="00661595">
              <w:rPr>
                <w:rFonts w:ascii="Times New Roman" w:hAnsi="Times New Roman"/>
                <w:sz w:val="24"/>
              </w:rPr>
              <w:t xml:space="preserve">Values reported in these rows must be </w:t>
            </w:r>
            <w:r w:rsidR="008151A6" w:rsidRPr="00661595">
              <w:rPr>
                <w:rFonts w:ascii="Times New Roman" w:hAnsi="Times New Roman"/>
                <w:sz w:val="24"/>
              </w:rPr>
              <w:t>filled in in the order corresponding to the PD</w:t>
            </w:r>
            <w:r w:rsidRPr="00661595">
              <w:rPr>
                <w:rFonts w:ascii="Times New Roman" w:hAnsi="Times New Roman"/>
                <w:sz w:val="24"/>
              </w:rPr>
              <w:t xml:space="preserve"> assigned to the obligor grade or pool. PD of obligors in default shall be 100%. Exposures subject to the alternative treatment for real estate collateral (only available when not using own estimates for the LGD) </w:t>
            </w:r>
            <w:r w:rsidR="00B811B0" w:rsidRPr="00661595">
              <w:rPr>
                <w:rFonts w:ascii="Times New Roman" w:hAnsi="Times New Roman"/>
                <w:sz w:val="24"/>
              </w:rPr>
              <w:t>shall</w:t>
            </w:r>
            <w:r w:rsidRPr="00661595">
              <w:rPr>
                <w:rFonts w:ascii="Times New Roman" w:hAnsi="Times New Roman"/>
                <w:sz w:val="24"/>
              </w:rPr>
              <w:t xml:space="preserve"> not be assigned </w:t>
            </w:r>
            <w:r w:rsidR="00BB22D4" w:rsidRPr="00661595">
              <w:rPr>
                <w:rFonts w:ascii="Times New Roman" w:hAnsi="Times New Roman"/>
                <w:sz w:val="24"/>
              </w:rPr>
              <w:t>in accordance with</w:t>
            </w:r>
            <w:r w:rsidRPr="00661595">
              <w:rPr>
                <w:rFonts w:ascii="Times New Roman" w:hAnsi="Times New Roman"/>
                <w:sz w:val="24"/>
              </w:rPr>
              <w:t xml:space="preserve"> the PD of the obligor and </w:t>
            </w:r>
            <w:r w:rsidR="008151A6" w:rsidRPr="00661595">
              <w:rPr>
                <w:rFonts w:ascii="Times New Roman" w:hAnsi="Times New Roman"/>
                <w:sz w:val="24"/>
              </w:rPr>
              <w:t xml:space="preserve">shall </w:t>
            </w:r>
            <w:r w:rsidRPr="00661595">
              <w:rPr>
                <w:rFonts w:ascii="Times New Roman" w:hAnsi="Times New Roman"/>
                <w:sz w:val="24"/>
              </w:rPr>
              <w:t xml:space="preserve">not </w:t>
            </w:r>
            <w:r w:rsidR="008151A6" w:rsidRPr="00661595">
              <w:rPr>
                <w:rFonts w:ascii="Times New Roman" w:hAnsi="Times New Roman"/>
                <w:sz w:val="24"/>
              </w:rPr>
              <w:t xml:space="preserve">be </w:t>
            </w:r>
            <w:r w:rsidRPr="00661595">
              <w:rPr>
                <w:rFonts w:ascii="Times New Roman" w:hAnsi="Times New Roman"/>
                <w:sz w:val="24"/>
              </w:rPr>
              <w:t>reported in this template.</w:t>
            </w:r>
          </w:p>
        </w:tc>
      </w:tr>
    </w:tbl>
    <w:p w:rsidR="004357B9" w:rsidRPr="00661595" w:rsidRDefault="004357B9" w:rsidP="00487A02">
      <w:pPr>
        <w:pStyle w:val="InstructionsText"/>
      </w:pPr>
    </w:p>
    <w:p w:rsidR="008151A6" w:rsidRPr="00661595" w:rsidRDefault="008151A6" w:rsidP="00F66371">
      <w:pPr>
        <w:pStyle w:val="Instructionsberschrift2"/>
        <w:numPr>
          <w:ilvl w:val="2"/>
          <w:numId w:val="36"/>
        </w:numPr>
        <w:rPr>
          <w:rFonts w:ascii="Times New Roman" w:hAnsi="Times New Roman" w:cs="Times New Roman"/>
          <w:sz w:val="24"/>
          <w:lang w:val="en-GB"/>
        </w:rPr>
      </w:pPr>
      <w:bookmarkStart w:id="323" w:name="_Toc19715755"/>
      <w:bookmarkStart w:id="324" w:name="_Toc57831552"/>
      <w:r w:rsidRPr="00661595">
        <w:rPr>
          <w:rFonts w:ascii="Times New Roman" w:hAnsi="Times New Roman" w:cs="Times New Roman"/>
          <w:sz w:val="24"/>
          <w:lang w:val="en-GB"/>
        </w:rPr>
        <w:t xml:space="preserve">C 08.03 - Credit </w:t>
      </w:r>
      <w:r w:rsidR="00626A88" w:rsidRPr="00661595">
        <w:rPr>
          <w:rFonts w:ascii="Times New Roman" w:hAnsi="Times New Roman" w:cs="Times New Roman"/>
          <w:sz w:val="24"/>
          <w:lang w:val="en-GB"/>
        </w:rPr>
        <w:t>risk</w:t>
      </w:r>
      <w:r w:rsidRPr="00661595">
        <w:rPr>
          <w:rFonts w:ascii="Times New Roman" w:hAnsi="Times New Roman" w:cs="Times New Roman"/>
          <w:sz w:val="24"/>
          <w:lang w:val="en-GB"/>
        </w:rPr>
        <w:t xml:space="preserve"> and free deliveries: IRB </w:t>
      </w:r>
      <w:r w:rsidR="009A4399" w:rsidRPr="00661595">
        <w:rPr>
          <w:rFonts w:ascii="Times New Roman" w:hAnsi="Times New Roman" w:cs="Times New Roman"/>
          <w:sz w:val="24"/>
          <w:lang w:val="en-GB"/>
        </w:rPr>
        <w:t>a</w:t>
      </w:r>
      <w:r w:rsidRPr="00661595">
        <w:rPr>
          <w:rFonts w:ascii="Times New Roman" w:hAnsi="Times New Roman" w:cs="Times New Roman"/>
          <w:sz w:val="24"/>
          <w:lang w:val="en-GB"/>
        </w:rPr>
        <w:t>pproach to Capital Requirements (breakdown by PD ranges (CR IRB 3))</w:t>
      </w:r>
      <w:bookmarkEnd w:id="323"/>
      <w:bookmarkEnd w:id="324"/>
    </w:p>
    <w:p w:rsidR="008151A6" w:rsidRPr="00661595" w:rsidRDefault="008151A6" w:rsidP="00F66371">
      <w:pPr>
        <w:pStyle w:val="Instructionsberschrift2"/>
        <w:numPr>
          <w:ilvl w:val="3"/>
          <w:numId w:val="36"/>
        </w:numPr>
        <w:rPr>
          <w:rFonts w:ascii="Times New Roman" w:hAnsi="Times New Roman" w:cs="Times New Roman"/>
          <w:sz w:val="24"/>
          <w:lang w:val="en-GB"/>
        </w:rPr>
      </w:pPr>
      <w:bookmarkStart w:id="325" w:name="_Toc19715756"/>
      <w:bookmarkStart w:id="326" w:name="_Toc57831553"/>
      <w:r w:rsidRPr="00661595">
        <w:rPr>
          <w:rFonts w:ascii="Times New Roman" w:hAnsi="Times New Roman" w:cs="Times New Roman"/>
          <w:sz w:val="24"/>
          <w:lang w:val="en-GB"/>
        </w:rPr>
        <w:t>General remarks</w:t>
      </w:r>
      <w:bookmarkEnd w:id="325"/>
      <w:bookmarkEnd w:id="326"/>
    </w:p>
    <w:p w:rsidR="008151A6" w:rsidRPr="00661595" w:rsidRDefault="00D11E4C" w:rsidP="00487A02">
      <w:pPr>
        <w:pStyle w:val="InstructionsText2"/>
        <w:numPr>
          <w:ilvl w:val="0"/>
          <w:numId w:val="0"/>
        </w:numPr>
        <w:ind w:left="1353" w:hanging="360"/>
      </w:pPr>
      <w:fldSimple w:instr=" seq paragraphs ">
        <w:r w:rsidR="00771068">
          <w:rPr>
            <w:noProof/>
          </w:rPr>
          <w:t>77</w:t>
        </w:r>
      </w:fldSimple>
      <w:r w:rsidR="008151A6" w:rsidRPr="00661595">
        <w:t>. Institutions shall report the information included in this template in applica</w:t>
      </w:r>
      <w:r w:rsidR="009265F9" w:rsidRPr="00661595">
        <w:t xml:space="preserve">tion of </w:t>
      </w:r>
      <w:r w:rsidR="00E32BAE">
        <w:rPr>
          <w:noProof/>
        </w:rPr>
        <w:t xml:space="preserve">points (i) to (v) of </w:t>
      </w:r>
      <w:r w:rsidR="009265F9" w:rsidRPr="00661595">
        <w:t xml:space="preserve">Article 452(g) </w:t>
      </w:r>
      <w:r w:rsidR="008151A6" w:rsidRPr="00661595">
        <w:t xml:space="preserve">CRR, in order to provide information on the main parameters used for the calculation of capital requirements for IRB approach. Information reported in this template shall not include data on specialised lending referred </w:t>
      </w:r>
      <w:r w:rsidR="009265F9" w:rsidRPr="00661595">
        <w:t xml:space="preserve">to in article 153(5) </w:t>
      </w:r>
      <w:r w:rsidR="008151A6" w:rsidRPr="00661595">
        <w:t>CRR, which is included in template C 08.06. This template excludes counterparty credit risk (CCR) exposures (</w:t>
      </w:r>
      <w:r w:rsidR="00AF6F2C" w:rsidRPr="00661595">
        <w:t xml:space="preserve">Chapter 6 of Title II of </w:t>
      </w:r>
      <w:r w:rsidR="008151A6" w:rsidRPr="00661595">
        <w:t>Par</w:t>
      </w:r>
      <w:r w:rsidR="009265F9" w:rsidRPr="00661595">
        <w:t>t</w:t>
      </w:r>
      <w:r w:rsidR="00AF6F2C" w:rsidRPr="00661595">
        <w:t xml:space="preserve"> Three </w:t>
      </w:r>
      <w:r w:rsidR="008151A6" w:rsidRPr="00661595">
        <w:t>CRR)</w:t>
      </w:r>
      <w:r w:rsidR="00284A6D" w:rsidRPr="00661595">
        <w:t>.</w:t>
      </w:r>
    </w:p>
    <w:p w:rsidR="008151A6" w:rsidRPr="00661595" w:rsidRDefault="008151A6" w:rsidP="00F66371">
      <w:pPr>
        <w:pStyle w:val="Instructionsberschrift2"/>
        <w:numPr>
          <w:ilvl w:val="3"/>
          <w:numId w:val="36"/>
        </w:numPr>
        <w:ind w:left="709"/>
        <w:rPr>
          <w:rFonts w:ascii="Times New Roman" w:hAnsi="Times New Roman" w:cs="Times New Roman"/>
          <w:sz w:val="24"/>
          <w:lang w:val="en-GB"/>
        </w:rPr>
      </w:pPr>
      <w:bookmarkStart w:id="327" w:name="_Toc19715757"/>
      <w:bookmarkStart w:id="328" w:name="_Toc57831554"/>
      <w:r w:rsidRPr="00661595">
        <w:rPr>
          <w:rFonts w:ascii="Times New Roman" w:hAnsi="Times New Roman" w:cs="Times New Roman"/>
          <w:sz w:val="24"/>
          <w:lang w:val="en-GB"/>
        </w:rPr>
        <w:t>Instructions concerning specific positions</w:t>
      </w:r>
      <w:bookmarkEnd w:id="327"/>
      <w:bookmarkEnd w:id="328"/>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8843"/>
      </w:tblGrid>
      <w:tr w:rsidR="008151A6" w:rsidRPr="00661595" w:rsidTr="00664874">
        <w:tc>
          <w:tcPr>
            <w:tcW w:w="1188" w:type="dxa"/>
            <w:shd w:val="clear" w:color="auto" w:fill="CCCCCC"/>
          </w:tcPr>
          <w:p w:rsidR="008151A6" w:rsidRPr="00661595" w:rsidRDefault="008151A6" w:rsidP="00664874">
            <w:pPr>
              <w:rPr>
                <w:rFonts w:ascii="Times New Roman" w:hAnsi="Times New Roman"/>
                <w:sz w:val="24"/>
              </w:rPr>
            </w:pPr>
            <w:r w:rsidRPr="00661595">
              <w:rPr>
                <w:rFonts w:ascii="Times New Roman" w:hAnsi="Times New Roman"/>
                <w:sz w:val="24"/>
              </w:rPr>
              <w:t>Columns</w:t>
            </w:r>
          </w:p>
        </w:tc>
        <w:tc>
          <w:tcPr>
            <w:tcW w:w="8843" w:type="dxa"/>
            <w:shd w:val="clear" w:color="auto" w:fill="CCCCCC"/>
          </w:tcPr>
          <w:p w:rsidR="008151A6" w:rsidRPr="00661595" w:rsidRDefault="008151A6" w:rsidP="00664874">
            <w:pPr>
              <w:rPr>
                <w:rFonts w:ascii="Times New Roman" w:hAnsi="Times New Roman"/>
                <w:sz w:val="24"/>
              </w:rPr>
            </w:pPr>
            <w:r w:rsidRPr="00661595">
              <w:rPr>
                <w:rFonts w:ascii="Times New Roman" w:hAnsi="Times New Roman"/>
                <w:sz w:val="24"/>
              </w:rPr>
              <w:t>Instructions</w:t>
            </w:r>
          </w:p>
        </w:tc>
      </w:tr>
      <w:tr w:rsidR="008151A6" w:rsidRPr="00661595" w:rsidTr="00664874">
        <w:tc>
          <w:tcPr>
            <w:tcW w:w="1188" w:type="dxa"/>
            <w:tcBorders>
              <w:top w:val="single" w:sz="4" w:space="0" w:color="auto"/>
              <w:left w:val="single" w:sz="4" w:space="0" w:color="auto"/>
              <w:bottom w:val="single" w:sz="4" w:space="0" w:color="auto"/>
              <w:right w:val="single" w:sz="4" w:space="0" w:color="auto"/>
            </w:tcBorders>
            <w:shd w:val="clear" w:color="auto" w:fill="auto"/>
          </w:tcPr>
          <w:p w:rsidR="008151A6" w:rsidRPr="00661595" w:rsidRDefault="008151A6" w:rsidP="00664874">
            <w:pPr>
              <w:rPr>
                <w:rFonts w:ascii="Times New Roman" w:hAnsi="Times New Roman"/>
                <w:sz w:val="24"/>
              </w:rPr>
            </w:pPr>
            <w:r w:rsidRPr="00661595">
              <w:rPr>
                <w:rFonts w:ascii="Times New Roman" w:hAnsi="Times New Roman"/>
                <w:sz w:val="24"/>
              </w:rPr>
              <w:t>0010</w:t>
            </w:r>
          </w:p>
          <w:p w:rsidR="008151A6" w:rsidRPr="00661595" w:rsidRDefault="008151A6" w:rsidP="00664874">
            <w:pPr>
              <w:rPr>
                <w:rFonts w:ascii="Times New Roman" w:hAnsi="Times New Roman"/>
                <w:sz w:val="24"/>
              </w:rPr>
            </w:pPr>
          </w:p>
        </w:tc>
        <w:tc>
          <w:tcPr>
            <w:tcW w:w="8843" w:type="dxa"/>
            <w:tcBorders>
              <w:top w:val="single" w:sz="4" w:space="0" w:color="auto"/>
              <w:left w:val="single" w:sz="4" w:space="0" w:color="auto"/>
              <w:bottom w:val="single" w:sz="4" w:space="0" w:color="auto"/>
              <w:right w:val="single" w:sz="4" w:space="0" w:color="auto"/>
            </w:tcBorders>
            <w:shd w:val="clear" w:color="auto" w:fill="auto"/>
          </w:tcPr>
          <w:p w:rsidR="008151A6" w:rsidRPr="00393FF2" w:rsidRDefault="008151A6" w:rsidP="00664874">
            <w:pPr>
              <w:rPr>
                <w:rFonts w:ascii="Times New Roman" w:hAnsi="Times New Roman"/>
                <w:b/>
                <w:sz w:val="24"/>
                <w:u w:val="single"/>
              </w:rPr>
            </w:pPr>
            <w:r w:rsidRPr="00393FF2">
              <w:rPr>
                <w:rFonts w:ascii="Times New Roman" w:hAnsi="Times New Roman"/>
                <w:b/>
                <w:sz w:val="24"/>
                <w:u w:val="single"/>
              </w:rPr>
              <w:t>ON-BALANCE SHEET EXPOSURES</w:t>
            </w:r>
          </w:p>
          <w:p w:rsidR="008151A6" w:rsidRPr="00661595" w:rsidRDefault="008151A6" w:rsidP="00A44410">
            <w:pPr>
              <w:rPr>
                <w:rFonts w:ascii="Times New Roman" w:hAnsi="Times New Roman"/>
                <w:sz w:val="24"/>
              </w:rPr>
            </w:pPr>
            <w:r w:rsidRPr="00661595">
              <w:rPr>
                <w:rFonts w:ascii="Times New Roman" w:hAnsi="Times New Roman"/>
                <w:sz w:val="24"/>
              </w:rPr>
              <w:t>Exposure value calculated in accordan</w:t>
            </w:r>
            <w:r w:rsidR="00AF6F2C" w:rsidRPr="00661595">
              <w:rPr>
                <w:rFonts w:ascii="Times New Roman" w:hAnsi="Times New Roman"/>
                <w:sz w:val="24"/>
              </w:rPr>
              <w:t>ce with Article 166(1) to (7)</w:t>
            </w:r>
            <w:r w:rsidRPr="00661595">
              <w:rPr>
                <w:rFonts w:ascii="Times New Roman" w:hAnsi="Times New Roman"/>
                <w:sz w:val="24"/>
              </w:rPr>
              <w:t xml:space="preserve"> CRR</w:t>
            </w:r>
            <w:r w:rsidRPr="00661595">
              <w:t xml:space="preserve"> </w:t>
            </w:r>
            <w:r w:rsidRPr="00661595">
              <w:rPr>
                <w:rFonts w:ascii="Times New Roman" w:hAnsi="Times New Roman"/>
                <w:sz w:val="24"/>
              </w:rPr>
              <w:t>without taking into account any credit risk adjustments</w:t>
            </w:r>
          </w:p>
        </w:tc>
      </w:tr>
      <w:tr w:rsidR="008151A6" w:rsidRPr="00661595" w:rsidTr="00664874">
        <w:tc>
          <w:tcPr>
            <w:tcW w:w="1188" w:type="dxa"/>
            <w:tcBorders>
              <w:top w:val="single" w:sz="4" w:space="0" w:color="auto"/>
              <w:left w:val="single" w:sz="4" w:space="0" w:color="auto"/>
              <w:bottom w:val="single" w:sz="4" w:space="0" w:color="auto"/>
              <w:right w:val="single" w:sz="4" w:space="0" w:color="auto"/>
            </w:tcBorders>
            <w:shd w:val="clear" w:color="auto" w:fill="auto"/>
          </w:tcPr>
          <w:p w:rsidR="008151A6" w:rsidRPr="00661595" w:rsidRDefault="008151A6" w:rsidP="00664874">
            <w:pPr>
              <w:rPr>
                <w:rFonts w:ascii="Times New Roman" w:hAnsi="Times New Roman"/>
                <w:sz w:val="24"/>
              </w:rPr>
            </w:pPr>
            <w:r w:rsidRPr="00661595">
              <w:rPr>
                <w:rFonts w:ascii="Times New Roman" w:hAnsi="Times New Roman"/>
                <w:sz w:val="24"/>
              </w:rPr>
              <w:t>0020</w:t>
            </w:r>
          </w:p>
        </w:tc>
        <w:tc>
          <w:tcPr>
            <w:tcW w:w="8843" w:type="dxa"/>
            <w:tcBorders>
              <w:top w:val="single" w:sz="4" w:space="0" w:color="auto"/>
              <w:left w:val="single" w:sz="4" w:space="0" w:color="auto"/>
              <w:bottom w:val="single" w:sz="4" w:space="0" w:color="auto"/>
              <w:right w:val="single" w:sz="4" w:space="0" w:color="auto"/>
            </w:tcBorders>
            <w:shd w:val="clear" w:color="auto" w:fill="auto"/>
          </w:tcPr>
          <w:p w:rsidR="008151A6" w:rsidRPr="00393FF2" w:rsidRDefault="008151A6" w:rsidP="00664874">
            <w:pPr>
              <w:rPr>
                <w:rFonts w:ascii="Times New Roman" w:hAnsi="Times New Roman"/>
                <w:b/>
                <w:sz w:val="24"/>
                <w:u w:val="single"/>
              </w:rPr>
            </w:pPr>
            <w:r w:rsidRPr="00393FF2">
              <w:rPr>
                <w:rFonts w:ascii="Times New Roman" w:hAnsi="Times New Roman"/>
                <w:b/>
                <w:sz w:val="24"/>
                <w:u w:val="single"/>
              </w:rPr>
              <w:t>OFF-BALANCE SHEET EXPOSURES PRE-CONVERSION FACTORS</w:t>
            </w:r>
          </w:p>
          <w:p w:rsidR="008151A6" w:rsidRPr="00661595" w:rsidRDefault="008151A6" w:rsidP="00664874">
            <w:pPr>
              <w:rPr>
                <w:rFonts w:ascii="Times New Roman" w:hAnsi="Times New Roman"/>
                <w:sz w:val="24"/>
              </w:rPr>
            </w:pPr>
            <w:r w:rsidRPr="00661595">
              <w:rPr>
                <w:rFonts w:ascii="Times New Roman" w:hAnsi="Times New Roman"/>
                <w:sz w:val="24"/>
              </w:rPr>
              <w:t xml:space="preserve">Exposure value in accordance with </w:t>
            </w:r>
            <w:r w:rsidR="00AF6F2C" w:rsidRPr="00661595">
              <w:rPr>
                <w:rFonts w:ascii="Times New Roman" w:hAnsi="Times New Roman"/>
                <w:sz w:val="24"/>
              </w:rPr>
              <w:t xml:space="preserve">paragraphs (1) to (7) of Article 166 </w:t>
            </w:r>
            <w:r w:rsidRPr="00661595">
              <w:rPr>
                <w:rFonts w:ascii="Times New Roman" w:hAnsi="Times New Roman"/>
                <w:sz w:val="24"/>
              </w:rPr>
              <w:t>CRR, without taking into account any credit risk adjustments and any conversion factors, neither own estimates nor conversion factors specified in Article 166(8) CRR, or any percentages specified i</w:t>
            </w:r>
            <w:r w:rsidR="00AF6F2C" w:rsidRPr="00661595">
              <w:rPr>
                <w:rFonts w:ascii="Times New Roman" w:hAnsi="Times New Roman"/>
                <w:sz w:val="24"/>
              </w:rPr>
              <w:t xml:space="preserve">n Article 166(10) </w:t>
            </w:r>
            <w:r w:rsidRPr="00661595">
              <w:rPr>
                <w:rFonts w:ascii="Times New Roman" w:hAnsi="Times New Roman"/>
                <w:sz w:val="24"/>
              </w:rPr>
              <w:t>CRR</w:t>
            </w:r>
          </w:p>
          <w:p w:rsidR="008151A6" w:rsidRPr="00661595" w:rsidRDefault="008151A6" w:rsidP="00664874">
            <w:pPr>
              <w:rPr>
                <w:rFonts w:ascii="Times New Roman" w:hAnsi="Times New Roman"/>
                <w:sz w:val="24"/>
              </w:rPr>
            </w:pPr>
            <w:r w:rsidRPr="00661595">
              <w:rPr>
                <w:rFonts w:ascii="Times New Roman" w:hAnsi="Times New Roman"/>
                <w:sz w:val="24"/>
              </w:rPr>
              <w:t xml:space="preserve">Off balance sheet exposures </w:t>
            </w:r>
            <w:r w:rsidR="00A44410">
              <w:rPr>
                <w:rFonts w:ascii="Times New Roman" w:hAnsi="Times New Roman"/>
                <w:sz w:val="24"/>
              </w:rPr>
              <w:t xml:space="preserve">shall </w:t>
            </w:r>
            <w:r w:rsidRPr="00661595">
              <w:rPr>
                <w:rFonts w:ascii="Times New Roman" w:hAnsi="Times New Roman"/>
                <w:sz w:val="24"/>
              </w:rPr>
              <w:t>comprise all committed but undrawn amounts and all off-balance sheet</w:t>
            </w:r>
            <w:r w:rsidR="0044539D" w:rsidRPr="00661595">
              <w:rPr>
                <w:rFonts w:ascii="Times New Roman" w:hAnsi="Times New Roman"/>
                <w:sz w:val="24"/>
              </w:rPr>
              <w:t xml:space="preserve"> items, as listed in Annex I </w:t>
            </w:r>
            <w:r w:rsidRPr="00661595">
              <w:rPr>
                <w:rFonts w:ascii="Times New Roman" w:hAnsi="Times New Roman"/>
                <w:sz w:val="24"/>
              </w:rPr>
              <w:t>CRR.</w:t>
            </w:r>
          </w:p>
        </w:tc>
      </w:tr>
      <w:tr w:rsidR="008151A6" w:rsidRPr="00661595" w:rsidTr="00664874">
        <w:tc>
          <w:tcPr>
            <w:tcW w:w="1188" w:type="dxa"/>
            <w:tcBorders>
              <w:top w:val="single" w:sz="4" w:space="0" w:color="auto"/>
              <w:left w:val="single" w:sz="4" w:space="0" w:color="auto"/>
              <w:bottom w:val="single" w:sz="4" w:space="0" w:color="auto"/>
              <w:right w:val="single" w:sz="4" w:space="0" w:color="auto"/>
            </w:tcBorders>
            <w:shd w:val="clear" w:color="auto" w:fill="auto"/>
          </w:tcPr>
          <w:p w:rsidR="008151A6" w:rsidRPr="00661595" w:rsidRDefault="008151A6" w:rsidP="00664874">
            <w:pPr>
              <w:rPr>
                <w:rFonts w:ascii="Times New Roman" w:hAnsi="Times New Roman"/>
                <w:sz w:val="24"/>
              </w:rPr>
            </w:pPr>
            <w:r w:rsidRPr="00661595">
              <w:rPr>
                <w:rFonts w:ascii="Times New Roman" w:hAnsi="Times New Roman"/>
                <w:sz w:val="24"/>
              </w:rPr>
              <w:t>0030</w:t>
            </w:r>
          </w:p>
        </w:tc>
        <w:tc>
          <w:tcPr>
            <w:tcW w:w="8843" w:type="dxa"/>
            <w:tcBorders>
              <w:top w:val="single" w:sz="4" w:space="0" w:color="auto"/>
              <w:left w:val="single" w:sz="4" w:space="0" w:color="auto"/>
              <w:bottom w:val="single" w:sz="4" w:space="0" w:color="auto"/>
              <w:right w:val="single" w:sz="4" w:space="0" w:color="auto"/>
            </w:tcBorders>
            <w:shd w:val="clear" w:color="auto" w:fill="auto"/>
          </w:tcPr>
          <w:p w:rsidR="008151A6" w:rsidRPr="00393FF2" w:rsidRDefault="008151A6" w:rsidP="00664874">
            <w:pPr>
              <w:rPr>
                <w:rFonts w:ascii="Times New Roman" w:hAnsi="Times New Roman"/>
                <w:b/>
                <w:sz w:val="24"/>
                <w:u w:val="single"/>
              </w:rPr>
            </w:pPr>
            <w:r w:rsidRPr="00393FF2">
              <w:rPr>
                <w:rFonts w:ascii="Times New Roman" w:hAnsi="Times New Roman"/>
                <w:b/>
                <w:sz w:val="24"/>
                <w:u w:val="single"/>
              </w:rPr>
              <w:t>EXPOSURE WEIGHTED AVERAGE CONVERSION FACTORS</w:t>
            </w:r>
          </w:p>
          <w:p w:rsidR="008151A6" w:rsidRPr="00661595" w:rsidRDefault="008151A6" w:rsidP="00A44410">
            <w:pPr>
              <w:rPr>
                <w:rFonts w:ascii="Times New Roman" w:hAnsi="Times New Roman"/>
                <w:sz w:val="24"/>
              </w:rPr>
            </w:pPr>
            <w:r w:rsidRPr="00661595">
              <w:rPr>
                <w:rFonts w:ascii="Times New Roman" w:hAnsi="Times New Roman"/>
                <w:sz w:val="24"/>
              </w:rPr>
              <w:t xml:space="preserve">For all exposures included in each bucket of the fixed PD range, the average conversion factor used by institutions in their calculation of risk-weighted exposure amounts, weighted by the off-balance sheet exposure pre-CCF as reported in column 0020 </w:t>
            </w:r>
          </w:p>
        </w:tc>
      </w:tr>
      <w:tr w:rsidR="008151A6" w:rsidRPr="00661595" w:rsidTr="00664874">
        <w:tc>
          <w:tcPr>
            <w:tcW w:w="1188" w:type="dxa"/>
            <w:tcBorders>
              <w:top w:val="single" w:sz="4" w:space="0" w:color="auto"/>
              <w:left w:val="single" w:sz="4" w:space="0" w:color="auto"/>
              <w:bottom w:val="single" w:sz="4" w:space="0" w:color="auto"/>
              <w:right w:val="single" w:sz="4" w:space="0" w:color="auto"/>
            </w:tcBorders>
            <w:shd w:val="clear" w:color="auto" w:fill="auto"/>
          </w:tcPr>
          <w:p w:rsidR="008151A6" w:rsidRPr="00661595" w:rsidRDefault="008151A6" w:rsidP="00664874">
            <w:pPr>
              <w:rPr>
                <w:rFonts w:ascii="Times New Roman" w:hAnsi="Times New Roman"/>
                <w:sz w:val="24"/>
              </w:rPr>
            </w:pPr>
            <w:r w:rsidRPr="00661595">
              <w:rPr>
                <w:rFonts w:ascii="Times New Roman" w:hAnsi="Times New Roman"/>
                <w:sz w:val="24"/>
              </w:rPr>
              <w:t>0040</w:t>
            </w:r>
          </w:p>
        </w:tc>
        <w:tc>
          <w:tcPr>
            <w:tcW w:w="8843" w:type="dxa"/>
            <w:tcBorders>
              <w:top w:val="single" w:sz="4" w:space="0" w:color="auto"/>
              <w:left w:val="single" w:sz="4" w:space="0" w:color="auto"/>
              <w:bottom w:val="single" w:sz="4" w:space="0" w:color="auto"/>
              <w:right w:val="single" w:sz="4" w:space="0" w:color="auto"/>
            </w:tcBorders>
            <w:shd w:val="clear" w:color="auto" w:fill="auto"/>
          </w:tcPr>
          <w:p w:rsidR="008151A6" w:rsidRPr="00393FF2" w:rsidRDefault="008151A6" w:rsidP="00664874">
            <w:pPr>
              <w:rPr>
                <w:rFonts w:ascii="Times New Roman" w:hAnsi="Times New Roman"/>
                <w:b/>
                <w:sz w:val="24"/>
                <w:u w:val="single"/>
              </w:rPr>
            </w:pPr>
            <w:r w:rsidRPr="00393FF2">
              <w:rPr>
                <w:rFonts w:ascii="Times New Roman" w:hAnsi="Times New Roman"/>
                <w:b/>
                <w:sz w:val="24"/>
                <w:u w:val="single"/>
              </w:rPr>
              <w:t>EXPOSURE VALUE POST CONVERSION FACTORS AND POST CRM</w:t>
            </w:r>
          </w:p>
          <w:p w:rsidR="008151A6" w:rsidRPr="00661595" w:rsidRDefault="008151A6" w:rsidP="00664874">
            <w:pPr>
              <w:rPr>
                <w:rFonts w:ascii="Times New Roman" w:hAnsi="Times New Roman"/>
                <w:sz w:val="24"/>
              </w:rPr>
            </w:pPr>
            <w:r w:rsidRPr="00661595">
              <w:rPr>
                <w:rFonts w:ascii="Times New Roman" w:hAnsi="Times New Roman"/>
                <w:sz w:val="24"/>
              </w:rPr>
              <w:t>Exposure value in accordance with Article 166 CRR</w:t>
            </w:r>
          </w:p>
          <w:p w:rsidR="008151A6" w:rsidRPr="00661595" w:rsidRDefault="008151A6" w:rsidP="00A44410">
            <w:pPr>
              <w:rPr>
                <w:rFonts w:ascii="Times New Roman" w:hAnsi="Times New Roman"/>
                <w:sz w:val="24"/>
              </w:rPr>
            </w:pPr>
            <w:r w:rsidRPr="00661595">
              <w:rPr>
                <w:rFonts w:ascii="Times New Roman" w:hAnsi="Times New Roman"/>
                <w:sz w:val="24"/>
              </w:rPr>
              <w:t xml:space="preserve">This column </w:t>
            </w:r>
            <w:r w:rsidR="00A44410">
              <w:rPr>
                <w:rFonts w:ascii="Times New Roman" w:hAnsi="Times New Roman"/>
                <w:sz w:val="24"/>
              </w:rPr>
              <w:t xml:space="preserve">shall </w:t>
            </w:r>
            <w:r w:rsidRPr="00661595">
              <w:rPr>
                <w:rFonts w:ascii="Times New Roman" w:hAnsi="Times New Roman"/>
                <w:sz w:val="24"/>
              </w:rPr>
              <w:t>include the sum of exposure value of on-balance sheet exposures and off-balance sheet exposures post conversion factors in accordance</w:t>
            </w:r>
            <w:r w:rsidR="00AF6F2C" w:rsidRPr="00661595">
              <w:rPr>
                <w:rFonts w:ascii="Times New Roman" w:hAnsi="Times New Roman"/>
                <w:sz w:val="24"/>
              </w:rPr>
              <w:t xml:space="preserve"> with paragraphs (8) to (10) of Article 166 </w:t>
            </w:r>
            <w:r w:rsidRPr="00661595">
              <w:rPr>
                <w:rFonts w:ascii="Times New Roman" w:hAnsi="Times New Roman"/>
                <w:sz w:val="24"/>
              </w:rPr>
              <w:t>CRR and after CRM techniques.</w:t>
            </w:r>
          </w:p>
        </w:tc>
      </w:tr>
      <w:tr w:rsidR="008151A6" w:rsidRPr="00661595" w:rsidTr="00664874">
        <w:tc>
          <w:tcPr>
            <w:tcW w:w="1188" w:type="dxa"/>
            <w:tcBorders>
              <w:top w:val="single" w:sz="4" w:space="0" w:color="auto"/>
              <w:left w:val="single" w:sz="4" w:space="0" w:color="auto"/>
              <w:bottom w:val="single" w:sz="4" w:space="0" w:color="auto"/>
              <w:right w:val="single" w:sz="4" w:space="0" w:color="auto"/>
            </w:tcBorders>
            <w:shd w:val="clear" w:color="auto" w:fill="auto"/>
          </w:tcPr>
          <w:p w:rsidR="008151A6" w:rsidRPr="00661595" w:rsidRDefault="008151A6" w:rsidP="00664874">
            <w:pPr>
              <w:rPr>
                <w:rFonts w:ascii="Times New Roman" w:hAnsi="Times New Roman"/>
                <w:sz w:val="24"/>
              </w:rPr>
            </w:pPr>
            <w:r w:rsidRPr="00661595">
              <w:rPr>
                <w:rFonts w:ascii="Times New Roman" w:hAnsi="Times New Roman"/>
                <w:sz w:val="24"/>
              </w:rPr>
              <w:t>0050</w:t>
            </w:r>
          </w:p>
        </w:tc>
        <w:tc>
          <w:tcPr>
            <w:tcW w:w="8843" w:type="dxa"/>
            <w:tcBorders>
              <w:top w:val="single" w:sz="4" w:space="0" w:color="auto"/>
              <w:left w:val="single" w:sz="4" w:space="0" w:color="auto"/>
              <w:bottom w:val="single" w:sz="4" w:space="0" w:color="auto"/>
              <w:right w:val="single" w:sz="4" w:space="0" w:color="auto"/>
            </w:tcBorders>
            <w:shd w:val="clear" w:color="auto" w:fill="auto"/>
          </w:tcPr>
          <w:p w:rsidR="008151A6" w:rsidRPr="00393FF2" w:rsidRDefault="008151A6" w:rsidP="00664874">
            <w:pPr>
              <w:rPr>
                <w:rFonts w:ascii="Times New Roman" w:hAnsi="Times New Roman"/>
                <w:b/>
                <w:sz w:val="24"/>
                <w:u w:val="single"/>
              </w:rPr>
            </w:pPr>
            <w:r w:rsidRPr="00393FF2">
              <w:rPr>
                <w:rFonts w:ascii="Times New Roman" w:hAnsi="Times New Roman"/>
                <w:b/>
                <w:sz w:val="24"/>
                <w:u w:val="single"/>
              </w:rPr>
              <w:t>EXPOSURE WEIGHTED AVERAGE PD (%)</w:t>
            </w:r>
          </w:p>
          <w:p w:rsidR="008151A6" w:rsidRPr="00661595" w:rsidRDefault="008151A6" w:rsidP="00A44410">
            <w:pPr>
              <w:rPr>
                <w:rFonts w:ascii="Times New Roman" w:hAnsi="Times New Roman"/>
                <w:sz w:val="24"/>
              </w:rPr>
            </w:pPr>
            <w:r w:rsidRPr="00661595">
              <w:rPr>
                <w:rFonts w:ascii="Times New Roman" w:hAnsi="Times New Roman"/>
                <w:sz w:val="24"/>
              </w:rPr>
              <w:t>For all exposures included in each bucket of the fixed PD range, the average PD estimate of each obligor, weighted by the exposure value post-CCF and CRM as reported in column 0040</w:t>
            </w:r>
          </w:p>
        </w:tc>
      </w:tr>
      <w:tr w:rsidR="008151A6" w:rsidRPr="00661595" w:rsidTr="00664874">
        <w:tc>
          <w:tcPr>
            <w:tcW w:w="1188" w:type="dxa"/>
            <w:tcBorders>
              <w:top w:val="single" w:sz="4" w:space="0" w:color="auto"/>
              <w:left w:val="single" w:sz="4" w:space="0" w:color="auto"/>
              <w:bottom w:val="single" w:sz="4" w:space="0" w:color="auto"/>
              <w:right w:val="single" w:sz="4" w:space="0" w:color="auto"/>
            </w:tcBorders>
            <w:shd w:val="clear" w:color="auto" w:fill="auto"/>
          </w:tcPr>
          <w:p w:rsidR="008151A6" w:rsidRPr="00661595" w:rsidRDefault="008151A6" w:rsidP="00664874">
            <w:pPr>
              <w:rPr>
                <w:rFonts w:ascii="Times New Roman" w:hAnsi="Times New Roman"/>
                <w:sz w:val="24"/>
              </w:rPr>
            </w:pPr>
            <w:r w:rsidRPr="00661595">
              <w:rPr>
                <w:rFonts w:ascii="Times New Roman" w:hAnsi="Times New Roman"/>
                <w:sz w:val="24"/>
              </w:rPr>
              <w:t>0060</w:t>
            </w:r>
          </w:p>
        </w:tc>
        <w:tc>
          <w:tcPr>
            <w:tcW w:w="8843" w:type="dxa"/>
            <w:tcBorders>
              <w:top w:val="single" w:sz="4" w:space="0" w:color="auto"/>
              <w:left w:val="single" w:sz="4" w:space="0" w:color="auto"/>
              <w:bottom w:val="single" w:sz="4" w:space="0" w:color="auto"/>
              <w:right w:val="single" w:sz="4" w:space="0" w:color="auto"/>
            </w:tcBorders>
            <w:shd w:val="clear" w:color="auto" w:fill="auto"/>
          </w:tcPr>
          <w:p w:rsidR="008151A6" w:rsidRPr="00393FF2" w:rsidRDefault="008151A6" w:rsidP="00664874">
            <w:pPr>
              <w:rPr>
                <w:rFonts w:ascii="Times New Roman" w:hAnsi="Times New Roman"/>
                <w:b/>
                <w:sz w:val="24"/>
                <w:u w:val="single"/>
              </w:rPr>
            </w:pPr>
            <w:r w:rsidRPr="00393FF2">
              <w:rPr>
                <w:rFonts w:ascii="Times New Roman" w:hAnsi="Times New Roman"/>
                <w:b/>
                <w:sz w:val="24"/>
                <w:u w:val="single"/>
              </w:rPr>
              <w:t>NUMBER OF OBLIGORS</w:t>
            </w:r>
          </w:p>
          <w:p w:rsidR="00463F88" w:rsidRPr="00661595" w:rsidRDefault="008151A6" w:rsidP="001A370B">
            <w:pPr>
              <w:rPr>
                <w:rFonts w:ascii="Times New Roman" w:hAnsi="Times New Roman"/>
                <w:sz w:val="24"/>
              </w:rPr>
            </w:pPr>
            <w:r w:rsidRPr="00661595">
              <w:rPr>
                <w:rFonts w:ascii="Times New Roman" w:hAnsi="Times New Roman"/>
                <w:sz w:val="24"/>
              </w:rPr>
              <w:t>The number of legal entities or obligors allocated to each bucket of the fixed PD range</w:t>
            </w:r>
            <w:r w:rsidR="00463F88" w:rsidRPr="00661595">
              <w:rPr>
                <w:rFonts w:ascii="Times New Roman" w:hAnsi="Times New Roman"/>
                <w:sz w:val="24"/>
              </w:rPr>
              <w:t xml:space="preserve"> </w:t>
            </w:r>
          </w:p>
          <w:p w:rsidR="001A370B" w:rsidRPr="00661595" w:rsidRDefault="001A370B" w:rsidP="001A370B">
            <w:pPr>
              <w:rPr>
                <w:rFonts w:ascii="Times New Roman" w:hAnsi="Times New Roman"/>
                <w:sz w:val="24"/>
              </w:rPr>
            </w:pPr>
            <w:r w:rsidRPr="00661595">
              <w:rPr>
                <w:rFonts w:ascii="Times New Roman" w:hAnsi="Times New Roman"/>
                <w:sz w:val="24"/>
              </w:rPr>
              <w:t>The number of obligors shall be counted in accordance with the instructions in column 0300 of template C 08.01.</w:t>
            </w:r>
            <w:r w:rsidR="00463F88" w:rsidRPr="00661595">
              <w:rPr>
                <w:rFonts w:ascii="Times New Roman" w:hAnsi="Times New Roman"/>
                <w:sz w:val="24"/>
              </w:rPr>
              <w:t xml:space="preserve"> </w:t>
            </w:r>
            <w:r w:rsidRPr="00661595">
              <w:rPr>
                <w:rFonts w:ascii="Times New Roman" w:hAnsi="Times New Roman"/>
                <w:sz w:val="24"/>
              </w:rPr>
              <w:t>Joint obligors shall be treated the same as for the purpose of PD calibration.</w:t>
            </w:r>
          </w:p>
        </w:tc>
      </w:tr>
      <w:tr w:rsidR="008151A6" w:rsidRPr="00661595" w:rsidTr="00664874">
        <w:tc>
          <w:tcPr>
            <w:tcW w:w="1188" w:type="dxa"/>
            <w:tcBorders>
              <w:top w:val="single" w:sz="4" w:space="0" w:color="auto"/>
              <w:left w:val="single" w:sz="4" w:space="0" w:color="auto"/>
              <w:bottom w:val="single" w:sz="4" w:space="0" w:color="auto"/>
              <w:right w:val="single" w:sz="4" w:space="0" w:color="auto"/>
            </w:tcBorders>
            <w:shd w:val="clear" w:color="auto" w:fill="auto"/>
          </w:tcPr>
          <w:p w:rsidR="008151A6" w:rsidRPr="00661595" w:rsidRDefault="008151A6" w:rsidP="00664874">
            <w:pPr>
              <w:rPr>
                <w:rFonts w:ascii="Times New Roman" w:hAnsi="Times New Roman"/>
                <w:sz w:val="24"/>
              </w:rPr>
            </w:pPr>
            <w:r w:rsidRPr="00661595">
              <w:rPr>
                <w:rFonts w:ascii="Times New Roman" w:hAnsi="Times New Roman"/>
                <w:sz w:val="24"/>
              </w:rPr>
              <w:t>0070</w:t>
            </w:r>
          </w:p>
        </w:tc>
        <w:tc>
          <w:tcPr>
            <w:tcW w:w="8843" w:type="dxa"/>
            <w:tcBorders>
              <w:top w:val="single" w:sz="4" w:space="0" w:color="auto"/>
              <w:left w:val="single" w:sz="4" w:space="0" w:color="auto"/>
              <w:bottom w:val="single" w:sz="4" w:space="0" w:color="auto"/>
              <w:right w:val="single" w:sz="4" w:space="0" w:color="auto"/>
            </w:tcBorders>
            <w:shd w:val="clear" w:color="auto" w:fill="auto"/>
          </w:tcPr>
          <w:p w:rsidR="008151A6" w:rsidRPr="00393FF2" w:rsidRDefault="008151A6" w:rsidP="00664874">
            <w:pPr>
              <w:rPr>
                <w:rFonts w:ascii="Times New Roman" w:hAnsi="Times New Roman"/>
                <w:b/>
                <w:sz w:val="24"/>
                <w:u w:val="single"/>
              </w:rPr>
            </w:pPr>
            <w:r w:rsidRPr="00393FF2">
              <w:rPr>
                <w:rFonts w:ascii="Times New Roman" w:hAnsi="Times New Roman"/>
                <w:b/>
                <w:sz w:val="24"/>
                <w:u w:val="single"/>
              </w:rPr>
              <w:t>EXPOSURE WEIGHTED AVERAGE LGD (%)</w:t>
            </w:r>
          </w:p>
          <w:p w:rsidR="008151A6" w:rsidRPr="00661595" w:rsidRDefault="008151A6" w:rsidP="00664874">
            <w:pPr>
              <w:rPr>
                <w:rFonts w:ascii="Times New Roman" w:hAnsi="Times New Roman"/>
                <w:sz w:val="24"/>
              </w:rPr>
            </w:pPr>
            <w:r w:rsidRPr="00661595">
              <w:rPr>
                <w:rFonts w:ascii="Times New Roman" w:hAnsi="Times New Roman"/>
                <w:sz w:val="24"/>
              </w:rPr>
              <w:t>For all exposures included in each bucket of the fixed PD range, the average</w:t>
            </w:r>
            <w:r w:rsidR="001A370B" w:rsidRPr="00661595">
              <w:rPr>
                <w:rFonts w:ascii="Times New Roman" w:hAnsi="Times New Roman"/>
                <w:sz w:val="24"/>
              </w:rPr>
              <w:t xml:space="preserve"> of the</w:t>
            </w:r>
            <w:r w:rsidRPr="00661595">
              <w:rPr>
                <w:rFonts w:ascii="Times New Roman" w:hAnsi="Times New Roman"/>
                <w:sz w:val="24"/>
              </w:rPr>
              <w:t xml:space="preserve"> LGD estimate</w:t>
            </w:r>
            <w:r w:rsidR="001A370B" w:rsidRPr="00661595">
              <w:rPr>
                <w:rFonts w:ascii="Times New Roman" w:hAnsi="Times New Roman"/>
                <w:sz w:val="24"/>
              </w:rPr>
              <w:t>s for</w:t>
            </w:r>
            <w:r w:rsidRPr="00661595">
              <w:rPr>
                <w:rFonts w:ascii="Times New Roman" w:hAnsi="Times New Roman"/>
                <w:sz w:val="24"/>
              </w:rPr>
              <w:t xml:space="preserve"> each exposure, weighted by the exposure value post-CCF and post-CRM as reported in column 0040</w:t>
            </w:r>
          </w:p>
          <w:p w:rsidR="008151A6" w:rsidRPr="00661595" w:rsidRDefault="008151A6" w:rsidP="00664874">
            <w:pPr>
              <w:rPr>
                <w:rFonts w:ascii="Times New Roman" w:hAnsi="Times New Roman"/>
                <w:sz w:val="24"/>
              </w:rPr>
            </w:pPr>
            <w:r w:rsidRPr="00661595">
              <w:rPr>
                <w:rFonts w:ascii="Times New Roman" w:hAnsi="Times New Roman"/>
                <w:sz w:val="24"/>
              </w:rPr>
              <w:t>The LGD reported shall correspond to the final LGD estimate used in the calculation of risk weighted amounts obtained after considering any CRM effects and downturn conditions where relevant. For retail exposures secured by immovable properties the LGD reported shall take into account the floor</w:t>
            </w:r>
            <w:r w:rsidR="00AF6F2C" w:rsidRPr="00661595">
              <w:rPr>
                <w:rFonts w:ascii="Times New Roman" w:hAnsi="Times New Roman"/>
                <w:sz w:val="24"/>
              </w:rPr>
              <w:t>s specified in Article 164(4)</w:t>
            </w:r>
            <w:r w:rsidRPr="00661595">
              <w:rPr>
                <w:rFonts w:ascii="Times New Roman" w:hAnsi="Times New Roman"/>
                <w:sz w:val="24"/>
              </w:rPr>
              <w:t xml:space="preserve"> CRR.</w:t>
            </w:r>
          </w:p>
          <w:p w:rsidR="008151A6" w:rsidRPr="00661595" w:rsidRDefault="008151A6" w:rsidP="00664874">
            <w:pPr>
              <w:rPr>
                <w:rFonts w:ascii="Times New Roman" w:hAnsi="Times New Roman"/>
                <w:sz w:val="24"/>
              </w:rPr>
            </w:pPr>
            <w:r w:rsidRPr="00661595">
              <w:rPr>
                <w:rFonts w:ascii="Times New Roman" w:hAnsi="Times New Roman"/>
                <w:sz w:val="24"/>
              </w:rPr>
              <w:t xml:space="preserve">In the case of exposures subject to the double default treatment the LGD to be reported shall correspond to the one selected </w:t>
            </w:r>
            <w:r w:rsidR="00EA1F5A" w:rsidRPr="00661595">
              <w:rPr>
                <w:rStyle w:val="InstructionsTabelleText"/>
                <w:rFonts w:ascii="Times New Roman" w:hAnsi="Times New Roman"/>
                <w:sz w:val="24"/>
              </w:rPr>
              <w:t>in accordance with</w:t>
            </w:r>
            <w:r w:rsidR="00AF6F2C" w:rsidRPr="00661595">
              <w:rPr>
                <w:rFonts w:ascii="Times New Roman" w:hAnsi="Times New Roman"/>
                <w:sz w:val="24"/>
              </w:rPr>
              <w:t xml:space="preserve"> Article 161 (4) </w:t>
            </w:r>
            <w:r w:rsidRPr="00661595">
              <w:rPr>
                <w:rFonts w:ascii="Times New Roman" w:hAnsi="Times New Roman"/>
                <w:sz w:val="24"/>
              </w:rPr>
              <w:t>CRR.</w:t>
            </w:r>
          </w:p>
          <w:p w:rsidR="008151A6" w:rsidRPr="00661595" w:rsidRDefault="008151A6" w:rsidP="00AC6619">
            <w:pPr>
              <w:rPr>
                <w:rFonts w:ascii="Times New Roman" w:hAnsi="Times New Roman"/>
                <w:sz w:val="24"/>
              </w:rPr>
            </w:pPr>
            <w:r w:rsidRPr="00661595">
              <w:rPr>
                <w:rFonts w:ascii="Times New Roman" w:hAnsi="Times New Roman"/>
                <w:sz w:val="24"/>
              </w:rPr>
              <w:t xml:space="preserve">For defaulted exposures under A-IRB </w:t>
            </w:r>
            <w:r w:rsidR="00AC6619" w:rsidRPr="00661595">
              <w:rPr>
                <w:rFonts w:ascii="Times New Roman" w:hAnsi="Times New Roman"/>
                <w:sz w:val="24"/>
              </w:rPr>
              <w:t>a</w:t>
            </w:r>
            <w:r w:rsidRPr="00661595">
              <w:rPr>
                <w:rFonts w:ascii="Times New Roman" w:hAnsi="Times New Roman"/>
                <w:sz w:val="24"/>
              </w:rPr>
              <w:t xml:space="preserve">pproach, provisions laid down in </w:t>
            </w:r>
            <w:r w:rsidR="00AF6F2C" w:rsidRPr="00661595">
              <w:rPr>
                <w:rFonts w:ascii="Times New Roman" w:hAnsi="Times New Roman"/>
                <w:sz w:val="24"/>
              </w:rPr>
              <w:t xml:space="preserve">point (h) of </w:t>
            </w:r>
            <w:r w:rsidRPr="00661595">
              <w:rPr>
                <w:rFonts w:ascii="Times New Roman" w:hAnsi="Times New Roman"/>
                <w:sz w:val="24"/>
              </w:rPr>
              <w:t xml:space="preserve">Article 181(1) CRR shall be considered. The LGD reported shall correspond to the estimate of LGD in-default </w:t>
            </w:r>
            <w:r w:rsidR="00EA1F5A" w:rsidRPr="00661595">
              <w:rPr>
                <w:rStyle w:val="InstructionsTabelleText"/>
                <w:rFonts w:ascii="Times New Roman" w:hAnsi="Times New Roman"/>
                <w:sz w:val="24"/>
              </w:rPr>
              <w:t>in accordance with</w:t>
            </w:r>
            <w:r w:rsidRPr="00661595">
              <w:rPr>
                <w:rFonts w:ascii="Times New Roman" w:hAnsi="Times New Roman"/>
                <w:sz w:val="24"/>
              </w:rPr>
              <w:t xml:space="preserve"> the applicable estimation methodologies.</w:t>
            </w:r>
          </w:p>
        </w:tc>
      </w:tr>
      <w:tr w:rsidR="008151A6" w:rsidRPr="00661595" w:rsidTr="00664874">
        <w:tc>
          <w:tcPr>
            <w:tcW w:w="1188" w:type="dxa"/>
            <w:tcBorders>
              <w:top w:val="single" w:sz="4" w:space="0" w:color="auto"/>
              <w:left w:val="single" w:sz="4" w:space="0" w:color="auto"/>
              <w:bottom w:val="single" w:sz="4" w:space="0" w:color="auto"/>
              <w:right w:val="single" w:sz="4" w:space="0" w:color="auto"/>
            </w:tcBorders>
            <w:shd w:val="clear" w:color="auto" w:fill="auto"/>
          </w:tcPr>
          <w:p w:rsidR="008151A6" w:rsidRPr="00661595" w:rsidRDefault="008151A6" w:rsidP="00664874">
            <w:pPr>
              <w:rPr>
                <w:rFonts w:ascii="Times New Roman" w:hAnsi="Times New Roman"/>
                <w:sz w:val="24"/>
              </w:rPr>
            </w:pPr>
            <w:r w:rsidRPr="00661595">
              <w:rPr>
                <w:rFonts w:ascii="Times New Roman" w:hAnsi="Times New Roman"/>
                <w:sz w:val="24"/>
              </w:rPr>
              <w:t>0080</w:t>
            </w:r>
          </w:p>
        </w:tc>
        <w:tc>
          <w:tcPr>
            <w:tcW w:w="8843" w:type="dxa"/>
            <w:tcBorders>
              <w:top w:val="single" w:sz="4" w:space="0" w:color="auto"/>
              <w:left w:val="single" w:sz="4" w:space="0" w:color="auto"/>
              <w:bottom w:val="single" w:sz="4" w:space="0" w:color="auto"/>
              <w:right w:val="single" w:sz="4" w:space="0" w:color="auto"/>
            </w:tcBorders>
            <w:shd w:val="clear" w:color="auto" w:fill="auto"/>
          </w:tcPr>
          <w:p w:rsidR="008151A6" w:rsidRPr="00393FF2" w:rsidRDefault="008151A6" w:rsidP="00664874">
            <w:pPr>
              <w:rPr>
                <w:rFonts w:ascii="Times New Roman" w:hAnsi="Times New Roman"/>
                <w:b/>
                <w:sz w:val="24"/>
                <w:u w:val="single"/>
              </w:rPr>
            </w:pPr>
            <w:r w:rsidRPr="00393FF2">
              <w:rPr>
                <w:rFonts w:ascii="Times New Roman" w:hAnsi="Times New Roman"/>
                <w:b/>
                <w:sz w:val="24"/>
                <w:u w:val="single"/>
              </w:rPr>
              <w:t>EXPOSURE-WEIGHTED AVERAGE MATURITY (YEARS)</w:t>
            </w:r>
          </w:p>
          <w:p w:rsidR="008151A6" w:rsidRPr="00661595" w:rsidRDefault="008151A6" w:rsidP="00664874">
            <w:pPr>
              <w:rPr>
                <w:rFonts w:ascii="Times New Roman" w:hAnsi="Times New Roman"/>
                <w:sz w:val="24"/>
              </w:rPr>
            </w:pPr>
            <w:r w:rsidRPr="00661595">
              <w:rPr>
                <w:rFonts w:ascii="Times New Roman" w:hAnsi="Times New Roman"/>
                <w:sz w:val="24"/>
              </w:rPr>
              <w:t>For all exposures included in each bucket of the fixed PD range, the average maturity of each exposure, weighted by the exposure value post-CCF as reported in column 0040</w:t>
            </w:r>
          </w:p>
          <w:p w:rsidR="008151A6" w:rsidRPr="00661595" w:rsidRDefault="008151A6" w:rsidP="00664874">
            <w:pPr>
              <w:rPr>
                <w:rFonts w:ascii="Times New Roman" w:hAnsi="Times New Roman"/>
                <w:sz w:val="24"/>
              </w:rPr>
            </w:pPr>
            <w:r w:rsidRPr="00661595">
              <w:rPr>
                <w:rFonts w:ascii="Times New Roman" w:hAnsi="Times New Roman"/>
                <w:sz w:val="24"/>
              </w:rPr>
              <w:t>The  maturity</w:t>
            </w:r>
            <w:r w:rsidR="00F66DFB">
              <w:rPr>
                <w:rFonts w:ascii="Times New Roman" w:hAnsi="Times New Roman"/>
                <w:sz w:val="24"/>
              </w:rPr>
              <w:t xml:space="preserve"> value</w:t>
            </w:r>
            <w:r w:rsidRPr="00661595">
              <w:rPr>
                <w:rFonts w:ascii="Times New Roman" w:hAnsi="Times New Roman"/>
                <w:sz w:val="24"/>
              </w:rPr>
              <w:t xml:space="preserve"> reported </w:t>
            </w:r>
            <w:r w:rsidR="00EE690D">
              <w:rPr>
                <w:rFonts w:ascii="Times New Roman" w:hAnsi="Times New Roman"/>
                <w:sz w:val="24"/>
              </w:rPr>
              <w:t xml:space="preserve">shall </w:t>
            </w:r>
            <w:r w:rsidR="00A44410">
              <w:rPr>
                <w:rFonts w:ascii="Times New Roman" w:hAnsi="Times New Roman"/>
                <w:sz w:val="24"/>
              </w:rPr>
              <w:t xml:space="preserve">be </w:t>
            </w:r>
            <w:r w:rsidR="00CE51FF">
              <w:rPr>
                <w:rFonts w:ascii="Times New Roman" w:hAnsi="Times New Roman"/>
                <w:sz w:val="24"/>
              </w:rPr>
              <w:t xml:space="preserve">determined </w:t>
            </w:r>
            <w:r w:rsidR="00A44410">
              <w:rPr>
                <w:rFonts w:ascii="Times New Roman" w:hAnsi="Times New Roman"/>
                <w:sz w:val="24"/>
              </w:rPr>
              <w:t>in</w:t>
            </w:r>
            <w:r w:rsidR="00CE51FF">
              <w:rPr>
                <w:rFonts w:ascii="Times New Roman" w:hAnsi="Times New Roman"/>
                <w:sz w:val="24"/>
              </w:rPr>
              <w:t xml:space="preserve"> accordance with</w:t>
            </w:r>
            <w:r w:rsidR="00A44410">
              <w:rPr>
                <w:rFonts w:ascii="Times New Roman" w:hAnsi="Times New Roman"/>
                <w:sz w:val="24"/>
              </w:rPr>
              <w:t xml:space="preserve"> </w:t>
            </w:r>
            <w:r w:rsidRPr="00661595">
              <w:rPr>
                <w:rFonts w:ascii="Times New Roman" w:hAnsi="Times New Roman"/>
                <w:sz w:val="24"/>
              </w:rPr>
              <w:t xml:space="preserve">Article 162 CRR. </w:t>
            </w:r>
          </w:p>
          <w:p w:rsidR="008151A6" w:rsidRPr="00661595" w:rsidRDefault="008151A6" w:rsidP="00664874">
            <w:pPr>
              <w:rPr>
                <w:rFonts w:ascii="Times New Roman" w:hAnsi="Times New Roman"/>
                <w:sz w:val="24"/>
              </w:rPr>
            </w:pPr>
            <w:r w:rsidRPr="00661595">
              <w:rPr>
                <w:rFonts w:ascii="Times New Roman" w:hAnsi="Times New Roman"/>
                <w:sz w:val="24"/>
              </w:rPr>
              <w:t xml:space="preserve">The average maturity </w:t>
            </w:r>
            <w:r w:rsidR="00A44410">
              <w:rPr>
                <w:rFonts w:ascii="Times New Roman" w:hAnsi="Times New Roman"/>
                <w:sz w:val="24"/>
              </w:rPr>
              <w:t>shall be</w:t>
            </w:r>
            <w:r w:rsidR="00A44410" w:rsidRPr="00661595">
              <w:rPr>
                <w:rFonts w:ascii="Times New Roman" w:hAnsi="Times New Roman"/>
                <w:sz w:val="24"/>
              </w:rPr>
              <w:t xml:space="preserve"> </w:t>
            </w:r>
            <w:r w:rsidRPr="00661595">
              <w:rPr>
                <w:rFonts w:ascii="Times New Roman" w:hAnsi="Times New Roman"/>
                <w:sz w:val="24"/>
              </w:rPr>
              <w:t>reported in years.</w:t>
            </w:r>
          </w:p>
          <w:p w:rsidR="008151A6" w:rsidRPr="00661595" w:rsidRDefault="008151A6" w:rsidP="00AF6F2C">
            <w:pPr>
              <w:rPr>
                <w:rFonts w:ascii="Times New Roman" w:hAnsi="Times New Roman"/>
                <w:sz w:val="24"/>
              </w:rPr>
            </w:pPr>
            <w:r w:rsidRPr="00661595">
              <w:rPr>
                <w:rFonts w:ascii="Times New Roman" w:hAnsi="Times New Roman"/>
                <w:sz w:val="24"/>
              </w:rPr>
              <w:t xml:space="preserve">This data shall not be reported for the exposure values for which the maturity is not an element in the calculation of </w:t>
            </w:r>
            <w:r w:rsidRPr="00661595">
              <w:rPr>
                <w:rStyle w:val="InstructionsTabelleText"/>
                <w:rFonts w:ascii="Times New Roman" w:hAnsi="Times New Roman"/>
                <w:sz w:val="24"/>
              </w:rPr>
              <w:t xml:space="preserve">risk weighted exposure amounts </w:t>
            </w:r>
            <w:r w:rsidRPr="00661595">
              <w:rPr>
                <w:rFonts w:ascii="Times New Roman" w:hAnsi="Times New Roman"/>
                <w:sz w:val="24"/>
              </w:rPr>
              <w:t xml:space="preserve">in accordance with </w:t>
            </w:r>
            <w:r w:rsidR="00AF6F2C" w:rsidRPr="00661595">
              <w:rPr>
                <w:rFonts w:ascii="Times New Roman" w:hAnsi="Times New Roman"/>
                <w:sz w:val="24"/>
              </w:rPr>
              <w:t xml:space="preserve">Chapter 3 of Title II of </w:t>
            </w:r>
            <w:r w:rsidRPr="00661595">
              <w:rPr>
                <w:rFonts w:ascii="Times New Roman" w:hAnsi="Times New Roman"/>
                <w:sz w:val="24"/>
              </w:rPr>
              <w:t>Part Three CRR. This means that this column shall not be filled in for the exposure class “retail”.</w:t>
            </w:r>
          </w:p>
        </w:tc>
      </w:tr>
      <w:tr w:rsidR="008151A6" w:rsidRPr="00661595" w:rsidTr="00664874">
        <w:tc>
          <w:tcPr>
            <w:tcW w:w="1188" w:type="dxa"/>
            <w:tcBorders>
              <w:top w:val="single" w:sz="4" w:space="0" w:color="auto"/>
              <w:left w:val="single" w:sz="4" w:space="0" w:color="auto"/>
              <w:bottom w:val="single" w:sz="4" w:space="0" w:color="auto"/>
              <w:right w:val="single" w:sz="4" w:space="0" w:color="auto"/>
            </w:tcBorders>
            <w:shd w:val="clear" w:color="auto" w:fill="auto"/>
          </w:tcPr>
          <w:p w:rsidR="008151A6" w:rsidRPr="00661595" w:rsidDel="00F079B2" w:rsidRDefault="008151A6" w:rsidP="00664874">
            <w:pPr>
              <w:rPr>
                <w:rFonts w:ascii="Times New Roman" w:hAnsi="Times New Roman"/>
                <w:sz w:val="24"/>
              </w:rPr>
            </w:pPr>
            <w:r w:rsidRPr="00661595">
              <w:rPr>
                <w:rFonts w:ascii="Times New Roman" w:hAnsi="Times New Roman"/>
                <w:sz w:val="24"/>
              </w:rPr>
              <w:t>0090</w:t>
            </w:r>
          </w:p>
        </w:tc>
        <w:tc>
          <w:tcPr>
            <w:tcW w:w="8843" w:type="dxa"/>
            <w:tcBorders>
              <w:top w:val="single" w:sz="4" w:space="0" w:color="auto"/>
              <w:left w:val="single" w:sz="4" w:space="0" w:color="auto"/>
              <w:bottom w:val="single" w:sz="4" w:space="0" w:color="auto"/>
              <w:right w:val="single" w:sz="4" w:space="0" w:color="auto"/>
            </w:tcBorders>
            <w:shd w:val="clear" w:color="auto" w:fill="auto"/>
          </w:tcPr>
          <w:p w:rsidR="008151A6" w:rsidRPr="00393FF2" w:rsidRDefault="008151A6" w:rsidP="00664874">
            <w:pPr>
              <w:rPr>
                <w:rFonts w:ascii="Times New Roman" w:hAnsi="Times New Roman"/>
                <w:b/>
                <w:sz w:val="24"/>
                <w:u w:val="single"/>
              </w:rPr>
            </w:pPr>
            <w:r w:rsidRPr="00393FF2">
              <w:rPr>
                <w:rFonts w:ascii="Times New Roman" w:hAnsi="Times New Roman"/>
                <w:b/>
                <w:sz w:val="24"/>
                <w:u w:val="single"/>
              </w:rPr>
              <w:t>RISK WEIGHTED EXPOSURE AMOUNT AFTER SUPPORTING FACTORS</w:t>
            </w:r>
          </w:p>
          <w:p w:rsidR="008151A6" w:rsidRPr="00661595" w:rsidRDefault="008151A6" w:rsidP="00664874">
            <w:pPr>
              <w:rPr>
                <w:rFonts w:ascii="Times New Roman" w:hAnsi="Times New Roman"/>
                <w:sz w:val="24"/>
              </w:rPr>
            </w:pPr>
            <w:r w:rsidRPr="00661595">
              <w:rPr>
                <w:rFonts w:ascii="Times New Roman" w:hAnsi="Times New Roman"/>
                <w:sz w:val="24"/>
              </w:rPr>
              <w:t xml:space="preserve">For exposures to central governments and central banks, institutions and corporates, the risk weighted exposure amount calculated in accordance with </w:t>
            </w:r>
            <w:r w:rsidR="00AF6F2C" w:rsidRPr="00661595">
              <w:rPr>
                <w:rFonts w:ascii="Times New Roman" w:hAnsi="Times New Roman"/>
                <w:sz w:val="24"/>
              </w:rPr>
              <w:t xml:space="preserve">paragraphs (1) to (4) of </w:t>
            </w:r>
            <w:r w:rsidRPr="00661595">
              <w:rPr>
                <w:rFonts w:ascii="Times New Roman" w:hAnsi="Times New Roman"/>
                <w:sz w:val="24"/>
              </w:rPr>
              <w:t>Article 153</w:t>
            </w:r>
            <w:r w:rsidR="00A44410">
              <w:rPr>
                <w:rFonts w:ascii="Times New Roman" w:hAnsi="Times New Roman"/>
                <w:sz w:val="24"/>
              </w:rPr>
              <w:t>;</w:t>
            </w:r>
            <w:r w:rsidRPr="00661595">
              <w:rPr>
                <w:rFonts w:ascii="Times New Roman" w:hAnsi="Times New Roman"/>
                <w:sz w:val="24"/>
              </w:rPr>
              <w:t xml:space="preserve"> </w:t>
            </w:r>
            <w:r w:rsidR="00A44410">
              <w:rPr>
                <w:rFonts w:ascii="Times New Roman" w:hAnsi="Times New Roman"/>
                <w:sz w:val="24"/>
              </w:rPr>
              <w:t>f</w:t>
            </w:r>
            <w:r w:rsidRPr="00661595">
              <w:rPr>
                <w:rFonts w:ascii="Times New Roman" w:hAnsi="Times New Roman"/>
                <w:sz w:val="24"/>
              </w:rPr>
              <w:t>or retail exposures, the risk weighted exposure amount calculated in accordance</w:t>
            </w:r>
            <w:r w:rsidRPr="00661595" w:rsidDel="00A57C40">
              <w:rPr>
                <w:rFonts w:ascii="Times New Roman" w:hAnsi="Times New Roman"/>
                <w:sz w:val="24"/>
              </w:rPr>
              <w:t xml:space="preserve"> </w:t>
            </w:r>
            <w:r w:rsidRPr="00661595">
              <w:rPr>
                <w:rFonts w:ascii="Times New Roman" w:hAnsi="Times New Roman"/>
                <w:sz w:val="24"/>
              </w:rPr>
              <w:t>with</w:t>
            </w:r>
            <w:r w:rsidR="00AF6F2C" w:rsidRPr="00661595">
              <w:rPr>
                <w:rFonts w:ascii="Times New Roman" w:hAnsi="Times New Roman"/>
                <w:sz w:val="24"/>
              </w:rPr>
              <w:t xml:space="preserve"> Article 154 </w:t>
            </w:r>
            <w:r w:rsidRPr="00661595">
              <w:rPr>
                <w:rFonts w:ascii="Times New Roman" w:hAnsi="Times New Roman"/>
                <w:sz w:val="24"/>
              </w:rPr>
              <w:t>CRR</w:t>
            </w:r>
          </w:p>
          <w:p w:rsidR="008151A6" w:rsidRPr="00661595" w:rsidRDefault="008151A6" w:rsidP="003F19BA">
            <w:pPr>
              <w:rPr>
                <w:rFonts w:ascii="Times New Roman" w:hAnsi="Times New Roman"/>
                <w:sz w:val="24"/>
              </w:rPr>
            </w:pPr>
            <w:r w:rsidRPr="00661595">
              <w:rPr>
                <w:rFonts w:ascii="Times New Roman" w:hAnsi="Times New Roman"/>
                <w:sz w:val="24"/>
              </w:rPr>
              <w:t>The SME</w:t>
            </w:r>
            <w:r w:rsidR="001A217F">
              <w:rPr>
                <w:rFonts w:ascii="Times New Roman" w:hAnsi="Times New Roman"/>
                <w:sz w:val="24"/>
              </w:rPr>
              <w:t xml:space="preserve"> </w:t>
            </w:r>
            <w:r w:rsidR="00927B49">
              <w:rPr>
                <w:rFonts w:ascii="Times New Roman" w:hAnsi="Times New Roman"/>
                <w:sz w:val="24"/>
              </w:rPr>
              <w:t xml:space="preserve">and infrastructure </w:t>
            </w:r>
            <w:r w:rsidRPr="00661595">
              <w:rPr>
                <w:rFonts w:ascii="Times New Roman" w:hAnsi="Times New Roman"/>
                <w:sz w:val="24"/>
              </w:rPr>
              <w:t>supporting factor</w:t>
            </w:r>
            <w:r w:rsidR="00927B49">
              <w:rPr>
                <w:rFonts w:ascii="Times New Roman" w:hAnsi="Times New Roman"/>
                <w:sz w:val="24"/>
              </w:rPr>
              <w:t>s</w:t>
            </w:r>
            <w:r w:rsidRPr="00661595">
              <w:rPr>
                <w:rFonts w:ascii="Times New Roman" w:hAnsi="Times New Roman"/>
                <w:sz w:val="24"/>
              </w:rPr>
              <w:t xml:space="preserve"> </w:t>
            </w:r>
            <w:r w:rsidR="00927B49">
              <w:rPr>
                <w:rStyle w:val="InstructionsTabelleText"/>
                <w:rFonts w:ascii="Times New Roman" w:hAnsi="Times New Roman"/>
                <w:sz w:val="24"/>
              </w:rPr>
              <w:t>laid down</w:t>
            </w:r>
            <w:r w:rsidRPr="00661595">
              <w:rPr>
                <w:rFonts w:ascii="Times New Roman" w:hAnsi="Times New Roman"/>
                <w:sz w:val="24"/>
              </w:rPr>
              <w:t xml:space="preserve"> </w:t>
            </w:r>
            <w:r w:rsidR="00F66DFB">
              <w:rPr>
                <w:rFonts w:ascii="Times New Roman" w:hAnsi="Times New Roman"/>
                <w:sz w:val="24"/>
              </w:rPr>
              <w:t xml:space="preserve">in </w:t>
            </w:r>
            <w:r w:rsidRPr="00661595">
              <w:rPr>
                <w:rFonts w:ascii="Times New Roman" w:hAnsi="Times New Roman"/>
                <w:sz w:val="24"/>
              </w:rPr>
              <w:t>Article</w:t>
            </w:r>
            <w:r w:rsidR="00F66DFB">
              <w:rPr>
                <w:rFonts w:ascii="Times New Roman" w:hAnsi="Times New Roman"/>
                <w:sz w:val="24"/>
              </w:rPr>
              <w:t>s</w:t>
            </w:r>
            <w:r w:rsidRPr="00661595">
              <w:rPr>
                <w:rFonts w:ascii="Times New Roman" w:hAnsi="Times New Roman"/>
                <w:sz w:val="24"/>
              </w:rPr>
              <w:t xml:space="preserve"> 501</w:t>
            </w:r>
            <w:r w:rsidR="00927B49">
              <w:rPr>
                <w:rFonts w:ascii="Times New Roman" w:hAnsi="Times New Roman"/>
                <w:sz w:val="24"/>
              </w:rPr>
              <w:t xml:space="preserve"> and</w:t>
            </w:r>
            <w:r w:rsidR="00AF6F2C" w:rsidRPr="00661595">
              <w:rPr>
                <w:rFonts w:ascii="Times New Roman" w:hAnsi="Times New Roman"/>
                <w:sz w:val="24"/>
              </w:rPr>
              <w:t xml:space="preserve"> Article 501a</w:t>
            </w:r>
            <w:r w:rsidRPr="00661595">
              <w:rPr>
                <w:rFonts w:ascii="Times New Roman" w:hAnsi="Times New Roman"/>
                <w:sz w:val="24"/>
              </w:rPr>
              <w:t xml:space="preserve"> CRR shall be taken into account. </w:t>
            </w:r>
          </w:p>
        </w:tc>
      </w:tr>
      <w:tr w:rsidR="008151A6" w:rsidRPr="00661595" w:rsidTr="00664874">
        <w:tc>
          <w:tcPr>
            <w:tcW w:w="1188" w:type="dxa"/>
            <w:tcBorders>
              <w:top w:val="single" w:sz="4" w:space="0" w:color="auto"/>
              <w:left w:val="single" w:sz="4" w:space="0" w:color="auto"/>
              <w:bottom w:val="single" w:sz="4" w:space="0" w:color="auto"/>
              <w:right w:val="single" w:sz="4" w:space="0" w:color="auto"/>
            </w:tcBorders>
            <w:shd w:val="clear" w:color="auto" w:fill="auto"/>
          </w:tcPr>
          <w:p w:rsidR="008151A6" w:rsidRPr="00661595" w:rsidRDefault="008151A6" w:rsidP="00AC6619">
            <w:pPr>
              <w:rPr>
                <w:rFonts w:ascii="Times New Roman" w:hAnsi="Times New Roman"/>
                <w:sz w:val="24"/>
              </w:rPr>
            </w:pPr>
            <w:r w:rsidRPr="00661595">
              <w:rPr>
                <w:rFonts w:ascii="Times New Roman" w:hAnsi="Times New Roman"/>
                <w:sz w:val="24"/>
              </w:rPr>
              <w:t>01</w:t>
            </w:r>
            <w:r w:rsidR="00AC6619" w:rsidRPr="00661595">
              <w:rPr>
                <w:rFonts w:ascii="Times New Roman" w:hAnsi="Times New Roman"/>
                <w:sz w:val="24"/>
              </w:rPr>
              <w:t>0</w:t>
            </w:r>
            <w:r w:rsidRPr="00661595">
              <w:rPr>
                <w:rFonts w:ascii="Times New Roman" w:hAnsi="Times New Roman"/>
                <w:sz w:val="24"/>
              </w:rPr>
              <w:t>0</w:t>
            </w:r>
          </w:p>
        </w:tc>
        <w:tc>
          <w:tcPr>
            <w:tcW w:w="8843" w:type="dxa"/>
            <w:tcBorders>
              <w:top w:val="single" w:sz="4" w:space="0" w:color="auto"/>
              <w:left w:val="single" w:sz="4" w:space="0" w:color="auto"/>
              <w:bottom w:val="single" w:sz="4" w:space="0" w:color="auto"/>
              <w:right w:val="single" w:sz="4" w:space="0" w:color="auto"/>
            </w:tcBorders>
            <w:shd w:val="clear" w:color="auto" w:fill="auto"/>
          </w:tcPr>
          <w:p w:rsidR="008151A6" w:rsidRPr="00393FF2" w:rsidRDefault="008151A6" w:rsidP="00664874">
            <w:pPr>
              <w:rPr>
                <w:rFonts w:ascii="Times New Roman" w:hAnsi="Times New Roman"/>
                <w:b/>
                <w:sz w:val="24"/>
                <w:u w:val="single"/>
              </w:rPr>
            </w:pPr>
            <w:r w:rsidRPr="00393FF2">
              <w:rPr>
                <w:rFonts w:ascii="Times New Roman" w:hAnsi="Times New Roman"/>
                <w:b/>
                <w:sz w:val="24"/>
                <w:u w:val="single"/>
              </w:rPr>
              <w:t>EXPECTED LOSS AMOUNT</w:t>
            </w:r>
          </w:p>
          <w:p w:rsidR="008151A6" w:rsidRPr="00661595" w:rsidRDefault="008151A6" w:rsidP="00664874">
            <w:pPr>
              <w:rPr>
                <w:rFonts w:ascii="Times New Roman" w:hAnsi="Times New Roman"/>
                <w:sz w:val="24"/>
              </w:rPr>
            </w:pPr>
            <w:r w:rsidRPr="00661595">
              <w:rPr>
                <w:rFonts w:ascii="Times New Roman" w:hAnsi="Times New Roman"/>
                <w:sz w:val="24"/>
              </w:rPr>
              <w:t>The expected loss amount calculated in accordance with Artic</w:t>
            </w:r>
            <w:r w:rsidR="00AF6F2C" w:rsidRPr="00661595">
              <w:rPr>
                <w:rFonts w:ascii="Times New Roman" w:hAnsi="Times New Roman"/>
                <w:sz w:val="24"/>
              </w:rPr>
              <w:t>le 158</w:t>
            </w:r>
            <w:r w:rsidRPr="00661595">
              <w:rPr>
                <w:rFonts w:ascii="Times New Roman" w:hAnsi="Times New Roman"/>
                <w:sz w:val="24"/>
              </w:rPr>
              <w:t xml:space="preserve"> CRR</w:t>
            </w:r>
          </w:p>
          <w:p w:rsidR="008151A6" w:rsidRPr="00661595" w:rsidRDefault="008151A6" w:rsidP="00664874">
            <w:pPr>
              <w:rPr>
                <w:rFonts w:ascii="Times New Roman" w:hAnsi="Times New Roman"/>
                <w:sz w:val="24"/>
              </w:rPr>
            </w:pPr>
            <w:r w:rsidRPr="00661595">
              <w:rPr>
                <w:rFonts w:ascii="Times New Roman" w:hAnsi="Times New Roman"/>
                <w:sz w:val="24"/>
              </w:rPr>
              <w:t xml:space="preserve">The expected loss amount to be reported shall be based on the actual risk parameters used in the internal </w:t>
            </w:r>
            <w:r w:rsidR="009A4399" w:rsidRPr="00661595">
              <w:rPr>
                <w:rFonts w:ascii="Times New Roman" w:hAnsi="Times New Roman"/>
                <w:sz w:val="24"/>
              </w:rPr>
              <w:t>rating scale</w:t>
            </w:r>
            <w:r w:rsidRPr="00661595">
              <w:rPr>
                <w:rFonts w:ascii="Times New Roman" w:hAnsi="Times New Roman"/>
                <w:sz w:val="24"/>
              </w:rPr>
              <w:t xml:space="preserve"> approved by the respective competent authority.</w:t>
            </w:r>
          </w:p>
        </w:tc>
      </w:tr>
      <w:tr w:rsidR="008151A6" w:rsidRPr="00661595" w:rsidTr="00664874">
        <w:tc>
          <w:tcPr>
            <w:tcW w:w="1188" w:type="dxa"/>
            <w:tcBorders>
              <w:top w:val="single" w:sz="4" w:space="0" w:color="auto"/>
              <w:left w:val="single" w:sz="4" w:space="0" w:color="auto"/>
              <w:bottom w:val="single" w:sz="4" w:space="0" w:color="auto"/>
              <w:right w:val="single" w:sz="4" w:space="0" w:color="auto"/>
            </w:tcBorders>
            <w:shd w:val="clear" w:color="auto" w:fill="auto"/>
          </w:tcPr>
          <w:p w:rsidR="008151A6" w:rsidRPr="00661595" w:rsidRDefault="008151A6" w:rsidP="00AC6619">
            <w:pPr>
              <w:rPr>
                <w:rFonts w:ascii="Times New Roman" w:hAnsi="Times New Roman"/>
                <w:sz w:val="24"/>
              </w:rPr>
            </w:pPr>
            <w:r w:rsidRPr="00661595">
              <w:rPr>
                <w:rFonts w:ascii="Times New Roman" w:hAnsi="Times New Roman"/>
                <w:sz w:val="24"/>
              </w:rPr>
              <w:t>01</w:t>
            </w:r>
            <w:r w:rsidR="00AC6619" w:rsidRPr="00661595">
              <w:rPr>
                <w:rFonts w:ascii="Times New Roman" w:hAnsi="Times New Roman"/>
                <w:sz w:val="24"/>
              </w:rPr>
              <w:t>1</w:t>
            </w:r>
            <w:r w:rsidRPr="00661595">
              <w:rPr>
                <w:rFonts w:ascii="Times New Roman" w:hAnsi="Times New Roman"/>
                <w:sz w:val="24"/>
              </w:rPr>
              <w:t>0</w:t>
            </w:r>
          </w:p>
        </w:tc>
        <w:tc>
          <w:tcPr>
            <w:tcW w:w="8843" w:type="dxa"/>
            <w:tcBorders>
              <w:top w:val="single" w:sz="4" w:space="0" w:color="auto"/>
              <w:left w:val="single" w:sz="4" w:space="0" w:color="auto"/>
              <w:bottom w:val="single" w:sz="4" w:space="0" w:color="auto"/>
              <w:right w:val="single" w:sz="4" w:space="0" w:color="auto"/>
            </w:tcBorders>
            <w:shd w:val="clear" w:color="auto" w:fill="auto"/>
          </w:tcPr>
          <w:p w:rsidR="008151A6" w:rsidRPr="00393FF2" w:rsidRDefault="008151A6" w:rsidP="00664874">
            <w:pPr>
              <w:rPr>
                <w:rFonts w:ascii="Times New Roman" w:hAnsi="Times New Roman"/>
                <w:b/>
                <w:sz w:val="24"/>
                <w:u w:val="single"/>
              </w:rPr>
            </w:pPr>
            <w:r w:rsidRPr="00393FF2">
              <w:rPr>
                <w:rFonts w:ascii="Times New Roman" w:hAnsi="Times New Roman"/>
                <w:b/>
                <w:sz w:val="24"/>
                <w:u w:val="single"/>
              </w:rPr>
              <w:t>VALUE ADJUSTMENTS AND PROVISIONS</w:t>
            </w:r>
          </w:p>
          <w:p w:rsidR="00A44410" w:rsidRDefault="008151A6" w:rsidP="00664874">
            <w:pPr>
              <w:rPr>
                <w:rFonts w:ascii="Times New Roman" w:hAnsi="Times New Roman"/>
                <w:sz w:val="24"/>
              </w:rPr>
            </w:pPr>
            <w:r w:rsidRPr="00661595">
              <w:rPr>
                <w:rFonts w:ascii="Times New Roman" w:hAnsi="Times New Roman"/>
                <w:sz w:val="24"/>
              </w:rPr>
              <w:t>Specific and general credit risk adjustments in accordance with the Commission Delegated Regulation (EU) No 183/2014, additional value adjustments in accorda</w:t>
            </w:r>
            <w:r w:rsidR="00AF6F2C" w:rsidRPr="00661595">
              <w:rPr>
                <w:rFonts w:ascii="Times New Roman" w:hAnsi="Times New Roman"/>
                <w:sz w:val="24"/>
              </w:rPr>
              <w:t xml:space="preserve">nce with Articles 34 and 110 </w:t>
            </w:r>
            <w:r w:rsidRPr="00661595">
              <w:rPr>
                <w:rFonts w:ascii="Times New Roman" w:hAnsi="Times New Roman"/>
                <w:sz w:val="24"/>
              </w:rPr>
              <w:t xml:space="preserve">CRR, as well as other own funds reductions related to the exposures allocated to each bucket on the fixed PD range </w:t>
            </w:r>
          </w:p>
          <w:p w:rsidR="008151A6" w:rsidRPr="00661595" w:rsidRDefault="008151A6" w:rsidP="00664874">
            <w:pPr>
              <w:rPr>
                <w:rFonts w:ascii="Times New Roman" w:hAnsi="Times New Roman"/>
                <w:sz w:val="24"/>
              </w:rPr>
            </w:pPr>
            <w:r w:rsidRPr="00661595">
              <w:rPr>
                <w:rFonts w:ascii="Times New Roman" w:hAnsi="Times New Roman"/>
                <w:sz w:val="24"/>
              </w:rPr>
              <w:t xml:space="preserve">These value adjustments and provisions </w:t>
            </w:r>
            <w:r w:rsidR="00A44410">
              <w:rPr>
                <w:rFonts w:ascii="Times New Roman" w:hAnsi="Times New Roman"/>
                <w:sz w:val="24"/>
              </w:rPr>
              <w:t>shall be</w:t>
            </w:r>
            <w:r w:rsidR="00A44410" w:rsidRPr="00661595">
              <w:rPr>
                <w:rFonts w:ascii="Times New Roman" w:hAnsi="Times New Roman"/>
                <w:sz w:val="24"/>
              </w:rPr>
              <w:t xml:space="preserve"> </w:t>
            </w:r>
            <w:r w:rsidRPr="00661595">
              <w:rPr>
                <w:rFonts w:ascii="Times New Roman" w:hAnsi="Times New Roman"/>
                <w:sz w:val="24"/>
              </w:rPr>
              <w:t xml:space="preserve">those considered for the </w:t>
            </w:r>
            <w:r w:rsidR="00AF6F2C" w:rsidRPr="00661595">
              <w:rPr>
                <w:rFonts w:ascii="Times New Roman" w:hAnsi="Times New Roman"/>
                <w:sz w:val="24"/>
              </w:rPr>
              <w:t>implementation of Article 159</w:t>
            </w:r>
            <w:r w:rsidRPr="00661595">
              <w:rPr>
                <w:rFonts w:ascii="Times New Roman" w:hAnsi="Times New Roman"/>
                <w:sz w:val="24"/>
              </w:rPr>
              <w:t xml:space="preserve"> CRR.</w:t>
            </w:r>
          </w:p>
          <w:p w:rsidR="008151A6" w:rsidRPr="00661595" w:rsidRDefault="008151A6" w:rsidP="00664874">
            <w:pPr>
              <w:rPr>
                <w:rFonts w:ascii="Times New Roman" w:hAnsi="Times New Roman"/>
                <w:sz w:val="24"/>
              </w:rPr>
            </w:pPr>
            <w:r w:rsidRPr="00661595">
              <w:rPr>
                <w:rFonts w:ascii="Times New Roman" w:hAnsi="Times New Roman"/>
                <w:sz w:val="24"/>
              </w:rPr>
              <w:t xml:space="preserve">General provisions shall be reported by assigning the amount pro rata – </w:t>
            </w:r>
            <w:r w:rsidR="00EA1F5A" w:rsidRPr="00661595">
              <w:rPr>
                <w:rStyle w:val="InstructionsTabelleText"/>
                <w:rFonts w:ascii="Times New Roman" w:hAnsi="Times New Roman"/>
                <w:sz w:val="24"/>
              </w:rPr>
              <w:t>in accordance with</w:t>
            </w:r>
            <w:r w:rsidRPr="00661595">
              <w:rPr>
                <w:rFonts w:ascii="Times New Roman" w:hAnsi="Times New Roman"/>
                <w:sz w:val="24"/>
              </w:rPr>
              <w:t xml:space="preserve"> the expected loss of different obligor grades.  </w:t>
            </w:r>
          </w:p>
        </w:tc>
      </w:tr>
    </w:tbl>
    <w:p w:rsidR="008151A6" w:rsidRPr="00661595" w:rsidRDefault="008151A6" w:rsidP="00487A02">
      <w:pPr>
        <w:pStyle w:val="InstructionsText"/>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8557"/>
      </w:tblGrid>
      <w:tr w:rsidR="008151A6" w:rsidRPr="00661595" w:rsidTr="00664874">
        <w:tc>
          <w:tcPr>
            <w:tcW w:w="1271" w:type="dxa"/>
            <w:shd w:val="pct25" w:color="auto" w:fill="auto"/>
          </w:tcPr>
          <w:p w:rsidR="008151A6" w:rsidRPr="00661595" w:rsidRDefault="008151A6" w:rsidP="00664874">
            <w:pPr>
              <w:rPr>
                <w:rFonts w:ascii="Times New Roman" w:hAnsi="Times New Roman"/>
                <w:sz w:val="24"/>
              </w:rPr>
            </w:pPr>
            <w:r w:rsidRPr="00661595">
              <w:rPr>
                <w:rFonts w:ascii="Times New Roman" w:hAnsi="Times New Roman"/>
                <w:sz w:val="24"/>
              </w:rPr>
              <w:t>Rows</w:t>
            </w:r>
          </w:p>
        </w:tc>
        <w:tc>
          <w:tcPr>
            <w:tcW w:w="8557" w:type="dxa"/>
            <w:shd w:val="pct25" w:color="auto" w:fill="auto"/>
          </w:tcPr>
          <w:p w:rsidR="008151A6" w:rsidRPr="00661595" w:rsidRDefault="008151A6" w:rsidP="00664874">
            <w:pPr>
              <w:rPr>
                <w:rFonts w:ascii="Times New Roman" w:hAnsi="Times New Roman"/>
                <w:sz w:val="24"/>
              </w:rPr>
            </w:pPr>
            <w:r w:rsidRPr="00661595">
              <w:rPr>
                <w:rFonts w:ascii="Times New Roman" w:hAnsi="Times New Roman"/>
                <w:sz w:val="24"/>
              </w:rPr>
              <w:t>Instructions</w:t>
            </w:r>
          </w:p>
        </w:tc>
      </w:tr>
      <w:tr w:rsidR="008151A6" w:rsidRPr="00661595" w:rsidTr="00664874">
        <w:tc>
          <w:tcPr>
            <w:tcW w:w="1271" w:type="dxa"/>
          </w:tcPr>
          <w:p w:rsidR="008151A6" w:rsidRPr="00661595" w:rsidRDefault="008151A6" w:rsidP="00664874">
            <w:pPr>
              <w:rPr>
                <w:rFonts w:ascii="Times New Roman" w:hAnsi="Times New Roman"/>
                <w:sz w:val="24"/>
              </w:rPr>
            </w:pPr>
            <w:r w:rsidRPr="00661595">
              <w:rPr>
                <w:rFonts w:ascii="Times New Roman" w:hAnsi="Times New Roman"/>
                <w:sz w:val="24"/>
              </w:rPr>
              <w:t>PD RANGE</w:t>
            </w:r>
          </w:p>
        </w:tc>
        <w:tc>
          <w:tcPr>
            <w:tcW w:w="8557" w:type="dxa"/>
          </w:tcPr>
          <w:p w:rsidR="008151A6" w:rsidRPr="00661595" w:rsidRDefault="008151A6" w:rsidP="00AC6619">
            <w:pPr>
              <w:rPr>
                <w:rFonts w:ascii="Times New Roman" w:hAnsi="Times New Roman"/>
                <w:sz w:val="24"/>
              </w:rPr>
            </w:pPr>
            <w:r w:rsidRPr="00661595">
              <w:rPr>
                <w:rFonts w:ascii="Times New Roman" w:hAnsi="Times New Roman"/>
                <w:sz w:val="24"/>
              </w:rPr>
              <w:t xml:space="preserve">Exposures shall be allocated to an appropriate bucket of the fixed PD range based on the PD estimated for each obligor assigned to this exposure class (without considering any substitution </w:t>
            </w:r>
            <w:r w:rsidR="001A370B" w:rsidRPr="00661595">
              <w:rPr>
                <w:rFonts w:ascii="Times New Roman" w:hAnsi="Times New Roman"/>
                <w:sz w:val="24"/>
              </w:rPr>
              <w:t xml:space="preserve">effects </w:t>
            </w:r>
            <w:r w:rsidRPr="00661595">
              <w:rPr>
                <w:rFonts w:ascii="Times New Roman" w:hAnsi="Times New Roman"/>
                <w:sz w:val="24"/>
              </w:rPr>
              <w:t xml:space="preserve">due to </w:t>
            </w:r>
            <w:r w:rsidR="001A370B" w:rsidRPr="00661595">
              <w:rPr>
                <w:rFonts w:ascii="Times New Roman" w:hAnsi="Times New Roman"/>
                <w:sz w:val="24"/>
              </w:rPr>
              <w:t>CRM</w:t>
            </w:r>
            <w:r w:rsidRPr="00661595">
              <w:rPr>
                <w:rFonts w:ascii="Times New Roman" w:hAnsi="Times New Roman"/>
                <w:sz w:val="24"/>
              </w:rPr>
              <w:t>). Institutions shall map exposure by exposure to the PD range provided in the template, also taking into account continuous scales. All defaulted exposures shall be included in the bucket representing PD of 100%.</w:t>
            </w:r>
          </w:p>
        </w:tc>
      </w:tr>
    </w:tbl>
    <w:p w:rsidR="008151A6" w:rsidRPr="00661595" w:rsidRDefault="008151A6" w:rsidP="00F66371">
      <w:pPr>
        <w:pStyle w:val="Instructionsberschrift2"/>
        <w:numPr>
          <w:ilvl w:val="2"/>
          <w:numId w:val="36"/>
        </w:numPr>
        <w:rPr>
          <w:rFonts w:ascii="Times New Roman" w:hAnsi="Times New Roman" w:cs="Times New Roman"/>
          <w:sz w:val="24"/>
          <w:lang w:val="en-GB"/>
        </w:rPr>
      </w:pPr>
      <w:bookmarkStart w:id="329" w:name="_Toc19715758"/>
      <w:bookmarkStart w:id="330" w:name="_Toc57831555"/>
      <w:r w:rsidRPr="00661595">
        <w:rPr>
          <w:rFonts w:ascii="Times New Roman" w:hAnsi="Times New Roman" w:cs="Times New Roman"/>
          <w:sz w:val="24"/>
          <w:lang w:val="en-GB"/>
        </w:rPr>
        <w:t xml:space="preserve">C 08.04 - </w:t>
      </w:r>
      <w:r w:rsidR="00626A88" w:rsidRPr="00661595">
        <w:rPr>
          <w:rFonts w:ascii="Times New Roman" w:hAnsi="Times New Roman" w:cs="Times New Roman"/>
          <w:sz w:val="24"/>
          <w:lang w:val="en-GB"/>
        </w:rPr>
        <w:t>C</w:t>
      </w:r>
      <w:r w:rsidRPr="00661595">
        <w:rPr>
          <w:rFonts w:ascii="Times New Roman" w:hAnsi="Times New Roman" w:cs="Times New Roman"/>
          <w:sz w:val="24"/>
          <w:lang w:val="en-GB"/>
        </w:rPr>
        <w:t xml:space="preserve">redit risk and free deliveries: IRB </w:t>
      </w:r>
      <w:r w:rsidR="009A4399" w:rsidRPr="00661595">
        <w:rPr>
          <w:rFonts w:ascii="Times New Roman" w:hAnsi="Times New Roman" w:cs="Times New Roman"/>
          <w:sz w:val="24"/>
          <w:lang w:val="en-GB"/>
        </w:rPr>
        <w:t>a</w:t>
      </w:r>
      <w:r w:rsidRPr="00661595">
        <w:rPr>
          <w:rFonts w:ascii="Times New Roman" w:hAnsi="Times New Roman" w:cs="Times New Roman"/>
          <w:sz w:val="24"/>
          <w:lang w:val="en-GB"/>
        </w:rPr>
        <w:t>pproach to Capital Requirements (RWEA flow statements (CR IRB 4))</w:t>
      </w:r>
      <w:bookmarkEnd w:id="329"/>
      <w:bookmarkEnd w:id="330"/>
    </w:p>
    <w:p w:rsidR="008151A6" w:rsidRPr="00661595" w:rsidRDefault="008151A6" w:rsidP="00F66371">
      <w:pPr>
        <w:pStyle w:val="Instructionsberschrift2"/>
        <w:numPr>
          <w:ilvl w:val="3"/>
          <w:numId w:val="36"/>
        </w:numPr>
        <w:ind w:left="709"/>
        <w:rPr>
          <w:rFonts w:ascii="Times New Roman" w:hAnsi="Times New Roman" w:cs="Times New Roman"/>
          <w:sz w:val="24"/>
          <w:lang w:val="en-GB"/>
        </w:rPr>
      </w:pPr>
      <w:bookmarkStart w:id="331" w:name="_Toc19715759"/>
      <w:bookmarkStart w:id="332" w:name="_Toc57831556"/>
      <w:r w:rsidRPr="00661595">
        <w:rPr>
          <w:rFonts w:ascii="Times New Roman" w:hAnsi="Times New Roman" w:cs="Times New Roman"/>
          <w:sz w:val="24"/>
          <w:lang w:val="en-GB"/>
        </w:rPr>
        <w:t>General remarks</w:t>
      </w:r>
      <w:bookmarkEnd w:id="331"/>
      <w:bookmarkEnd w:id="332"/>
    </w:p>
    <w:p w:rsidR="008151A6" w:rsidRDefault="00D11E4C" w:rsidP="00487A02">
      <w:pPr>
        <w:pStyle w:val="InstructionsText2"/>
        <w:numPr>
          <w:ilvl w:val="0"/>
          <w:numId w:val="0"/>
        </w:numPr>
        <w:ind w:left="1353" w:hanging="360"/>
      </w:pPr>
      <w:fldSimple w:instr=" seq paragraphs ">
        <w:r w:rsidR="00771068">
          <w:rPr>
            <w:noProof/>
          </w:rPr>
          <w:t>78</w:t>
        </w:r>
      </w:fldSimple>
      <w:r w:rsidR="008151A6" w:rsidRPr="00661595">
        <w:t>. Institutions shall report the information included in this template i</w:t>
      </w:r>
      <w:r w:rsidR="00AF6F2C" w:rsidRPr="00661595">
        <w:t xml:space="preserve">n application of point (h) of Article 438 </w:t>
      </w:r>
      <w:r w:rsidR="008151A6" w:rsidRPr="00661595">
        <w:t>CRR. This template excludes counterparty credit risk (CCR) exposures (</w:t>
      </w:r>
      <w:r w:rsidR="00AF6F2C" w:rsidRPr="00661595">
        <w:t xml:space="preserve">Chapter 6 of Title II of </w:t>
      </w:r>
      <w:r w:rsidR="008151A6" w:rsidRPr="00661595">
        <w:t>Part Three</w:t>
      </w:r>
      <w:r w:rsidR="00AF6F2C" w:rsidRPr="00661595">
        <w:t xml:space="preserve"> </w:t>
      </w:r>
      <w:r w:rsidR="008151A6" w:rsidRPr="00661595">
        <w:t>CRR).</w:t>
      </w:r>
    </w:p>
    <w:p w:rsidR="002F29AF" w:rsidRDefault="002F29AF" w:rsidP="00487A02">
      <w:pPr>
        <w:pStyle w:val="InstructionsText2"/>
        <w:numPr>
          <w:ilvl w:val="0"/>
          <w:numId w:val="0"/>
        </w:numPr>
        <w:ind w:left="1353" w:hanging="360"/>
      </w:pPr>
      <w:r>
        <w:rPr>
          <w:noProof/>
        </w:rPr>
        <w:fldChar w:fldCharType="begin"/>
      </w:r>
      <w:r>
        <w:rPr>
          <w:noProof/>
        </w:rPr>
        <w:instrText xml:space="preserve"> seq paragraphs </w:instrText>
      </w:r>
      <w:r>
        <w:rPr>
          <w:noProof/>
        </w:rPr>
        <w:fldChar w:fldCharType="separate"/>
      </w:r>
      <w:r>
        <w:rPr>
          <w:noProof/>
        </w:rPr>
        <w:t>79</w:t>
      </w:r>
      <w:r>
        <w:rPr>
          <w:noProof/>
        </w:rPr>
        <w:fldChar w:fldCharType="end"/>
      </w:r>
      <w:r w:rsidRPr="00661595">
        <w:rPr>
          <w:noProof/>
        </w:rPr>
        <w:t xml:space="preserve">. Institutions shall report the flows of RWEA as the changes between the risk-weighted exposure amounts at the reference date and the risk-weighted exposure amounts at the </w:t>
      </w:r>
      <w:r w:rsidR="00E32BAE">
        <w:t xml:space="preserve">prior </w:t>
      </w:r>
      <w:r w:rsidR="00E32BAE" w:rsidRPr="001B10E5">
        <w:rPr>
          <w:rFonts w:eastAsiaTheme="minorEastAsia"/>
          <w:bCs/>
          <w:noProof/>
          <w:color w:val="000000"/>
        </w:rPr>
        <w:t>reference date</w:t>
      </w:r>
      <w:r w:rsidR="00E32BAE">
        <w:rPr>
          <w:rFonts w:eastAsiaTheme="minorEastAsia"/>
          <w:bCs/>
          <w:noProof/>
          <w:color w:val="000000"/>
        </w:rPr>
        <w:t>. I</w:t>
      </w:r>
      <w:r w:rsidR="00E32BAE" w:rsidRPr="001B10E5">
        <w:rPr>
          <w:rFonts w:eastAsiaTheme="minorEastAsia"/>
          <w:bCs/>
          <w:noProof/>
          <w:color w:val="000000"/>
        </w:rPr>
        <w:t>n the case of qua</w:t>
      </w:r>
      <w:r w:rsidR="00E32BAE">
        <w:rPr>
          <w:rFonts w:eastAsiaTheme="minorEastAsia"/>
          <w:bCs/>
          <w:noProof/>
          <w:color w:val="000000"/>
        </w:rPr>
        <w:t>r</w:t>
      </w:r>
      <w:r w:rsidR="00E32BAE" w:rsidRPr="001B10E5">
        <w:rPr>
          <w:rFonts w:eastAsiaTheme="minorEastAsia"/>
          <w:bCs/>
          <w:noProof/>
          <w:color w:val="000000"/>
        </w:rPr>
        <w:t xml:space="preserve">terly </w:t>
      </w:r>
      <w:r w:rsidR="00E32BAE">
        <w:rPr>
          <w:rFonts w:eastAsiaTheme="minorEastAsia"/>
          <w:bCs/>
          <w:noProof/>
          <w:color w:val="000000"/>
        </w:rPr>
        <w:t>reporting</w:t>
      </w:r>
      <w:r w:rsidR="00E32BAE" w:rsidRPr="001B10E5">
        <w:rPr>
          <w:rFonts w:eastAsiaTheme="minorEastAsia"/>
          <w:bCs/>
          <w:noProof/>
          <w:color w:val="000000"/>
        </w:rPr>
        <w:t>, end-of-</w:t>
      </w:r>
      <w:r w:rsidR="00E32BAE" w:rsidRPr="001B10E5">
        <w:rPr>
          <w:rFonts w:eastAsiaTheme="minorEastAsia"/>
          <w:noProof/>
          <w:color w:val="000000"/>
        </w:rPr>
        <w:t xml:space="preserve">quarter </w:t>
      </w:r>
      <w:r w:rsidRPr="00661595">
        <w:rPr>
          <w:noProof/>
        </w:rPr>
        <w:t>prior to the quarter of the reporting reference date</w:t>
      </w:r>
      <w:r w:rsidR="00E32BAE">
        <w:rPr>
          <w:noProof/>
        </w:rPr>
        <w:t xml:space="preserve"> shall be reported</w:t>
      </w:r>
      <w:r w:rsidRPr="00661595">
        <w:rPr>
          <w:noProof/>
        </w:rPr>
        <w:t xml:space="preserve">. </w:t>
      </w:r>
    </w:p>
    <w:p w:rsidR="008151A6" w:rsidRPr="00661595" w:rsidRDefault="002F29AF" w:rsidP="000911FE">
      <w:pPr>
        <w:pStyle w:val="Instructionsberschrift2"/>
        <w:numPr>
          <w:ilvl w:val="3"/>
          <w:numId w:val="36"/>
        </w:numPr>
        <w:ind w:left="709"/>
        <w:rPr>
          <w:rFonts w:ascii="Times New Roman" w:hAnsi="Times New Roman" w:cs="Times New Roman"/>
          <w:sz w:val="24"/>
          <w:lang w:val="en-GB"/>
        </w:rPr>
      </w:pPr>
      <w:bookmarkStart w:id="333" w:name="_Toc19715760"/>
      <w:bookmarkStart w:id="334" w:name="_Toc57831557"/>
      <w:r>
        <w:rPr>
          <w:rFonts w:ascii="Times New Roman" w:hAnsi="Times New Roman" w:cs="Times New Roman"/>
          <w:sz w:val="24"/>
          <w:lang w:val="en-GB"/>
        </w:rPr>
        <w:t>I</w:t>
      </w:r>
      <w:r w:rsidR="008151A6" w:rsidRPr="00661595">
        <w:rPr>
          <w:rFonts w:ascii="Times New Roman" w:hAnsi="Times New Roman" w:cs="Times New Roman"/>
          <w:sz w:val="24"/>
          <w:lang w:val="en-GB"/>
        </w:rPr>
        <w:t>nstructions concerning specific positions</w:t>
      </w:r>
      <w:bookmarkEnd w:id="333"/>
      <w:bookmarkEnd w:id="334"/>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8843"/>
      </w:tblGrid>
      <w:tr w:rsidR="008151A6" w:rsidRPr="00661595" w:rsidTr="00393FF2">
        <w:tc>
          <w:tcPr>
            <w:tcW w:w="1188" w:type="dxa"/>
            <w:tcBorders>
              <w:bottom w:val="single" w:sz="4" w:space="0" w:color="auto"/>
            </w:tcBorders>
            <w:shd w:val="clear" w:color="auto" w:fill="CCCCCC"/>
          </w:tcPr>
          <w:p w:rsidR="008151A6" w:rsidRPr="00661595" w:rsidRDefault="008151A6" w:rsidP="00664874">
            <w:pPr>
              <w:rPr>
                <w:rFonts w:ascii="Times New Roman" w:hAnsi="Times New Roman"/>
                <w:sz w:val="24"/>
              </w:rPr>
            </w:pPr>
            <w:r w:rsidRPr="00661595">
              <w:rPr>
                <w:rFonts w:ascii="Times New Roman" w:hAnsi="Times New Roman"/>
                <w:sz w:val="24"/>
              </w:rPr>
              <w:t>Column</w:t>
            </w:r>
          </w:p>
        </w:tc>
        <w:tc>
          <w:tcPr>
            <w:tcW w:w="8843" w:type="dxa"/>
            <w:tcBorders>
              <w:bottom w:val="single" w:sz="4" w:space="0" w:color="auto"/>
            </w:tcBorders>
            <w:shd w:val="clear" w:color="auto" w:fill="CCCCCC"/>
          </w:tcPr>
          <w:p w:rsidR="008151A6" w:rsidRPr="00661595" w:rsidRDefault="008151A6" w:rsidP="00664874">
            <w:pPr>
              <w:rPr>
                <w:rFonts w:ascii="Times New Roman" w:hAnsi="Times New Roman"/>
                <w:sz w:val="24"/>
              </w:rPr>
            </w:pPr>
            <w:r w:rsidRPr="00661595">
              <w:rPr>
                <w:rFonts w:ascii="Times New Roman" w:hAnsi="Times New Roman"/>
                <w:sz w:val="24"/>
              </w:rPr>
              <w:t>Instructions</w:t>
            </w:r>
          </w:p>
        </w:tc>
      </w:tr>
      <w:tr w:rsidR="008151A6" w:rsidRPr="00661595" w:rsidTr="00393FF2">
        <w:trPr>
          <w:trHeight w:val="973"/>
        </w:trPr>
        <w:tc>
          <w:tcPr>
            <w:tcW w:w="1188" w:type="dxa"/>
            <w:tcBorders>
              <w:top w:val="single" w:sz="4" w:space="0" w:color="auto"/>
              <w:left w:val="single" w:sz="4" w:space="0" w:color="auto"/>
              <w:bottom w:val="single" w:sz="4" w:space="0" w:color="auto"/>
              <w:right w:val="single" w:sz="4" w:space="0" w:color="auto"/>
            </w:tcBorders>
            <w:shd w:val="clear" w:color="auto" w:fill="auto"/>
          </w:tcPr>
          <w:p w:rsidR="008151A6" w:rsidRPr="00661595" w:rsidRDefault="008151A6" w:rsidP="00664874">
            <w:pPr>
              <w:rPr>
                <w:rFonts w:ascii="Times New Roman" w:hAnsi="Times New Roman"/>
                <w:sz w:val="24"/>
              </w:rPr>
            </w:pPr>
            <w:r w:rsidRPr="00661595">
              <w:rPr>
                <w:rFonts w:ascii="Times New Roman" w:hAnsi="Times New Roman"/>
                <w:sz w:val="24"/>
              </w:rPr>
              <w:t>0010</w:t>
            </w:r>
          </w:p>
          <w:p w:rsidR="008151A6" w:rsidRPr="00661595" w:rsidRDefault="008151A6" w:rsidP="00664874">
            <w:pPr>
              <w:rPr>
                <w:rFonts w:ascii="Times New Roman" w:hAnsi="Times New Roman"/>
                <w:sz w:val="24"/>
              </w:rPr>
            </w:pPr>
          </w:p>
        </w:tc>
        <w:tc>
          <w:tcPr>
            <w:tcW w:w="8843" w:type="dxa"/>
            <w:tcBorders>
              <w:top w:val="single" w:sz="4" w:space="0" w:color="auto"/>
              <w:left w:val="single" w:sz="4" w:space="0" w:color="auto"/>
              <w:bottom w:val="single" w:sz="4" w:space="0" w:color="auto"/>
              <w:right w:val="single" w:sz="4" w:space="0" w:color="auto"/>
            </w:tcBorders>
            <w:shd w:val="clear" w:color="auto" w:fill="auto"/>
          </w:tcPr>
          <w:p w:rsidR="008151A6" w:rsidRPr="00393FF2" w:rsidRDefault="008151A6" w:rsidP="00664874">
            <w:pPr>
              <w:rPr>
                <w:rFonts w:ascii="Times New Roman" w:hAnsi="Times New Roman"/>
                <w:b/>
                <w:sz w:val="24"/>
                <w:u w:val="single"/>
              </w:rPr>
            </w:pPr>
            <w:r w:rsidRPr="00393FF2">
              <w:rPr>
                <w:rFonts w:ascii="Times New Roman" w:hAnsi="Times New Roman"/>
                <w:b/>
                <w:sz w:val="24"/>
                <w:u w:val="single"/>
              </w:rPr>
              <w:t>RISK WEIGHTED EXPOSURE AMOUNT</w:t>
            </w:r>
          </w:p>
          <w:p w:rsidR="008151A6" w:rsidRPr="00661595" w:rsidRDefault="008151A6" w:rsidP="00AC6619">
            <w:pPr>
              <w:rPr>
                <w:rFonts w:ascii="Times New Roman" w:hAnsi="Times New Roman"/>
                <w:sz w:val="24"/>
              </w:rPr>
            </w:pPr>
            <w:r w:rsidRPr="00661595">
              <w:rPr>
                <w:rFonts w:ascii="Times New Roman" w:hAnsi="Times New Roman"/>
                <w:sz w:val="24"/>
              </w:rPr>
              <w:t xml:space="preserve">Total risk weighted exposure amount for credit risk calculated under the IRB </w:t>
            </w:r>
            <w:r w:rsidR="00AC6619" w:rsidRPr="00661595">
              <w:rPr>
                <w:rFonts w:ascii="Times New Roman" w:hAnsi="Times New Roman"/>
                <w:sz w:val="24"/>
              </w:rPr>
              <w:t>a</w:t>
            </w:r>
            <w:r w:rsidRPr="00661595">
              <w:rPr>
                <w:rFonts w:ascii="Times New Roman" w:hAnsi="Times New Roman"/>
                <w:sz w:val="24"/>
              </w:rPr>
              <w:t>pproach, taking into account supporting factors in accordan</w:t>
            </w:r>
            <w:r w:rsidR="00AF6F2C" w:rsidRPr="00661595">
              <w:rPr>
                <w:rFonts w:ascii="Times New Roman" w:hAnsi="Times New Roman"/>
                <w:sz w:val="24"/>
              </w:rPr>
              <w:t xml:space="preserve">ce with Article 501 and 501a </w:t>
            </w:r>
            <w:r w:rsidRPr="00661595">
              <w:rPr>
                <w:rFonts w:ascii="Times New Roman" w:hAnsi="Times New Roman"/>
                <w:sz w:val="24"/>
              </w:rPr>
              <w:t>CRR.</w:t>
            </w:r>
          </w:p>
        </w:tc>
      </w:tr>
      <w:tr w:rsidR="00393FF2" w:rsidRPr="00661595" w:rsidTr="00393FF2">
        <w:trPr>
          <w:trHeight w:val="338"/>
        </w:trPr>
        <w:tc>
          <w:tcPr>
            <w:tcW w:w="1188" w:type="dxa"/>
            <w:tcBorders>
              <w:top w:val="single" w:sz="4" w:space="0" w:color="auto"/>
              <w:left w:val="nil"/>
              <w:bottom w:val="nil"/>
              <w:right w:val="nil"/>
            </w:tcBorders>
            <w:shd w:val="clear" w:color="auto" w:fill="auto"/>
          </w:tcPr>
          <w:p w:rsidR="00393FF2" w:rsidRPr="00661595" w:rsidRDefault="00393FF2" w:rsidP="00664874">
            <w:pPr>
              <w:rPr>
                <w:rFonts w:ascii="Times New Roman" w:hAnsi="Times New Roman"/>
                <w:sz w:val="24"/>
              </w:rPr>
            </w:pPr>
          </w:p>
        </w:tc>
        <w:tc>
          <w:tcPr>
            <w:tcW w:w="8843" w:type="dxa"/>
            <w:tcBorders>
              <w:top w:val="single" w:sz="4" w:space="0" w:color="auto"/>
              <w:left w:val="nil"/>
              <w:bottom w:val="nil"/>
              <w:right w:val="nil"/>
            </w:tcBorders>
            <w:shd w:val="clear" w:color="auto" w:fill="auto"/>
          </w:tcPr>
          <w:p w:rsidR="00393FF2" w:rsidRPr="00661595" w:rsidRDefault="00393FF2" w:rsidP="00664874">
            <w:pPr>
              <w:rPr>
                <w:rFonts w:ascii="Times New Roman" w:hAnsi="Times New Roman"/>
                <w:b/>
                <w:sz w:val="24"/>
              </w:rPr>
            </w:pPr>
          </w:p>
        </w:tc>
      </w:tr>
      <w:tr w:rsidR="008151A6" w:rsidRPr="00661595" w:rsidTr="00664874">
        <w:tc>
          <w:tcPr>
            <w:tcW w:w="1188" w:type="dxa"/>
            <w:shd w:val="clear" w:color="auto" w:fill="CCCCCC"/>
          </w:tcPr>
          <w:p w:rsidR="008151A6" w:rsidRPr="00661595" w:rsidRDefault="008151A6" w:rsidP="00664874">
            <w:pPr>
              <w:rPr>
                <w:rFonts w:ascii="Times New Roman" w:hAnsi="Times New Roman"/>
                <w:sz w:val="24"/>
              </w:rPr>
            </w:pPr>
            <w:r w:rsidRPr="00661595">
              <w:rPr>
                <w:rFonts w:ascii="Times New Roman" w:hAnsi="Times New Roman"/>
                <w:sz w:val="24"/>
              </w:rPr>
              <w:t>Rows</w:t>
            </w:r>
          </w:p>
        </w:tc>
        <w:tc>
          <w:tcPr>
            <w:tcW w:w="8843" w:type="dxa"/>
            <w:shd w:val="clear" w:color="auto" w:fill="CCCCCC"/>
          </w:tcPr>
          <w:p w:rsidR="008151A6" w:rsidRPr="00661595" w:rsidRDefault="008151A6" w:rsidP="00664874">
            <w:pPr>
              <w:rPr>
                <w:rFonts w:ascii="Times New Roman" w:hAnsi="Times New Roman"/>
                <w:sz w:val="24"/>
              </w:rPr>
            </w:pPr>
            <w:r w:rsidRPr="00661595">
              <w:rPr>
                <w:rFonts w:ascii="Times New Roman" w:hAnsi="Times New Roman"/>
                <w:sz w:val="24"/>
              </w:rPr>
              <w:t>Instructions</w:t>
            </w:r>
          </w:p>
        </w:tc>
      </w:tr>
      <w:tr w:rsidR="008151A6" w:rsidRPr="00661595" w:rsidTr="00664874">
        <w:tc>
          <w:tcPr>
            <w:tcW w:w="1188" w:type="dxa"/>
            <w:tcBorders>
              <w:top w:val="single" w:sz="4" w:space="0" w:color="auto"/>
              <w:left w:val="single" w:sz="4" w:space="0" w:color="auto"/>
              <w:bottom w:val="single" w:sz="4" w:space="0" w:color="auto"/>
              <w:right w:val="single" w:sz="4" w:space="0" w:color="auto"/>
            </w:tcBorders>
            <w:shd w:val="clear" w:color="auto" w:fill="auto"/>
          </w:tcPr>
          <w:p w:rsidR="008151A6" w:rsidRPr="00661595" w:rsidRDefault="008151A6" w:rsidP="00664874">
            <w:pPr>
              <w:rPr>
                <w:rFonts w:ascii="Times New Roman" w:hAnsi="Times New Roman"/>
                <w:sz w:val="24"/>
              </w:rPr>
            </w:pPr>
            <w:r w:rsidRPr="00661595">
              <w:rPr>
                <w:rFonts w:ascii="Times New Roman" w:hAnsi="Times New Roman"/>
                <w:sz w:val="24"/>
              </w:rPr>
              <w:t>0010</w:t>
            </w:r>
          </w:p>
        </w:tc>
        <w:tc>
          <w:tcPr>
            <w:tcW w:w="8843" w:type="dxa"/>
            <w:tcBorders>
              <w:top w:val="single" w:sz="4" w:space="0" w:color="auto"/>
              <w:left w:val="single" w:sz="4" w:space="0" w:color="auto"/>
              <w:bottom w:val="single" w:sz="4" w:space="0" w:color="auto"/>
              <w:right w:val="single" w:sz="4" w:space="0" w:color="auto"/>
            </w:tcBorders>
            <w:shd w:val="clear" w:color="auto" w:fill="auto"/>
          </w:tcPr>
          <w:p w:rsidR="008151A6" w:rsidRPr="00393FF2" w:rsidRDefault="008151A6" w:rsidP="00664874">
            <w:pPr>
              <w:rPr>
                <w:rFonts w:ascii="Times New Roman" w:hAnsi="Times New Roman"/>
                <w:b/>
                <w:sz w:val="24"/>
                <w:u w:val="single"/>
              </w:rPr>
            </w:pPr>
            <w:r w:rsidRPr="00393FF2">
              <w:rPr>
                <w:rFonts w:ascii="Times New Roman" w:hAnsi="Times New Roman"/>
                <w:b/>
                <w:sz w:val="24"/>
                <w:u w:val="single"/>
              </w:rPr>
              <w:t>RISK WEIGHTED EXPOSURE AMOUNT AT THE END OF THE PREVIOUS REPORTING PERIOD</w:t>
            </w:r>
          </w:p>
          <w:p w:rsidR="008151A6" w:rsidRPr="00661595" w:rsidRDefault="008151A6" w:rsidP="00F66DFB">
            <w:pPr>
              <w:rPr>
                <w:rFonts w:ascii="Times New Roman" w:hAnsi="Times New Roman"/>
                <w:sz w:val="24"/>
              </w:rPr>
            </w:pPr>
            <w:r w:rsidRPr="00661595">
              <w:rPr>
                <w:rFonts w:ascii="Times New Roman" w:hAnsi="Times New Roman"/>
                <w:sz w:val="24"/>
              </w:rPr>
              <w:t xml:space="preserve">Risk weighted exposure amount </w:t>
            </w:r>
            <w:r w:rsidR="00F66DFB">
              <w:rPr>
                <w:rFonts w:ascii="Times New Roman" w:hAnsi="Times New Roman"/>
                <w:sz w:val="24"/>
              </w:rPr>
              <w:t>at the end of</w:t>
            </w:r>
            <w:r w:rsidRPr="00661595">
              <w:rPr>
                <w:rFonts w:ascii="Times New Roman" w:hAnsi="Times New Roman"/>
                <w:sz w:val="24"/>
              </w:rPr>
              <w:t xml:space="preserve"> the previous reporting period after </w:t>
            </w:r>
            <w:r w:rsidR="00E50750">
              <w:rPr>
                <w:rFonts w:ascii="Times New Roman" w:hAnsi="Times New Roman"/>
                <w:sz w:val="24"/>
              </w:rPr>
              <w:t>the application of</w:t>
            </w:r>
            <w:r w:rsidR="00F66DFB">
              <w:rPr>
                <w:rFonts w:ascii="Times New Roman" w:hAnsi="Times New Roman"/>
                <w:sz w:val="24"/>
              </w:rPr>
              <w:t xml:space="preserve"> the</w:t>
            </w:r>
            <w:r w:rsidR="00E50750">
              <w:rPr>
                <w:rFonts w:ascii="Times New Roman" w:hAnsi="Times New Roman"/>
                <w:sz w:val="24"/>
              </w:rPr>
              <w:t xml:space="preserve"> </w:t>
            </w:r>
            <w:r w:rsidRPr="00661595">
              <w:rPr>
                <w:rFonts w:ascii="Times New Roman" w:hAnsi="Times New Roman"/>
                <w:sz w:val="24"/>
              </w:rPr>
              <w:t xml:space="preserve">SME and </w:t>
            </w:r>
            <w:r w:rsidR="001A217F">
              <w:rPr>
                <w:rFonts w:ascii="Times New Roman" w:hAnsi="Times New Roman"/>
                <w:sz w:val="24"/>
              </w:rPr>
              <w:t>i</w:t>
            </w:r>
            <w:r w:rsidRPr="00661595">
              <w:rPr>
                <w:rFonts w:ascii="Times New Roman" w:hAnsi="Times New Roman"/>
                <w:sz w:val="24"/>
              </w:rPr>
              <w:t xml:space="preserve">nfrastructure </w:t>
            </w:r>
            <w:r w:rsidR="005C29CD">
              <w:rPr>
                <w:rFonts w:ascii="Times New Roman" w:hAnsi="Times New Roman"/>
                <w:sz w:val="24"/>
              </w:rPr>
              <w:t>supporting factors</w:t>
            </w:r>
            <w:r w:rsidR="00927B49">
              <w:rPr>
                <w:rFonts w:ascii="Times New Roman" w:hAnsi="Times New Roman"/>
                <w:sz w:val="24"/>
              </w:rPr>
              <w:t xml:space="preserve"> laid down in</w:t>
            </w:r>
            <w:r w:rsidR="00AF6F2C" w:rsidRPr="00661595">
              <w:rPr>
                <w:rFonts w:ascii="Times New Roman" w:hAnsi="Times New Roman"/>
                <w:sz w:val="24"/>
              </w:rPr>
              <w:t xml:space="preserve"> Articles 501 and 501a </w:t>
            </w:r>
            <w:r w:rsidRPr="00661595">
              <w:rPr>
                <w:rFonts w:ascii="Times New Roman" w:hAnsi="Times New Roman"/>
                <w:sz w:val="24"/>
              </w:rPr>
              <w:t>CRR</w:t>
            </w:r>
          </w:p>
        </w:tc>
      </w:tr>
      <w:tr w:rsidR="008151A6" w:rsidRPr="00661595" w:rsidTr="00664874">
        <w:tc>
          <w:tcPr>
            <w:tcW w:w="1188" w:type="dxa"/>
            <w:tcBorders>
              <w:top w:val="single" w:sz="4" w:space="0" w:color="auto"/>
              <w:left w:val="single" w:sz="4" w:space="0" w:color="auto"/>
              <w:bottom w:val="single" w:sz="4" w:space="0" w:color="auto"/>
              <w:right w:val="single" w:sz="4" w:space="0" w:color="auto"/>
            </w:tcBorders>
            <w:shd w:val="clear" w:color="auto" w:fill="auto"/>
          </w:tcPr>
          <w:p w:rsidR="008151A6" w:rsidRPr="00661595" w:rsidRDefault="008151A6" w:rsidP="00664874">
            <w:pPr>
              <w:rPr>
                <w:rFonts w:ascii="Times New Roman" w:hAnsi="Times New Roman"/>
                <w:sz w:val="24"/>
              </w:rPr>
            </w:pPr>
            <w:r w:rsidRPr="00661595">
              <w:rPr>
                <w:rFonts w:ascii="Times New Roman" w:hAnsi="Times New Roman"/>
                <w:sz w:val="24"/>
              </w:rPr>
              <w:t>0020</w:t>
            </w:r>
          </w:p>
        </w:tc>
        <w:tc>
          <w:tcPr>
            <w:tcW w:w="8843" w:type="dxa"/>
            <w:tcBorders>
              <w:top w:val="single" w:sz="4" w:space="0" w:color="auto"/>
              <w:left w:val="single" w:sz="4" w:space="0" w:color="auto"/>
              <w:bottom w:val="single" w:sz="4" w:space="0" w:color="auto"/>
              <w:right w:val="single" w:sz="4" w:space="0" w:color="auto"/>
            </w:tcBorders>
            <w:shd w:val="clear" w:color="auto" w:fill="auto"/>
          </w:tcPr>
          <w:p w:rsidR="008151A6" w:rsidRPr="00393FF2" w:rsidRDefault="008151A6" w:rsidP="00664874">
            <w:pPr>
              <w:rPr>
                <w:rFonts w:ascii="Times New Roman" w:hAnsi="Times New Roman"/>
                <w:b/>
                <w:sz w:val="24"/>
                <w:u w:val="single"/>
              </w:rPr>
            </w:pPr>
            <w:r w:rsidRPr="00393FF2">
              <w:rPr>
                <w:rFonts w:ascii="Times New Roman" w:hAnsi="Times New Roman"/>
                <w:b/>
                <w:sz w:val="24"/>
                <w:u w:val="single"/>
              </w:rPr>
              <w:t>ASSET SIZE (+/-)</w:t>
            </w:r>
          </w:p>
          <w:p w:rsidR="008151A6" w:rsidRPr="00661595" w:rsidRDefault="008151A6" w:rsidP="00664874">
            <w:pPr>
              <w:rPr>
                <w:rFonts w:ascii="Times New Roman" w:hAnsi="Times New Roman"/>
                <w:sz w:val="24"/>
              </w:rPr>
            </w:pPr>
            <w:r w:rsidRPr="00661595">
              <w:rPr>
                <w:rFonts w:ascii="Times New Roman" w:hAnsi="Times New Roman"/>
                <w:sz w:val="24"/>
              </w:rPr>
              <w:t>Change in the risk weighted exposure amount between the end of the previous reporting period and the end of the current reporting period, due to asset size, i.e. organic changes in book size and composition (including the origination of new businesses and maturing loans) but excluding changes in book size due to acquisitions and disposal of entities</w:t>
            </w:r>
          </w:p>
          <w:p w:rsidR="008151A6" w:rsidRPr="00661595" w:rsidRDefault="008151A6" w:rsidP="00664874">
            <w:pPr>
              <w:rPr>
                <w:rFonts w:ascii="Times New Roman" w:hAnsi="Times New Roman"/>
                <w:sz w:val="24"/>
              </w:rPr>
            </w:pPr>
            <w:r w:rsidRPr="00661595">
              <w:rPr>
                <w:rFonts w:ascii="Times New Roman" w:hAnsi="Times New Roman"/>
                <w:sz w:val="24"/>
              </w:rPr>
              <w:t>Increases in risk weighted exposure amounts shall be reported as a positive amount and decreases in risk weighted exposure amounts shall be reported as a negative amount.</w:t>
            </w:r>
          </w:p>
        </w:tc>
      </w:tr>
      <w:tr w:rsidR="008151A6" w:rsidRPr="00661595" w:rsidTr="00664874">
        <w:tc>
          <w:tcPr>
            <w:tcW w:w="1188" w:type="dxa"/>
            <w:tcBorders>
              <w:top w:val="single" w:sz="4" w:space="0" w:color="auto"/>
              <w:left w:val="single" w:sz="4" w:space="0" w:color="auto"/>
              <w:bottom w:val="single" w:sz="4" w:space="0" w:color="auto"/>
              <w:right w:val="single" w:sz="4" w:space="0" w:color="auto"/>
            </w:tcBorders>
            <w:shd w:val="clear" w:color="auto" w:fill="auto"/>
          </w:tcPr>
          <w:p w:rsidR="008151A6" w:rsidRPr="00661595" w:rsidRDefault="008151A6" w:rsidP="00664874">
            <w:pPr>
              <w:rPr>
                <w:rFonts w:ascii="Times New Roman" w:hAnsi="Times New Roman"/>
                <w:sz w:val="24"/>
              </w:rPr>
            </w:pPr>
            <w:r w:rsidRPr="00661595">
              <w:rPr>
                <w:rFonts w:ascii="Times New Roman" w:hAnsi="Times New Roman"/>
                <w:sz w:val="24"/>
              </w:rPr>
              <w:t>0030</w:t>
            </w:r>
          </w:p>
        </w:tc>
        <w:tc>
          <w:tcPr>
            <w:tcW w:w="8843" w:type="dxa"/>
            <w:tcBorders>
              <w:top w:val="single" w:sz="4" w:space="0" w:color="auto"/>
              <w:left w:val="single" w:sz="4" w:space="0" w:color="auto"/>
              <w:bottom w:val="single" w:sz="4" w:space="0" w:color="auto"/>
              <w:right w:val="single" w:sz="4" w:space="0" w:color="auto"/>
            </w:tcBorders>
            <w:shd w:val="clear" w:color="auto" w:fill="auto"/>
          </w:tcPr>
          <w:p w:rsidR="008151A6" w:rsidRPr="00393FF2" w:rsidRDefault="008151A6" w:rsidP="00664874">
            <w:pPr>
              <w:rPr>
                <w:rFonts w:ascii="Times New Roman" w:hAnsi="Times New Roman"/>
                <w:b/>
                <w:sz w:val="24"/>
                <w:u w:val="single"/>
              </w:rPr>
            </w:pPr>
            <w:r w:rsidRPr="00393FF2">
              <w:rPr>
                <w:rFonts w:ascii="Times New Roman" w:hAnsi="Times New Roman"/>
                <w:b/>
                <w:sz w:val="24"/>
                <w:u w:val="single"/>
              </w:rPr>
              <w:t>ASSET QUALITY (+/-)</w:t>
            </w:r>
          </w:p>
          <w:p w:rsidR="008151A6" w:rsidRPr="00661595" w:rsidRDefault="008151A6" w:rsidP="00664874">
            <w:pPr>
              <w:rPr>
                <w:rFonts w:ascii="Times New Roman" w:hAnsi="Times New Roman"/>
                <w:sz w:val="24"/>
              </w:rPr>
            </w:pPr>
            <w:r w:rsidRPr="00661595">
              <w:rPr>
                <w:rFonts w:ascii="Times New Roman" w:hAnsi="Times New Roman"/>
                <w:sz w:val="24"/>
              </w:rPr>
              <w:t>Change in the risk weighted exposure amount between the end of the previous reporting period and the end of the current reporting period, due to asset quality, i.e. changes in the assessed quality of the institution’s assets due to changes in borrower risk, such as rating grade migration or similar effects</w:t>
            </w:r>
          </w:p>
          <w:p w:rsidR="008151A6" w:rsidRPr="00661595" w:rsidRDefault="008151A6" w:rsidP="00664874">
            <w:pPr>
              <w:rPr>
                <w:rFonts w:ascii="Times New Roman" w:hAnsi="Times New Roman"/>
                <w:sz w:val="24"/>
              </w:rPr>
            </w:pPr>
            <w:r w:rsidRPr="00661595">
              <w:rPr>
                <w:rFonts w:ascii="Times New Roman" w:hAnsi="Times New Roman"/>
                <w:sz w:val="24"/>
              </w:rPr>
              <w:t>Increases in risk weighted exposure amounts shall be reported as a positive amount and decreases in risk weighted exposure amounts shall be reported as a negative amount.</w:t>
            </w:r>
          </w:p>
        </w:tc>
      </w:tr>
      <w:tr w:rsidR="008151A6" w:rsidRPr="00661595" w:rsidTr="00664874">
        <w:tc>
          <w:tcPr>
            <w:tcW w:w="1188" w:type="dxa"/>
            <w:tcBorders>
              <w:top w:val="single" w:sz="4" w:space="0" w:color="auto"/>
              <w:left w:val="single" w:sz="4" w:space="0" w:color="auto"/>
              <w:bottom w:val="single" w:sz="4" w:space="0" w:color="auto"/>
              <w:right w:val="single" w:sz="4" w:space="0" w:color="auto"/>
            </w:tcBorders>
            <w:shd w:val="clear" w:color="auto" w:fill="auto"/>
          </w:tcPr>
          <w:p w:rsidR="008151A6" w:rsidRPr="00661595" w:rsidRDefault="008151A6" w:rsidP="00664874">
            <w:pPr>
              <w:rPr>
                <w:rFonts w:ascii="Times New Roman" w:hAnsi="Times New Roman"/>
                <w:sz w:val="24"/>
              </w:rPr>
            </w:pPr>
            <w:r w:rsidRPr="00661595">
              <w:rPr>
                <w:rFonts w:ascii="Times New Roman" w:hAnsi="Times New Roman"/>
                <w:sz w:val="24"/>
              </w:rPr>
              <w:t>0040</w:t>
            </w:r>
          </w:p>
        </w:tc>
        <w:tc>
          <w:tcPr>
            <w:tcW w:w="8843" w:type="dxa"/>
            <w:tcBorders>
              <w:top w:val="single" w:sz="4" w:space="0" w:color="auto"/>
              <w:left w:val="single" w:sz="4" w:space="0" w:color="auto"/>
              <w:bottom w:val="single" w:sz="4" w:space="0" w:color="auto"/>
              <w:right w:val="single" w:sz="4" w:space="0" w:color="auto"/>
            </w:tcBorders>
            <w:shd w:val="clear" w:color="auto" w:fill="auto"/>
          </w:tcPr>
          <w:p w:rsidR="008151A6" w:rsidRPr="00393FF2" w:rsidRDefault="008151A6" w:rsidP="00664874">
            <w:pPr>
              <w:rPr>
                <w:rFonts w:ascii="Times New Roman" w:hAnsi="Times New Roman"/>
                <w:b/>
                <w:sz w:val="24"/>
                <w:u w:val="single"/>
              </w:rPr>
            </w:pPr>
            <w:r w:rsidRPr="00393FF2">
              <w:rPr>
                <w:rFonts w:ascii="Times New Roman" w:hAnsi="Times New Roman"/>
                <w:b/>
                <w:sz w:val="24"/>
                <w:u w:val="single"/>
              </w:rPr>
              <w:t>MODEL UPDATES (+/-)</w:t>
            </w:r>
          </w:p>
          <w:p w:rsidR="008151A6" w:rsidRPr="00661595" w:rsidRDefault="008151A6" w:rsidP="00664874">
            <w:pPr>
              <w:rPr>
                <w:rFonts w:ascii="Times New Roman" w:hAnsi="Times New Roman"/>
                <w:sz w:val="24"/>
              </w:rPr>
            </w:pPr>
            <w:r w:rsidRPr="00661595">
              <w:rPr>
                <w:rFonts w:ascii="Times New Roman" w:hAnsi="Times New Roman"/>
                <w:sz w:val="24"/>
              </w:rPr>
              <w:t>Change in the risk weighted exposure amount between the end of the previous reporting period and the end of the current reporting period, due to model updates, i.e changes due to implementation of new models, changes in the models, changes in model scope, or any other changes intended to address model weaknesses</w:t>
            </w:r>
          </w:p>
          <w:p w:rsidR="008151A6" w:rsidRPr="00661595" w:rsidRDefault="008151A6" w:rsidP="00664874">
            <w:pPr>
              <w:rPr>
                <w:rFonts w:ascii="Times New Roman" w:hAnsi="Times New Roman"/>
                <w:sz w:val="24"/>
              </w:rPr>
            </w:pPr>
            <w:r w:rsidRPr="00661595">
              <w:rPr>
                <w:rFonts w:ascii="Times New Roman" w:hAnsi="Times New Roman"/>
                <w:sz w:val="24"/>
              </w:rPr>
              <w:t>Increases in risk weighted exposure amounts shall be reported as a positive amount and decreases in risk weighted exposure amounts shall be reported as a negative amount.</w:t>
            </w:r>
          </w:p>
        </w:tc>
      </w:tr>
      <w:tr w:rsidR="008151A6" w:rsidRPr="00661595" w:rsidTr="00664874">
        <w:tc>
          <w:tcPr>
            <w:tcW w:w="1188" w:type="dxa"/>
            <w:tcBorders>
              <w:top w:val="single" w:sz="4" w:space="0" w:color="auto"/>
              <w:left w:val="single" w:sz="4" w:space="0" w:color="auto"/>
              <w:bottom w:val="single" w:sz="4" w:space="0" w:color="auto"/>
              <w:right w:val="single" w:sz="4" w:space="0" w:color="auto"/>
            </w:tcBorders>
            <w:shd w:val="clear" w:color="auto" w:fill="auto"/>
          </w:tcPr>
          <w:p w:rsidR="008151A6" w:rsidRPr="00661595" w:rsidRDefault="008151A6" w:rsidP="00664874">
            <w:pPr>
              <w:rPr>
                <w:rFonts w:ascii="Times New Roman" w:hAnsi="Times New Roman"/>
                <w:sz w:val="24"/>
              </w:rPr>
            </w:pPr>
            <w:r w:rsidRPr="00661595">
              <w:rPr>
                <w:rFonts w:ascii="Times New Roman" w:hAnsi="Times New Roman"/>
                <w:sz w:val="24"/>
              </w:rPr>
              <w:t>0050</w:t>
            </w:r>
          </w:p>
        </w:tc>
        <w:tc>
          <w:tcPr>
            <w:tcW w:w="8843" w:type="dxa"/>
            <w:tcBorders>
              <w:top w:val="single" w:sz="4" w:space="0" w:color="auto"/>
              <w:left w:val="single" w:sz="4" w:space="0" w:color="auto"/>
              <w:bottom w:val="single" w:sz="4" w:space="0" w:color="auto"/>
              <w:right w:val="single" w:sz="4" w:space="0" w:color="auto"/>
            </w:tcBorders>
            <w:shd w:val="clear" w:color="auto" w:fill="auto"/>
          </w:tcPr>
          <w:p w:rsidR="008151A6" w:rsidRPr="00393FF2" w:rsidRDefault="008151A6" w:rsidP="00664874">
            <w:pPr>
              <w:rPr>
                <w:rFonts w:ascii="Times New Roman" w:hAnsi="Times New Roman"/>
                <w:b/>
                <w:sz w:val="24"/>
                <w:u w:val="single"/>
              </w:rPr>
            </w:pPr>
            <w:r w:rsidRPr="00393FF2">
              <w:rPr>
                <w:rFonts w:ascii="Times New Roman" w:hAnsi="Times New Roman"/>
                <w:b/>
                <w:sz w:val="24"/>
                <w:u w:val="single"/>
              </w:rPr>
              <w:t>METHODOLOGY AND POLICY (+/-)</w:t>
            </w:r>
          </w:p>
          <w:p w:rsidR="008151A6" w:rsidRPr="00661595" w:rsidRDefault="008151A6" w:rsidP="00664874">
            <w:pPr>
              <w:rPr>
                <w:rFonts w:ascii="Times New Roman" w:hAnsi="Times New Roman"/>
                <w:sz w:val="24"/>
              </w:rPr>
            </w:pPr>
            <w:r w:rsidRPr="00661595">
              <w:rPr>
                <w:rFonts w:ascii="Times New Roman" w:hAnsi="Times New Roman"/>
                <w:sz w:val="24"/>
              </w:rPr>
              <w:t xml:space="preserve">Change in the risk weighted exposure amount between the end of the previous reporting period and the end of the current reporting period, due to methodology and policy i.e. changes due to methodological changes in calculations driven by regulatory policy changes, including both revisions to existing regulations and new regulations, excluding changes in models, which are included in row </w:t>
            </w:r>
            <w:r w:rsidR="005E7377" w:rsidRPr="00661595">
              <w:rPr>
                <w:rFonts w:ascii="Times New Roman" w:hAnsi="Times New Roman"/>
                <w:sz w:val="24"/>
              </w:rPr>
              <w:t>00</w:t>
            </w:r>
            <w:r w:rsidRPr="00661595">
              <w:rPr>
                <w:rFonts w:ascii="Times New Roman" w:hAnsi="Times New Roman"/>
                <w:sz w:val="24"/>
              </w:rPr>
              <w:t>4</w:t>
            </w:r>
            <w:r w:rsidR="005E7377" w:rsidRPr="00661595">
              <w:rPr>
                <w:rFonts w:ascii="Times New Roman" w:hAnsi="Times New Roman"/>
                <w:sz w:val="24"/>
              </w:rPr>
              <w:t>0</w:t>
            </w:r>
            <w:r w:rsidRPr="00661595">
              <w:rPr>
                <w:rFonts w:ascii="Times New Roman" w:hAnsi="Times New Roman"/>
                <w:sz w:val="24"/>
              </w:rPr>
              <w:t xml:space="preserve"> </w:t>
            </w:r>
          </w:p>
          <w:p w:rsidR="008151A6" w:rsidRPr="00661595" w:rsidRDefault="008151A6" w:rsidP="00664874">
            <w:pPr>
              <w:rPr>
                <w:rFonts w:ascii="Times New Roman" w:hAnsi="Times New Roman"/>
                <w:sz w:val="24"/>
              </w:rPr>
            </w:pPr>
            <w:r w:rsidRPr="00661595">
              <w:rPr>
                <w:rFonts w:ascii="Times New Roman" w:hAnsi="Times New Roman"/>
                <w:sz w:val="24"/>
              </w:rPr>
              <w:t>Increases in risk weighted exposure amounts shall be reported as a positive amount and decreases in risk weighted exposure amounts shall be reported as a negative amount.</w:t>
            </w:r>
          </w:p>
        </w:tc>
      </w:tr>
      <w:tr w:rsidR="008151A6" w:rsidRPr="00661595" w:rsidTr="00664874">
        <w:tc>
          <w:tcPr>
            <w:tcW w:w="1188" w:type="dxa"/>
            <w:tcBorders>
              <w:top w:val="single" w:sz="4" w:space="0" w:color="auto"/>
              <w:left w:val="single" w:sz="4" w:space="0" w:color="auto"/>
              <w:bottom w:val="single" w:sz="4" w:space="0" w:color="auto"/>
              <w:right w:val="single" w:sz="4" w:space="0" w:color="auto"/>
            </w:tcBorders>
            <w:shd w:val="clear" w:color="auto" w:fill="auto"/>
          </w:tcPr>
          <w:p w:rsidR="008151A6" w:rsidRPr="00661595" w:rsidRDefault="008151A6" w:rsidP="00664874">
            <w:pPr>
              <w:rPr>
                <w:rFonts w:ascii="Times New Roman" w:hAnsi="Times New Roman"/>
                <w:sz w:val="24"/>
              </w:rPr>
            </w:pPr>
            <w:r w:rsidRPr="00661595">
              <w:rPr>
                <w:rFonts w:ascii="Times New Roman" w:hAnsi="Times New Roman"/>
                <w:sz w:val="24"/>
              </w:rPr>
              <w:t>0060</w:t>
            </w:r>
          </w:p>
        </w:tc>
        <w:tc>
          <w:tcPr>
            <w:tcW w:w="8843" w:type="dxa"/>
            <w:tcBorders>
              <w:top w:val="single" w:sz="4" w:space="0" w:color="auto"/>
              <w:left w:val="single" w:sz="4" w:space="0" w:color="auto"/>
              <w:bottom w:val="single" w:sz="4" w:space="0" w:color="auto"/>
              <w:right w:val="single" w:sz="4" w:space="0" w:color="auto"/>
            </w:tcBorders>
            <w:shd w:val="clear" w:color="auto" w:fill="auto"/>
          </w:tcPr>
          <w:p w:rsidR="008151A6" w:rsidRPr="00393FF2" w:rsidRDefault="008151A6" w:rsidP="00664874">
            <w:pPr>
              <w:rPr>
                <w:rFonts w:ascii="Times New Roman" w:hAnsi="Times New Roman"/>
                <w:b/>
                <w:sz w:val="24"/>
                <w:u w:val="single"/>
              </w:rPr>
            </w:pPr>
            <w:r w:rsidRPr="00393FF2">
              <w:rPr>
                <w:rFonts w:ascii="Times New Roman" w:hAnsi="Times New Roman"/>
                <w:b/>
                <w:sz w:val="24"/>
                <w:u w:val="single"/>
              </w:rPr>
              <w:t>ACQUISITIONS AND DISPOSALS (+/-)</w:t>
            </w:r>
          </w:p>
          <w:p w:rsidR="008151A6" w:rsidRPr="00661595" w:rsidRDefault="008151A6" w:rsidP="00664874">
            <w:pPr>
              <w:rPr>
                <w:rFonts w:ascii="Times New Roman" w:hAnsi="Times New Roman"/>
                <w:sz w:val="24"/>
              </w:rPr>
            </w:pPr>
            <w:r w:rsidRPr="00661595">
              <w:rPr>
                <w:rFonts w:ascii="Times New Roman" w:hAnsi="Times New Roman"/>
                <w:sz w:val="24"/>
              </w:rPr>
              <w:t>Change in the risk weighted exposure amount between the end of the previous reporting period and the end of the current reporting period, due to acquisitions and disposals, i.e. changes in book sizes due to acquisitions and disposal of entities</w:t>
            </w:r>
          </w:p>
          <w:p w:rsidR="008151A6" w:rsidRPr="00661595" w:rsidRDefault="008151A6" w:rsidP="00664874">
            <w:pPr>
              <w:rPr>
                <w:rFonts w:ascii="Times New Roman" w:hAnsi="Times New Roman"/>
                <w:sz w:val="24"/>
              </w:rPr>
            </w:pPr>
            <w:r w:rsidRPr="00661595">
              <w:rPr>
                <w:rFonts w:ascii="Times New Roman" w:hAnsi="Times New Roman"/>
                <w:sz w:val="24"/>
              </w:rPr>
              <w:t>Increases in risk weighted exposure amounts shall be reported as a positive amount and decreases in risk weighted exposure amounts shall be reported as a negative amount.</w:t>
            </w:r>
          </w:p>
        </w:tc>
      </w:tr>
      <w:tr w:rsidR="008151A6" w:rsidRPr="00661595" w:rsidTr="00664874">
        <w:tc>
          <w:tcPr>
            <w:tcW w:w="1188" w:type="dxa"/>
            <w:tcBorders>
              <w:top w:val="single" w:sz="4" w:space="0" w:color="auto"/>
              <w:left w:val="single" w:sz="4" w:space="0" w:color="auto"/>
              <w:bottom w:val="single" w:sz="4" w:space="0" w:color="auto"/>
              <w:right w:val="single" w:sz="4" w:space="0" w:color="auto"/>
            </w:tcBorders>
            <w:shd w:val="clear" w:color="auto" w:fill="auto"/>
          </w:tcPr>
          <w:p w:rsidR="008151A6" w:rsidRPr="00661595" w:rsidRDefault="008151A6" w:rsidP="00664874">
            <w:pPr>
              <w:rPr>
                <w:rFonts w:ascii="Times New Roman" w:hAnsi="Times New Roman"/>
                <w:sz w:val="24"/>
              </w:rPr>
            </w:pPr>
            <w:r w:rsidRPr="00661595">
              <w:rPr>
                <w:rFonts w:ascii="Times New Roman" w:hAnsi="Times New Roman"/>
                <w:sz w:val="24"/>
              </w:rPr>
              <w:t>0070</w:t>
            </w:r>
          </w:p>
        </w:tc>
        <w:tc>
          <w:tcPr>
            <w:tcW w:w="8843" w:type="dxa"/>
            <w:tcBorders>
              <w:top w:val="single" w:sz="4" w:space="0" w:color="auto"/>
              <w:left w:val="single" w:sz="4" w:space="0" w:color="auto"/>
              <w:bottom w:val="single" w:sz="4" w:space="0" w:color="auto"/>
              <w:right w:val="single" w:sz="4" w:space="0" w:color="auto"/>
            </w:tcBorders>
            <w:shd w:val="clear" w:color="auto" w:fill="auto"/>
          </w:tcPr>
          <w:p w:rsidR="008151A6" w:rsidRPr="00393FF2" w:rsidRDefault="008151A6" w:rsidP="00664874">
            <w:pPr>
              <w:rPr>
                <w:rFonts w:ascii="Times New Roman" w:hAnsi="Times New Roman"/>
                <w:b/>
                <w:sz w:val="24"/>
                <w:u w:val="single"/>
              </w:rPr>
            </w:pPr>
            <w:r w:rsidRPr="00393FF2">
              <w:rPr>
                <w:rFonts w:ascii="Times New Roman" w:hAnsi="Times New Roman"/>
                <w:b/>
                <w:sz w:val="24"/>
                <w:u w:val="single"/>
              </w:rPr>
              <w:t>FOREIGN EXCHANGE MOVEMENTS (+/-)</w:t>
            </w:r>
          </w:p>
          <w:p w:rsidR="008151A6" w:rsidRPr="00661595" w:rsidRDefault="008151A6" w:rsidP="00664874">
            <w:pPr>
              <w:rPr>
                <w:rFonts w:ascii="Times New Roman" w:hAnsi="Times New Roman"/>
                <w:sz w:val="24"/>
              </w:rPr>
            </w:pPr>
            <w:r w:rsidRPr="00661595">
              <w:rPr>
                <w:rFonts w:ascii="Times New Roman" w:hAnsi="Times New Roman"/>
                <w:sz w:val="24"/>
              </w:rPr>
              <w:t>Change in the risk weighted exposure amount between the end of the previous reporting period and the end of the current reporting period, due to foreign exchange movements, i.e. changes arising from foreign currency translation movements</w:t>
            </w:r>
          </w:p>
          <w:p w:rsidR="008151A6" w:rsidRPr="00661595" w:rsidRDefault="008151A6" w:rsidP="00664874">
            <w:pPr>
              <w:rPr>
                <w:rFonts w:ascii="Times New Roman" w:hAnsi="Times New Roman"/>
                <w:sz w:val="24"/>
              </w:rPr>
            </w:pPr>
            <w:r w:rsidRPr="00661595">
              <w:rPr>
                <w:rFonts w:ascii="Times New Roman" w:hAnsi="Times New Roman"/>
                <w:sz w:val="24"/>
              </w:rPr>
              <w:t>Increases in risk weighted exposure amounts shall be reported as a positive amount and decreases in risk weighted exposure amounts shall be reported as a negative amount.</w:t>
            </w:r>
          </w:p>
        </w:tc>
      </w:tr>
      <w:tr w:rsidR="008151A6" w:rsidRPr="00661595" w:rsidTr="00664874">
        <w:tc>
          <w:tcPr>
            <w:tcW w:w="1188" w:type="dxa"/>
            <w:tcBorders>
              <w:top w:val="single" w:sz="4" w:space="0" w:color="auto"/>
              <w:left w:val="single" w:sz="4" w:space="0" w:color="auto"/>
              <w:bottom w:val="single" w:sz="4" w:space="0" w:color="auto"/>
              <w:right w:val="single" w:sz="4" w:space="0" w:color="auto"/>
            </w:tcBorders>
            <w:shd w:val="clear" w:color="auto" w:fill="auto"/>
          </w:tcPr>
          <w:p w:rsidR="008151A6" w:rsidRPr="00661595" w:rsidRDefault="008151A6" w:rsidP="00664874">
            <w:pPr>
              <w:rPr>
                <w:rFonts w:ascii="Times New Roman" w:hAnsi="Times New Roman"/>
                <w:sz w:val="24"/>
              </w:rPr>
            </w:pPr>
            <w:r w:rsidRPr="00661595">
              <w:rPr>
                <w:rFonts w:ascii="Times New Roman" w:hAnsi="Times New Roman"/>
                <w:sz w:val="24"/>
              </w:rPr>
              <w:t>0080</w:t>
            </w:r>
          </w:p>
        </w:tc>
        <w:tc>
          <w:tcPr>
            <w:tcW w:w="8843" w:type="dxa"/>
            <w:tcBorders>
              <w:top w:val="single" w:sz="4" w:space="0" w:color="auto"/>
              <w:left w:val="single" w:sz="4" w:space="0" w:color="auto"/>
              <w:bottom w:val="single" w:sz="4" w:space="0" w:color="auto"/>
              <w:right w:val="single" w:sz="4" w:space="0" w:color="auto"/>
            </w:tcBorders>
            <w:shd w:val="clear" w:color="auto" w:fill="auto"/>
          </w:tcPr>
          <w:p w:rsidR="008151A6" w:rsidRPr="00393FF2" w:rsidRDefault="008151A6" w:rsidP="00664874">
            <w:pPr>
              <w:rPr>
                <w:rFonts w:ascii="Times New Roman" w:hAnsi="Times New Roman"/>
                <w:b/>
                <w:sz w:val="24"/>
                <w:u w:val="single"/>
              </w:rPr>
            </w:pPr>
            <w:r w:rsidRPr="00393FF2">
              <w:rPr>
                <w:rFonts w:ascii="Times New Roman" w:hAnsi="Times New Roman"/>
                <w:b/>
                <w:sz w:val="24"/>
                <w:u w:val="single"/>
              </w:rPr>
              <w:t>OTHER (+/-)</w:t>
            </w:r>
          </w:p>
          <w:p w:rsidR="008151A6" w:rsidRPr="00661595" w:rsidRDefault="008151A6" w:rsidP="00664874">
            <w:pPr>
              <w:rPr>
                <w:rFonts w:ascii="Times New Roman" w:hAnsi="Times New Roman"/>
                <w:sz w:val="24"/>
              </w:rPr>
            </w:pPr>
            <w:r w:rsidRPr="00661595">
              <w:rPr>
                <w:rFonts w:ascii="Times New Roman" w:hAnsi="Times New Roman"/>
                <w:sz w:val="24"/>
              </w:rPr>
              <w:t>Change in the risk weighted exposure amount between the end of the previous reporting period and the end of the current reporting period, due to other drivers</w:t>
            </w:r>
          </w:p>
          <w:p w:rsidR="0044539D" w:rsidRPr="00661595" w:rsidRDefault="008151A6" w:rsidP="0044539D">
            <w:pPr>
              <w:rPr>
                <w:rFonts w:ascii="Times New Roman" w:hAnsi="Times New Roman"/>
                <w:sz w:val="24"/>
              </w:rPr>
            </w:pPr>
            <w:r w:rsidRPr="00661595">
              <w:rPr>
                <w:rFonts w:ascii="Times New Roman" w:hAnsi="Times New Roman"/>
                <w:sz w:val="24"/>
              </w:rPr>
              <w:t xml:space="preserve">This category shall be used to capture changes that cannot be attributed to any other category. </w:t>
            </w:r>
          </w:p>
          <w:p w:rsidR="008151A6" w:rsidRPr="00661595" w:rsidRDefault="008151A6" w:rsidP="0044539D">
            <w:pPr>
              <w:rPr>
                <w:rFonts w:ascii="Times New Roman" w:hAnsi="Times New Roman"/>
                <w:sz w:val="24"/>
              </w:rPr>
            </w:pPr>
            <w:r w:rsidRPr="00661595">
              <w:rPr>
                <w:rFonts w:ascii="Times New Roman" w:hAnsi="Times New Roman"/>
                <w:sz w:val="24"/>
              </w:rPr>
              <w:t>Increases in risk weighted exposure amounts shall be reported as a positive amount and decreases in risk weighted exposure amounts shall be reported as a negative amount.</w:t>
            </w:r>
          </w:p>
        </w:tc>
      </w:tr>
      <w:tr w:rsidR="008151A6" w:rsidRPr="00661595" w:rsidTr="00664874">
        <w:tc>
          <w:tcPr>
            <w:tcW w:w="1188" w:type="dxa"/>
            <w:tcBorders>
              <w:top w:val="single" w:sz="4" w:space="0" w:color="auto"/>
              <w:left w:val="single" w:sz="4" w:space="0" w:color="auto"/>
              <w:bottom w:val="single" w:sz="4" w:space="0" w:color="auto"/>
              <w:right w:val="single" w:sz="4" w:space="0" w:color="auto"/>
            </w:tcBorders>
            <w:shd w:val="clear" w:color="auto" w:fill="auto"/>
          </w:tcPr>
          <w:p w:rsidR="008151A6" w:rsidRPr="00661595" w:rsidRDefault="008151A6" w:rsidP="00664874">
            <w:pPr>
              <w:rPr>
                <w:rFonts w:ascii="Times New Roman" w:hAnsi="Times New Roman"/>
                <w:sz w:val="24"/>
              </w:rPr>
            </w:pPr>
            <w:r w:rsidRPr="00661595">
              <w:rPr>
                <w:rFonts w:ascii="Times New Roman" w:hAnsi="Times New Roman"/>
                <w:sz w:val="24"/>
              </w:rPr>
              <w:t>0090</w:t>
            </w:r>
          </w:p>
        </w:tc>
        <w:tc>
          <w:tcPr>
            <w:tcW w:w="8843" w:type="dxa"/>
            <w:tcBorders>
              <w:top w:val="single" w:sz="4" w:space="0" w:color="auto"/>
              <w:left w:val="single" w:sz="4" w:space="0" w:color="auto"/>
              <w:bottom w:val="single" w:sz="4" w:space="0" w:color="auto"/>
              <w:right w:val="single" w:sz="4" w:space="0" w:color="auto"/>
            </w:tcBorders>
            <w:shd w:val="clear" w:color="auto" w:fill="auto"/>
          </w:tcPr>
          <w:p w:rsidR="008151A6" w:rsidRPr="00393FF2" w:rsidRDefault="008151A6" w:rsidP="00664874">
            <w:pPr>
              <w:rPr>
                <w:rFonts w:ascii="Times New Roman" w:hAnsi="Times New Roman"/>
                <w:b/>
                <w:sz w:val="24"/>
                <w:u w:val="single"/>
              </w:rPr>
            </w:pPr>
            <w:r w:rsidRPr="00393FF2">
              <w:rPr>
                <w:rFonts w:ascii="Times New Roman" w:hAnsi="Times New Roman"/>
                <w:b/>
                <w:sz w:val="24"/>
                <w:u w:val="single"/>
              </w:rPr>
              <w:t>RISK WEIGHTED EXPOSURE AMOUNT AT THE END OF THE REPORTING PERIOD</w:t>
            </w:r>
          </w:p>
          <w:p w:rsidR="008151A6" w:rsidRPr="00661595" w:rsidRDefault="008151A6" w:rsidP="003F19BA">
            <w:pPr>
              <w:pStyle w:val="CommentText"/>
            </w:pPr>
            <w:r w:rsidRPr="00661595">
              <w:rPr>
                <w:rFonts w:ascii="Times New Roman" w:hAnsi="Times New Roman"/>
                <w:sz w:val="24"/>
              </w:rPr>
              <w:t xml:space="preserve">Risk weighted exposure amount in the reporting period after </w:t>
            </w:r>
            <w:r w:rsidR="00E50750">
              <w:rPr>
                <w:rFonts w:ascii="Times New Roman" w:hAnsi="Times New Roman"/>
                <w:sz w:val="24"/>
              </w:rPr>
              <w:t xml:space="preserve">the application of </w:t>
            </w:r>
            <w:r w:rsidR="00F66DFB">
              <w:rPr>
                <w:rFonts w:ascii="Times New Roman" w:hAnsi="Times New Roman"/>
                <w:sz w:val="24"/>
              </w:rPr>
              <w:t xml:space="preserve">the </w:t>
            </w:r>
            <w:r w:rsidRPr="00661595">
              <w:rPr>
                <w:rFonts w:ascii="Times New Roman" w:hAnsi="Times New Roman"/>
                <w:sz w:val="24"/>
              </w:rPr>
              <w:t xml:space="preserve">SME and </w:t>
            </w:r>
            <w:r w:rsidR="001A217F">
              <w:rPr>
                <w:rFonts w:ascii="Times New Roman" w:hAnsi="Times New Roman"/>
                <w:sz w:val="24"/>
              </w:rPr>
              <w:t>i</w:t>
            </w:r>
            <w:r w:rsidRPr="00661595">
              <w:rPr>
                <w:rFonts w:ascii="Times New Roman" w:hAnsi="Times New Roman"/>
                <w:sz w:val="24"/>
              </w:rPr>
              <w:t xml:space="preserve">nfrastructure </w:t>
            </w:r>
            <w:r w:rsidR="005C29CD">
              <w:rPr>
                <w:rFonts w:ascii="Times New Roman" w:hAnsi="Times New Roman"/>
                <w:sz w:val="24"/>
              </w:rPr>
              <w:t>supporting factors</w:t>
            </w:r>
            <w:r w:rsidR="00927B49">
              <w:rPr>
                <w:rFonts w:ascii="Times New Roman" w:hAnsi="Times New Roman"/>
                <w:sz w:val="24"/>
              </w:rPr>
              <w:t xml:space="preserve"> laid down in</w:t>
            </w:r>
            <w:r w:rsidR="00AF6F2C" w:rsidRPr="00661595">
              <w:rPr>
                <w:rFonts w:ascii="Times New Roman" w:hAnsi="Times New Roman"/>
                <w:sz w:val="24"/>
              </w:rPr>
              <w:t xml:space="preserve"> Articles 501 and 501a </w:t>
            </w:r>
            <w:r w:rsidRPr="00661595">
              <w:rPr>
                <w:rFonts w:ascii="Times New Roman" w:hAnsi="Times New Roman"/>
                <w:sz w:val="24"/>
              </w:rPr>
              <w:t>CRR</w:t>
            </w:r>
          </w:p>
        </w:tc>
      </w:tr>
    </w:tbl>
    <w:p w:rsidR="008151A6" w:rsidRPr="00661595" w:rsidRDefault="008151A6" w:rsidP="00F66371">
      <w:pPr>
        <w:pStyle w:val="Instructionsberschrift2"/>
        <w:numPr>
          <w:ilvl w:val="2"/>
          <w:numId w:val="36"/>
        </w:numPr>
        <w:rPr>
          <w:rFonts w:ascii="Times New Roman" w:hAnsi="Times New Roman" w:cs="Times New Roman"/>
          <w:sz w:val="24"/>
          <w:lang w:val="en-GB"/>
        </w:rPr>
      </w:pPr>
      <w:bookmarkStart w:id="335" w:name="_Toc19715761"/>
      <w:bookmarkStart w:id="336" w:name="_Toc57831558"/>
      <w:r w:rsidRPr="00661595">
        <w:rPr>
          <w:rFonts w:ascii="Times New Roman" w:hAnsi="Times New Roman" w:cs="Times New Roman"/>
          <w:sz w:val="24"/>
          <w:lang w:val="en-GB"/>
        </w:rPr>
        <w:t xml:space="preserve">C 08.05 - Credit </w:t>
      </w:r>
      <w:r w:rsidR="00626A88" w:rsidRPr="00661595">
        <w:rPr>
          <w:rFonts w:ascii="Times New Roman" w:hAnsi="Times New Roman" w:cs="Times New Roman"/>
          <w:sz w:val="24"/>
          <w:lang w:val="en-GB"/>
        </w:rPr>
        <w:t>risk</w:t>
      </w:r>
      <w:r w:rsidRPr="00661595">
        <w:rPr>
          <w:rFonts w:ascii="Times New Roman" w:hAnsi="Times New Roman" w:cs="Times New Roman"/>
          <w:sz w:val="24"/>
          <w:lang w:val="en-GB"/>
        </w:rPr>
        <w:t xml:space="preserve"> and free deliveries: IRB </w:t>
      </w:r>
      <w:r w:rsidR="009A4399" w:rsidRPr="00661595">
        <w:rPr>
          <w:rFonts w:ascii="Times New Roman" w:hAnsi="Times New Roman" w:cs="Times New Roman"/>
          <w:sz w:val="24"/>
          <w:lang w:val="en-GB"/>
        </w:rPr>
        <w:t>a</w:t>
      </w:r>
      <w:r w:rsidRPr="00661595">
        <w:rPr>
          <w:rFonts w:ascii="Times New Roman" w:hAnsi="Times New Roman" w:cs="Times New Roman"/>
          <w:sz w:val="24"/>
          <w:lang w:val="en-GB"/>
        </w:rPr>
        <w:t>pproach to Capital Requirements (Back-testing of PD (CR IRB 5))</w:t>
      </w:r>
      <w:bookmarkEnd w:id="335"/>
      <w:bookmarkEnd w:id="336"/>
    </w:p>
    <w:p w:rsidR="008151A6" w:rsidRPr="00661595" w:rsidRDefault="008151A6" w:rsidP="00F66371">
      <w:pPr>
        <w:pStyle w:val="Instructionsberschrift2"/>
        <w:numPr>
          <w:ilvl w:val="3"/>
          <w:numId w:val="36"/>
        </w:numPr>
        <w:ind w:left="709"/>
        <w:rPr>
          <w:rFonts w:ascii="Times New Roman" w:hAnsi="Times New Roman" w:cs="Times New Roman"/>
          <w:sz w:val="24"/>
          <w:lang w:val="en-GB"/>
        </w:rPr>
      </w:pPr>
      <w:bookmarkStart w:id="337" w:name="_Toc19715762"/>
      <w:bookmarkStart w:id="338" w:name="_Toc57831559"/>
      <w:r w:rsidRPr="00661595">
        <w:rPr>
          <w:rFonts w:ascii="Times New Roman" w:hAnsi="Times New Roman" w:cs="Times New Roman"/>
          <w:sz w:val="24"/>
          <w:lang w:val="en-GB"/>
        </w:rPr>
        <w:t>General remarks</w:t>
      </w:r>
      <w:bookmarkEnd w:id="337"/>
      <w:bookmarkEnd w:id="338"/>
    </w:p>
    <w:p w:rsidR="008151A6" w:rsidRPr="00661595" w:rsidRDefault="00D11E4C" w:rsidP="00487A02">
      <w:pPr>
        <w:pStyle w:val="InstructionsText2"/>
        <w:numPr>
          <w:ilvl w:val="0"/>
          <w:numId w:val="0"/>
        </w:numPr>
        <w:ind w:left="1353" w:hanging="360"/>
      </w:pPr>
      <w:fldSimple w:instr=" seq paragraphs ">
        <w:r w:rsidR="00771068">
          <w:rPr>
            <w:noProof/>
          </w:rPr>
          <w:t>80</w:t>
        </w:r>
      </w:fldSimple>
      <w:r w:rsidR="008151A6" w:rsidRPr="00661595">
        <w:t>. Institutions shall report the information included in this template in a</w:t>
      </w:r>
      <w:r w:rsidR="00AF6F2C" w:rsidRPr="00661595">
        <w:t xml:space="preserve">pplication of point (h) of Article 452 </w:t>
      </w:r>
      <w:r w:rsidR="008151A6" w:rsidRPr="00661595">
        <w:t>CRR. Institution shall consider the models used within each exposure class and they shall explain the percentage of risk weighted exposure amount of the relevant exposure class covered by the models for which back-testing results are reported here. This template excludes counterparty credit risk (CCR) exposures (</w:t>
      </w:r>
      <w:r w:rsidR="00AF6F2C" w:rsidRPr="00661595">
        <w:t xml:space="preserve">Chapter 6 of Title II of </w:t>
      </w:r>
      <w:r w:rsidR="008151A6" w:rsidRPr="00661595">
        <w:t>Part Three CRR).</w:t>
      </w:r>
    </w:p>
    <w:p w:rsidR="008151A6" w:rsidRPr="00661595" w:rsidRDefault="008151A6" w:rsidP="00F66371">
      <w:pPr>
        <w:pStyle w:val="Instructionsberschrift2"/>
        <w:numPr>
          <w:ilvl w:val="3"/>
          <w:numId w:val="36"/>
        </w:numPr>
        <w:ind w:left="709"/>
        <w:rPr>
          <w:rFonts w:ascii="Times New Roman" w:hAnsi="Times New Roman" w:cs="Times New Roman"/>
          <w:sz w:val="24"/>
          <w:lang w:val="en-GB"/>
        </w:rPr>
      </w:pPr>
      <w:bookmarkStart w:id="339" w:name="_Toc19715763"/>
      <w:bookmarkStart w:id="340" w:name="_Toc57831560"/>
      <w:r w:rsidRPr="00661595">
        <w:rPr>
          <w:rFonts w:ascii="Times New Roman" w:hAnsi="Times New Roman" w:cs="Times New Roman"/>
          <w:sz w:val="24"/>
          <w:lang w:val="en-GB"/>
        </w:rPr>
        <w:t>Instructions concerning specific positions</w:t>
      </w:r>
      <w:bookmarkEnd w:id="339"/>
      <w:bookmarkEnd w:id="340"/>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8843"/>
      </w:tblGrid>
      <w:tr w:rsidR="008151A6" w:rsidRPr="00661595" w:rsidTr="00664874">
        <w:tc>
          <w:tcPr>
            <w:tcW w:w="1188" w:type="dxa"/>
            <w:shd w:val="clear" w:color="auto" w:fill="CCCCCC"/>
          </w:tcPr>
          <w:p w:rsidR="008151A6" w:rsidRPr="00661595" w:rsidRDefault="008151A6" w:rsidP="00664874">
            <w:pPr>
              <w:rPr>
                <w:rFonts w:ascii="Times New Roman" w:hAnsi="Times New Roman"/>
                <w:sz w:val="24"/>
              </w:rPr>
            </w:pPr>
            <w:r w:rsidRPr="00661595">
              <w:rPr>
                <w:rFonts w:ascii="Times New Roman" w:hAnsi="Times New Roman"/>
                <w:sz w:val="24"/>
              </w:rPr>
              <w:t>Columns</w:t>
            </w:r>
          </w:p>
        </w:tc>
        <w:tc>
          <w:tcPr>
            <w:tcW w:w="8843" w:type="dxa"/>
            <w:shd w:val="clear" w:color="auto" w:fill="CCCCCC"/>
          </w:tcPr>
          <w:p w:rsidR="008151A6" w:rsidRPr="00661595" w:rsidRDefault="008151A6" w:rsidP="00664874">
            <w:pPr>
              <w:rPr>
                <w:rFonts w:ascii="Times New Roman" w:hAnsi="Times New Roman"/>
                <w:sz w:val="24"/>
              </w:rPr>
            </w:pPr>
            <w:r w:rsidRPr="00661595">
              <w:rPr>
                <w:rFonts w:ascii="Times New Roman" w:hAnsi="Times New Roman"/>
                <w:sz w:val="24"/>
              </w:rPr>
              <w:t>Instructions</w:t>
            </w:r>
          </w:p>
        </w:tc>
      </w:tr>
      <w:tr w:rsidR="008151A6" w:rsidRPr="00661595" w:rsidTr="00664874">
        <w:tc>
          <w:tcPr>
            <w:tcW w:w="1188" w:type="dxa"/>
            <w:tcBorders>
              <w:top w:val="single" w:sz="4" w:space="0" w:color="auto"/>
              <w:left w:val="single" w:sz="4" w:space="0" w:color="auto"/>
              <w:bottom w:val="single" w:sz="4" w:space="0" w:color="auto"/>
              <w:right w:val="single" w:sz="4" w:space="0" w:color="auto"/>
            </w:tcBorders>
            <w:shd w:val="clear" w:color="auto" w:fill="auto"/>
          </w:tcPr>
          <w:p w:rsidR="008151A6" w:rsidRPr="00661595" w:rsidRDefault="008151A6" w:rsidP="00664874">
            <w:pPr>
              <w:rPr>
                <w:rFonts w:ascii="Times New Roman" w:hAnsi="Times New Roman"/>
                <w:sz w:val="24"/>
              </w:rPr>
            </w:pPr>
            <w:r w:rsidRPr="00661595">
              <w:rPr>
                <w:rFonts w:ascii="Times New Roman" w:hAnsi="Times New Roman"/>
                <w:sz w:val="24"/>
              </w:rPr>
              <w:t>0010</w:t>
            </w:r>
          </w:p>
        </w:tc>
        <w:tc>
          <w:tcPr>
            <w:tcW w:w="8843" w:type="dxa"/>
            <w:tcBorders>
              <w:top w:val="single" w:sz="4" w:space="0" w:color="auto"/>
              <w:left w:val="single" w:sz="4" w:space="0" w:color="auto"/>
              <w:bottom w:val="single" w:sz="4" w:space="0" w:color="auto"/>
              <w:right w:val="single" w:sz="4" w:space="0" w:color="auto"/>
            </w:tcBorders>
            <w:shd w:val="clear" w:color="auto" w:fill="auto"/>
          </w:tcPr>
          <w:p w:rsidR="008151A6" w:rsidRPr="00393FF2" w:rsidRDefault="00463F88" w:rsidP="00664874">
            <w:pPr>
              <w:rPr>
                <w:rFonts w:ascii="Times New Roman" w:hAnsi="Times New Roman"/>
                <w:b/>
                <w:sz w:val="24"/>
                <w:u w:val="single"/>
              </w:rPr>
            </w:pPr>
            <w:r w:rsidRPr="00393FF2">
              <w:rPr>
                <w:rFonts w:ascii="Times New Roman" w:hAnsi="Times New Roman"/>
                <w:b/>
                <w:sz w:val="24"/>
                <w:u w:val="single"/>
              </w:rPr>
              <w:t>ARITHMETIC AVERAGE PD (%)</w:t>
            </w:r>
          </w:p>
          <w:p w:rsidR="008151A6" w:rsidRPr="00661595" w:rsidRDefault="00463F88" w:rsidP="00E50FA0">
            <w:pPr>
              <w:rPr>
                <w:rFonts w:ascii="Times New Roman" w:hAnsi="Times New Roman"/>
                <w:b/>
                <w:sz w:val="24"/>
              </w:rPr>
            </w:pPr>
            <w:r w:rsidRPr="00661595">
              <w:rPr>
                <w:rFonts w:ascii="Times New Roman" w:hAnsi="Times New Roman"/>
                <w:sz w:val="24"/>
              </w:rPr>
              <w:t>Arithmetic average of PD at the beginning of the reporting period of the obligors that fall within the bucket of the fixed PD range and counted in column 0020 (average weighted by the number of obligors)</w:t>
            </w:r>
          </w:p>
        </w:tc>
      </w:tr>
      <w:tr w:rsidR="008151A6" w:rsidRPr="00661595" w:rsidTr="00664874">
        <w:tc>
          <w:tcPr>
            <w:tcW w:w="1188" w:type="dxa"/>
            <w:tcBorders>
              <w:top w:val="single" w:sz="4" w:space="0" w:color="auto"/>
              <w:left w:val="single" w:sz="4" w:space="0" w:color="auto"/>
              <w:bottom w:val="single" w:sz="4" w:space="0" w:color="auto"/>
              <w:right w:val="single" w:sz="4" w:space="0" w:color="auto"/>
            </w:tcBorders>
            <w:shd w:val="clear" w:color="auto" w:fill="auto"/>
          </w:tcPr>
          <w:p w:rsidR="008151A6" w:rsidRPr="00661595" w:rsidRDefault="008151A6" w:rsidP="00463F88">
            <w:pPr>
              <w:rPr>
                <w:rFonts w:ascii="Times New Roman" w:hAnsi="Times New Roman"/>
                <w:sz w:val="24"/>
              </w:rPr>
            </w:pPr>
            <w:r w:rsidRPr="00661595">
              <w:rPr>
                <w:rFonts w:ascii="Times New Roman" w:hAnsi="Times New Roman"/>
                <w:sz w:val="24"/>
              </w:rPr>
              <w:t>00</w:t>
            </w:r>
            <w:r w:rsidR="00F66371" w:rsidRPr="00661595">
              <w:rPr>
                <w:rFonts w:ascii="Times New Roman" w:hAnsi="Times New Roman"/>
                <w:sz w:val="24"/>
              </w:rPr>
              <w:t>2</w:t>
            </w:r>
            <w:r w:rsidRPr="00661595">
              <w:rPr>
                <w:rFonts w:ascii="Times New Roman" w:hAnsi="Times New Roman"/>
                <w:sz w:val="24"/>
              </w:rPr>
              <w:t>0</w:t>
            </w:r>
          </w:p>
        </w:tc>
        <w:tc>
          <w:tcPr>
            <w:tcW w:w="8843" w:type="dxa"/>
            <w:tcBorders>
              <w:top w:val="single" w:sz="4" w:space="0" w:color="auto"/>
              <w:left w:val="single" w:sz="4" w:space="0" w:color="auto"/>
              <w:bottom w:val="single" w:sz="4" w:space="0" w:color="auto"/>
              <w:right w:val="single" w:sz="4" w:space="0" w:color="auto"/>
            </w:tcBorders>
            <w:shd w:val="clear" w:color="auto" w:fill="auto"/>
          </w:tcPr>
          <w:p w:rsidR="008151A6" w:rsidRPr="00393FF2" w:rsidRDefault="008151A6" w:rsidP="00664874">
            <w:pPr>
              <w:rPr>
                <w:rFonts w:ascii="Times New Roman" w:hAnsi="Times New Roman"/>
                <w:b/>
                <w:sz w:val="24"/>
                <w:u w:val="single"/>
              </w:rPr>
            </w:pPr>
            <w:r w:rsidRPr="00393FF2">
              <w:rPr>
                <w:rFonts w:ascii="Times New Roman" w:hAnsi="Times New Roman"/>
                <w:b/>
                <w:sz w:val="24"/>
                <w:u w:val="single"/>
              </w:rPr>
              <w:t xml:space="preserve">NUMBER OF OBLIGORS AT THE END OF THE </w:t>
            </w:r>
            <w:r w:rsidR="001A370B" w:rsidRPr="00393FF2">
              <w:rPr>
                <w:rFonts w:ascii="Times New Roman" w:hAnsi="Times New Roman"/>
                <w:b/>
                <w:sz w:val="24"/>
                <w:u w:val="single"/>
              </w:rPr>
              <w:t xml:space="preserve">PREVIOUS </w:t>
            </w:r>
            <w:r w:rsidRPr="00393FF2">
              <w:rPr>
                <w:rFonts w:ascii="Times New Roman" w:hAnsi="Times New Roman"/>
                <w:b/>
                <w:sz w:val="24"/>
                <w:u w:val="single"/>
              </w:rPr>
              <w:t>YEAR</w:t>
            </w:r>
          </w:p>
          <w:p w:rsidR="00E50FA0" w:rsidRDefault="008151A6" w:rsidP="00463F88">
            <w:pPr>
              <w:rPr>
                <w:rFonts w:ascii="Times New Roman" w:hAnsi="Times New Roman"/>
                <w:sz w:val="24"/>
              </w:rPr>
            </w:pPr>
            <w:r w:rsidRPr="00661595">
              <w:rPr>
                <w:rFonts w:ascii="Times New Roman" w:hAnsi="Times New Roman"/>
                <w:sz w:val="24"/>
              </w:rPr>
              <w:t xml:space="preserve">Number of obligors at the end of the </w:t>
            </w:r>
            <w:r w:rsidR="001A370B" w:rsidRPr="00661595">
              <w:rPr>
                <w:rFonts w:ascii="Times New Roman" w:hAnsi="Times New Roman"/>
                <w:sz w:val="24"/>
              </w:rPr>
              <w:t xml:space="preserve">previous </w:t>
            </w:r>
            <w:r w:rsidRPr="00661595">
              <w:rPr>
                <w:rFonts w:ascii="Times New Roman" w:hAnsi="Times New Roman"/>
                <w:sz w:val="24"/>
              </w:rPr>
              <w:t xml:space="preserve">year subject to reporting </w:t>
            </w:r>
          </w:p>
          <w:p w:rsidR="00463F88" w:rsidRPr="00661595" w:rsidRDefault="008151A6" w:rsidP="00463F88">
            <w:pPr>
              <w:rPr>
                <w:rFonts w:ascii="Times New Roman" w:hAnsi="Times New Roman"/>
                <w:sz w:val="24"/>
              </w:rPr>
            </w:pPr>
            <w:r w:rsidRPr="00661595">
              <w:rPr>
                <w:rFonts w:ascii="Times New Roman" w:hAnsi="Times New Roman"/>
                <w:sz w:val="24"/>
              </w:rPr>
              <w:t xml:space="preserve">All obligors carrying a credit obligation at the relevant point in time shall be included. </w:t>
            </w:r>
          </w:p>
          <w:p w:rsidR="008151A6" w:rsidRPr="00661595" w:rsidRDefault="008A0983" w:rsidP="008A0983">
            <w:pPr>
              <w:rPr>
                <w:rFonts w:ascii="Times New Roman" w:hAnsi="Times New Roman"/>
                <w:sz w:val="24"/>
              </w:rPr>
            </w:pPr>
            <w:r w:rsidRPr="00661595">
              <w:rPr>
                <w:rFonts w:ascii="Times New Roman" w:hAnsi="Times New Roman"/>
                <w:sz w:val="24"/>
              </w:rPr>
              <w:t xml:space="preserve">The number of obligors shall be counted in accordance with the instructions in column </w:t>
            </w:r>
            <w:r w:rsidR="001452FC" w:rsidRPr="00661595">
              <w:rPr>
                <w:rFonts w:ascii="Times New Roman" w:hAnsi="Times New Roman"/>
                <w:sz w:val="24"/>
              </w:rPr>
              <w:t>0</w:t>
            </w:r>
            <w:r w:rsidRPr="00661595">
              <w:rPr>
                <w:rFonts w:ascii="Times New Roman" w:hAnsi="Times New Roman"/>
                <w:sz w:val="24"/>
              </w:rPr>
              <w:t>300 of template C 08.01.</w:t>
            </w:r>
            <w:r w:rsidR="001A370B" w:rsidRPr="00661595">
              <w:rPr>
                <w:rFonts w:ascii="Times New Roman" w:hAnsi="Times New Roman"/>
                <w:sz w:val="24"/>
              </w:rPr>
              <w:t xml:space="preserve"> Joint obligors shall be treated the same as for the purpose of PD calibration.</w:t>
            </w:r>
          </w:p>
        </w:tc>
      </w:tr>
      <w:tr w:rsidR="008151A6" w:rsidRPr="00661595" w:rsidTr="00664874">
        <w:tc>
          <w:tcPr>
            <w:tcW w:w="1188" w:type="dxa"/>
            <w:tcBorders>
              <w:top w:val="single" w:sz="4" w:space="0" w:color="auto"/>
              <w:left w:val="single" w:sz="4" w:space="0" w:color="auto"/>
              <w:bottom w:val="single" w:sz="4" w:space="0" w:color="auto"/>
              <w:right w:val="single" w:sz="4" w:space="0" w:color="auto"/>
            </w:tcBorders>
            <w:shd w:val="clear" w:color="auto" w:fill="auto"/>
          </w:tcPr>
          <w:p w:rsidR="008151A6" w:rsidRPr="00661595" w:rsidRDefault="008151A6" w:rsidP="00F66371">
            <w:pPr>
              <w:rPr>
                <w:rFonts w:ascii="Times New Roman" w:hAnsi="Times New Roman"/>
                <w:sz w:val="24"/>
              </w:rPr>
            </w:pPr>
            <w:r w:rsidRPr="00661595">
              <w:rPr>
                <w:rFonts w:ascii="Times New Roman" w:hAnsi="Times New Roman"/>
                <w:sz w:val="24"/>
              </w:rPr>
              <w:t>00</w:t>
            </w:r>
            <w:r w:rsidR="00F66371" w:rsidRPr="00661595">
              <w:rPr>
                <w:rFonts w:ascii="Times New Roman" w:hAnsi="Times New Roman"/>
                <w:sz w:val="24"/>
              </w:rPr>
              <w:t>3</w:t>
            </w:r>
            <w:r w:rsidRPr="00661595">
              <w:rPr>
                <w:rFonts w:ascii="Times New Roman" w:hAnsi="Times New Roman"/>
                <w:sz w:val="24"/>
              </w:rPr>
              <w:t>0</w:t>
            </w:r>
          </w:p>
        </w:tc>
        <w:tc>
          <w:tcPr>
            <w:tcW w:w="8843" w:type="dxa"/>
            <w:tcBorders>
              <w:top w:val="single" w:sz="4" w:space="0" w:color="auto"/>
              <w:left w:val="single" w:sz="4" w:space="0" w:color="auto"/>
              <w:bottom w:val="single" w:sz="4" w:space="0" w:color="auto"/>
              <w:right w:val="single" w:sz="4" w:space="0" w:color="auto"/>
            </w:tcBorders>
            <w:shd w:val="clear" w:color="auto" w:fill="auto"/>
          </w:tcPr>
          <w:p w:rsidR="008151A6" w:rsidRPr="00393FF2" w:rsidRDefault="008151A6" w:rsidP="00664874">
            <w:pPr>
              <w:rPr>
                <w:rFonts w:ascii="Times New Roman" w:hAnsi="Times New Roman"/>
                <w:b/>
                <w:sz w:val="24"/>
                <w:u w:val="single"/>
              </w:rPr>
            </w:pPr>
            <w:r w:rsidRPr="00393FF2">
              <w:rPr>
                <w:rFonts w:ascii="Times New Roman" w:hAnsi="Times New Roman"/>
                <w:b/>
                <w:sz w:val="24"/>
                <w:u w:val="single"/>
              </w:rPr>
              <w:t>OF WHICH: DEFAULTED DURING THE YEAR</w:t>
            </w:r>
          </w:p>
          <w:p w:rsidR="00E50FA0" w:rsidRDefault="008151A6" w:rsidP="00664874">
            <w:pPr>
              <w:autoSpaceDE w:val="0"/>
              <w:autoSpaceDN w:val="0"/>
              <w:adjustRightInd w:val="0"/>
              <w:rPr>
                <w:rFonts w:ascii="Times New Roman" w:hAnsi="Times New Roman"/>
                <w:sz w:val="24"/>
              </w:rPr>
            </w:pPr>
            <w:r w:rsidRPr="00661595">
              <w:rPr>
                <w:rFonts w:ascii="Times New Roman" w:hAnsi="Times New Roman"/>
                <w:sz w:val="24"/>
              </w:rPr>
              <w:t xml:space="preserve">Number of obligors which defaulted during the year (i.e. the observation period of the default rate calculation) </w:t>
            </w:r>
          </w:p>
          <w:p w:rsidR="008151A6" w:rsidRPr="00661595" w:rsidRDefault="008151A6" w:rsidP="00664874">
            <w:pPr>
              <w:autoSpaceDE w:val="0"/>
              <w:autoSpaceDN w:val="0"/>
              <w:adjustRightInd w:val="0"/>
              <w:rPr>
                <w:rFonts w:ascii="Times New Roman" w:hAnsi="Times New Roman"/>
                <w:sz w:val="24"/>
              </w:rPr>
            </w:pPr>
            <w:r w:rsidRPr="00661595">
              <w:rPr>
                <w:rFonts w:ascii="Times New Roman" w:hAnsi="Times New Roman"/>
                <w:sz w:val="24"/>
              </w:rPr>
              <w:t xml:space="preserve">Defaults shall be determined in accordance with Article 178 CRR. </w:t>
            </w:r>
          </w:p>
          <w:p w:rsidR="008151A6" w:rsidRPr="00661595" w:rsidRDefault="008151A6" w:rsidP="00664874">
            <w:pPr>
              <w:rPr>
                <w:rFonts w:ascii="Times New Roman" w:hAnsi="Times New Roman"/>
                <w:b/>
                <w:sz w:val="24"/>
                <w:u w:val="single"/>
              </w:rPr>
            </w:pPr>
            <w:r w:rsidRPr="00661595">
              <w:rPr>
                <w:rFonts w:ascii="Times New Roman" w:hAnsi="Times New Roman"/>
                <w:sz w:val="24"/>
              </w:rPr>
              <w:t>Each defaulted obligor is counted only once in the numerator and denominator of the one-year default rate calculation, even if the obligor defaulted more than once during the relevant one-year period.</w:t>
            </w:r>
          </w:p>
        </w:tc>
      </w:tr>
      <w:tr w:rsidR="008151A6" w:rsidRPr="00661595" w:rsidTr="00664874">
        <w:tc>
          <w:tcPr>
            <w:tcW w:w="1188" w:type="dxa"/>
            <w:tcBorders>
              <w:top w:val="single" w:sz="4" w:space="0" w:color="auto"/>
              <w:left w:val="single" w:sz="4" w:space="0" w:color="auto"/>
              <w:bottom w:val="single" w:sz="4" w:space="0" w:color="auto"/>
              <w:right w:val="single" w:sz="4" w:space="0" w:color="auto"/>
            </w:tcBorders>
            <w:shd w:val="clear" w:color="auto" w:fill="auto"/>
          </w:tcPr>
          <w:p w:rsidR="008151A6" w:rsidRPr="00661595" w:rsidRDefault="008151A6" w:rsidP="00F66371">
            <w:pPr>
              <w:rPr>
                <w:rFonts w:ascii="Times New Roman" w:hAnsi="Times New Roman"/>
                <w:sz w:val="24"/>
              </w:rPr>
            </w:pPr>
            <w:r w:rsidRPr="00661595">
              <w:rPr>
                <w:rFonts w:ascii="Times New Roman" w:hAnsi="Times New Roman"/>
                <w:sz w:val="24"/>
              </w:rPr>
              <w:t>00</w:t>
            </w:r>
            <w:r w:rsidR="00F66371" w:rsidRPr="00661595">
              <w:rPr>
                <w:rFonts w:ascii="Times New Roman" w:hAnsi="Times New Roman"/>
                <w:sz w:val="24"/>
              </w:rPr>
              <w:t>4</w:t>
            </w:r>
            <w:r w:rsidRPr="00661595">
              <w:rPr>
                <w:rFonts w:ascii="Times New Roman" w:hAnsi="Times New Roman"/>
                <w:sz w:val="24"/>
              </w:rPr>
              <w:t>0</w:t>
            </w:r>
          </w:p>
        </w:tc>
        <w:tc>
          <w:tcPr>
            <w:tcW w:w="8843" w:type="dxa"/>
            <w:tcBorders>
              <w:top w:val="single" w:sz="4" w:space="0" w:color="auto"/>
              <w:left w:val="single" w:sz="4" w:space="0" w:color="auto"/>
              <w:bottom w:val="single" w:sz="4" w:space="0" w:color="auto"/>
              <w:right w:val="single" w:sz="4" w:space="0" w:color="auto"/>
            </w:tcBorders>
            <w:shd w:val="clear" w:color="auto" w:fill="auto"/>
          </w:tcPr>
          <w:p w:rsidR="008151A6" w:rsidRPr="00393FF2" w:rsidRDefault="008151A6" w:rsidP="00664874">
            <w:pPr>
              <w:rPr>
                <w:rFonts w:ascii="Times New Roman" w:hAnsi="Times New Roman"/>
                <w:b/>
                <w:sz w:val="24"/>
                <w:u w:val="single"/>
              </w:rPr>
            </w:pPr>
            <w:r w:rsidRPr="00393FF2">
              <w:rPr>
                <w:rFonts w:ascii="Times New Roman" w:hAnsi="Times New Roman"/>
                <w:b/>
                <w:sz w:val="24"/>
                <w:u w:val="single"/>
              </w:rPr>
              <w:t>OBSERVED AVERAGE DEFAULT RATE (%)</w:t>
            </w:r>
          </w:p>
          <w:p w:rsidR="008151A6" w:rsidRPr="00661595" w:rsidRDefault="008151A6" w:rsidP="00664874">
            <w:pPr>
              <w:autoSpaceDE w:val="0"/>
              <w:autoSpaceDN w:val="0"/>
              <w:adjustRightInd w:val="0"/>
              <w:rPr>
                <w:rFonts w:ascii="Times New Roman" w:hAnsi="Times New Roman"/>
                <w:sz w:val="24"/>
              </w:rPr>
            </w:pPr>
            <w:r w:rsidRPr="00661595">
              <w:rPr>
                <w:rFonts w:ascii="Times New Roman" w:hAnsi="Times New Roman"/>
                <w:sz w:val="24"/>
              </w:rPr>
              <w:t xml:space="preserve">One-year default rate referred to in </w:t>
            </w:r>
            <w:r w:rsidR="00AF6F2C" w:rsidRPr="00661595">
              <w:rPr>
                <w:rFonts w:ascii="Times New Roman" w:hAnsi="Times New Roman"/>
                <w:sz w:val="24"/>
              </w:rPr>
              <w:t xml:space="preserve">point (78) </w:t>
            </w:r>
            <w:r w:rsidRPr="00661595">
              <w:rPr>
                <w:rFonts w:ascii="Times New Roman" w:hAnsi="Times New Roman"/>
                <w:sz w:val="24"/>
              </w:rPr>
              <w:t>Article 4(1) CRR</w:t>
            </w:r>
          </w:p>
          <w:p w:rsidR="008151A6" w:rsidRPr="00661595" w:rsidRDefault="008151A6" w:rsidP="00664874">
            <w:pPr>
              <w:autoSpaceDE w:val="0"/>
              <w:autoSpaceDN w:val="0"/>
              <w:adjustRightInd w:val="0"/>
              <w:rPr>
                <w:rFonts w:ascii="Times New Roman" w:hAnsi="Times New Roman"/>
                <w:sz w:val="24"/>
              </w:rPr>
            </w:pPr>
            <w:r w:rsidRPr="00661595">
              <w:rPr>
                <w:rFonts w:ascii="Times New Roman" w:hAnsi="Times New Roman"/>
                <w:sz w:val="24"/>
              </w:rPr>
              <w:t>Institutions shall ensure:</w:t>
            </w:r>
          </w:p>
          <w:p w:rsidR="008151A6" w:rsidRPr="00661595" w:rsidRDefault="008151A6" w:rsidP="00664874">
            <w:pPr>
              <w:autoSpaceDE w:val="0"/>
              <w:autoSpaceDN w:val="0"/>
              <w:adjustRightInd w:val="0"/>
              <w:rPr>
                <w:rFonts w:ascii="Times New Roman" w:hAnsi="Times New Roman"/>
                <w:sz w:val="24"/>
              </w:rPr>
            </w:pPr>
            <w:r w:rsidRPr="00661595">
              <w:rPr>
                <w:rFonts w:ascii="Times New Roman" w:hAnsi="Times New Roman"/>
                <w:sz w:val="24"/>
              </w:rPr>
              <w:t>(a) that the denominator consists of the number of non-defaulted obligors with any credit obligation observed at the beginning of the one-year observation period</w:t>
            </w:r>
            <w:r w:rsidR="002754C0" w:rsidRPr="00661595">
              <w:rPr>
                <w:rFonts w:ascii="Times New Roman" w:hAnsi="Times New Roman"/>
                <w:sz w:val="24"/>
              </w:rPr>
              <w:t xml:space="preserve"> (</w:t>
            </w:r>
            <w:r w:rsidR="00A5427A" w:rsidRPr="00661595">
              <w:rPr>
                <w:rFonts w:ascii="Times New Roman" w:hAnsi="Times New Roman"/>
                <w:sz w:val="24"/>
              </w:rPr>
              <w:t>i.e. beginning of the year prior to the reporting reference date</w:t>
            </w:r>
            <w:r w:rsidR="002754C0" w:rsidRPr="00661595">
              <w:rPr>
                <w:rFonts w:ascii="Times New Roman" w:hAnsi="Times New Roman"/>
                <w:sz w:val="24"/>
              </w:rPr>
              <w:t>)</w:t>
            </w:r>
            <w:r w:rsidRPr="00661595">
              <w:rPr>
                <w:rFonts w:ascii="Times New Roman" w:hAnsi="Times New Roman"/>
                <w:sz w:val="24"/>
              </w:rPr>
              <w:t>; in this context a credit obligation refers to both of the following: (i) any on-balance sheet item, including any amount of principal, interest and fees; (ii) any off-balance sheet items, including guarantees issued by the institution as a guarantor.</w:t>
            </w:r>
          </w:p>
          <w:p w:rsidR="008151A6" w:rsidRPr="00661595" w:rsidRDefault="008151A6" w:rsidP="00664874">
            <w:pPr>
              <w:rPr>
                <w:rFonts w:ascii="Times New Roman" w:hAnsi="Times New Roman"/>
                <w:sz w:val="24"/>
              </w:rPr>
            </w:pPr>
            <w:r w:rsidRPr="00661595">
              <w:rPr>
                <w:rFonts w:ascii="Times New Roman" w:hAnsi="Times New Roman"/>
                <w:sz w:val="24"/>
              </w:rPr>
              <w:t>(b) that the numerator includes all those obligors considered in the denominator that had at least one default event during the one-year observation period</w:t>
            </w:r>
            <w:r w:rsidR="002754C0" w:rsidRPr="00661595">
              <w:rPr>
                <w:rFonts w:ascii="Times New Roman" w:hAnsi="Times New Roman"/>
                <w:sz w:val="24"/>
              </w:rPr>
              <w:t xml:space="preserve"> (year prior to the </w:t>
            </w:r>
            <w:r w:rsidR="0079311D" w:rsidRPr="00661595">
              <w:rPr>
                <w:rFonts w:ascii="Times New Roman" w:hAnsi="Times New Roman"/>
                <w:sz w:val="24"/>
              </w:rPr>
              <w:t>reporting</w:t>
            </w:r>
            <w:r w:rsidR="002754C0" w:rsidRPr="00661595">
              <w:rPr>
                <w:rFonts w:ascii="Times New Roman" w:hAnsi="Times New Roman"/>
                <w:sz w:val="24"/>
              </w:rPr>
              <w:t xml:space="preserve"> reference date)</w:t>
            </w:r>
            <w:r w:rsidRPr="00661595">
              <w:rPr>
                <w:rFonts w:ascii="Times New Roman" w:hAnsi="Times New Roman"/>
                <w:sz w:val="24"/>
              </w:rPr>
              <w:t>.</w:t>
            </w:r>
          </w:p>
          <w:p w:rsidR="008151A6" w:rsidRPr="00661595" w:rsidRDefault="008151A6" w:rsidP="00851278">
            <w:pPr>
              <w:rPr>
                <w:rFonts w:ascii="Times New Roman" w:hAnsi="Times New Roman"/>
                <w:sz w:val="24"/>
              </w:rPr>
            </w:pPr>
            <w:r w:rsidRPr="00661595">
              <w:rPr>
                <w:rFonts w:ascii="Times New Roman" w:hAnsi="Times New Roman"/>
                <w:sz w:val="24"/>
              </w:rPr>
              <w:t xml:space="preserve">Regarding the calculation of the number of obligors see </w:t>
            </w:r>
            <w:r w:rsidR="002771C5" w:rsidRPr="00661595">
              <w:rPr>
                <w:rFonts w:ascii="Times New Roman" w:hAnsi="Times New Roman"/>
                <w:sz w:val="24"/>
              </w:rPr>
              <w:t>column 0300 of template C 08.01</w:t>
            </w:r>
            <w:r w:rsidRPr="00661595">
              <w:rPr>
                <w:rFonts w:ascii="Times New Roman" w:hAnsi="Times New Roman"/>
                <w:sz w:val="24"/>
              </w:rPr>
              <w:t>.</w:t>
            </w:r>
          </w:p>
        </w:tc>
      </w:tr>
      <w:tr w:rsidR="008151A6" w:rsidRPr="00661595" w:rsidTr="00664874">
        <w:tc>
          <w:tcPr>
            <w:tcW w:w="1188" w:type="dxa"/>
            <w:tcBorders>
              <w:top w:val="single" w:sz="4" w:space="0" w:color="auto"/>
              <w:left w:val="single" w:sz="4" w:space="0" w:color="auto"/>
              <w:bottom w:val="single" w:sz="4" w:space="0" w:color="auto"/>
              <w:right w:val="single" w:sz="4" w:space="0" w:color="auto"/>
            </w:tcBorders>
            <w:shd w:val="clear" w:color="auto" w:fill="auto"/>
          </w:tcPr>
          <w:p w:rsidR="008151A6" w:rsidRPr="00661595" w:rsidRDefault="008151A6" w:rsidP="00F66371">
            <w:pPr>
              <w:rPr>
                <w:rFonts w:ascii="Times New Roman" w:hAnsi="Times New Roman"/>
                <w:sz w:val="24"/>
              </w:rPr>
            </w:pPr>
            <w:r w:rsidRPr="00661595">
              <w:rPr>
                <w:rFonts w:ascii="Times New Roman" w:hAnsi="Times New Roman"/>
                <w:sz w:val="24"/>
              </w:rPr>
              <w:t>00</w:t>
            </w:r>
            <w:r w:rsidR="00F66371" w:rsidRPr="00661595">
              <w:rPr>
                <w:rFonts w:ascii="Times New Roman" w:hAnsi="Times New Roman"/>
                <w:sz w:val="24"/>
              </w:rPr>
              <w:t>5</w:t>
            </w:r>
            <w:r w:rsidRPr="00661595">
              <w:rPr>
                <w:rFonts w:ascii="Times New Roman" w:hAnsi="Times New Roman"/>
                <w:sz w:val="24"/>
              </w:rPr>
              <w:t>0</w:t>
            </w:r>
          </w:p>
        </w:tc>
        <w:tc>
          <w:tcPr>
            <w:tcW w:w="8843" w:type="dxa"/>
            <w:tcBorders>
              <w:top w:val="single" w:sz="4" w:space="0" w:color="auto"/>
              <w:left w:val="single" w:sz="4" w:space="0" w:color="auto"/>
              <w:bottom w:val="single" w:sz="4" w:space="0" w:color="auto"/>
              <w:right w:val="single" w:sz="4" w:space="0" w:color="auto"/>
            </w:tcBorders>
            <w:shd w:val="clear" w:color="auto" w:fill="auto"/>
          </w:tcPr>
          <w:p w:rsidR="008151A6" w:rsidRPr="00393FF2" w:rsidRDefault="002754C0" w:rsidP="00664874">
            <w:pPr>
              <w:rPr>
                <w:rFonts w:ascii="Times New Roman" w:hAnsi="Times New Roman"/>
                <w:sz w:val="24"/>
                <w:u w:val="single"/>
              </w:rPr>
            </w:pPr>
            <w:r w:rsidRPr="00393FF2">
              <w:rPr>
                <w:rFonts w:ascii="Times New Roman" w:hAnsi="Times New Roman"/>
                <w:b/>
                <w:sz w:val="24"/>
                <w:u w:val="single"/>
              </w:rPr>
              <w:t>AVERAGE HISTORICAL ANNUAL DEFAULT RATE</w:t>
            </w:r>
            <w:r w:rsidR="00747FFA" w:rsidRPr="00393FF2">
              <w:rPr>
                <w:rFonts w:ascii="Times New Roman" w:hAnsi="Times New Roman"/>
                <w:b/>
                <w:sz w:val="24"/>
                <w:u w:val="single"/>
              </w:rPr>
              <w:t xml:space="preserve"> (%)</w:t>
            </w:r>
          </w:p>
          <w:p w:rsidR="008151A6" w:rsidRPr="00661595" w:rsidRDefault="00A5427A" w:rsidP="008E0688">
            <w:pPr>
              <w:rPr>
                <w:rFonts w:ascii="Times New Roman" w:hAnsi="Times New Roman"/>
                <w:sz w:val="24"/>
              </w:rPr>
            </w:pPr>
            <w:r w:rsidRPr="00661595">
              <w:rPr>
                <w:rFonts w:ascii="Times New Roman" w:hAnsi="Times New Roman"/>
                <w:sz w:val="24"/>
              </w:rPr>
              <w:t xml:space="preserve">The simple average of the annual default rate of the five most recent years </w:t>
            </w:r>
            <w:r w:rsidR="002754C0" w:rsidRPr="00661595">
              <w:rPr>
                <w:rFonts w:ascii="Times New Roman" w:hAnsi="Times New Roman"/>
                <w:sz w:val="24"/>
              </w:rPr>
              <w:t>(obligors at the beginning of each year that are defaulted during that year/total obligor</w:t>
            </w:r>
            <w:r w:rsidR="008E0688">
              <w:rPr>
                <w:rFonts w:ascii="Times New Roman" w:hAnsi="Times New Roman"/>
                <w:sz w:val="24"/>
              </w:rPr>
              <w:t>s</w:t>
            </w:r>
            <w:r w:rsidR="002754C0" w:rsidRPr="00661595">
              <w:rPr>
                <w:rFonts w:ascii="Times New Roman" w:hAnsi="Times New Roman"/>
                <w:sz w:val="24"/>
              </w:rPr>
              <w:t xml:space="preserve"> at the beginning of the year) is a minimum. The institution may use a longer historical period that is consistent with the institution’s actual risk management practices.</w:t>
            </w:r>
          </w:p>
        </w:tc>
      </w:tr>
    </w:tbl>
    <w:p w:rsidR="008151A6" w:rsidRPr="00661595" w:rsidRDefault="008151A6" w:rsidP="00487A02">
      <w:pPr>
        <w:pStyle w:val="InstructionsText2"/>
        <w:numPr>
          <w:ilvl w:val="0"/>
          <w:numId w:val="0"/>
        </w:numPr>
        <w:ind w:left="1353"/>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8557"/>
      </w:tblGrid>
      <w:tr w:rsidR="008151A6" w:rsidRPr="00661595" w:rsidTr="00664874">
        <w:tc>
          <w:tcPr>
            <w:tcW w:w="1271" w:type="dxa"/>
            <w:shd w:val="pct25" w:color="auto" w:fill="auto"/>
          </w:tcPr>
          <w:p w:rsidR="008151A6" w:rsidRPr="00661595" w:rsidRDefault="008151A6" w:rsidP="00664874">
            <w:pPr>
              <w:rPr>
                <w:rFonts w:ascii="Times New Roman" w:hAnsi="Times New Roman"/>
                <w:sz w:val="24"/>
              </w:rPr>
            </w:pPr>
            <w:r w:rsidRPr="00661595">
              <w:rPr>
                <w:rFonts w:ascii="Times New Roman" w:hAnsi="Times New Roman"/>
                <w:sz w:val="24"/>
              </w:rPr>
              <w:t>Rows</w:t>
            </w:r>
          </w:p>
        </w:tc>
        <w:tc>
          <w:tcPr>
            <w:tcW w:w="8557" w:type="dxa"/>
            <w:shd w:val="pct25" w:color="auto" w:fill="auto"/>
          </w:tcPr>
          <w:p w:rsidR="008151A6" w:rsidRPr="00661595" w:rsidRDefault="008151A6" w:rsidP="00664874">
            <w:pPr>
              <w:rPr>
                <w:rFonts w:ascii="Times New Roman" w:hAnsi="Times New Roman"/>
                <w:sz w:val="24"/>
              </w:rPr>
            </w:pPr>
            <w:r w:rsidRPr="00661595">
              <w:rPr>
                <w:rFonts w:ascii="Times New Roman" w:hAnsi="Times New Roman"/>
                <w:sz w:val="24"/>
              </w:rPr>
              <w:t>Instructions</w:t>
            </w:r>
          </w:p>
        </w:tc>
      </w:tr>
      <w:tr w:rsidR="008151A6" w:rsidRPr="00661595" w:rsidTr="00664874">
        <w:tc>
          <w:tcPr>
            <w:tcW w:w="1271" w:type="dxa"/>
          </w:tcPr>
          <w:p w:rsidR="008151A6" w:rsidRPr="00661595" w:rsidRDefault="008151A6" w:rsidP="00664874">
            <w:pPr>
              <w:rPr>
                <w:rFonts w:ascii="Times New Roman" w:hAnsi="Times New Roman"/>
                <w:sz w:val="24"/>
              </w:rPr>
            </w:pPr>
            <w:r w:rsidRPr="00661595">
              <w:rPr>
                <w:rFonts w:ascii="Times New Roman" w:hAnsi="Times New Roman"/>
                <w:sz w:val="24"/>
              </w:rPr>
              <w:t>PD RANGE</w:t>
            </w:r>
          </w:p>
        </w:tc>
        <w:tc>
          <w:tcPr>
            <w:tcW w:w="8557" w:type="dxa"/>
          </w:tcPr>
          <w:p w:rsidR="008151A6" w:rsidRPr="00661595" w:rsidRDefault="008151A6" w:rsidP="00463F88">
            <w:pPr>
              <w:rPr>
                <w:rFonts w:ascii="Times New Roman" w:hAnsi="Times New Roman"/>
                <w:sz w:val="24"/>
              </w:rPr>
            </w:pPr>
            <w:r w:rsidRPr="00661595">
              <w:rPr>
                <w:rFonts w:ascii="Times New Roman" w:hAnsi="Times New Roman"/>
                <w:sz w:val="24"/>
              </w:rPr>
              <w:t xml:space="preserve">Exposures shall be allocated to an appropriate bucket of the fixed PD range based on the PD estimated </w:t>
            </w:r>
            <w:r w:rsidR="002754C0" w:rsidRPr="00661595">
              <w:rPr>
                <w:rFonts w:ascii="Times New Roman" w:hAnsi="Times New Roman"/>
                <w:sz w:val="24"/>
              </w:rPr>
              <w:t xml:space="preserve">at the beginning of the </w:t>
            </w:r>
            <w:r w:rsidR="00747FFA" w:rsidRPr="00661595">
              <w:rPr>
                <w:rFonts w:ascii="Times New Roman" w:hAnsi="Times New Roman"/>
                <w:sz w:val="24"/>
              </w:rPr>
              <w:t>reporting</w:t>
            </w:r>
            <w:r w:rsidR="002754C0" w:rsidRPr="00661595">
              <w:rPr>
                <w:rFonts w:ascii="Times New Roman" w:hAnsi="Times New Roman"/>
                <w:sz w:val="24"/>
              </w:rPr>
              <w:t xml:space="preserve"> period </w:t>
            </w:r>
            <w:r w:rsidRPr="00661595">
              <w:rPr>
                <w:rFonts w:ascii="Times New Roman" w:hAnsi="Times New Roman"/>
                <w:sz w:val="24"/>
              </w:rPr>
              <w:t xml:space="preserve">for each obligor assigned to this exposure class (without considering any substitution </w:t>
            </w:r>
            <w:r w:rsidR="001A370B" w:rsidRPr="00661595">
              <w:rPr>
                <w:rFonts w:ascii="Times New Roman" w:hAnsi="Times New Roman"/>
                <w:sz w:val="24"/>
              </w:rPr>
              <w:t xml:space="preserve">effects </w:t>
            </w:r>
            <w:r w:rsidRPr="00661595">
              <w:rPr>
                <w:rFonts w:ascii="Times New Roman" w:hAnsi="Times New Roman"/>
                <w:sz w:val="24"/>
              </w:rPr>
              <w:t xml:space="preserve">due to </w:t>
            </w:r>
            <w:r w:rsidR="001A370B" w:rsidRPr="00661595">
              <w:rPr>
                <w:rFonts w:ascii="Times New Roman" w:hAnsi="Times New Roman"/>
                <w:sz w:val="24"/>
              </w:rPr>
              <w:t>CRM</w:t>
            </w:r>
            <w:r w:rsidRPr="00661595">
              <w:rPr>
                <w:rFonts w:ascii="Times New Roman" w:hAnsi="Times New Roman"/>
                <w:sz w:val="24"/>
              </w:rPr>
              <w:t>). Institutions shall map exposure by exposure to the PD range provided in the template, also taking into account continuous scales. All defaulted exposures shall be included in the bucket representing PD of 100%.</w:t>
            </w:r>
          </w:p>
        </w:tc>
      </w:tr>
    </w:tbl>
    <w:p w:rsidR="008151A6" w:rsidRPr="00661595" w:rsidRDefault="008151A6" w:rsidP="00F66371">
      <w:pPr>
        <w:pStyle w:val="Instructionsberschrift2"/>
        <w:numPr>
          <w:ilvl w:val="2"/>
          <w:numId w:val="36"/>
        </w:numPr>
        <w:rPr>
          <w:rFonts w:ascii="Times New Roman" w:hAnsi="Times New Roman" w:cs="Times New Roman"/>
          <w:sz w:val="24"/>
          <w:lang w:val="en-GB"/>
        </w:rPr>
      </w:pPr>
      <w:bookmarkStart w:id="341" w:name="_Toc19715764"/>
      <w:bookmarkStart w:id="342" w:name="_Toc57831561"/>
      <w:r w:rsidRPr="00661595">
        <w:rPr>
          <w:rFonts w:ascii="Times New Roman" w:hAnsi="Times New Roman" w:cs="Times New Roman"/>
          <w:sz w:val="24"/>
          <w:lang w:val="en-GB"/>
        </w:rPr>
        <w:t>C 08.05</w:t>
      </w:r>
      <w:r w:rsidR="00AA72D7">
        <w:rPr>
          <w:rFonts w:ascii="Times New Roman" w:hAnsi="Times New Roman" w:cs="Times New Roman"/>
          <w:sz w:val="24"/>
          <w:lang w:val="en-GB"/>
        </w:rPr>
        <w:t>.1</w:t>
      </w:r>
      <w:r w:rsidRPr="00661595">
        <w:rPr>
          <w:rFonts w:ascii="Times New Roman" w:hAnsi="Times New Roman" w:cs="Times New Roman"/>
          <w:sz w:val="24"/>
          <w:lang w:val="en-GB"/>
        </w:rPr>
        <w:t xml:space="preserve"> - Credit </w:t>
      </w:r>
      <w:r w:rsidR="00626A88" w:rsidRPr="00661595">
        <w:rPr>
          <w:rFonts w:ascii="Times New Roman" w:hAnsi="Times New Roman" w:cs="Times New Roman"/>
          <w:sz w:val="24"/>
          <w:lang w:val="en-GB"/>
        </w:rPr>
        <w:t>risk</w:t>
      </w:r>
      <w:r w:rsidRPr="00661595">
        <w:rPr>
          <w:rFonts w:ascii="Times New Roman" w:hAnsi="Times New Roman" w:cs="Times New Roman"/>
          <w:sz w:val="24"/>
          <w:lang w:val="en-GB"/>
        </w:rPr>
        <w:t xml:space="preserve"> and free deliveries: IRB </w:t>
      </w:r>
      <w:r w:rsidR="009A4399" w:rsidRPr="00661595">
        <w:rPr>
          <w:rFonts w:ascii="Times New Roman" w:hAnsi="Times New Roman" w:cs="Times New Roman"/>
          <w:sz w:val="24"/>
          <w:lang w:val="en-GB"/>
        </w:rPr>
        <w:t>a</w:t>
      </w:r>
      <w:r w:rsidRPr="00661595">
        <w:rPr>
          <w:rFonts w:ascii="Times New Roman" w:hAnsi="Times New Roman" w:cs="Times New Roman"/>
          <w:sz w:val="24"/>
          <w:lang w:val="en-GB"/>
        </w:rPr>
        <w:t>pproach to Capital Requirements</w:t>
      </w:r>
      <w:r w:rsidR="00552BF3">
        <w:rPr>
          <w:rFonts w:ascii="Times New Roman" w:hAnsi="Times New Roman" w:cs="Times New Roman"/>
          <w:sz w:val="24"/>
          <w:lang w:val="en-GB"/>
        </w:rPr>
        <w:t>:</w:t>
      </w:r>
      <w:r w:rsidR="0048345E">
        <w:rPr>
          <w:rFonts w:ascii="Times New Roman" w:hAnsi="Times New Roman" w:cs="Times New Roman"/>
          <w:sz w:val="24"/>
          <w:lang w:val="en-GB"/>
        </w:rPr>
        <w:t xml:space="preserve"> </w:t>
      </w:r>
      <w:r w:rsidRPr="00661595">
        <w:rPr>
          <w:rFonts w:ascii="Times New Roman" w:hAnsi="Times New Roman" w:cs="Times New Roman"/>
          <w:sz w:val="24"/>
          <w:lang w:val="en-GB"/>
        </w:rPr>
        <w:t>Back-testing of PD (CR IRB 5B)</w:t>
      </w:r>
      <w:bookmarkEnd w:id="341"/>
      <w:bookmarkEnd w:id="342"/>
    </w:p>
    <w:p w:rsidR="008151A6" w:rsidRPr="00661595" w:rsidRDefault="008151A6" w:rsidP="00F66371">
      <w:pPr>
        <w:pStyle w:val="Instructionsberschrift2"/>
        <w:numPr>
          <w:ilvl w:val="3"/>
          <w:numId w:val="36"/>
        </w:numPr>
        <w:ind w:left="709"/>
        <w:rPr>
          <w:rFonts w:ascii="Times New Roman" w:hAnsi="Times New Roman" w:cs="Times New Roman"/>
          <w:sz w:val="24"/>
          <w:lang w:val="en-GB"/>
        </w:rPr>
      </w:pPr>
      <w:bookmarkStart w:id="343" w:name="_Toc19715765"/>
      <w:bookmarkStart w:id="344" w:name="_Toc57831562"/>
      <w:r w:rsidRPr="00661595">
        <w:rPr>
          <w:rFonts w:ascii="Times New Roman" w:hAnsi="Times New Roman" w:cs="Times New Roman"/>
          <w:sz w:val="24"/>
          <w:lang w:val="en-GB"/>
        </w:rPr>
        <w:t>Instructions concerning specific positions</w:t>
      </w:r>
      <w:bookmarkEnd w:id="343"/>
      <w:bookmarkEnd w:id="344"/>
    </w:p>
    <w:p w:rsidR="008151A6" w:rsidRPr="00661595" w:rsidRDefault="00D11E4C" w:rsidP="00487A02">
      <w:pPr>
        <w:pStyle w:val="InstructionsText2"/>
        <w:numPr>
          <w:ilvl w:val="0"/>
          <w:numId w:val="0"/>
        </w:numPr>
        <w:ind w:left="1353" w:hanging="360"/>
      </w:pPr>
      <w:fldSimple w:instr=" seq paragraphs ">
        <w:r w:rsidR="00771068">
          <w:rPr>
            <w:noProof/>
          </w:rPr>
          <w:t>81</w:t>
        </w:r>
      </w:fldSimple>
      <w:r w:rsidR="008151A6" w:rsidRPr="00661595">
        <w:t xml:space="preserve">. </w:t>
      </w:r>
      <w:r w:rsidR="00B7583B" w:rsidRPr="00B7583B">
        <w:t>In addition to template C 08.05, institutions shall report information included in template C</w:t>
      </w:r>
      <w:r w:rsidR="00DC0A81">
        <w:t xml:space="preserve"> </w:t>
      </w:r>
      <w:r w:rsidR="00B7583B" w:rsidRPr="00B7583B">
        <w:t>08.05</w:t>
      </w:r>
      <w:r w:rsidR="00AA72D7">
        <w:t>.1</w:t>
      </w:r>
      <w:r w:rsidR="00B7583B" w:rsidRPr="00B7583B">
        <w:t xml:space="preserve"> in case that they apply point (f) of Article 180(1) CRR for PD estimation and only for PD estimates in accordance with the same Article. Instructions are the same than for template C 08.05, with the following exceptions:</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8843"/>
      </w:tblGrid>
      <w:tr w:rsidR="008151A6" w:rsidRPr="00661595" w:rsidTr="00664874">
        <w:tc>
          <w:tcPr>
            <w:tcW w:w="1188" w:type="dxa"/>
            <w:shd w:val="clear" w:color="auto" w:fill="CCCCCC"/>
          </w:tcPr>
          <w:p w:rsidR="008151A6" w:rsidRPr="00661595" w:rsidRDefault="008151A6" w:rsidP="00664874">
            <w:pPr>
              <w:rPr>
                <w:rFonts w:ascii="Times New Roman" w:hAnsi="Times New Roman"/>
                <w:sz w:val="24"/>
              </w:rPr>
            </w:pPr>
            <w:r w:rsidRPr="00661595">
              <w:rPr>
                <w:rFonts w:ascii="Times New Roman" w:hAnsi="Times New Roman"/>
                <w:sz w:val="24"/>
              </w:rPr>
              <w:t>Columns</w:t>
            </w:r>
          </w:p>
        </w:tc>
        <w:tc>
          <w:tcPr>
            <w:tcW w:w="8843" w:type="dxa"/>
            <w:shd w:val="clear" w:color="auto" w:fill="CCCCCC"/>
          </w:tcPr>
          <w:p w:rsidR="008151A6" w:rsidRPr="00661595" w:rsidRDefault="008151A6" w:rsidP="00664874">
            <w:pPr>
              <w:rPr>
                <w:rFonts w:ascii="Times New Roman" w:hAnsi="Times New Roman"/>
                <w:sz w:val="24"/>
              </w:rPr>
            </w:pPr>
            <w:r w:rsidRPr="00661595">
              <w:rPr>
                <w:rFonts w:ascii="Times New Roman" w:hAnsi="Times New Roman"/>
                <w:sz w:val="24"/>
              </w:rPr>
              <w:t>Instructions</w:t>
            </w:r>
          </w:p>
        </w:tc>
      </w:tr>
      <w:tr w:rsidR="008151A6" w:rsidRPr="00661595" w:rsidTr="00664874">
        <w:tc>
          <w:tcPr>
            <w:tcW w:w="1188" w:type="dxa"/>
            <w:shd w:val="clear" w:color="auto" w:fill="auto"/>
          </w:tcPr>
          <w:p w:rsidR="008151A6" w:rsidRPr="00661595" w:rsidRDefault="008151A6" w:rsidP="008D1D6C">
            <w:pPr>
              <w:rPr>
                <w:rFonts w:ascii="Times New Roman" w:hAnsi="Times New Roman"/>
                <w:sz w:val="24"/>
              </w:rPr>
            </w:pPr>
            <w:r w:rsidRPr="00661595">
              <w:rPr>
                <w:rFonts w:ascii="Times New Roman" w:hAnsi="Times New Roman"/>
                <w:sz w:val="24"/>
              </w:rPr>
              <w:t>00</w:t>
            </w:r>
            <w:r w:rsidR="008D1D6C" w:rsidRPr="00661595">
              <w:rPr>
                <w:rFonts w:ascii="Times New Roman" w:hAnsi="Times New Roman"/>
                <w:sz w:val="24"/>
              </w:rPr>
              <w:t>05</w:t>
            </w:r>
          </w:p>
        </w:tc>
        <w:tc>
          <w:tcPr>
            <w:tcW w:w="8843" w:type="dxa"/>
            <w:shd w:val="clear" w:color="auto" w:fill="auto"/>
          </w:tcPr>
          <w:p w:rsidR="008151A6" w:rsidRPr="00661595" w:rsidRDefault="008151A6" w:rsidP="00664874">
            <w:pPr>
              <w:rPr>
                <w:rFonts w:ascii="Times New Roman" w:hAnsi="Times New Roman"/>
                <w:b/>
                <w:sz w:val="24"/>
                <w:u w:val="single"/>
              </w:rPr>
            </w:pPr>
            <w:r w:rsidRPr="00661595">
              <w:rPr>
                <w:rFonts w:ascii="Times New Roman" w:hAnsi="Times New Roman"/>
                <w:b/>
                <w:sz w:val="24"/>
                <w:u w:val="single"/>
              </w:rPr>
              <w:t>PD RANGE</w:t>
            </w:r>
          </w:p>
          <w:p w:rsidR="008151A6" w:rsidRPr="00661595" w:rsidRDefault="008151A6" w:rsidP="00664874">
            <w:pPr>
              <w:rPr>
                <w:rFonts w:ascii="Times New Roman" w:hAnsi="Times New Roman"/>
                <w:sz w:val="24"/>
              </w:rPr>
            </w:pPr>
            <w:r w:rsidRPr="00661595">
              <w:rPr>
                <w:rFonts w:ascii="Times New Roman" w:hAnsi="Times New Roman"/>
                <w:noProof/>
                <w:sz w:val="24"/>
              </w:rPr>
              <w:t xml:space="preserve">Institutions shall report the PD ranges </w:t>
            </w:r>
            <w:r w:rsidR="00EA1F5A" w:rsidRPr="00661595">
              <w:rPr>
                <w:rStyle w:val="InstructionsTabelleText"/>
                <w:rFonts w:ascii="Times New Roman" w:hAnsi="Times New Roman"/>
                <w:sz w:val="24"/>
              </w:rPr>
              <w:t>in accordance with</w:t>
            </w:r>
            <w:r w:rsidRPr="00661595">
              <w:rPr>
                <w:rFonts w:ascii="Times New Roman" w:hAnsi="Times New Roman"/>
                <w:noProof/>
                <w:sz w:val="24"/>
              </w:rPr>
              <w:t xml:space="preserve"> their internal grades that they map to the scale used by the external ECAI, instead of a fixed external PD range.</w:t>
            </w:r>
          </w:p>
        </w:tc>
      </w:tr>
      <w:tr w:rsidR="008151A6" w:rsidRPr="00661595" w:rsidTr="00664874">
        <w:tc>
          <w:tcPr>
            <w:tcW w:w="1188" w:type="dxa"/>
            <w:shd w:val="clear" w:color="auto" w:fill="auto"/>
          </w:tcPr>
          <w:p w:rsidR="008151A6" w:rsidRPr="00661595" w:rsidRDefault="008151A6" w:rsidP="008D1D6C">
            <w:pPr>
              <w:rPr>
                <w:rFonts w:ascii="Times New Roman" w:hAnsi="Times New Roman"/>
                <w:sz w:val="24"/>
              </w:rPr>
            </w:pPr>
            <w:r w:rsidRPr="00661595">
              <w:rPr>
                <w:rFonts w:ascii="Times New Roman" w:hAnsi="Times New Roman"/>
                <w:sz w:val="24"/>
              </w:rPr>
              <w:t>00</w:t>
            </w:r>
            <w:r w:rsidR="008D1D6C" w:rsidRPr="00661595">
              <w:rPr>
                <w:rFonts w:ascii="Times New Roman" w:hAnsi="Times New Roman"/>
                <w:sz w:val="24"/>
              </w:rPr>
              <w:t>06</w:t>
            </w:r>
          </w:p>
        </w:tc>
        <w:tc>
          <w:tcPr>
            <w:tcW w:w="8843" w:type="dxa"/>
            <w:shd w:val="clear" w:color="auto" w:fill="auto"/>
          </w:tcPr>
          <w:p w:rsidR="008151A6" w:rsidRPr="00661595" w:rsidRDefault="008151A6" w:rsidP="00664874">
            <w:pPr>
              <w:rPr>
                <w:rFonts w:ascii="Times New Roman" w:hAnsi="Times New Roman"/>
                <w:b/>
                <w:sz w:val="24"/>
                <w:u w:val="single"/>
              </w:rPr>
            </w:pPr>
            <w:r w:rsidRPr="00661595">
              <w:rPr>
                <w:rFonts w:ascii="Times New Roman" w:hAnsi="Times New Roman"/>
                <w:b/>
                <w:sz w:val="24"/>
                <w:u w:val="single"/>
              </w:rPr>
              <w:t>EXTERNAL RATING EQUIVALENT</w:t>
            </w:r>
          </w:p>
          <w:p w:rsidR="008151A6" w:rsidRPr="00661595" w:rsidRDefault="00B7583B" w:rsidP="00815EE9">
            <w:pPr>
              <w:rPr>
                <w:rFonts w:ascii="Times New Roman" w:hAnsi="Times New Roman"/>
                <w:sz w:val="24"/>
              </w:rPr>
            </w:pPr>
            <w:r w:rsidRPr="004F5185">
              <w:rPr>
                <w:rFonts w:ascii="Times New Roman" w:hAnsi="Times New Roman"/>
                <w:sz w:val="24"/>
              </w:rPr>
              <w:t xml:space="preserve">Institutions shall </w:t>
            </w:r>
            <w:r>
              <w:rPr>
                <w:rFonts w:ascii="Times New Roman" w:hAnsi="Times New Roman"/>
                <w:sz w:val="24"/>
              </w:rPr>
              <w:t>report</w:t>
            </w:r>
            <w:r w:rsidRPr="004F5185">
              <w:rPr>
                <w:rFonts w:ascii="Times New Roman" w:hAnsi="Times New Roman"/>
                <w:sz w:val="24"/>
              </w:rPr>
              <w:t xml:space="preserve"> one column for each ECAI considered following </w:t>
            </w:r>
            <w:r>
              <w:rPr>
                <w:rFonts w:ascii="Times New Roman" w:hAnsi="Times New Roman"/>
                <w:sz w:val="24"/>
              </w:rPr>
              <w:t xml:space="preserve">point (f) of Article 180(1) </w:t>
            </w:r>
            <w:r w:rsidRPr="004F5185">
              <w:rPr>
                <w:rFonts w:ascii="Times New Roman" w:hAnsi="Times New Roman"/>
                <w:sz w:val="24"/>
              </w:rPr>
              <w:t>CRR. Institutions shall include in these columns the external rating to which their internal PD ranges are mappe</w:t>
            </w:r>
            <w:r w:rsidRPr="00077B13">
              <w:rPr>
                <w:rFonts w:ascii="Times New Roman" w:hAnsi="Times New Roman"/>
                <w:sz w:val="24"/>
              </w:rPr>
              <w:t>d</w:t>
            </w:r>
            <w:r w:rsidRPr="004F5185">
              <w:rPr>
                <w:rFonts w:ascii="Times New Roman" w:hAnsi="Times New Roman"/>
                <w:sz w:val="24"/>
              </w:rPr>
              <w:t>.</w:t>
            </w:r>
          </w:p>
        </w:tc>
      </w:tr>
    </w:tbl>
    <w:p w:rsidR="008151A6" w:rsidRPr="00661595" w:rsidRDefault="008151A6" w:rsidP="00F66371">
      <w:pPr>
        <w:pStyle w:val="Instructionsberschrift2"/>
        <w:numPr>
          <w:ilvl w:val="2"/>
          <w:numId w:val="36"/>
        </w:numPr>
        <w:rPr>
          <w:rFonts w:ascii="Times New Roman" w:hAnsi="Times New Roman" w:cs="Times New Roman"/>
          <w:sz w:val="24"/>
          <w:lang w:val="en-GB"/>
        </w:rPr>
      </w:pPr>
      <w:bookmarkStart w:id="345" w:name="_Toc19715766"/>
      <w:bookmarkStart w:id="346" w:name="_Toc57831563"/>
      <w:r w:rsidRPr="00661595">
        <w:rPr>
          <w:rFonts w:ascii="Times New Roman" w:hAnsi="Times New Roman" w:cs="Times New Roman"/>
          <w:sz w:val="24"/>
          <w:lang w:val="en-GB"/>
        </w:rPr>
        <w:t xml:space="preserve">C 08.06 - Credit risk and free deliveries: IRB </w:t>
      </w:r>
      <w:r w:rsidR="009A4399" w:rsidRPr="00661595">
        <w:rPr>
          <w:rFonts w:ascii="Times New Roman" w:hAnsi="Times New Roman" w:cs="Times New Roman"/>
          <w:sz w:val="24"/>
          <w:lang w:val="en-GB"/>
        </w:rPr>
        <w:t>a</w:t>
      </w:r>
      <w:r w:rsidRPr="00661595">
        <w:rPr>
          <w:rFonts w:ascii="Times New Roman" w:hAnsi="Times New Roman" w:cs="Times New Roman"/>
          <w:sz w:val="24"/>
          <w:lang w:val="en-GB"/>
        </w:rPr>
        <w:t xml:space="preserve">pproach to Capital Requirements (Specialised lending slotting </w:t>
      </w:r>
      <w:r w:rsidR="003D14AE" w:rsidRPr="00661595">
        <w:rPr>
          <w:rFonts w:ascii="Times New Roman" w:hAnsi="Times New Roman" w:cs="Times New Roman"/>
          <w:sz w:val="24"/>
          <w:lang w:val="en-GB"/>
        </w:rPr>
        <w:t>approach</w:t>
      </w:r>
      <w:r w:rsidRPr="00661595">
        <w:rPr>
          <w:rFonts w:ascii="Times New Roman" w:hAnsi="Times New Roman" w:cs="Times New Roman"/>
          <w:sz w:val="24"/>
          <w:lang w:val="en-GB"/>
        </w:rPr>
        <w:t xml:space="preserve"> (CR IRB 6))</w:t>
      </w:r>
      <w:bookmarkEnd w:id="345"/>
      <w:bookmarkEnd w:id="346"/>
    </w:p>
    <w:p w:rsidR="008151A6" w:rsidRPr="00661595" w:rsidRDefault="008151A6" w:rsidP="00F66371">
      <w:pPr>
        <w:pStyle w:val="Instructionsberschrift2"/>
        <w:numPr>
          <w:ilvl w:val="3"/>
          <w:numId w:val="36"/>
        </w:numPr>
        <w:ind w:left="709"/>
        <w:rPr>
          <w:rFonts w:ascii="Times New Roman" w:hAnsi="Times New Roman" w:cs="Times New Roman"/>
          <w:sz w:val="24"/>
          <w:lang w:val="en-GB"/>
        </w:rPr>
      </w:pPr>
      <w:bookmarkStart w:id="347" w:name="_Toc19715767"/>
      <w:bookmarkStart w:id="348" w:name="_Toc57831564"/>
      <w:r w:rsidRPr="00661595">
        <w:rPr>
          <w:rFonts w:ascii="Times New Roman" w:hAnsi="Times New Roman" w:cs="Times New Roman"/>
          <w:sz w:val="24"/>
          <w:lang w:val="en-GB"/>
        </w:rPr>
        <w:t>General remarks</w:t>
      </w:r>
      <w:bookmarkEnd w:id="347"/>
      <w:bookmarkEnd w:id="348"/>
    </w:p>
    <w:p w:rsidR="008151A6" w:rsidRPr="00661595" w:rsidRDefault="00D11E4C" w:rsidP="00487A02">
      <w:pPr>
        <w:pStyle w:val="InstructionsText2"/>
        <w:numPr>
          <w:ilvl w:val="0"/>
          <w:numId w:val="0"/>
        </w:numPr>
        <w:ind w:left="1353" w:hanging="360"/>
      </w:pPr>
      <w:fldSimple w:instr=" seq paragraphs ">
        <w:r w:rsidR="00771068">
          <w:rPr>
            <w:noProof/>
          </w:rPr>
          <w:t>82</w:t>
        </w:r>
      </w:fldSimple>
      <w:r w:rsidR="008151A6" w:rsidRPr="00661595">
        <w:t xml:space="preserve">. Institutions shall report the information included in this template in application of </w:t>
      </w:r>
      <w:r w:rsidR="0044539D" w:rsidRPr="00661595">
        <w:t>point (e) of Article 43</w:t>
      </w:r>
      <w:r w:rsidR="00EA45F4" w:rsidRPr="00661595">
        <w:t>8</w:t>
      </w:r>
      <w:r w:rsidR="008151A6" w:rsidRPr="00661595">
        <w:t xml:space="preserve"> CRR. Institutions shall report information on the following types of specialised lending exposures</w:t>
      </w:r>
      <w:r w:rsidR="00E71171" w:rsidRPr="00661595">
        <w:t xml:space="preserve"> </w:t>
      </w:r>
      <w:r w:rsidR="003D07E3" w:rsidRPr="00661595">
        <w:t>referred to in Table 1 of Article 153(5):</w:t>
      </w:r>
    </w:p>
    <w:p w:rsidR="008151A6" w:rsidRPr="00661595" w:rsidRDefault="008151A6" w:rsidP="00487A02">
      <w:pPr>
        <w:pStyle w:val="InstructionsText2"/>
        <w:numPr>
          <w:ilvl w:val="1"/>
          <w:numId w:val="15"/>
        </w:numPr>
      </w:pPr>
      <w:r w:rsidRPr="00661595">
        <w:t>Project finance</w:t>
      </w:r>
    </w:p>
    <w:p w:rsidR="008151A6" w:rsidRPr="00661595" w:rsidRDefault="008151A6" w:rsidP="00487A02">
      <w:pPr>
        <w:pStyle w:val="InstructionsText2"/>
        <w:numPr>
          <w:ilvl w:val="1"/>
          <w:numId w:val="15"/>
        </w:numPr>
      </w:pPr>
      <w:r w:rsidRPr="00661595">
        <w:t>Income-producing real estate and  high volatility commercial real estate</w:t>
      </w:r>
    </w:p>
    <w:p w:rsidR="008151A6" w:rsidRPr="00661595" w:rsidRDefault="008151A6" w:rsidP="00487A02">
      <w:pPr>
        <w:pStyle w:val="InstructionsText2"/>
        <w:numPr>
          <w:ilvl w:val="1"/>
          <w:numId w:val="15"/>
        </w:numPr>
      </w:pPr>
      <w:r w:rsidRPr="00661595">
        <w:t>Object finance</w:t>
      </w:r>
    </w:p>
    <w:p w:rsidR="008151A6" w:rsidRPr="00661595" w:rsidRDefault="008151A6" w:rsidP="00487A02">
      <w:pPr>
        <w:pStyle w:val="InstructionsText2"/>
        <w:numPr>
          <w:ilvl w:val="1"/>
          <w:numId w:val="15"/>
        </w:numPr>
      </w:pPr>
      <w:r w:rsidRPr="00661595">
        <w:t>Commodities finance</w:t>
      </w:r>
    </w:p>
    <w:p w:rsidR="008151A6" w:rsidRPr="00661595" w:rsidRDefault="008151A6" w:rsidP="00F66371">
      <w:pPr>
        <w:pStyle w:val="Instructionsberschrift2"/>
        <w:numPr>
          <w:ilvl w:val="3"/>
          <w:numId w:val="36"/>
        </w:numPr>
        <w:ind w:left="709"/>
        <w:rPr>
          <w:rFonts w:ascii="Times New Roman" w:hAnsi="Times New Roman" w:cs="Times New Roman"/>
          <w:sz w:val="24"/>
          <w:lang w:val="en-GB"/>
        </w:rPr>
      </w:pPr>
      <w:bookmarkStart w:id="349" w:name="_Toc19715768"/>
      <w:bookmarkStart w:id="350" w:name="_Toc57831565"/>
      <w:r w:rsidRPr="00661595">
        <w:rPr>
          <w:rFonts w:ascii="Times New Roman" w:hAnsi="Times New Roman" w:cs="Times New Roman"/>
          <w:sz w:val="24"/>
          <w:lang w:val="en-GB"/>
        </w:rPr>
        <w:t>Instructions concerning specific positions</w:t>
      </w:r>
      <w:bookmarkEnd w:id="349"/>
      <w:bookmarkEnd w:id="350"/>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8843"/>
      </w:tblGrid>
      <w:tr w:rsidR="008151A6" w:rsidRPr="00661595" w:rsidTr="00664874">
        <w:tc>
          <w:tcPr>
            <w:tcW w:w="1188" w:type="dxa"/>
            <w:shd w:val="clear" w:color="auto" w:fill="CCCCCC"/>
          </w:tcPr>
          <w:p w:rsidR="008151A6" w:rsidRPr="00661595" w:rsidRDefault="008151A6" w:rsidP="00664874">
            <w:pPr>
              <w:rPr>
                <w:rFonts w:ascii="Times New Roman" w:hAnsi="Times New Roman"/>
                <w:sz w:val="24"/>
              </w:rPr>
            </w:pPr>
            <w:r w:rsidRPr="00661595">
              <w:rPr>
                <w:rFonts w:ascii="Times New Roman" w:hAnsi="Times New Roman"/>
                <w:sz w:val="24"/>
              </w:rPr>
              <w:t>Columns</w:t>
            </w:r>
          </w:p>
        </w:tc>
        <w:tc>
          <w:tcPr>
            <w:tcW w:w="8843" w:type="dxa"/>
            <w:shd w:val="clear" w:color="auto" w:fill="CCCCCC"/>
          </w:tcPr>
          <w:p w:rsidR="008151A6" w:rsidRPr="00661595" w:rsidRDefault="008151A6" w:rsidP="00664874">
            <w:pPr>
              <w:rPr>
                <w:rFonts w:ascii="Times New Roman" w:hAnsi="Times New Roman"/>
                <w:sz w:val="24"/>
              </w:rPr>
            </w:pPr>
            <w:r w:rsidRPr="00661595">
              <w:rPr>
                <w:rFonts w:ascii="Times New Roman" w:hAnsi="Times New Roman"/>
                <w:sz w:val="24"/>
              </w:rPr>
              <w:t>Instructions</w:t>
            </w:r>
          </w:p>
        </w:tc>
      </w:tr>
      <w:tr w:rsidR="008151A6" w:rsidRPr="00661595" w:rsidTr="00664874">
        <w:tc>
          <w:tcPr>
            <w:tcW w:w="1188" w:type="dxa"/>
            <w:tcBorders>
              <w:top w:val="single" w:sz="4" w:space="0" w:color="auto"/>
              <w:left w:val="single" w:sz="4" w:space="0" w:color="auto"/>
              <w:bottom w:val="single" w:sz="4" w:space="0" w:color="auto"/>
              <w:right w:val="single" w:sz="4" w:space="0" w:color="auto"/>
            </w:tcBorders>
            <w:shd w:val="clear" w:color="auto" w:fill="auto"/>
          </w:tcPr>
          <w:p w:rsidR="008151A6" w:rsidRPr="00661595" w:rsidRDefault="008151A6" w:rsidP="00664874">
            <w:pPr>
              <w:rPr>
                <w:rStyle w:val="InstructionsTabelleText"/>
                <w:rFonts w:ascii="Times New Roman" w:hAnsi="Times New Roman"/>
                <w:sz w:val="24"/>
              </w:rPr>
            </w:pPr>
            <w:r w:rsidRPr="00661595">
              <w:rPr>
                <w:rStyle w:val="InstructionsTabelleText"/>
                <w:rFonts w:ascii="Times New Roman" w:hAnsi="Times New Roman"/>
                <w:sz w:val="24"/>
              </w:rPr>
              <w:t>0010</w:t>
            </w:r>
          </w:p>
        </w:tc>
        <w:tc>
          <w:tcPr>
            <w:tcW w:w="8843" w:type="dxa"/>
            <w:tcBorders>
              <w:top w:val="single" w:sz="4" w:space="0" w:color="auto"/>
              <w:left w:val="single" w:sz="4" w:space="0" w:color="auto"/>
              <w:bottom w:val="single" w:sz="4" w:space="0" w:color="auto"/>
              <w:right w:val="single" w:sz="4" w:space="0" w:color="auto"/>
            </w:tcBorders>
            <w:shd w:val="clear" w:color="auto" w:fill="auto"/>
          </w:tcPr>
          <w:p w:rsidR="008151A6" w:rsidRPr="00393FF2" w:rsidRDefault="008151A6" w:rsidP="00664874">
            <w:pPr>
              <w:rPr>
                <w:rFonts w:ascii="Times New Roman" w:hAnsi="Times New Roman"/>
                <w:b/>
                <w:sz w:val="24"/>
                <w:u w:val="single"/>
              </w:rPr>
            </w:pPr>
            <w:r w:rsidRPr="00393FF2">
              <w:rPr>
                <w:rFonts w:ascii="Times New Roman" w:hAnsi="Times New Roman"/>
                <w:b/>
                <w:sz w:val="24"/>
                <w:u w:val="single"/>
              </w:rPr>
              <w:t>ORIGINAL EXPOSURE PRE CONVERSION FACTORS</w:t>
            </w:r>
          </w:p>
          <w:p w:rsidR="008151A6" w:rsidRPr="00661595" w:rsidRDefault="008151A6" w:rsidP="00664874">
            <w:pPr>
              <w:rPr>
                <w:rFonts w:ascii="Times New Roman" w:hAnsi="Times New Roman"/>
                <w:sz w:val="24"/>
              </w:rPr>
            </w:pPr>
            <w:r w:rsidRPr="00661595">
              <w:rPr>
                <w:rFonts w:ascii="Times New Roman" w:hAnsi="Times New Roman"/>
                <w:sz w:val="24"/>
              </w:rPr>
              <w:t>See CR-IRB instructions</w:t>
            </w:r>
            <w:r w:rsidR="002771C5">
              <w:rPr>
                <w:rFonts w:ascii="Times New Roman" w:hAnsi="Times New Roman"/>
                <w:sz w:val="24"/>
              </w:rPr>
              <w:t>.</w:t>
            </w:r>
          </w:p>
        </w:tc>
      </w:tr>
      <w:tr w:rsidR="008151A6" w:rsidRPr="00661595" w:rsidTr="00664874">
        <w:tc>
          <w:tcPr>
            <w:tcW w:w="1188" w:type="dxa"/>
            <w:tcBorders>
              <w:top w:val="single" w:sz="4" w:space="0" w:color="auto"/>
              <w:left w:val="single" w:sz="4" w:space="0" w:color="auto"/>
              <w:bottom w:val="single" w:sz="4" w:space="0" w:color="auto"/>
              <w:right w:val="single" w:sz="4" w:space="0" w:color="auto"/>
            </w:tcBorders>
            <w:shd w:val="clear" w:color="auto" w:fill="auto"/>
          </w:tcPr>
          <w:p w:rsidR="008151A6" w:rsidRPr="00661595" w:rsidRDefault="008151A6" w:rsidP="00664874">
            <w:pPr>
              <w:rPr>
                <w:rFonts w:ascii="Times New Roman" w:hAnsi="Times New Roman"/>
                <w:sz w:val="24"/>
              </w:rPr>
            </w:pPr>
            <w:r w:rsidRPr="00661595">
              <w:rPr>
                <w:rFonts w:ascii="Times New Roman" w:hAnsi="Times New Roman"/>
                <w:sz w:val="24"/>
              </w:rPr>
              <w:t>0020</w:t>
            </w:r>
          </w:p>
        </w:tc>
        <w:tc>
          <w:tcPr>
            <w:tcW w:w="8843" w:type="dxa"/>
            <w:tcBorders>
              <w:top w:val="single" w:sz="4" w:space="0" w:color="auto"/>
              <w:left w:val="single" w:sz="4" w:space="0" w:color="auto"/>
              <w:bottom w:val="single" w:sz="4" w:space="0" w:color="auto"/>
              <w:right w:val="single" w:sz="4" w:space="0" w:color="auto"/>
            </w:tcBorders>
            <w:shd w:val="clear" w:color="auto" w:fill="auto"/>
          </w:tcPr>
          <w:p w:rsidR="008151A6" w:rsidRPr="00393FF2" w:rsidRDefault="008151A6" w:rsidP="00664874">
            <w:pPr>
              <w:rPr>
                <w:rFonts w:ascii="Times New Roman" w:hAnsi="Times New Roman"/>
                <w:b/>
                <w:sz w:val="24"/>
                <w:u w:val="single"/>
              </w:rPr>
            </w:pPr>
            <w:r w:rsidRPr="00393FF2">
              <w:rPr>
                <w:rFonts w:ascii="Times New Roman" w:hAnsi="Times New Roman"/>
                <w:b/>
                <w:sz w:val="24"/>
                <w:u w:val="single"/>
              </w:rPr>
              <w:t>EXPOSURE AFTER CRM SUBSTITUTION EFFECTS PRE CONVERSION FACTORS</w:t>
            </w:r>
          </w:p>
          <w:p w:rsidR="008151A6" w:rsidRPr="00661595" w:rsidRDefault="008151A6" w:rsidP="00664874">
            <w:pPr>
              <w:rPr>
                <w:rFonts w:ascii="Times New Roman" w:hAnsi="Times New Roman"/>
                <w:sz w:val="24"/>
              </w:rPr>
            </w:pPr>
            <w:r w:rsidRPr="00661595">
              <w:rPr>
                <w:rFonts w:ascii="Times New Roman" w:hAnsi="Times New Roman"/>
                <w:sz w:val="24"/>
              </w:rPr>
              <w:t>See CR-IRB instructions</w:t>
            </w:r>
            <w:r w:rsidR="002771C5">
              <w:rPr>
                <w:rFonts w:ascii="Times New Roman" w:hAnsi="Times New Roman"/>
                <w:sz w:val="24"/>
              </w:rPr>
              <w:t>.</w:t>
            </w:r>
          </w:p>
        </w:tc>
      </w:tr>
      <w:tr w:rsidR="008151A6" w:rsidRPr="00661595" w:rsidTr="00664874">
        <w:tc>
          <w:tcPr>
            <w:tcW w:w="1188" w:type="dxa"/>
            <w:tcBorders>
              <w:top w:val="single" w:sz="4" w:space="0" w:color="auto"/>
              <w:left w:val="single" w:sz="4" w:space="0" w:color="auto"/>
              <w:bottom w:val="single" w:sz="4" w:space="0" w:color="auto"/>
              <w:right w:val="single" w:sz="4" w:space="0" w:color="auto"/>
            </w:tcBorders>
            <w:shd w:val="clear" w:color="auto" w:fill="auto"/>
          </w:tcPr>
          <w:p w:rsidR="008151A6" w:rsidRPr="00661595" w:rsidRDefault="008151A6" w:rsidP="00664874">
            <w:pPr>
              <w:rPr>
                <w:rFonts w:ascii="Times New Roman" w:hAnsi="Times New Roman"/>
                <w:sz w:val="24"/>
              </w:rPr>
            </w:pPr>
            <w:r w:rsidRPr="00661595">
              <w:rPr>
                <w:rFonts w:ascii="Times New Roman" w:hAnsi="Times New Roman"/>
                <w:sz w:val="24"/>
              </w:rPr>
              <w:t>0030, 0050</w:t>
            </w:r>
          </w:p>
        </w:tc>
        <w:tc>
          <w:tcPr>
            <w:tcW w:w="8843" w:type="dxa"/>
            <w:tcBorders>
              <w:top w:val="single" w:sz="4" w:space="0" w:color="auto"/>
              <w:left w:val="single" w:sz="4" w:space="0" w:color="auto"/>
              <w:bottom w:val="single" w:sz="4" w:space="0" w:color="auto"/>
              <w:right w:val="single" w:sz="4" w:space="0" w:color="auto"/>
            </w:tcBorders>
            <w:shd w:val="clear" w:color="auto" w:fill="auto"/>
          </w:tcPr>
          <w:p w:rsidR="008151A6" w:rsidRPr="00393FF2" w:rsidRDefault="008151A6" w:rsidP="00664874">
            <w:pPr>
              <w:rPr>
                <w:rStyle w:val="InstructionsTabelleberschrift"/>
                <w:rFonts w:ascii="Times New Roman" w:hAnsi="Times New Roman"/>
                <w:bCs w:val="0"/>
                <w:sz w:val="24"/>
              </w:rPr>
            </w:pPr>
            <w:r w:rsidRPr="00393FF2">
              <w:rPr>
                <w:rStyle w:val="InstructionsTabelleberschrift"/>
                <w:rFonts w:ascii="Times New Roman" w:hAnsi="Times New Roman"/>
                <w:bCs w:val="0"/>
                <w:sz w:val="24"/>
              </w:rPr>
              <w:t xml:space="preserve">OF WHICH: OFF-BALANCE SHEET ITEMS </w:t>
            </w:r>
          </w:p>
          <w:p w:rsidR="008151A6" w:rsidRPr="00661595" w:rsidRDefault="008151A6" w:rsidP="00664874">
            <w:pPr>
              <w:rPr>
                <w:rFonts w:ascii="Times New Roman" w:hAnsi="Times New Roman"/>
                <w:sz w:val="24"/>
              </w:rPr>
            </w:pPr>
            <w:r w:rsidRPr="00661595">
              <w:rPr>
                <w:rFonts w:ascii="Times New Roman" w:hAnsi="Times New Roman"/>
                <w:sz w:val="24"/>
              </w:rPr>
              <w:t>See CR-SA instructions</w:t>
            </w:r>
            <w:r w:rsidR="002771C5">
              <w:rPr>
                <w:rFonts w:ascii="Times New Roman" w:hAnsi="Times New Roman"/>
                <w:sz w:val="24"/>
              </w:rPr>
              <w:t>.</w:t>
            </w:r>
          </w:p>
        </w:tc>
      </w:tr>
      <w:tr w:rsidR="008151A6" w:rsidRPr="00661595" w:rsidTr="00664874">
        <w:tc>
          <w:tcPr>
            <w:tcW w:w="1188" w:type="dxa"/>
            <w:tcBorders>
              <w:top w:val="single" w:sz="4" w:space="0" w:color="auto"/>
              <w:left w:val="single" w:sz="4" w:space="0" w:color="auto"/>
              <w:bottom w:val="single" w:sz="4" w:space="0" w:color="auto"/>
              <w:right w:val="single" w:sz="4" w:space="0" w:color="auto"/>
            </w:tcBorders>
            <w:shd w:val="clear" w:color="auto" w:fill="auto"/>
          </w:tcPr>
          <w:p w:rsidR="008151A6" w:rsidRPr="00661595" w:rsidRDefault="008151A6" w:rsidP="00664874">
            <w:pPr>
              <w:rPr>
                <w:rFonts w:ascii="Times New Roman" w:hAnsi="Times New Roman"/>
                <w:sz w:val="24"/>
              </w:rPr>
            </w:pPr>
            <w:r w:rsidRPr="00661595">
              <w:rPr>
                <w:rFonts w:ascii="Times New Roman" w:hAnsi="Times New Roman"/>
                <w:sz w:val="24"/>
              </w:rPr>
              <w:t>0040</w:t>
            </w:r>
          </w:p>
        </w:tc>
        <w:tc>
          <w:tcPr>
            <w:tcW w:w="8843" w:type="dxa"/>
            <w:tcBorders>
              <w:top w:val="single" w:sz="4" w:space="0" w:color="auto"/>
              <w:left w:val="single" w:sz="4" w:space="0" w:color="auto"/>
              <w:bottom w:val="single" w:sz="4" w:space="0" w:color="auto"/>
              <w:right w:val="single" w:sz="4" w:space="0" w:color="auto"/>
            </w:tcBorders>
            <w:shd w:val="clear" w:color="auto" w:fill="auto"/>
          </w:tcPr>
          <w:p w:rsidR="008151A6" w:rsidRPr="00393FF2" w:rsidRDefault="008151A6" w:rsidP="00664874">
            <w:pPr>
              <w:rPr>
                <w:rFonts w:ascii="Times New Roman" w:hAnsi="Times New Roman"/>
                <w:b/>
                <w:sz w:val="24"/>
                <w:u w:val="single"/>
              </w:rPr>
            </w:pPr>
            <w:r w:rsidRPr="00393FF2">
              <w:rPr>
                <w:rFonts w:ascii="Times New Roman" w:hAnsi="Times New Roman"/>
                <w:b/>
                <w:sz w:val="24"/>
                <w:u w:val="single"/>
              </w:rPr>
              <w:t>EXPOSURE VALUE</w:t>
            </w:r>
          </w:p>
          <w:p w:rsidR="008151A6" w:rsidRPr="00661595" w:rsidRDefault="008151A6" w:rsidP="00664874">
            <w:pPr>
              <w:rPr>
                <w:rFonts w:ascii="Times New Roman" w:hAnsi="Times New Roman"/>
                <w:sz w:val="24"/>
              </w:rPr>
            </w:pPr>
            <w:r w:rsidRPr="00661595">
              <w:rPr>
                <w:rFonts w:ascii="Times New Roman" w:hAnsi="Times New Roman"/>
                <w:sz w:val="24"/>
              </w:rPr>
              <w:t>See CR-IRB instructions</w:t>
            </w:r>
            <w:r w:rsidR="002771C5">
              <w:rPr>
                <w:rFonts w:ascii="Times New Roman" w:hAnsi="Times New Roman"/>
                <w:sz w:val="24"/>
              </w:rPr>
              <w:t>.</w:t>
            </w:r>
          </w:p>
        </w:tc>
      </w:tr>
      <w:tr w:rsidR="008151A6" w:rsidRPr="00661595" w:rsidTr="00664874">
        <w:tc>
          <w:tcPr>
            <w:tcW w:w="1188" w:type="dxa"/>
            <w:tcBorders>
              <w:top w:val="single" w:sz="4" w:space="0" w:color="auto"/>
              <w:left w:val="single" w:sz="4" w:space="0" w:color="auto"/>
              <w:bottom w:val="single" w:sz="4" w:space="0" w:color="auto"/>
              <w:right w:val="single" w:sz="4" w:space="0" w:color="auto"/>
            </w:tcBorders>
            <w:shd w:val="clear" w:color="auto" w:fill="auto"/>
          </w:tcPr>
          <w:p w:rsidR="008151A6" w:rsidRPr="00661595" w:rsidRDefault="008151A6" w:rsidP="00664874">
            <w:pPr>
              <w:rPr>
                <w:rFonts w:ascii="Times New Roman" w:hAnsi="Times New Roman"/>
                <w:sz w:val="24"/>
              </w:rPr>
            </w:pPr>
            <w:r w:rsidRPr="00661595">
              <w:rPr>
                <w:rFonts w:ascii="Times New Roman" w:hAnsi="Times New Roman"/>
                <w:sz w:val="24"/>
              </w:rPr>
              <w:t>0060</w:t>
            </w:r>
          </w:p>
        </w:tc>
        <w:tc>
          <w:tcPr>
            <w:tcW w:w="8843" w:type="dxa"/>
            <w:tcBorders>
              <w:top w:val="single" w:sz="4" w:space="0" w:color="auto"/>
              <w:left w:val="single" w:sz="4" w:space="0" w:color="auto"/>
              <w:bottom w:val="single" w:sz="4" w:space="0" w:color="auto"/>
              <w:right w:val="single" w:sz="4" w:space="0" w:color="auto"/>
            </w:tcBorders>
            <w:shd w:val="clear" w:color="auto" w:fill="auto"/>
          </w:tcPr>
          <w:p w:rsidR="008151A6" w:rsidRPr="00393FF2" w:rsidRDefault="008151A6" w:rsidP="00664874">
            <w:pPr>
              <w:rPr>
                <w:rStyle w:val="InstructionsTabelleberschrift"/>
                <w:rFonts w:ascii="Times New Roman" w:hAnsi="Times New Roman"/>
                <w:bCs w:val="0"/>
                <w:sz w:val="24"/>
              </w:rPr>
            </w:pPr>
            <w:r w:rsidRPr="00393FF2">
              <w:rPr>
                <w:rStyle w:val="InstructionsTabelleberschrift"/>
                <w:rFonts w:ascii="Times New Roman" w:hAnsi="Times New Roman"/>
                <w:bCs w:val="0"/>
                <w:sz w:val="24"/>
              </w:rPr>
              <w:t xml:space="preserve">OF WHICH: ARISING FROM COUNTERPARTY CREDIT RISK </w:t>
            </w:r>
          </w:p>
          <w:p w:rsidR="008151A6" w:rsidRPr="00661595" w:rsidRDefault="008151A6" w:rsidP="00664874">
            <w:pPr>
              <w:rPr>
                <w:rFonts w:ascii="Times New Roman" w:hAnsi="Times New Roman"/>
                <w:sz w:val="24"/>
              </w:rPr>
            </w:pPr>
            <w:r w:rsidRPr="00661595">
              <w:rPr>
                <w:rFonts w:ascii="Times New Roman" w:hAnsi="Times New Roman"/>
                <w:sz w:val="24"/>
              </w:rPr>
              <w:t>See CR SA instructions.</w:t>
            </w:r>
            <w:r w:rsidRPr="00661595">
              <w:rPr>
                <w:rStyle w:val="InstructionsTabelleText"/>
                <w:rFonts w:ascii="Times New Roman" w:hAnsi="Times New Roman"/>
                <w:sz w:val="24"/>
              </w:rPr>
              <w:t xml:space="preserve"> </w:t>
            </w:r>
          </w:p>
        </w:tc>
      </w:tr>
      <w:tr w:rsidR="008151A6" w:rsidRPr="00661595" w:rsidTr="00664874">
        <w:tc>
          <w:tcPr>
            <w:tcW w:w="1188" w:type="dxa"/>
            <w:tcBorders>
              <w:top w:val="single" w:sz="4" w:space="0" w:color="auto"/>
              <w:left w:val="single" w:sz="4" w:space="0" w:color="auto"/>
              <w:bottom w:val="single" w:sz="4" w:space="0" w:color="auto"/>
              <w:right w:val="single" w:sz="4" w:space="0" w:color="auto"/>
            </w:tcBorders>
            <w:shd w:val="clear" w:color="auto" w:fill="auto"/>
          </w:tcPr>
          <w:p w:rsidR="008151A6" w:rsidRPr="00661595" w:rsidRDefault="008151A6" w:rsidP="00664874">
            <w:pPr>
              <w:rPr>
                <w:rFonts w:ascii="Times New Roman" w:hAnsi="Times New Roman"/>
                <w:sz w:val="24"/>
              </w:rPr>
            </w:pPr>
            <w:r w:rsidRPr="00661595">
              <w:rPr>
                <w:rFonts w:ascii="Times New Roman" w:hAnsi="Times New Roman"/>
                <w:sz w:val="24"/>
              </w:rPr>
              <w:t>0070</w:t>
            </w:r>
          </w:p>
        </w:tc>
        <w:tc>
          <w:tcPr>
            <w:tcW w:w="8843" w:type="dxa"/>
            <w:tcBorders>
              <w:top w:val="single" w:sz="4" w:space="0" w:color="auto"/>
              <w:left w:val="single" w:sz="4" w:space="0" w:color="auto"/>
              <w:bottom w:val="single" w:sz="4" w:space="0" w:color="auto"/>
              <w:right w:val="single" w:sz="4" w:space="0" w:color="auto"/>
            </w:tcBorders>
            <w:shd w:val="clear" w:color="auto" w:fill="auto"/>
          </w:tcPr>
          <w:p w:rsidR="008151A6" w:rsidRPr="00393FF2" w:rsidRDefault="008151A6" w:rsidP="00664874">
            <w:pPr>
              <w:rPr>
                <w:rFonts w:ascii="Times New Roman" w:hAnsi="Times New Roman"/>
                <w:b/>
                <w:sz w:val="24"/>
                <w:u w:val="single"/>
              </w:rPr>
            </w:pPr>
            <w:r w:rsidRPr="00393FF2">
              <w:rPr>
                <w:rFonts w:ascii="Times New Roman" w:hAnsi="Times New Roman"/>
                <w:b/>
                <w:sz w:val="24"/>
                <w:u w:val="single"/>
              </w:rPr>
              <w:t>RISK WEIGHT</w:t>
            </w:r>
          </w:p>
          <w:p w:rsidR="002771C5" w:rsidRDefault="0044539D" w:rsidP="00664874">
            <w:pPr>
              <w:rPr>
                <w:rFonts w:ascii="Times New Roman" w:hAnsi="Times New Roman"/>
                <w:sz w:val="24"/>
              </w:rPr>
            </w:pPr>
            <w:r w:rsidRPr="00661595">
              <w:rPr>
                <w:rFonts w:ascii="Times New Roman" w:hAnsi="Times New Roman"/>
                <w:sz w:val="24"/>
              </w:rPr>
              <w:t xml:space="preserve">Article 153(5) </w:t>
            </w:r>
            <w:r w:rsidR="008151A6" w:rsidRPr="00661595">
              <w:rPr>
                <w:rFonts w:ascii="Times New Roman" w:hAnsi="Times New Roman"/>
                <w:sz w:val="24"/>
              </w:rPr>
              <w:t>CRR</w:t>
            </w:r>
          </w:p>
          <w:p w:rsidR="008151A6" w:rsidRPr="00661595" w:rsidRDefault="008151A6" w:rsidP="00664874">
            <w:pPr>
              <w:rPr>
                <w:rFonts w:ascii="Times New Roman" w:hAnsi="Times New Roman"/>
                <w:sz w:val="24"/>
              </w:rPr>
            </w:pPr>
            <w:r w:rsidRPr="00661595">
              <w:rPr>
                <w:rFonts w:ascii="Times New Roman" w:hAnsi="Times New Roman"/>
                <w:sz w:val="24"/>
              </w:rPr>
              <w:t xml:space="preserve">This is a fixed column for information purposes. It shall not be altered. </w:t>
            </w:r>
          </w:p>
        </w:tc>
      </w:tr>
      <w:tr w:rsidR="008151A6" w:rsidRPr="00661595" w:rsidTr="00664874">
        <w:tc>
          <w:tcPr>
            <w:tcW w:w="1188" w:type="dxa"/>
            <w:tcBorders>
              <w:top w:val="single" w:sz="4" w:space="0" w:color="auto"/>
              <w:left w:val="single" w:sz="4" w:space="0" w:color="auto"/>
              <w:bottom w:val="single" w:sz="4" w:space="0" w:color="auto"/>
              <w:right w:val="single" w:sz="4" w:space="0" w:color="auto"/>
            </w:tcBorders>
            <w:shd w:val="clear" w:color="auto" w:fill="auto"/>
          </w:tcPr>
          <w:p w:rsidR="008151A6" w:rsidRPr="00661595" w:rsidRDefault="008151A6" w:rsidP="00664874">
            <w:pPr>
              <w:rPr>
                <w:rFonts w:ascii="Times New Roman" w:hAnsi="Times New Roman"/>
                <w:sz w:val="24"/>
              </w:rPr>
            </w:pPr>
            <w:r w:rsidRPr="00661595">
              <w:rPr>
                <w:rFonts w:ascii="Times New Roman" w:hAnsi="Times New Roman"/>
                <w:sz w:val="24"/>
              </w:rPr>
              <w:t>0080</w:t>
            </w:r>
          </w:p>
        </w:tc>
        <w:tc>
          <w:tcPr>
            <w:tcW w:w="8843" w:type="dxa"/>
            <w:tcBorders>
              <w:top w:val="single" w:sz="4" w:space="0" w:color="auto"/>
              <w:left w:val="single" w:sz="4" w:space="0" w:color="auto"/>
              <w:bottom w:val="single" w:sz="4" w:space="0" w:color="auto"/>
              <w:right w:val="single" w:sz="4" w:space="0" w:color="auto"/>
            </w:tcBorders>
            <w:shd w:val="clear" w:color="auto" w:fill="auto"/>
          </w:tcPr>
          <w:p w:rsidR="008151A6" w:rsidRPr="00393FF2" w:rsidRDefault="008151A6" w:rsidP="00664874">
            <w:pPr>
              <w:rPr>
                <w:rFonts w:ascii="Times New Roman" w:hAnsi="Times New Roman"/>
                <w:b/>
                <w:sz w:val="24"/>
                <w:u w:val="single"/>
              </w:rPr>
            </w:pPr>
            <w:r w:rsidRPr="00393FF2">
              <w:rPr>
                <w:rFonts w:ascii="Times New Roman" w:hAnsi="Times New Roman"/>
                <w:b/>
                <w:sz w:val="24"/>
                <w:u w:val="single"/>
              </w:rPr>
              <w:t>RISK WEIGHTED EXPOSURE AMOUNT AFTER SUPPORTING FACTORS</w:t>
            </w:r>
          </w:p>
          <w:p w:rsidR="008151A6" w:rsidRPr="00661595" w:rsidRDefault="008151A6" w:rsidP="00664874">
            <w:pPr>
              <w:rPr>
                <w:rFonts w:ascii="Times New Roman" w:hAnsi="Times New Roman"/>
                <w:b/>
                <w:sz w:val="24"/>
              </w:rPr>
            </w:pPr>
            <w:r w:rsidRPr="00661595">
              <w:rPr>
                <w:rFonts w:ascii="Times New Roman" w:hAnsi="Times New Roman"/>
                <w:sz w:val="24"/>
              </w:rPr>
              <w:t>See CR-IRB instructions</w:t>
            </w:r>
            <w:r w:rsidR="002771C5">
              <w:rPr>
                <w:rFonts w:ascii="Times New Roman" w:hAnsi="Times New Roman"/>
                <w:sz w:val="24"/>
              </w:rPr>
              <w:t>.</w:t>
            </w:r>
          </w:p>
        </w:tc>
      </w:tr>
      <w:tr w:rsidR="008151A6" w:rsidRPr="00661595" w:rsidTr="00664874">
        <w:tc>
          <w:tcPr>
            <w:tcW w:w="1188" w:type="dxa"/>
            <w:tcBorders>
              <w:top w:val="single" w:sz="4" w:space="0" w:color="auto"/>
              <w:left w:val="single" w:sz="4" w:space="0" w:color="auto"/>
              <w:bottom w:val="single" w:sz="4" w:space="0" w:color="auto"/>
              <w:right w:val="single" w:sz="4" w:space="0" w:color="auto"/>
            </w:tcBorders>
            <w:shd w:val="clear" w:color="auto" w:fill="auto"/>
          </w:tcPr>
          <w:p w:rsidR="008151A6" w:rsidRPr="00661595" w:rsidRDefault="008151A6" w:rsidP="00664874">
            <w:pPr>
              <w:rPr>
                <w:rFonts w:ascii="Times New Roman" w:hAnsi="Times New Roman"/>
                <w:sz w:val="24"/>
              </w:rPr>
            </w:pPr>
            <w:r w:rsidRPr="00661595">
              <w:rPr>
                <w:rFonts w:ascii="Times New Roman" w:hAnsi="Times New Roman"/>
                <w:sz w:val="24"/>
              </w:rPr>
              <w:t>0090</w:t>
            </w:r>
          </w:p>
        </w:tc>
        <w:tc>
          <w:tcPr>
            <w:tcW w:w="8843" w:type="dxa"/>
            <w:tcBorders>
              <w:top w:val="single" w:sz="4" w:space="0" w:color="auto"/>
              <w:left w:val="single" w:sz="4" w:space="0" w:color="auto"/>
              <w:bottom w:val="single" w:sz="4" w:space="0" w:color="auto"/>
              <w:right w:val="single" w:sz="4" w:space="0" w:color="auto"/>
            </w:tcBorders>
            <w:shd w:val="clear" w:color="auto" w:fill="auto"/>
          </w:tcPr>
          <w:p w:rsidR="008151A6" w:rsidRPr="00393FF2" w:rsidRDefault="008151A6" w:rsidP="00664874">
            <w:pPr>
              <w:rPr>
                <w:rFonts w:ascii="Times New Roman" w:hAnsi="Times New Roman"/>
                <w:b/>
                <w:sz w:val="24"/>
                <w:u w:val="single"/>
              </w:rPr>
            </w:pPr>
            <w:r w:rsidRPr="00393FF2">
              <w:rPr>
                <w:rFonts w:ascii="Times New Roman" w:hAnsi="Times New Roman"/>
                <w:b/>
                <w:sz w:val="24"/>
                <w:u w:val="single"/>
              </w:rPr>
              <w:t>EXPECTED LOSS AMOUNT</w:t>
            </w:r>
          </w:p>
          <w:p w:rsidR="008151A6" w:rsidRPr="00661595" w:rsidRDefault="008151A6" w:rsidP="00664874">
            <w:pPr>
              <w:rPr>
                <w:rFonts w:ascii="Times New Roman" w:hAnsi="Times New Roman"/>
                <w:b/>
                <w:sz w:val="24"/>
              </w:rPr>
            </w:pPr>
            <w:r w:rsidRPr="00661595">
              <w:rPr>
                <w:rFonts w:ascii="Times New Roman" w:hAnsi="Times New Roman"/>
                <w:sz w:val="24"/>
              </w:rPr>
              <w:t>See CR-IRB instructions</w:t>
            </w:r>
            <w:r w:rsidR="002771C5">
              <w:rPr>
                <w:rFonts w:ascii="Times New Roman" w:hAnsi="Times New Roman"/>
                <w:sz w:val="24"/>
              </w:rPr>
              <w:t>.</w:t>
            </w:r>
          </w:p>
        </w:tc>
      </w:tr>
      <w:tr w:rsidR="008151A6" w:rsidRPr="00661595" w:rsidTr="00664874">
        <w:tc>
          <w:tcPr>
            <w:tcW w:w="1188" w:type="dxa"/>
            <w:tcBorders>
              <w:top w:val="single" w:sz="4" w:space="0" w:color="auto"/>
              <w:left w:val="single" w:sz="4" w:space="0" w:color="auto"/>
              <w:bottom w:val="single" w:sz="4" w:space="0" w:color="auto"/>
              <w:right w:val="single" w:sz="4" w:space="0" w:color="auto"/>
            </w:tcBorders>
            <w:shd w:val="clear" w:color="auto" w:fill="auto"/>
          </w:tcPr>
          <w:p w:rsidR="008151A6" w:rsidRPr="00661595" w:rsidRDefault="008151A6" w:rsidP="00664874">
            <w:pPr>
              <w:rPr>
                <w:rFonts w:ascii="Times New Roman" w:hAnsi="Times New Roman"/>
                <w:sz w:val="24"/>
              </w:rPr>
            </w:pPr>
            <w:r w:rsidRPr="00661595">
              <w:rPr>
                <w:rFonts w:ascii="Times New Roman" w:hAnsi="Times New Roman"/>
                <w:sz w:val="24"/>
              </w:rPr>
              <w:t>0100</w:t>
            </w:r>
          </w:p>
        </w:tc>
        <w:tc>
          <w:tcPr>
            <w:tcW w:w="8843" w:type="dxa"/>
            <w:tcBorders>
              <w:top w:val="single" w:sz="4" w:space="0" w:color="auto"/>
              <w:left w:val="single" w:sz="4" w:space="0" w:color="auto"/>
              <w:bottom w:val="single" w:sz="4" w:space="0" w:color="auto"/>
              <w:right w:val="single" w:sz="4" w:space="0" w:color="auto"/>
            </w:tcBorders>
            <w:shd w:val="clear" w:color="auto" w:fill="auto"/>
          </w:tcPr>
          <w:p w:rsidR="008151A6" w:rsidRPr="00393FF2" w:rsidRDefault="008151A6" w:rsidP="00664874">
            <w:pPr>
              <w:rPr>
                <w:rFonts w:ascii="Times New Roman" w:hAnsi="Times New Roman"/>
                <w:b/>
                <w:sz w:val="24"/>
                <w:u w:val="single"/>
              </w:rPr>
            </w:pPr>
            <w:r w:rsidRPr="00393FF2">
              <w:rPr>
                <w:rFonts w:ascii="Times New Roman" w:hAnsi="Times New Roman"/>
                <w:b/>
                <w:sz w:val="24"/>
                <w:u w:val="single"/>
              </w:rPr>
              <w:t>(-) VALUE ADJUSTMENTS AND PROVISIONS</w:t>
            </w:r>
          </w:p>
          <w:p w:rsidR="008151A6" w:rsidRPr="00661595" w:rsidRDefault="008151A6" w:rsidP="00664874">
            <w:pPr>
              <w:rPr>
                <w:rFonts w:ascii="Times New Roman" w:hAnsi="Times New Roman"/>
                <w:b/>
                <w:sz w:val="24"/>
              </w:rPr>
            </w:pPr>
            <w:r w:rsidRPr="00661595">
              <w:rPr>
                <w:rFonts w:ascii="Times New Roman" w:hAnsi="Times New Roman"/>
                <w:sz w:val="24"/>
              </w:rPr>
              <w:t>See CR-IRB instructions</w:t>
            </w:r>
            <w:r w:rsidR="002771C5">
              <w:rPr>
                <w:rFonts w:ascii="Times New Roman" w:hAnsi="Times New Roman"/>
                <w:sz w:val="24"/>
              </w:rPr>
              <w:t>.</w:t>
            </w:r>
          </w:p>
        </w:tc>
      </w:tr>
    </w:tbl>
    <w:p w:rsidR="008151A6" w:rsidRPr="00661595" w:rsidRDefault="008151A6" w:rsidP="007D633B">
      <w:pPr>
        <w:pStyle w:val="body"/>
      </w:pPr>
      <w:bookmarkStart w:id="351" w:name="_Toc19715769"/>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9"/>
        <w:gridCol w:w="8931"/>
      </w:tblGrid>
      <w:tr w:rsidR="008151A6" w:rsidRPr="00661595" w:rsidTr="00664874">
        <w:tc>
          <w:tcPr>
            <w:tcW w:w="1129" w:type="dxa"/>
            <w:shd w:val="pct25" w:color="auto" w:fill="auto"/>
          </w:tcPr>
          <w:p w:rsidR="008151A6" w:rsidRPr="00661595" w:rsidRDefault="008151A6" w:rsidP="00664874">
            <w:pPr>
              <w:rPr>
                <w:rFonts w:ascii="Times New Roman" w:hAnsi="Times New Roman"/>
                <w:sz w:val="24"/>
              </w:rPr>
            </w:pPr>
            <w:r w:rsidRPr="00661595">
              <w:rPr>
                <w:rFonts w:ascii="Times New Roman" w:hAnsi="Times New Roman"/>
                <w:sz w:val="24"/>
              </w:rPr>
              <w:t>Rows</w:t>
            </w:r>
          </w:p>
        </w:tc>
        <w:tc>
          <w:tcPr>
            <w:tcW w:w="8931" w:type="dxa"/>
            <w:shd w:val="pct25" w:color="auto" w:fill="auto"/>
          </w:tcPr>
          <w:p w:rsidR="008151A6" w:rsidRPr="00661595" w:rsidRDefault="008151A6" w:rsidP="00664874">
            <w:pPr>
              <w:rPr>
                <w:rFonts w:ascii="Times New Roman" w:hAnsi="Times New Roman"/>
                <w:sz w:val="24"/>
              </w:rPr>
            </w:pPr>
            <w:r w:rsidRPr="00661595">
              <w:rPr>
                <w:rFonts w:ascii="Times New Roman" w:hAnsi="Times New Roman"/>
                <w:sz w:val="24"/>
              </w:rPr>
              <w:t>Instructions</w:t>
            </w:r>
          </w:p>
        </w:tc>
      </w:tr>
      <w:tr w:rsidR="008151A6" w:rsidRPr="00661595" w:rsidTr="00664874">
        <w:tc>
          <w:tcPr>
            <w:tcW w:w="1129" w:type="dxa"/>
          </w:tcPr>
          <w:p w:rsidR="008151A6" w:rsidRPr="00661595" w:rsidRDefault="008151A6" w:rsidP="00664874">
            <w:pPr>
              <w:rPr>
                <w:rFonts w:ascii="Times New Roman" w:hAnsi="Times New Roman"/>
                <w:sz w:val="24"/>
              </w:rPr>
            </w:pPr>
            <w:r w:rsidRPr="00661595">
              <w:rPr>
                <w:rFonts w:ascii="Times New Roman" w:hAnsi="Times New Roman"/>
                <w:sz w:val="24"/>
              </w:rPr>
              <w:t>0010-0120</w:t>
            </w:r>
          </w:p>
        </w:tc>
        <w:tc>
          <w:tcPr>
            <w:tcW w:w="8931" w:type="dxa"/>
          </w:tcPr>
          <w:p w:rsidR="008151A6" w:rsidRPr="00661595" w:rsidRDefault="008151A6" w:rsidP="0044539D">
            <w:pPr>
              <w:rPr>
                <w:rFonts w:ascii="Times New Roman" w:hAnsi="Times New Roman"/>
                <w:sz w:val="24"/>
              </w:rPr>
            </w:pPr>
            <w:r w:rsidRPr="00661595">
              <w:rPr>
                <w:rFonts w:ascii="Times New Roman" w:hAnsi="Times New Roman"/>
                <w:sz w:val="24"/>
              </w:rPr>
              <w:t xml:space="preserve">Exposures shall be allocated to the appropriate category and maturity </w:t>
            </w:r>
            <w:r w:rsidR="00EA1F5A" w:rsidRPr="00661595">
              <w:rPr>
                <w:rStyle w:val="InstructionsTabelleText"/>
                <w:rFonts w:ascii="Times New Roman" w:hAnsi="Times New Roman"/>
                <w:sz w:val="24"/>
              </w:rPr>
              <w:t>in accordance with</w:t>
            </w:r>
            <w:r w:rsidRPr="00661595">
              <w:rPr>
                <w:rFonts w:ascii="Times New Roman" w:hAnsi="Times New Roman"/>
                <w:sz w:val="24"/>
              </w:rPr>
              <w:t xml:space="preserve"> table 1 of Article 153</w:t>
            </w:r>
            <w:r w:rsidR="0044539D" w:rsidRPr="00661595">
              <w:rPr>
                <w:rFonts w:ascii="Times New Roman" w:hAnsi="Times New Roman"/>
                <w:sz w:val="24"/>
              </w:rPr>
              <w:t>(5)</w:t>
            </w:r>
            <w:r w:rsidRPr="00661595">
              <w:rPr>
                <w:rFonts w:ascii="Times New Roman" w:hAnsi="Times New Roman"/>
                <w:sz w:val="24"/>
              </w:rPr>
              <w:t xml:space="preserve"> CRR.</w:t>
            </w:r>
          </w:p>
        </w:tc>
      </w:tr>
    </w:tbl>
    <w:p w:rsidR="008151A6" w:rsidRPr="00661595" w:rsidRDefault="008151A6" w:rsidP="007D633B">
      <w:pPr>
        <w:pStyle w:val="body"/>
      </w:pPr>
    </w:p>
    <w:p w:rsidR="008151A6" w:rsidRPr="00661595" w:rsidRDefault="008151A6" w:rsidP="00F66371">
      <w:pPr>
        <w:pStyle w:val="Instructionsberschrift2"/>
        <w:numPr>
          <w:ilvl w:val="2"/>
          <w:numId w:val="36"/>
        </w:numPr>
        <w:rPr>
          <w:rFonts w:ascii="Times New Roman" w:hAnsi="Times New Roman" w:cs="Times New Roman"/>
          <w:sz w:val="24"/>
          <w:lang w:val="en-GB"/>
        </w:rPr>
      </w:pPr>
      <w:bookmarkStart w:id="352" w:name="_Toc57831566"/>
      <w:r w:rsidRPr="00661595">
        <w:rPr>
          <w:rFonts w:ascii="Times New Roman" w:hAnsi="Times New Roman" w:cs="Times New Roman"/>
          <w:sz w:val="24"/>
          <w:lang w:val="en-GB"/>
        </w:rPr>
        <w:t xml:space="preserve">C 08.07 - Credit </w:t>
      </w:r>
      <w:r w:rsidR="00626A88" w:rsidRPr="00661595">
        <w:rPr>
          <w:rFonts w:ascii="Times New Roman" w:hAnsi="Times New Roman" w:cs="Times New Roman"/>
          <w:sz w:val="24"/>
          <w:lang w:val="en-GB"/>
        </w:rPr>
        <w:t>risk</w:t>
      </w:r>
      <w:r w:rsidRPr="00661595">
        <w:rPr>
          <w:rFonts w:ascii="Times New Roman" w:hAnsi="Times New Roman" w:cs="Times New Roman"/>
          <w:sz w:val="24"/>
          <w:lang w:val="en-GB"/>
        </w:rPr>
        <w:t xml:space="preserve"> and free deliveries: IRB </w:t>
      </w:r>
      <w:r w:rsidR="009A4399" w:rsidRPr="00661595">
        <w:rPr>
          <w:rFonts w:ascii="Times New Roman" w:hAnsi="Times New Roman" w:cs="Times New Roman"/>
          <w:sz w:val="24"/>
          <w:lang w:val="en-GB"/>
        </w:rPr>
        <w:t>a</w:t>
      </w:r>
      <w:r w:rsidRPr="00661595">
        <w:rPr>
          <w:rFonts w:ascii="Times New Roman" w:hAnsi="Times New Roman" w:cs="Times New Roman"/>
          <w:sz w:val="24"/>
          <w:lang w:val="en-GB"/>
        </w:rPr>
        <w:t>pproach to Capital Requirements (Scope of use of IRB and SA approaches (CR IRB 7))</w:t>
      </w:r>
      <w:bookmarkEnd w:id="351"/>
      <w:bookmarkEnd w:id="352"/>
    </w:p>
    <w:p w:rsidR="008151A6" w:rsidRPr="00661595" w:rsidRDefault="008151A6" w:rsidP="00F66371">
      <w:pPr>
        <w:pStyle w:val="Instructionsberschrift2"/>
        <w:numPr>
          <w:ilvl w:val="3"/>
          <w:numId w:val="36"/>
        </w:numPr>
        <w:ind w:left="709"/>
        <w:rPr>
          <w:rFonts w:ascii="Times New Roman" w:hAnsi="Times New Roman" w:cs="Times New Roman"/>
          <w:sz w:val="24"/>
          <w:lang w:val="en-GB"/>
        </w:rPr>
      </w:pPr>
      <w:bookmarkStart w:id="353" w:name="_Toc19715770"/>
      <w:bookmarkStart w:id="354" w:name="_Toc57831567"/>
      <w:r w:rsidRPr="00661595">
        <w:rPr>
          <w:rFonts w:ascii="Times New Roman" w:hAnsi="Times New Roman" w:cs="Times New Roman"/>
          <w:sz w:val="24"/>
          <w:lang w:val="en-GB"/>
        </w:rPr>
        <w:t>General remarks</w:t>
      </w:r>
      <w:bookmarkEnd w:id="353"/>
      <w:bookmarkEnd w:id="354"/>
    </w:p>
    <w:p w:rsidR="008151A6" w:rsidRPr="00661595" w:rsidRDefault="00D11E4C" w:rsidP="00487A02">
      <w:pPr>
        <w:pStyle w:val="InstructionsText2"/>
        <w:numPr>
          <w:ilvl w:val="0"/>
          <w:numId w:val="0"/>
        </w:numPr>
        <w:ind w:left="1353" w:hanging="360"/>
      </w:pPr>
      <w:fldSimple w:instr=" seq paragraphs ">
        <w:r w:rsidR="00771068">
          <w:rPr>
            <w:noProof/>
          </w:rPr>
          <w:t>83</w:t>
        </w:r>
      </w:fldSimple>
      <w:r w:rsidR="008151A6" w:rsidRPr="00661595">
        <w:t xml:space="preserve">. For the purpose of this template, institutions </w:t>
      </w:r>
      <w:r w:rsidR="001A370B" w:rsidRPr="00661595">
        <w:t xml:space="preserve">calculating the risk-weighted exposure amounts under the IRB approach to credit risk </w:t>
      </w:r>
      <w:r w:rsidR="008151A6" w:rsidRPr="00661595">
        <w:t xml:space="preserve">shall allocate their exposures </w:t>
      </w:r>
      <w:r w:rsidR="001D6D7C" w:rsidRPr="00661595">
        <w:t xml:space="preserve">subject to Standardised </w:t>
      </w:r>
      <w:r w:rsidR="003D14AE" w:rsidRPr="00661595">
        <w:t>a</w:t>
      </w:r>
      <w:r w:rsidR="001D6D7C" w:rsidRPr="00661595">
        <w:t>pproach laid down in Chapter 2 of Title II of Part Three</w:t>
      </w:r>
      <w:r w:rsidR="00712DE1" w:rsidRPr="00661595">
        <w:t xml:space="preserve"> CRR</w:t>
      </w:r>
      <w:r w:rsidR="001D6D7C" w:rsidRPr="00661595">
        <w:t xml:space="preserve"> or to the IRB </w:t>
      </w:r>
      <w:r w:rsidR="003D14AE" w:rsidRPr="00661595">
        <w:t>a</w:t>
      </w:r>
      <w:r w:rsidR="001D6D7C" w:rsidRPr="00661595">
        <w:t>pproach laid down in Chapter 3 of Title II of Part Three</w:t>
      </w:r>
      <w:r w:rsidR="00712DE1" w:rsidRPr="00661595">
        <w:t xml:space="preserve"> CRR</w:t>
      </w:r>
      <w:r w:rsidR="001D6D7C" w:rsidRPr="00661595">
        <w:t>, as well as the part of each exposure class subject to a roll-out plan</w:t>
      </w:r>
      <w:r w:rsidR="008151A6" w:rsidRPr="00661595">
        <w:t>. Institutions shall include the information in this template by exposure classes, in accordance with the breakdown of exposure classes included in the rows of the template.</w:t>
      </w:r>
    </w:p>
    <w:p w:rsidR="008151A6" w:rsidRPr="00661595" w:rsidRDefault="00D11E4C" w:rsidP="00487A02">
      <w:pPr>
        <w:pStyle w:val="InstructionsText2"/>
        <w:numPr>
          <w:ilvl w:val="0"/>
          <w:numId w:val="0"/>
        </w:numPr>
        <w:ind w:left="1353" w:hanging="360"/>
      </w:pPr>
      <w:fldSimple w:instr=" seq paragraphs ">
        <w:r w:rsidR="00771068">
          <w:rPr>
            <w:noProof/>
          </w:rPr>
          <w:t>84</w:t>
        </w:r>
      </w:fldSimple>
      <w:r w:rsidR="008151A6" w:rsidRPr="00661595">
        <w:t>. Columns 0020 to 0040 should cover the full spectrum of exposures, so the sum of each row for those three columns should be 100%</w:t>
      </w:r>
      <w:r w:rsidR="00257BF5" w:rsidRPr="00257BF5">
        <w:t xml:space="preserve"> </w:t>
      </w:r>
      <w:r w:rsidR="00257BF5">
        <w:t>of all exposure classes ex</w:t>
      </w:r>
      <w:r w:rsidR="00230536">
        <w:t>c</w:t>
      </w:r>
      <w:r w:rsidR="00257BF5">
        <w:t>ept of securitisation positions and deducted positions</w:t>
      </w:r>
      <w:r w:rsidR="008151A6" w:rsidRPr="00661595">
        <w:t>.</w:t>
      </w:r>
    </w:p>
    <w:p w:rsidR="008151A6" w:rsidRPr="00661595" w:rsidRDefault="008151A6" w:rsidP="00F66371">
      <w:pPr>
        <w:pStyle w:val="Instructionsberschrift2"/>
        <w:numPr>
          <w:ilvl w:val="3"/>
          <w:numId w:val="36"/>
        </w:numPr>
        <w:ind w:left="709"/>
        <w:rPr>
          <w:rFonts w:ascii="Times New Roman" w:hAnsi="Times New Roman" w:cs="Times New Roman"/>
          <w:sz w:val="24"/>
          <w:lang w:val="en-GB"/>
        </w:rPr>
      </w:pPr>
      <w:bookmarkStart w:id="355" w:name="_Toc19715771"/>
      <w:bookmarkStart w:id="356" w:name="_Toc57831568"/>
      <w:r w:rsidRPr="00661595">
        <w:rPr>
          <w:rFonts w:ascii="Times New Roman" w:hAnsi="Times New Roman" w:cs="Times New Roman"/>
          <w:sz w:val="24"/>
          <w:lang w:val="en-GB"/>
        </w:rPr>
        <w:t>Instructions concerning specific positions</w:t>
      </w:r>
      <w:bookmarkEnd w:id="355"/>
      <w:bookmarkEnd w:id="356"/>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8843"/>
      </w:tblGrid>
      <w:tr w:rsidR="008151A6" w:rsidRPr="00661595" w:rsidTr="00664874">
        <w:tc>
          <w:tcPr>
            <w:tcW w:w="1188" w:type="dxa"/>
            <w:shd w:val="clear" w:color="auto" w:fill="CCCCCC"/>
          </w:tcPr>
          <w:p w:rsidR="008151A6" w:rsidRPr="00661595" w:rsidRDefault="008151A6" w:rsidP="00664874">
            <w:pPr>
              <w:rPr>
                <w:rFonts w:ascii="Times New Roman" w:hAnsi="Times New Roman"/>
                <w:sz w:val="24"/>
              </w:rPr>
            </w:pPr>
            <w:r w:rsidRPr="00661595">
              <w:rPr>
                <w:rFonts w:ascii="Times New Roman" w:hAnsi="Times New Roman"/>
                <w:sz w:val="24"/>
              </w:rPr>
              <w:t>Columns</w:t>
            </w:r>
          </w:p>
        </w:tc>
        <w:tc>
          <w:tcPr>
            <w:tcW w:w="8843" w:type="dxa"/>
            <w:shd w:val="clear" w:color="auto" w:fill="CCCCCC"/>
          </w:tcPr>
          <w:p w:rsidR="008151A6" w:rsidRPr="00661595" w:rsidRDefault="008151A6" w:rsidP="00664874">
            <w:pPr>
              <w:rPr>
                <w:rFonts w:ascii="Times New Roman" w:hAnsi="Times New Roman"/>
                <w:sz w:val="24"/>
              </w:rPr>
            </w:pPr>
            <w:r w:rsidRPr="00661595">
              <w:rPr>
                <w:rFonts w:ascii="Times New Roman" w:hAnsi="Times New Roman"/>
                <w:sz w:val="24"/>
              </w:rPr>
              <w:t>Instructions</w:t>
            </w:r>
          </w:p>
        </w:tc>
      </w:tr>
      <w:tr w:rsidR="00EE6F6C" w:rsidRPr="00661595" w:rsidTr="00664874">
        <w:tc>
          <w:tcPr>
            <w:tcW w:w="1188" w:type="dxa"/>
            <w:tcBorders>
              <w:top w:val="single" w:sz="4" w:space="0" w:color="auto"/>
              <w:left w:val="single" w:sz="4" w:space="0" w:color="auto"/>
              <w:bottom w:val="single" w:sz="4" w:space="0" w:color="auto"/>
              <w:right w:val="single" w:sz="4" w:space="0" w:color="auto"/>
            </w:tcBorders>
            <w:shd w:val="clear" w:color="auto" w:fill="auto"/>
          </w:tcPr>
          <w:p w:rsidR="00EE6F6C" w:rsidRPr="00661595" w:rsidRDefault="00EE6F6C" w:rsidP="00664874">
            <w:pPr>
              <w:rPr>
                <w:rStyle w:val="InstructionsTabelleText"/>
                <w:rFonts w:ascii="Times New Roman" w:hAnsi="Times New Roman"/>
                <w:sz w:val="24"/>
              </w:rPr>
            </w:pPr>
            <w:r w:rsidRPr="00661595">
              <w:rPr>
                <w:rStyle w:val="InstructionsTabelleText"/>
                <w:rFonts w:ascii="Times New Roman" w:hAnsi="Times New Roman"/>
                <w:sz w:val="24"/>
              </w:rPr>
              <w:t>0010</w:t>
            </w:r>
          </w:p>
        </w:tc>
        <w:tc>
          <w:tcPr>
            <w:tcW w:w="8843" w:type="dxa"/>
            <w:tcBorders>
              <w:top w:val="single" w:sz="4" w:space="0" w:color="auto"/>
              <w:left w:val="single" w:sz="4" w:space="0" w:color="auto"/>
              <w:bottom w:val="single" w:sz="4" w:space="0" w:color="auto"/>
              <w:right w:val="single" w:sz="4" w:space="0" w:color="auto"/>
            </w:tcBorders>
            <w:shd w:val="clear" w:color="auto" w:fill="auto"/>
          </w:tcPr>
          <w:p w:rsidR="00EE6F6C" w:rsidRPr="00393FF2" w:rsidRDefault="00EE6F6C" w:rsidP="00EE6F6C">
            <w:pPr>
              <w:rPr>
                <w:rFonts w:ascii="Times New Roman" w:hAnsi="Times New Roman"/>
                <w:b/>
                <w:sz w:val="24"/>
                <w:u w:val="single"/>
              </w:rPr>
            </w:pPr>
            <w:r w:rsidRPr="00393FF2">
              <w:rPr>
                <w:rFonts w:ascii="Times New Roman" w:hAnsi="Times New Roman"/>
                <w:b/>
                <w:sz w:val="24"/>
                <w:u w:val="single"/>
              </w:rPr>
              <w:t>TOTAL EXPOSURE VALUE AS DEFINED IN ART 166 CRR</w:t>
            </w:r>
          </w:p>
          <w:p w:rsidR="00EE6F6C" w:rsidRPr="00661595" w:rsidRDefault="00EE6F6C" w:rsidP="00840A22">
            <w:pPr>
              <w:rPr>
                <w:rFonts w:ascii="Times New Roman" w:hAnsi="Times New Roman"/>
                <w:b/>
                <w:sz w:val="24"/>
              </w:rPr>
            </w:pPr>
            <w:r w:rsidRPr="00661595">
              <w:rPr>
                <w:rFonts w:ascii="Times New Roman" w:hAnsi="Times New Roman"/>
                <w:spacing w:val="-2"/>
                <w:sz w:val="24"/>
              </w:rPr>
              <w:t>I</w:t>
            </w:r>
            <w:r w:rsidRPr="00661595">
              <w:rPr>
                <w:rFonts w:ascii="Times New Roman" w:hAnsi="Times New Roman"/>
                <w:sz w:val="24"/>
              </w:rPr>
              <w:t>nst</w:t>
            </w:r>
            <w:r w:rsidRPr="00661595">
              <w:rPr>
                <w:rFonts w:ascii="Times New Roman" w:hAnsi="Times New Roman"/>
                <w:spacing w:val="-2"/>
                <w:sz w:val="24"/>
              </w:rPr>
              <w:t>it</w:t>
            </w:r>
            <w:r w:rsidRPr="00661595">
              <w:rPr>
                <w:rFonts w:ascii="Times New Roman" w:hAnsi="Times New Roman"/>
                <w:sz w:val="24"/>
              </w:rPr>
              <w:t>utions</w:t>
            </w:r>
            <w:r w:rsidRPr="00661595">
              <w:rPr>
                <w:rFonts w:ascii="Times New Roman" w:hAnsi="Times New Roman"/>
                <w:spacing w:val="28"/>
                <w:sz w:val="24"/>
              </w:rPr>
              <w:t xml:space="preserve"> </w:t>
            </w:r>
            <w:r w:rsidRPr="00661595">
              <w:rPr>
                <w:rFonts w:ascii="Times New Roman" w:hAnsi="Times New Roman"/>
                <w:sz w:val="24"/>
              </w:rPr>
              <w:t>shall</w:t>
            </w:r>
            <w:r w:rsidRPr="00661595">
              <w:rPr>
                <w:rFonts w:ascii="Times New Roman" w:hAnsi="Times New Roman"/>
                <w:spacing w:val="28"/>
                <w:sz w:val="24"/>
              </w:rPr>
              <w:t xml:space="preserve"> </w:t>
            </w:r>
            <w:r w:rsidRPr="00661595">
              <w:rPr>
                <w:rFonts w:ascii="Times New Roman" w:hAnsi="Times New Roman"/>
                <w:sz w:val="24"/>
              </w:rPr>
              <w:t>use</w:t>
            </w:r>
            <w:r w:rsidRPr="00661595">
              <w:rPr>
                <w:rFonts w:ascii="Times New Roman" w:hAnsi="Times New Roman"/>
                <w:spacing w:val="27"/>
                <w:sz w:val="24"/>
              </w:rPr>
              <w:t xml:space="preserve"> </w:t>
            </w:r>
            <w:r w:rsidRPr="00661595">
              <w:rPr>
                <w:rFonts w:ascii="Times New Roman" w:hAnsi="Times New Roman"/>
                <w:sz w:val="24"/>
              </w:rPr>
              <w:t>the</w:t>
            </w:r>
            <w:r w:rsidRPr="00661595">
              <w:rPr>
                <w:rFonts w:ascii="Times New Roman" w:hAnsi="Times New Roman"/>
                <w:spacing w:val="28"/>
                <w:sz w:val="24"/>
              </w:rPr>
              <w:t xml:space="preserve"> </w:t>
            </w:r>
            <w:r w:rsidRPr="00661595">
              <w:rPr>
                <w:rFonts w:ascii="Times New Roman" w:hAnsi="Times New Roman"/>
                <w:spacing w:val="-4"/>
                <w:sz w:val="24"/>
              </w:rPr>
              <w:t>e</w:t>
            </w:r>
            <w:r w:rsidRPr="00661595">
              <w:rPr>
                <w:rFonts w:ascii="Times New Roman" w:hAnsi="Times New Roman"/>
                <w:spacing w:val="2"/>
                <w:sz w:val="24"/>
              </w:rPr>
              <w:t>x</w:t>
            </w:r>
            <w:r w:rsidRPr="00661595">
              <w:rPr>
                <w:rFonts w:ascii="Times New Roman" w:hAnsi="Times New Roman"/>
                <w:spacing w:val="-3"/>
                <w:sz w:val="24"/>
              </w:rPr>
              <w:t>p</w:t>
            </w:r>
            <w:r w:rsidRPr="00661595">
              <w:rPr>
                <w:rFonts w:ascii="Times New Roman" w:hAnsi="Times New Roman"/>
                <w:sz w:val="24"/>
              </w:rPr>
              <w:t>osure</w:t>
            </w:r>
            <w:r w:rsidRPr="00661595">
              <w:rPr>
                <w:rFonts w:ascii="Times New Roman" w:hAnsi="Times New Roman"/>
                <w:spacing w:val="27"/>
                <w:sz w:val="24"/>
              </w:rPr>
              <w:t xml:space="preserve"> </w:t>
            </w:r>
            <w:r w:rsidRPr="00661595">
              <w:rPr>
                <w:rFonts w:ascii="Times New Roman" w:hAnsi="Times New Roman"/>
                <w:sz w:val="24"/>
              </w:rPr>
              <w:t>v</w:t>
            </w:r>
            <w:r w:rsidRPr="00661595">
              <w:rPr>
                <w:rFonts w:ascii="Times New Roman" w:hAnsi="Times New Roman"/>
                <w:spacing w:val="-1"/>
                <w:sz w:val="24"/>
              </w:rPr>
              <w:t>a</w:t>
            </w:r>
            <w:r w:rsidRPr="00661595">
              <w:rPr>
                <w:rFonts w:ascii="Times New Roman" w:hAnsi="Times New Roman"/>
                <w:sz w:val="24"/>
              </w:rPr>
              <w:t>lue before CRM</w:t>
            </w:r>
            <w:r w:rsidRPr="00661595">
              <w:rPr>
                <w:rFonts w:ascii="Times New Roman" w:hAnsi="Times New Roman"/>
                <w:spacing w:val="28"/>
                <w:sz w:val="24"/>
              </w:rPr>
              <w:t xml:space="preserve"> </w:t>
            </w:r>
            <w:r w:rsidRPr="00661595">
              <w:rPr>
                <w:rFonts w:ascii="Times New Roman" w:hAnsi="Times New Roman"/>
                <w:spacing w:val="-4"/>
                <w:sz w:val="24"/>
              </w:rPr>
              <w:t xml:space="preserve">in accordance with Article </w:t>
            </w:r>
            <w:r w:rsidR="00E03E93">
              <w:rPr>
                <w:rFonts w:ascii="Times New Roman" w:hAnsi="Times New Roman"/>
                <w:spacing w:val="-4"/>
                <w:sz w:val="24"/>
              </w:rPr>
              <w:t>166</w:t>
            </w:r>
            <w:r w:rsidRPr="00661595">
              <w:rPr>
                <w:rFonts w:ascii="Times New Roman" w:hAnsi="Times New Roman"/>
                <w:spacing w:val="-4"/>
                <w:sz w:val="24"/>
              </w:rPr>
              <w:t xml:space="preserve"> CRR.</w:t>
            </w:r>
          </w:p>
        </w:tc>
      </w:tr>
      <w:tr w:rsidR="008151A6" w:rsidRPr="00661595" w:rsidTr="00664874">
        <w:tc>
          <w:tcPr>
            <w:tcW w:w="1188" w:type="dxa"/>
            <w:tcBorders>
              <w:top w:val="single" w:sz="4" w:space="0" w:color="auto"/>
              <w:left w:val="single" w:sz="4" w:space="0" w:color="auto"/>
              <w:bottom w:val="single" w:sz="4" w:space="0" w:color="auto"/>
              <w:right w:val="single" w:sz="4" w:space="0" w:color="auto"/>
            </w:tcBorders>
            <w:shd w:val="clear" w:color="auto" w:fill="auto"/>
          </w:tcPr>
          <w:p w:rsidR="008151A6" w:rsidRPr="00661595" w:rsidRDefault="008151A6" w:rsidP="00EE6F6C">
            <w:pPr>
              <w:rPr>
                <w:rStyle w:val="InstructionsTabelleText"/>
                <w:rFonts w:ascii="Times New Roman" w:hAnsi="Times New Roman"/>
                <w:sz w:val="24"/>
              </w:rPr>
            </w:pPr>
            <w:r w:rsidRPr="00661595">
              <w:rPr>
                <w:rStyle w:val="InstructionsTabelleText"/>
                <w:rFonts w:ascii="Times New Roman" w:hAnsi="Times New Roman"/>
                <w:sz w:val="24"/>
              </w:rPr>
              <w:t>00</w:t>
            </w:r>
            <w:r w:rsidR="00EE6F6C" w:rsidRPr="00661595">
              <w:rPr>
                <w:rStyle w:val="InstructionsTabelleText"/>
                <w:rFonts w:ascii="Times New Roman" w:hAnsi="Times New Roman"/>
                <w:sz w:val="24"/>
              </w:rPr>
              <w:t>2</w:t>
            </w:r>
            <w:r w:rsidRPr="00661595">
              <w:rPr>
                <w:rStyle w:val="InstructionsTabelleText"/>
                <w:rFonts w:ascii="Times New Roman" w:hAnsi="Times New Roman"/>
                <w:sz w:val="24"/>
              </w:rPr>
              <w:t>0</w:t>
            </w:r>
          </w:p>
        </w:tc>
        <w:tc>
          <w:tcPr>
            <w:tcW w:w="8843" w:type="dxa"/>
            <w:tcBorders>
              <w:top w:val="single" w:sz="4" w:space="0" w:color="auto"/>
              <w:left w:val="single" w:sz="4" w:space="0" w:color="auto"/>
              <w:bottom w:val="single" w:sz="4" w:space="0" w:color="auto"/>
              <w:right w:val="single" w:sz="4" w:space="0" w:color="auto"/>
            </w:tcBorders>
            <w:shd w:val="clear" w:color="auto" w:fill="auto"/>
          </w:tcPr>
          <w:p w:rsidR="008151A6" w:rsidRPr="00393FF2" w:rsidRDefault="008151A6" w:rsidP="00664874">
            <w:pPr>
              <w:rPr>
                <w:rFonts w:ascii="Times New Roman" w:hAnsi="Times New Roman"/>
                <w:b/>
                <w:sz w:val="24"/>
                <w:u w:val="single"/>
              </w:rPr>
            </w:pPr>
            <w:r w:rsidRPr="00393FF2">
              <w:rPr>
                <w:rFonts w:ascii="Times New Roman" w:hAnsi="Times New Roman"/>
                <w:b/>
                <w:sz w:val="24"/>
                <w:u w:val="single"/>
              </w:rPr>
              <w:t>TOTAL EXPOSURE VALUE</w:t>
            </w:r>
            <w:r w:rsidR="00EE6F6C" w:rsidRPr="00393FF2">
              <w:rPr>
                <w:rFonts w:ascii="Times New Roman" w:hAnsi="Times New Roman"/>
                <w:b/>
                <w:sz w:val="24"/>
                <w:u w:val="single"/>
              </w:rPr>
              <w:t xml:space="preserve"> SUBJECT TO SA AND IRB</w:t>
            </w:r>
          </w:p>
          <w:p w:rsidR="008151A6" w:rsidRPr="00661595" w:rsidRDefault="008151A6" w:rsidP="00EE6F6C">
            <w:pPr>
              <w:rPr>
                <w:rFonts w:ascii="Times New Roman" w:hAnsi="Times New Roman"/>
                <w:sz w:val="24"/>
              </w:rPr>
            </w:pPr>
            <w:r w:rsidRPr="00661595">
              <w:rPr>
                <w:rFonts w:ascii="Times New Roman" w:hAnsi="Times New Roman"/>
                <w:spacing w:val="-2"/>
                <w:sz w:val="24"/>
              </w:rPr>
              <w:t>I</w:t>
            </w:r>
            <w:r w:rsidRPr="00661595">
              <w:rPr>
                <w:rFonts w:ascii="Times New Roman" w:hAnsi="Times New Roman"/>
                <w:sz w:val="24"/>
              </w:rPr>
              <w:t>nst</w:t>
            </w:r>
            <w:r w:rsidRPr="00661595">
              <w:rPr>
                <w:rFonts w:ascii="Times New Roman" w:hAnsi="Times New Roman"/>
                <w:spacing w:val="-2"/>
                <w:sz w:val="24"/>
              </w:rPr>
              <w:t>it</w:t>
            </w:r>
            <w:r w:rsidRPr="00661595">
              <w:rPr>
                <w:rFonts w:ascii="Times New Roman" w:hAnsi="Times New Roman"/>
                <w:sz w:val="24"/>
              </w:rPr>
              <w:t>utions</w:t>
            </w:r>
            <w:r w:rsidRPr="00661595">
              <w:rPr>
                <w:rFonts w:ascii="Times New Roman" w:hAnsi="Times New Roman"/>
                <w:spacing w:val="28"/>
                <w:sz w:val="24"/>
              </w:rPr>
              <w:t xml:space="preserve"> </w:t>
            </w:r>
            <w:r w:rsidRPr="00661595">
              <w:rPr>
                <w:rFonts w:ascii="Times New Roman" w:hAnsi="Times New Roman"/>
                <w:sz w:val="24"/>
              </w:rPr>
              <w:t>shall</w:t>
            </w:r>
            <w:r w:rsidRPr="00661595">
              <w:rPr>
                <w:rFonts w:ascii="Times New Roman" w:hAnsi="Times New Roman"/>
                <w:spacing w:val="28"/>
                <w:sz w:val="24"/>
              </w:rPr>
              <w:t xml:space="preserve"> </w:t>
            </w:r>
            <w:r w:rsidRPr="00661595">
              <w:rPr>
                <w:rFonts w:ascii="Times New Roman" w:hAnsi="Times New Roman"/>
                <w:sz w:val="24"/>
              </w:rPr>
              <w:t>use</w:t>
            </w:r>
            <w:r w:rsidRPr="00661595">
              <w:rPr>
                <w:rFonts w:ascii="Times New Roman" w:hAnsi="Times New Roman"/>
                <w:spacing w:val="27"/>
                <w:sz w:val="24"/>
              </w:rPr>
              <w:t xml:space="preserve"> </w:t>
            </w:r>
            <w:r w:rsidRPr="00661595">
              <w:rPr>
                <w:rFonts w:ascii="Times New Roman" w:hAnsi="Times New Roman"/>
                <w:sz w:val="24"/>
              </w:rPr>
              <w:t>the</w:t>
            </w:r>
            <w:r w:rsidRPr="00661595">
              <w:rPr>
                <w:rFonts w:ascii="Times New Roman" w:hAnsi="Times New Roman"/>
                <w:spacing w:val="28"/>
                <w:sz w:val="24"/>
              </w:rPr>
              <w:t xml:space="preserve"> </w:t>
            </w:r>
            <w:r w:rsidRPr="00661595">
              <w:rPr>
                <w:rFonts w:ascii="Times New Roman" w:hAnsi="Times New Roman"/>
                <w:spacing w:val="-4"/>
                <w:sz w:val="24"/>
              </w:rPr>
              <w:t>e</w:t>
            </w:r>
            <w:r w:rsidRPr="00661595">
              <w:rPr>
                <w:rFonts w:ascii="Times New Roman" w:hAnsi="Times New Roman"/>
                <w:spacing w:val="2"/>
                <w:sz w:val="24"/>
              </w:rPr>
              <w:t>x</w:t>
            </w:r>
            <w:r w:rsidRPr="00661595">
              <w:rPr>
                <w:rFonts w:ascii="Times New Roman" w:hAnsi="Times New Roman"/>
                <w:spacing w:val="-3"/>
                <w:sz w:val="24"/>
              </w:rPr>
              <w:t>p</w:t>
            </w:r>
            <w:r w:rsidRPr="00661595">
              <w:rPr>
                <w:rFonts w:ascii="Times New Roman" w:hAnsi="Times New Roman"/>
                <w:sz w:val="24"/>
              </w:rPr>
              <w:t>osure</w:t>
            </w:r>
            <w:r w:rsidRPr="00661595">
              <w:rPr>
                <w:rFonts w:ascii="Times New Roman" w:hAnsi="Times New Roman"/>
                <w:spacing w:val="27"/>
                <w:sz w:val="24"/>
              </w:rPr>
              <w:t xml:space="preserve"> </w:t>
            </w:r>
            <w:r w:rsidRPr="00661595">
              <w:rPr>
                <w:rFonts w:ascii="Times New Roman" w:hAnsi="Times New Roman"/>
                <w:sz w:val="24"/>
              </w:rPr>
              <w:t>v</w:t>
            </w:r>
            <w:r w:rsidRPr="00661595">
              <w:rPr>
                <w:rFonts w:ascii="Times New Roman" w:hAnsi="Times New Roman"/>
                <w:spacing w:val="-1"/>
                <w:sz w:val="24"/>
              </w:rPr>
              <w:t>a</w:t>
            </w:r>
            <w:r w:rsidRPr="00661595">
              <w:rPr>
                <w:rFonts w:ascii="Times New Roman" w:hAnsi="Times New Roman"/>
                <w:sz w:val="24"/>
              </w:rPr>
              <w:t>lue before CRM</w:t>
            </w:r>
            <w:r w:rsidRPr="00661595">
              <w:rPr>
                <w:rFonts w:ascii="Times New Roman" w:hAnsi="Times New Roman"/>
                <w:spacing w:val="28"/>
                <w:sz w:val="24"/>
              </w:rPr>
              <w:t xml:space="preserve"> </w:t>
            </w:r>
            <w:r w:rsidRPr="00661595">
              <w:rPr>
                <w:rFonts w:ascii="Times New Roman" w:hAnsi="Times New Roman"/>
                <w:spacing w:val="-4"/>
                <w:sz w:val="24"/>
              </w:rPr>
              <w:t>in accordance with Article 429(4) CRR</w:t>
            </w:r>
            <w:r w:rsidR="00EE6F6C" w:rsidRPr="00661595">
              <w:rPr>
                <w:rFonts w:ascii="Times New Roman" w:hAnsi="Times New Roman"/>
                <w:spacing w:val="-4"/>
                <w:sz w:val="24"/>
              </w:rPr>
              <w:t xml:space="preserve"> to report the total exposure value, including both the exposures under the standardized approach and the exposures under the IRB approach.</w:t>
            </w:r>
          </w:p>
        </w:tc>
      </w:tr>
      <w:tr w:rsidR="008151A6" w:rsidRPr="00661595" w:rsidTr="00664874">
        <w:tc>
          <w:tcPr>
            <w:tcW w:w="1188" w:type="dxa"/>
            <w:tcBorders>
              <w:top w:val="single" w:sz="4" w:space="0" w:color="auto"/>
              <w:left w:val="single" w:sz="4" w:space="0" w:color="auto"/>
              <w:bottom w:val="single" w:sz="4" w:space="0" w:color="auto"/>
              <w:right w:val="single" w:sz="4" w:space="0" w:color="auto"/>
            </w:tcBorders>
            <w:shd w:val="clear" w:color="auto" w:fill="auto"/>
          </w:tcPr>
          <w:p w:rsidR="008151A6" w:rsidRPr="00661595" w:rsidRDefault="008151A6" w:rsidP="00EE6F6C">
            <w:pPr>
              <w:rPr>
                <w:rFonts w:ascii="Times New Roman" w:hAnsi="Times New Roman"/>
                <w:sz w:val="24"/>
              </w:rPr>
            </w:pPr>
            <w:r w:rsidRPr="00661595">
              <w:rPr>
                <w:rFonts w:ascii="Times New Roman" w:hAnsi="Times New Roman"/>
                <w:sz w:val="24"/>
              </w:rPr>
              <w:t>00</w:t>
            </w:r>
            <w:r w:rsidR="00EE6F6C" w:rsidRPr="00661595">
              <w:rPr>
                <w:rFonts w:ascii="Times New Roman" w:hAnsi="Times New Roman"/>
                <w:sz w:val="24"/>
              </w:rPr>
              <w:t>3</w:t>
            </w:r>
            <w:r w:rsidRPr="00661595">
              <w:rPr>
                <w:rFonts w:ascii="Times New Roman" w:hAnsi="Times New Roman"/>
                <w:sz w:val="24"/>
              </w:rPr>
              <w:t>0</w:t>
            </w:r>
          </w:p>
        </w:tc>
        <w:tc>
          <w:tcPr>
            <w:tcW w:w="8843" w:type="dxa"/>
            <w:tcBorders>
              <w:top w:val="single" w:sz="4" w:space="0" w:color="auto"/>
              <w:left w:val="single" w:sz="4" w:space="0" w:color="auto"/>
              <w:bottom w:val="single" w:sz="4" w:space="0" w:color="auto"/>
              <w:right w:val="single" w:sz="4" w:space="0" w:color="auto"/>
            </w:tcBorders>
            <w:shd w:val="clear" w:color="auto" w:fill="auto"/>
          </w:tcPr>
          <w:p w:rsidR="008151A6" w:rsidRPr="00393FF2" w:rsidRDefault="008151A6" w:rsidP="00664874">
            <w:pPr>
              <w:rPr>
                <w:rFonts w:ascii="Times New Roman" w:hAnsi="Times New Roman"/>
                <w:b/>
                <w:sz w:val="24"/>
                <w:u w:val="single"/>
              </w:rPr>
            </w:pPr>
            <w:r w:rsidRPr="00393FF2">
              <w:rPr>
                <w:rFonts w:ascii="Times New Roman" w:hAnsi="Times New Roman"/>
                <w:b/>
                <w:sz w:val="24"/>
                <w:u w:val="single"/>
              </w:rPr>
              <w:t>PERCENTAGE OF TOTAL EXPOSURE VALUE SUBJECT TO PERMANENT PARTIAL USE OF SA (%)</w:t>
            </w:r>
          </w:p>
          <w:p w:rsidR="008151A6" w:rsidRPr="00661595" w:rsidRDefault="008151A6" w:rsidP="00EE6F6C">
            <w:pPr>
              <w:rPr>
                <w:rFonts w:ascii="Times New Roman" w:hAnsi="Times New Roman"/>
                <w:sz w:val="24"/>
              </w:rPr>
            </w:pPr>
            <w:r w:rsidRPr="00661595">
              <w:rPr>
                <w:rFonts w:ascii="Times New Roman" w:hAnsi="Times New Roman"/>
                <w:sz w:val="24"/>
              </w:rPr>
              <w:t xml:space="preserve">Part of exposure for each exposure class subject to the Standardised </w:t>
            </w:r>
            <w:r w:rsidR="003D14AE" w:rsidRPr="00661595">
              <w:rPr>
                <w:rFonts w:ascii="Times New Roman" w:hAnsi="Times New Roman"/>
                <w:sz w:val="24"/>
              </w:rPr>
              <w:t>a</w:t>
            </w:r>
            <w:r w:rsidRPr="00661595">
              <w:rPr>
                <w:rFonts w:ascii="Times New Roman" w:hAnsi="Times New Roman"/>
                <w:sz w:val="24"/>
              </w:rPr>
              <w:t xml:space="preserve">pproach (exposure subject to the Standardised </w:t>
            </w:r>
            <w:r w:rsidR="003D14AE" w:rsidRPr="00661595">
              <w:rPr>
                <w:rFonts w:ascii="Times New Roman" w:hAnsi="Times New Roman"/>
                <w:sz w:val="24"/>
              </w:rPr>
              <w:t>a</w:t>
            </w:r>
            <w:r w:rsidRPr="00661595">
              <w:rPr>
                <w:rFonts w:ascii="Times New Roman" w:hAnsi="Times New Roman"/>
                <w:sz w:val="24"/>
              </w:rPr>
              <w:t>pproach before CRM</w:t>
            </w:r>
            <w:r w:rsidRPr="00661595">
              <w:rPr>
                <w:rFonts w:ascii="Times New Roman" w:hAnsi="Times New Roman"/>
                <w:spacing w:val="28"/>
                <w:sz w:val="24"/>
              </w:rPr>
              <w:t xml:space="preserve"> </w:t>
            </w:r>
            <w:r w:rsidRPr="00661595">
              <w:rPr>
                <w:rFonts w:ascii="Times New Roman" w:hAnsi="Times New Roman"/>
                <w:sz w:val="24"/>
              </w:rPr>
              <w:t>over the total exposure in that exposure class</w:t>
            </w:r>
            <w:r w:rsidR="00E71171" w:rsidRPr="00661595">
              <w:rPr>
                <w:rFonts w:ascii="Times New Roman" w:hAnsi="Times New Roman"/>
                <w:sz w:val="24"/>
              </w:rPr>
              <w:t xml:space="preserve"> in column 00</w:t>
            </w:r>
            <w:r w:rsidR="00EE6F6C" w:rsidRPr="00661595">
              <w:rPr>
                <w:rFonts w:ascii="Times New Roman" w:hAnsi="Times New Roman"/>
                <w:sz w:val="24"/>
              </w:rPr>
              <w:t>2</w:t>
            </w:r>
            <w:r w:rsidR="00E71171" w:rsidRPr="00661595">
              <w:rPr>
                <w:rFonts w:ascii="Times New Roman" w:hAnsi="Times New Roman"/>
                <w:sz w:val="24"/>
              </w:rPr>
              <w:t>0</w:t>
            </w:r>
            <w:r w:rsidRPr="00661595">
              <w:rPr>
                <w:rFonts w:ascii="Times New Roman" w:hAnsi="Times New Roman"/>
                <w:sz w:val="24"/>
              </w:rPr>
              <w:t xml:space="preserve">), respecting the scope of permission for permanent partial use of the Standardised </w:t>
            </w:r>
            <w:r w:rsidR="009A4399" w:rsidRPr="00661595">
              <w:rPr>
                <w:rFonts w:ascii="Times New Roman" w:hAnsi="Times New Roman"/>
                <w:sz w:val="24"/>
              </w:rPr>
              <w:t>a</w:t>
            </w:r>
            <w:r w:rsidRPr="00661595">
              <w:rPr>
                <w:rFonts w:ascii="Times New Roman" w:hAnsi="Times New Roman"/>
                <w:sz w:val="24"/>
              </w:rPr>
              <w:t>pproach received from a competent authority in accordance with Article 150</w:t>
            </w:r>
            <w:r w:rsidR="0044539D" w:rsidRPr="00661595">
              <w:rPr>
                <w:rFonts w:ascii="Times New Roman" w:hAnsi="Times New Roman"/>
                <w:sz w:val="24"/>
              </w:rPr>
              <w:t xml:space="preserve"> </w:t>
            </w:r>
            <w:r w:rsidRPr="00661595">
              <w:rPr>
                <w:rFonts w:ascii="Times New Roman" w:hAnsi="Times New Roman"/>
                <w:sz w:val="24"/>
              </w:rPr>
              <w:t>CRR.</w:t>
            </w:r>
          </w:p>
        </w:tc>
      </w:tr>
      <w:tr w:rsidR="008151A6" w:rsidRPr="00661595" w:rsidTr="00664874">
        <w:tc>
          <w:tcPr>
            <w:tcW w:w="1188" w:type="dxa"/>
            <w:tcBorders>
              <w:top w:val="single" w:sz="4" w:space="0" w:color="auto"/>
              <w:left w:val="single" w:sz="4" w:space="0" w:color="auto"/>
              <w:bottom w:val="single" w:sz="4" w:space="0" w:color="auto"/>
              <w:right w:val="single" w:sz="4" w:space="0" w:color="auto"/>
            </w:tcBorders>
            <w:shd w:val="clear" w:color="auto" w:fill="auto"/>
          </w:tcPr>
          <w:p w:rsidR="008151A6" w:rsidRPr="00661595" w:rsidRDefault="008151A6" w:rsidP="00EE6F6C">
            <w:pPr>
              <w:rPr>
                <w:rFonts w:ascii="Times New Roman" w:hAnsi="Times New Roman"/>
                <w:sz w:val="24"/>
              </w:rPr>
            </w:pPr>
            <w:r w:rsidRPr="00661595">
              <w:rPr>
                <w:rFonts w:ascii="Times New Roman" w:hAnsi="Times New Roman"/>
                <w:sz w:val="24"/>
              </w:rPr>
              <w:t>00</w:t>
            </w:r>
            <w:r w:rsidR="00EE6F6C" w:rsidRPr="00661595">
              <w:rPr>
                <w:rFonts w:ascii="Times New Roman" w:hAnsi="Times New Roman"/>
                <w:sz w:val="24"/>
              </w:rPr>
              <w:t>4</w:t>
            </w:r>
            <w:r w:rsidRPr="00661595">
              <w:rPr>
                <w:rFonts w:ascii="Times New Roman" w:hAnsi="Times New Roman"/>
                <w:sz w:val="24"/>
              </w:rPr>
              <w:t>0</w:t>
            </w:r>
          </w:p>
        </w:tc>
        <w:tc>
          <w:tcPr>
            <w:tcW w:w="8843" w:type="dxa"/>
            <w:tcBorders>
              <w:top w:val="single" w:sz="4" w:space="0" w:color="auto"/>
              <w:left w:val="single" w:sz="4" w:space="0" w:color="auto"/>
              <w:bottom w:val="single" w:sz="4" w:space="0" w:color="auto"/>
              <w:right w:val="single" w:sz="4" w:space="0" w:color="auto"/>
            </w:tcBorders>
            <w:shd w:val="clear" w:color="auto" w:fill="auto"/>
          </w:tcPr>
          <w:p w:rsidR="008151A6" w:rsidRPr="00393FF2" w:rsidRDefault="008151A6" w:rsidP="00664874">
            <w:pPr>
              <w:rPr>
                <w:rFonts w:ascii="Times New Roman" w:hAnsi="Times New Roman"/>
                <w:b/>
                <w:sz w:val="24"/>
                <w:u w:val="single"/>
              </w:rPr>
            </w:pPr>
            <w:r w:rsidRPr="00393FF2">
              <w:rPr>
                <w:rFonts w:ascii="Times New Roman" w:hAnsi="Times New Roman"/>
                <w:b/>
                <w:sz w:val="24"/>
                <w:u w:val="single"/>
              </w:rPr>
              <w:t>PERCENTAGE OF TOTAL EXPOSURE VALUE SUBJECT TO A ROLL-OUT PLAN (%)</w:t>
            </w:r>
          </w:p>
          <w:p w:rsidR="008151A6" w:rsidRPr="00661595" w:rsidRDefault="008151A6" w:rsidP="00664874">
            <w:pPr>
              <w:rPr>
                <w:rFonts w:ascii="Times New Roman" w:hAnsi="Times New Roman"/>
                <w:sz w:val="24"/>
              </w:rPr>
            </w:pPr>
            <w:r w:rsidRPr="00661595">
              <w:rPr>
                <w:rFonts w:ascii="Times New Roman" w:hAnsi="Times New Roman"/>
                <w:sz w:val="24"/>
              </w:rPr>
              <w:t>Part of exposure for each exposure class subject to the sequential implementation of IRB appr</w:t>
            </w:r>
            <w:r w:rsidR="0044539D" w:rsidRPr="00661595">
              <w:rPr>
                <w:rFonts w:ascii="Times New Roman" w:hAnsi="Times New Roman"/>
                <w:sz w:val="24"/>
              </w:rPr>
              <w:t xml:space="preserve">oach pursuant to Article 148 </w:t>
            </w:r>
            <w:r w:rsidRPr="00661595">
              <w:rPr>
                <w:rFonts w:ascii="Times New Roman" w:hAnsi="Times New Roman"/>
                <w:sz w:val="24"/>
              </w:rPr>
              <w:t xml:space="preserve">CRR. This shall include: </w:t>
            </w:r>
          </w:p>
          <w:p w:rsidR="008151A6" w:rsidRPr="00661595" w:rsidRDefault="008151A6" w:rsidP="00F66371">
            <w:pPr>
              <w:pStyle w:val="ListParagraph"/>
              <w:numPr>
                <w:ilvl w:val="0"/>
                <w:numId w:val="35"/>
              </w:numPr>
              <w:autoSpaceDE w:val="0"/>
              <w:autoSpaceDN w:val="0"/>
              <w:adjustRightInd w:val="0"/>
              <w:rPr>
                <w:rFonts w:ascii="Times New Roman" w:hAnsi="Times New Roman"/>
                <w:spacing w:val="-2"/>
                <w:sz w:val="24"/>
              </w:rPr>
            </w:pPr>
            <w:r w:rsidRPr="00661595">
              <w:rPr>
                <w:rFonts w:ascii="Times New Roman" w:hAnsi="Times New Roman"/>
                <w:sz w:val="24"/>
              </w:rPr>
              <w:t>both exposures where institutions plan to apply IRB approach with or without their own estimation of LGD and conversion factors (F-IRB and A-IRB);</w:t>
            </w:r>
            <w:r w:rsidRPr="00661595">
              <w:rPr>
                <w:rFonts w:ascii="Times New Roman" w:hAnsi="Times New Roman"/>
                <w:spacing w:val="-2"/>
                <w:sz w:val="24"/>
              </w:rPr>
              <w:t xml:space="preserve"> </w:t>
            </w:r>
          </w:p>
          <w:p w:rsidR="008151A6" w:rsidRPr="00661595" w:rsidRDefault="008151A6" w:rsidP="00F66371">
            <w:pPr>
              <w:pStyle w:val="ListParagraph"/>
              <w:numPr>
                <w:ilvl w:val="0"/>
                <w:numId w:val="35"/>
              </w:numPr>
              <w:autoSpaceDE w:val="0"/>
              <w:autoSpaceDN w:val="0"/>
              <w:adjustRightInd w:val="0"/>
              <w:rPr>
                <w:rFonts w:ascii="Times New Roman" w:hAnsi="Times New Roman"/>
                <w:spacing w:val="-2"/>
                <w:sz w:val="24"/>
              </w:rPr>
            </w:pPr>
            <w:r w:rsidRPr="00661595">
              <w:rPr>
                <w:rFonts w:ascii="Times New Roman" w:hAnsi="Times New Roman"/>
                <w:spacing w:val="-2"/>
                <w:sz w:val="24"/>
              </w:rPr>
              <w:t>immaterial equity exposures not included in columns 0020 or 0040;</w:t>
            </w:r>
          </w:p>
          <w:p w:rsidR="008151A6" w:rsidRPr="00661595" w:rsidRDefault="008151A6" w:rsidP="00F66371">
            <w:pPr>
              <w:pStyle w:val="ListParagraph"/>
              <w:numPr>
                <w:ilvl w:val="0"/>
                <w:numId w:val="35"/>
              </w:numPr>
              <w:autoSpaceDE w:val="0"/>
              <w:autoSpaceDN w:val="0"/>
              <w:adjustRightInd w:val="0"/>
              <w:rPr>
                <w:rFonts w:ascii="Times New Roman" w:hAnsi="Times New Roman"/>
                <w:spacing w:val="-2"/>
                <w:sz w:val="24"/>
              </w:rPr>
            </w:pPr>
            <w:r w:rsidRPr="00661595">
              <w:rPr>
                <w:rFonts w:ascii="Times New Roman" w:hAnsi="Times New Roman"/>
                <w:spacing w:val="-2"/>
                <w:sz w:val="24"/>
              </w:rPr>
              <w:t>exposures already under F-IRB where an institution is planning to apply A-IRB in the future;</w:t>
            </w:r>
            <w:r w:rsidRPr="00661595">
              <w:rPr>
                <w:rFonts w:ascii="Times New Roman" w:hAnsi="Times New Roman"/>
                <w:sz w:val="24"/>
              </w:rPr>
              <w:t xml:space="preserve"> </w:t>
            </w:r>
          </w:p>
          <w:p w:rsidR="008151A6" w:rsidRPr="00661595" w:rsidRDefault="008151A6" w:rsidP="00F66371">
            <w:pPr>
              <w:pStyle w:val="ListParagraph"/>
              <w:numPr>
                <w:ilvl w:val="0"/>
                <w:numId w:val="35"/>
              </w:numPr>
              <w:autoSpaceDE w:val="0"/>
              <w:autoSpaceDN w:val="0"/>
              <w:adjustRightInd w:val="0"/>
              <w:rPr>
                <w:rFonts w:ascii="Times New Roman" w:hAnsi="Times New Roman"/>
                <w:spacing w:val="-2"/>
                <w:sz w:val="24"/>
              </w:rPr>
            </w:pPr>
            <w:r w:rsidRPr="00661595">
              <w:rPr>
                <w:rFonts w:ascii="Times New Roman" w:hAnsi="Times New Roman"/>
                <w:sz w:val="24"/>
              </w:rPr>
              <w:t>specialised lending exposures under the supervisory slotting approach</w:t>
            </w:r>
            <w:r w:rsidR="00C1357C">
              <w:rPr>
                <w:rFonts w:ascii="Times New Roman" w:hAnsi="Times New Roman"/>
                <w:sz w:val="24"/>
              </w:rPr>
              <w:t xml:space="preserve"> not included in column 0040</w:t>
            </w:r>
            <w:r w:rsidRPr="00661595">
              <w:rPr>
                <w:rFonts w:ascii="Times New Roman" w:hAnsi="Times New Roman"/>
                <w:sz w:val="24"/>
              </w:rPr>
              <w:t>.</w:t>
            </w:r>
          </w:p>
        </w:tc>
      </w:tr>
      <w:tr w:rsidR="008151A6" w:rsidRPr="00661595" w:rsidTr="00664874">
        <w:tc>
          <w:tcPr>
            <w:tcW w:w="1188" w:type="dxa"/>
            <w:tcBorders>
              <w:top w:val="single" w:sz="4" w:space="0" w:color="auto"/>
              <w:left w:val="single" w:sz="4" w:space="0" w:color="auto"/>
              <w:bottom w:val="single" w:sz="4" w:space="0" w:color="auto"/>
              <w:right w:val="single" w:sz="4" w:space="0" w:color="auto"/>
            </w:tcBorders>
            <w:shd w:val="clear" w:color="auto" w:fill="auto"/>
          </w:tcPr>
          <w:p w:rsidR="008151A6" w:rsidRPr="00661595" w:rsidRDefault="008151A6" w:rsidP="00EE6F6C">
            <w:pPr>
              <w:rPr>
                <w:rFonts w:ascii="Times New Roman" w:hAnsi="Times New Roman"/>
                <w:sz w:val="24"/>
              </w:rPr>
            </w:pPr>
            <w:r w:rsidRPr="00661595">
              <w:rPr>
                <w:rFonts w:ascii="Times New Roman" w:hAnsi="Times New Roman"/>
                <w:sz w:val="24"/>
              </w:rPr>
              <w:t>00</w:t>
            </w:r>
            <w:r w:rsidR="00EE6F6C" w:rsidRPr="00661595">
              <w:rPr>
                <w:rFonts w:ascii="Times New Roman" w:hAnsi="Times New Roman"/>
                <w:sz w:val="24"/>
              </w:rPr>
              <w:t>5</w:t>
            </w:r>
            <w:r w:rsidRPr="00661595">
              <w:rPr>
                <w:rFonts w:ascii="Times New Roman" w:hAnsi="Times New Roman"/>
                <w:sz w:val="24"/>
              </w:rPr>
              <w:t>0</w:t>
            </w:r>
          </w:p>
        </w:tc>
        <w:tc>
          <w:tcPr>
            <w:tcW w:w="8843" w:type="dxa"/>
            <w:tcBorders>
              <w:top w:val="single" w:sz="4" w:space="0" w:color="auto"/>
              <w:left w:val="single" w:sz="4" w:space="0" w:color="auto"/>
              <w:bottom w:val="single" w:sz="4" w:space="0" w:color="auto"/>
              <w:right w:val="single" w:sz="4" w:space="0" w:color="auto"/>
            </w:tcBorders>
            <w:shd w:val="clear" w:color="auto" w:fill="auto"/>
          </w:tcPr>
          <w:p w:rsidR="008151A6" w:rsidRPr="00393FF2" w:rsidRDefault="008151A6" w:rsidP="00664874">
            <w:pPr>
              <w:rPr>
                <w:rFonts w:ascii="Times New Roman" w:hAnsi="Times New Roman"/>
                <w:b/>
                <w:sz w:val="24"/>
                <w:u w:val="single"/>
              </w:rPr>
            </w:pPr>
            <w:r w:rsidRPr="00393FF2">
              <w:rPr>
                <w:rFonts w:ascii="Times New Roman" w:hAnsi="Times New Roman"/>
                <w:b/>
                <w:sz w:val="24"/>
                <w:u w:val="single"/>
              </w:rPr>
              <w:t>PERCENTAGE OF TOTAL EXPOSURE VALUE SUBJECT TO IRB APPROACH (%)</w:t>
            </w:r>
          </w:p>
          <w:p w:rsidR="008151A6" w:rsidRPr="00661595" w:rsidRDefault="008151A6" w:rsidP="009A4399">
            <w:pPr>
              <w:rPr>
                <w:rFonts w:ascii="Times New Roman" w:hAnsi="Times New Roman"/>
                <w:b/>
                <w:sz w:val="24"/>
              </w:rPr>
            </w:pPr>
            <w:r w:rsidRPr="00661595">
              <w:rPr>
                <w:rFonts w:ascii="Times New Roman" w:hAnsi="Times New Roman"/>
                <w:sz w:val="24"/>
              </w:rPr>
              <w:t>Part of exposure for each exposure class subject to the IRB approach (exposure subject to the IRB approach before CRM over the total exposure in that exposure class), respecting the scope of permission received from a competent authority to use the IRB Approach in</w:t>
            </w:r>
            <w:r w:rsidR="0044539D" w:rsidRPr="00661595">
              <w:rPr>
                <w:rFonts w:ascii="Times New Roman" w:hAnsi="Times New Roman"/>
                <w:sz w:val="24"/>
              </w:rPr>
              <w:t xml:space="preserve"> accordance with Article 143 </w:t>
            </w:r>
            <w:r w:rsidRPr="00661595">
              <w:rPr>
                <w:rFonts w:ascii="Times New Roman" w:hAnsi="Times New Roman"/>
                <w:sz w:val="24"/>
              </w:rPr>
              <w:t>CRR. This shall include both exposures where institutions have the permission to use their own estimation of LGD and conversion factors or not (F-IRB and A-IRB), including supervisory slotting approach for speciali</w:t>
            </w:r>
            <w:r w:rsidR="009A4399" w:rsidRPr="00661595">
              <w:rPr>
                <w:rFonts w:ascii="Times New Roman" w:hAnsi="Times New Roman"/>
                <w:sz w:val="24"/>
              </w:rPr>
              <w:t>s</w:t>
            </w:r>
            <w:r w:rsidRPr="00661595">
              <w:rPr>
                <w:rFonts w:ascii="Times New Roman" w:hAnsi="Times New Roman"/>
                <w:sz w:val="24"/>
              </w:rPr>
              <w:t>ed lending exposures</w:t>
            </w:r>
            <w:r w:rsidRPr="00661595">
              <w:rPr>
                <w:rFonts w:ascii="Times New Roman" w:hAnsi="Times New Roman"/>
                <w:spacing w:val="-2"/>
                <w:sz w:val="24"/>
              </w:rPr>
              <w:t xml:space="preserve"> and equity exposures under the simple risk weight approach</w:t>
            </w:r>
            <w:r w:rsidR="00C1357C">
              <w:rPr>
                <w:rFonts w:ascii="Times New Roman" w:hAnsi="Times New Roman"/>
                <w:spacing w:val="-2"/>
                <w:sz w:val="24"/>
              </w:rPr>
              <w:t xml:space="preserve">, as well as those exposures reported in row 0170 of </w:t>
            </w:r>
            <w:r w:rsidR="002771C5">
              <w:rPr>
                <w:rFonts w:ascii="Times New Roman" w:hAnsi="Times New Roman"/>
                <w:spacing w:val="-2"/>
                <w:sz w:val="24"/>
              </w:rPr>
              <w:t xml:space="preserve">template </w:t>
            </w:r>
            <w:r w:rsidR="00C1357C">
              <w:rPr>
                <w:rFonts w:ascii="Times New Roman" w:hAnsi="Times New Roman"/>
                <w:spacing w:val="-2"/>
                <w:sz w:val="24"/>
              </w:rPr>
              <w:t>C 08.01</w:t>
            </w:r>
            <w:r w:rsidRPr="00661595">
              <w:rPr>
                <w:rFonts w:ascii="Times New Roman" w:hAnsi="Times New Roman"/>
                <w:sz w:val="24"/>
              </w:rPr>
              <w:t>.</w:t>
            </w:r>
          </w:p>
        </w:tc>
      </w:tr>
    </w:tbl>
    <w:p w:rsidR="008151A6" w:rsidRPr="00661595" w:rsidRDefault="008151A6" w:rsidP="008151A6">
      <w:pPr>
        <w:rPr>
          <w:rFonts w:ascii="Times New Roman" w:hAnsi="Times New Roman"/>
          <w:sz w:val="24"/>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8557"/>
      </w:tblGrid>
      <w:tr w:rsidR="008151A6" w:rsidRPr="00661595" w:rsidTr="00664874">
        <w:tc>
          <w:tcPr>
            <w:tcW w:w="1271" w:type="dxa"/>
            <w:shd w:val="pct25" w:color="auto" w:fill="auto"/>
          </w:tcPr>
          <w:p w:rsidR="008151A6" w:rsidRPr="00661595" w:rsidRDefault="008151A6" w:rsidP="00664874">
            <w:pPr>
              <w:rPr>
                <w:rFonts w:ascii="Times New Roman" w:hAnsi="Times New Roman"/>
                <w:sz w:val="24"/>
              </w:rPr>
            </w:pPr>
            <w:r w:rsidRPr="00661595">
              <w:rPr>
                <w:rFonts w:ascii="Times New Roman" w:hAnsi="Times New Roman"/>
                <w:sz w:val="24"/>
              </w:rPr>
              <w:t>Rows</w:t>
            </w:r>
          </w:p>
        </w:tc>
        <w:tc>
          <w:tcPr>
            <w:tcW w:w="8557" w:type="dxa"/>
            <w:shd w:val="pct25" w:color="auto" w:fill="auto"/>
          </w:tcPr>
          <w:p w:rsidR="008151A6" w:rsidRPr="00661595" w:rsidRDefault="008151A6" w:rsidP="00664874">
            <w:pPr>
              <w:rPr>
                <w:rFonts w:ascii="Times New Roman" w:hAnsi="Times New Roman"/>
                <w:sz w:val="24"/>
              </w:rPr>
            </w:pPr>
            <w:r w:rsidRPr="00661595">
              <w:rPr>
                <w:rFonts w:ascii="Times New Roman" w:hAnsi="Times New Roman"/>
                <w:sz w:val="24"/>
              </w:rPr>
              <w:t>Instructions</w:t>
            </w:r>
          </w:p>
        </w:tc>
      </w:tr>
      <w:tr w:rsidR="008151A6" w:rsidRPr="00661595" w:rsidTr="00664874">
        <w:tc>
          <w:tcPr>
            <w:tcW w:w="1271" w:type="dxa"/>
          </w:tcPr>
          <w:p w:rsidR="008151A6" w:rsidRPr="00661595" w:rsidRDefault="008151A6" w:rsidP="00664874">
            <w:pPr>
              <w:rPr>
                <w:rFonts w:ascii="Times New Roman" w:hAnsi="Times New Roman"/>
                <w:sz w:val="24"/>
              </w:rPr>
            </w:pPr>
            <w:r w:rsidRPr="00661595">
              <w:rPr>
                <w:rFonts w:ascii="Times New Roman" w:hAnsi="Times New Roman"/>
                <w:sz w:val="24"/>
              </w:rPr>
              <w:t>EXPOSURE CLASSES</w:t>
            </w:r>
          </w:p>
        </w:tc>
        <w:tc>
          <w:tcPr>
            <w:tcW w:w="8557" w:type="dxa"/>
          </w:tcPr>
          <w:p w:rsidR="008151A6" w:rsidRPr="00661595" w:rsidRDefault="008151A6" w:rsidP="00CC2B5B">
            <w:pPr>
              <w:rPr>
                <w:rFonts w:ascii="Times New Roman" w:eastAsiaTheme="minorHAnsi" w:hAnsi="Times New Roman"/>
                <w:sz w:val="24"/>
              </w:rPr>
            </w:pPr>
            <w:r w:rsidRPr="00661595">
              <w:rPr>
                <w:rFonts w:ascii="Times New Roman" w:eastAsiaTheme="minorHAnsi" w:hAnsi="Times New Roman"/>
                <w:sz w:val="24"/>
              </w:rPr>
              <w:t xml:space="preserve">Institutions shall include the information in this template by exposure classes, </w:t>
            </w:r>
            <w:r w:rsidR="00C1357C" w:rsidRPr="00203DC6">
              <w:rPr>
                <w:rFonts w:ascii="Times New Roman" w:eastAsiaTheme="minorHAnsi" w:hAnsi="Times New Roman"/>
                <w:sz w:val="24"/>
              </w:rPr>
              <w:t>in accordance with the breakdown of exposure classes included in the rows of the template</w:t>
            </w:r>
            <w:r w:rsidRPr="00661595">
              <w:rPr>
                <w:rFonts w:ascii="Times New Roman" w:hAnsi="Times New Roman"/>
                <w:sz w:val="24"/>
              </w:rPr>
              <w:t>.</w:t>
            </w:r>
          </w:p>
        </w:tc>
      </w:tr>
    </w:tbl>
    <w:p w:rsidR="008151A6" w:rsidRPr="00661595" w:rsidRDefault="008151A6" w:rsidP="00487A02">
      <w:pPr>
        <w:pStyle w:val="InstructionsText"/>
      </w:pPr>
    </w:p>
    <w:p w:rsidR="004357B9"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357" w:name="_Toc360188361"/>
      <w:bookmarkStart w:id="358" w:name="_Toc473560912"/>
      <w:bookmarkStart w:id="359" w:name="_Toc57831569"/>
      <w:r w:rsidRPr="00661595">
        <w:rPr>
          <w:rFonts w:ascii="Times New Roman" w:hAnsi="Times New Roman" w:cs="Times New Roman"/>
          <w:sz w:val="24"/>
          <w:u w:val="none"/>
          <w:lang w:val="en-GB"/>
        </w:rPr>
        <w:t>3.4.</w:t>
      </w:r>
      <w:r w:rsidRPr="00661595">
        <w:rPr>
          <w:rFonts w:ascii="Times New Roman" w:hAnsi="Times New Roman" w:cs="Times New Roman"/>
          <w:sz w:val="24"/>
          <w:u w:val="none"/>
          <w:lang w:val="en-GB"/>
        </w:rPr>
        <w:tab/>
      </w:r>
      <w:r w:rsidR="004357B9" w:rsidRPr="00661595">
        <w:rPr>
          <w:rFonts w:ascii="Times New Roman" w:hAnsi="Times New Roman" w:cs="Times New Roman"/>
          <w:sz w:val="24"/>
          <w:lang w:val="en-GB"/>
        </w:rPr>
        <w:t>Credit and counterparty credit risks and free deliveries: Information with geographical breakdown</w:t>
      </w:r>
      <w:bookmarkEnd w:id="357"/>
      <w:bookmarkEnd w:id="358"/>
      <w:bookmarkEnd w:id="359"/>
    </w:p>
    <w:p w:rsidR="004357B9" w:rsidRPr="00661595" w:rsidRDefault="00D11E4C" w:rsidP="00487A02">
      <w:pPr>
        <w:pStyle w:val="InstructionsText2"/>
        <w:numPr>
          <w:ilvl w:val="0"/>
          <w:numId w:val="0"/>
        </w:numPr>
        <w:ind w:left="1353" w:hanging="360"/>
      </w:pPr>
      <w:fldSimple w:instr=" seq paragraphs ">
        <w:r w:rsidR="00771068">
          <w:rPr>
            <w:noProof/>
          </w:rPr>
          <w:t>85</w:t>
        </w:r>
      </w:fldSimple>
      <w:r w:rsidR="00125707" w:rsidRPr="00661595">
        <w:t>.</w:t>
      </w:r>
      <w:r w:rsidR="00125707" w:rsidRPr="00661595">
        <w:tab/>
      </w:r>
      <w:r w:rsidR="003F3523" w:rsidRPr="00661595">
        <w:t>All institutions shall submit information aggregated at a total level. Additionally, i</w:t>
      </w:r>
      <w:r w:rsidR="004357B9" w:rsidRPr="00661595">
        <w:t xml:space="preserve">nstitutions fulfilling the threshold set in </w:t>
      </w:r>
      <w:r w:rsidR="000565B6" w:rsidRPr="00661595">
        <w:t>Article 5(</w:t>
      </w:r>
      <w:r w:rsidR="00CB3146" w:rsidRPr="00661595">
        <w:t>5</w:t>
      </w:r>
      <w:r w:rsidR="000565B6" w:rsidRPr="00661595">
        <w:t>)</w:t>
      </w:r>
      <w:r w:rsidR="004357B9" w:rsidRPr="00661595">
        <w:t xml:space="preserve"> </w:t>
      </w:r>
      <w:r w:rsidR="004E081B" w:rsidRPr="00661595">
        <w:t xml:space="preserve">of this </w:t>
      </w:r>
      <w:r w:rsidR="001E0C80" w:rsidRPr="00661595">
        <w:t xml:space="preserve">Implementing </w:t>
      </w:r>
      <w:r w:rsidR="004E081B" w:rsidRPr="00661595">
        <w:t xml:space="preserve">Regulation </w:t>
      </w:r>
      <w:r w:rsidR="004357B9" w:rsidRPr="00661595">
        <w:t>shall submit information</w:t>
      </w:r>
      <w:r w:rsidR="00C731CE" w:rsidRPr="00661595">
        <w:t xml:space="preserve"> broken down by country</w:t>
      </w:r>
      <w:r w:rsidR="004357B9" w:rsidRPr="00661595">
        <w:t xml:space="preserve"> regarding the domestic country as well as any non-domestic country. The threshold </w:t>
      </w:r>
      <w:r w:rsidR="00133396" w:rsidRPr="00661595">
        <w:t xml:space="preserve">shall be </w:t>
      </w:r>
      <w:r w:rsidR="00F855D5" w:rsidRPr="00661595">
        <w:t>considered</w:t>
      </w:r>
      <w:r w:rsidR="00133396" w:rsidRPr="00661595">
        <w:t xml:space="preserve"> only in</w:t>
      </w:r>
      <w:r w:rsidR="00C61FF5" w:rsidRPr="00661595">
        <w:t xml:space="preserve"> </w:t>
      </w:r>
      <w:r w:rsidR="00F855D5" w:rsidRPr="00661595">
        <w:t xml:space="preserve">relation to the </w:t>
      </w:r>
      <w:r w:rsidR="00133396" w:rsidRPr="00661595">
        <w:t>CR GB 1 and CR GB 2 templates</w:t>
      </w:r>
      <w:r w:rsidR="004357B9" w:rsidRPr="00661595">
        <w:t xml:space="preserve">. </w:t>
      </w:r>
      <w:r w:rsidR="00D82B60" w:rsidRPr="00661595">
        <w:t>Exposures to supranational organisations shall be assigned to the geographical area “other countries”.</w:t>
      </w:r>
    </w:p>
    <w:p w:rsidR="004357B9" w:rsidRPr="00661595" w:rsidRDefault="00D11E4C" w:rsidP="00487A02">
      <w:pPr>
        <w:pStyle w:val="InstructionsText2"/>
        <w:numPr>
          <w:ilvl w:val="0"/>
          <w:numId w:val="0"/>
        </w:numPr>
        <w:ind w:left="1353" w:hanging="360"/>
      </w:pPr>
      <w:fldSimple w:instr=" seq paragraphs ">
        <w:r w:rsidR="00771068">
          <w:rPr>
            <w:noProof/>
          </w:rPr>
          <w:t>86</w:t>
        </w:r>
      </w:fldSimple>
      <w:r w:rsidR="00125707" w:rsidRPr="00661595">
        <w:t>.</w:t>
      </w:r>
      <w:r w:rsidR="00125707" w:rsidRPr="00661595">
        <w:tab/>
      </w:r>
      <w:r w:rsidR="004357B9" w:rsidRPr="00661595">
        <w:t xml:space="preserve">The term ‘residence of the obligor’ refers to the country of incorporation of the obligor. This concept can be applied on an immediate-obligor basis and on an ultimate-risk basis. Hence, CRM techniques </w:t>
      </w:r>
      <w:r w:rsidR="00AC4E3A" w:rsidRPr="00661595">
        <w:t xml:space="preserve">with substitution effects </w:t>
      </w:r>
      <w:r w:rsidR="004357B9" w:rsidRPr="00661595">
        <w:t>can change the allocation of an exposure to a country.</w:t>
      </w:r>
      <w:r w:rsidR="00BB5B5D" w:rsidRPr="00661595">
        <w:t xml:space="preserve"> Exposures to supranational organisations shall not be assigned to the country of residence of the institution but to the geographical area “Other countries”</w:t>
      </w:r>
      <w:r w:rsidR="00763B4B" w:rsidRPr="00661595">
        <w:t>,</w:t>
      </w:r>
      <w:r w:rsidR="00BB5B5D" w:rsidRPr="00661595">
        <w:t xml:space="preserve"> irrespective of the exposure class where the exposure to supranational organisations is assigned.</w:t>
      </w:r>
    </w:p>
    <w:p w:rsidR="0096378F" w:rsidRPr="00661595" w:rsidRDefault="00D11E4C" w:rsidP="00487A02">
      <w:pPr>
        <w:pStyle w:val="InstructionsText2"/>
        <w:numPr>
          <w:ilvl w:val="0"/>
          <w:numId w:val="0"/>
        </w:numPr>
        <w:ind w:left="1353" w:hanging="360"/>
      </w:pPr>
      <w:fldSimple w:instr=" seq paragraphs ">
        <w:r w:rsidR="00771068">
          <w:rPr>
            <w:noProof/>
          </w:rPr>
          <w:t>87</w:t>
        </w:r>
      </w:fldSimple>
      <w:r w:rsidR="00125707" w:rsidRPr="00661595">
        <w:t>.</w:t>
      </w:r>
      <w:r w:rsidR="00125707" w:rsidRPr="00661595">
        <w:tab/>
      </w:r>
      <w:r w:rsidR="0096378F" w:rsidRPr="00661595">
        <w:t>Data regarding ‘original exposure pre</w:t>
      </w:r>
      <w:r w:rsidR="007574C3" w:rsidRPr="00661595">
        <w:t>-</w:t>
      </w:r>
      <w:r w:rsidR="0096378F" w:rsidRPr="00661595">
        <w:t>conversion factors’ shall be reported referring to the country of residence of the immediate obligor. Data regarding ‘exposure value’ and ‘Risk weighted exposure amounts’ shall be reported as of the country of residence of the ultimate obligor.</w:t>
      </w:r>
    </w:p>
    <w:p w:rsidR="004357B9"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360" w:name="_Toc360188362"/>
      <w:bookmarkStart w:id="361" w:name="_Toc473560913"/>
      <w:bookmarkStart w:id="362" w:name="_Toc57831570"/>
      <w:r w:rsidRPr="00661595">
        <w:rPr>
          <w:rFonts w:ascii="Times New Roman" w:hAnsi="Times New Roman" w:cs="Times New Roman"/>
          <w:sz w:val="24"/>
          <w:u w:val="none"/>
          <w:lang w:val="en-GB"/>
        </w:rPr>
        <w:t>3.4.1.</w:t>
      </w:r>
      <w:r w:rsidRPr="00661595">
        <w:rPr>
          <w:rFonts w:ascii="Times New Roman" w:hAnsi="Times New Roman" w:cs="Times New Roman"/>
          <w:sz w:val="24"/>
          <w:u w:val="none"/>
          <w:lang w:val="en-GB"/>
        </w:rPr>
        <w:tab/>
      </w:r>
      <w:r w:rsidR="009769DE" w:rsidRPr="00661595">
        <w:rPr>
          <w:rFonts w:ascii="Times New Roman" w:hAnsi="Times New Roman" w:cs="Times New Roman"/>
          <w:sz w:val="24"/>
          <w:lang w:val="en-GB"/>
        </w:rPr>
        <w:t xml:space="preserve">C 09.01 </w:t>
      </w:r>
      <w:r w:rsidR="004357B9" w:rsidRPr="00661595">
        <w:rPr>
          <w:rFonts w:ascii="Times New Roman" w:hAnsi="Times New Roman" w:cs="Times New Roman"/>
          <w:sz w:val="24"/>
          <w:lang w:val="en-GB"/>
        </w:rPr>
        <w:t>– Geographical breakdown of exposures by residence of the obligor</w:t>
      </w:r>
      <w:r w:rsidR="009769DE" w:rsidRPr="00661595">
        <w:rPr>
          <w:rFonts w:ascii="Times New Roman" w:hAnsi="Times New Roman" w:cs="Times New Roman"/>
          <w:sz w:val="24"/>
          <w:lang w:val="en-GB"/>
        </w:rPr>
        <w:t>: SA exposures</w:t>
      </w:r>
      <w:r w:rsidR="004357B9" w:rsidRPr="00661595">
        <w:rPr>
          <w:rFonts w:ascii="Times New Roman" w:hAnsi="Times New Roman" w:cs="Times New Roman"/>
          <w:sz w:val="24"/>
          <w:lang w:val="en-GB"/>
        </w:rPr>
        <w:t xml:space="preserve"> (</w:t>
      </w:r>
      <w:r w:rsidR="009769DE" w:rsidRPr="00661595">
        <w:rPr>
          <w:rFonts w:ascii="Times New Roman" w:hAnsi="Times New Roman" w:cs="Times New Roman"/>
          <w:sz w:val="24"/>
          <w:lang w:val="en-GB"/>
        </w:rPr>
        <w:t>CR GB 1</w:t>
      </w:r>
      <w:r w:rsidR="004357B9" w:rsidRPr="00661595">
        <w:rPr>
          <w:rFonts w:ascii="Times New Roman" w:hAnsi="Times New Roman" w:cs="Times New Roman"/>
          <w:sz w:val="24"/>
          <w:lang w:val="en-GB"/>
        </w:rPr>
        <w:t>)</w:t>
      </w:r>
      <w:bookmarkEnd w:id="360"/>
      <w:bookmarkEnd w:id="361"/>
      <w:bookmarkEnd w:id="362"/>
    </w:p>
    <w:p w:rsidR="004357B9"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363" w:name="_Toc360188363"/>
      <w:bookmarkStart w:id="364" w:name="_Toc473560914"/>
      <w:bookmarkStart w:id="365" w:name="_Toc57831571"/>
      <w:r w:rsidRPr="00661595">
        <w:rPr>
          <w:rFonts w:ascii="Times New Roman" w:hAnsi="Times New Roman" w:cs="Times New Roman"/>
          <w:sz w:val="24"/>
          <w:u w:val="none"/>
          <w:lang w:val="en-GB"/>
        </w:rPr>
        <w:t>3.4.1.1.</w:t>
      </w:r>
      <w:r w:rsidRPr="00661595">
        <w:rPr>
          <w:rFonts w:ascii="Times New Roman" w:hAnsi="Times New Roman" w:cs="Times New Roman"/>
          <w:sz w:val="24"/>
          <w:u w:val="none"/>
          <w:lang w:val="en-GB"/>
        </w:rPr>
        <w:tab/>
      </w:r>
      <w:r w:rsidR="004357B9" w:rsidRPr="00661595">
        <w:rPr>
          <w:rFonts w:ascii="Times New Roman" w:hAnsi="Times New Roman" w:cs="Times New Roman"/>
          <w:sz w:val="24"/>
          <w:lang w:val="en-GB"/>
        </w:rPr>
        <w:t>Instructions concerning specific positions</w:t>
      </w:r>
      <w:bookmarkEnd w:id="363"/>
      <w:bookmarkEnd w:id="364"/>
      <w:bookmarkEnd w:id="365"/>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8640"/>
      </w:tblGrid>
      <w:tr w:rsidR="004357B9" w:rsidRPr="00661595" w:rsidTr="00672D2A">
        <w:trPr>
          <w:trHeight w:val="581"/>
        </w:trPr>
        <w:tc>
          <w:tcPr>
            <w:tcW w:w="9828" w:type="dxa"/>
            <w:gridSpan w:val="2"/>
            <w:shd w:val="clear" w:color="auto" w:fill="CCCCCC"/>
          </w:tcPr>
          <w:p w:rsidR="004357B9" w:rsidRPr="00661595" w:rsidRDefault="004357B9" w:rsidP="004357B9">
            <w:pPr>
              <w:spacing w:after="0"/>
              <w:rPr>
                <w:rStyle w:val="InstructionsTabelleText"/>
                <w:rFonts w:ascii="Times New Roman" w:hAnsi="Times New Roman"/>
                <w:b/>
                <w:sz w:val="24"/>
              </w:rPr>
            </w:pPr>
            <w:r w:rsidRPr="00661595">
              <w:rPr>
                <w:rStyle w:val="InstructionsTabelleText"/>
                <w:rFonts w:ascii="Times New Roman" w:hAnsi="Times New Roman"/>
                <w:b/>
                <w:sz w:val="24"/>
              </w:rPr>
              <w:t>Columns</w:t>
            </w:r>
          </w:p>
        </w:tc>
      </w:tr>
      <w:tr w:rsidR="004357B9" w:rsidRPr="00661595" w:rsidTr="00672D2A">
        <w:tc>
          <w:tcPr>
            <w:tcW w:w="1188" w:type="dxa"/>
          </w:tcPr>
          <w:p w:rsidR="004357B9" w:rsidRPr="00661595" w:rsidRDefault="004357B9" w:rsidP="004357B9">
            <w:pPr>
              <w:rPr>
                <w:rStyle w:val="InstructionsTabelleText"/>
                <w:rFonts w:ascii="Times New Roman" w:hAnsi="Times New Roman"/>
                <w:sz w:val="24"/>
              </w:rPr>
            </w:pPr>
            <w:r w:rsidRPr="00661595">
              <w:rPr>
                <w:rStyle w:val="InstructionsTabelleText"/>
                <w:rFonts w:ascii="Times New Roman" w:hAnsi="Times New Roman"/>
                <w:sz w:val="24"/>
              </w:rPr>
              <w:t>0</w:t>
            </w:r>
            <w:r w:rsidR="001452FC" w:rsidRPr="00661595">
              <w:rPr>
                <w:rStyle w:val="InstructionsTabelleText"/>
                <w:rFonts w:ascii="Times New Roman" w:hAnsi="Times New Roman"/>
                <w:sz w:val="24"/>
              </w:rPr>
              <w:t>0</w:t>
            </w:r>
            <w:r w:rsidRPr="00661595">
              <w:rPr>
                <w:rStyle w:val="InstructionsTabelleText"/>
                <w:rFonts w:ascii="Times New Roman" w:hAnsi="Times New Roman"/>
                <w:sz w:val="24"/>
              </w:rPr>
              <w:t>10</w:t>
            </w:r>
          </w:p>
        </w:tc>
        <w:tc>
          <w:tcPr>
            <w:tcW w:w="8640" w:type="dxa"/>
          </w:tcPr>
          <w:p w:rsidR="004357B9" w:rsidRPr="00661595" w:rsidRDefault="004357B9" w:rsidP="004357B9">
            <w:pPr>
              <w:rPr>
                <w:rFonts w:ascii="Times New Roman" w:hAnsi="Times New Roman"/>
                <w:b/>
                <w:sz w:val="24"/>
                <w:u w:val="single"/>
              </w:rPr>
            </w:pPr>
            <w:r w:rsidRPr="00661595">
              <w:rPr>
                <w:rFonts w:ascii="Times New Roman" w:hAnsi="Times New Roman"/>
                <w:b/>
                <w:sz w:val="24"/>
                <w:u w:val="single"/>
              </w:rPr>
              <w:t>ORIGINAL EXPOSURE PRE</w:t>
            </w:r>
            <w:r w:rsidR="007574C3" w:rsidRPr="00661595">
              <w:rPr>
                <w:rFonts w:ascii="Times New Roman" w:hAnsi="Times New Roman"/>
                <w:b/>
                <w:sz w:val="24"/>
                <w:u w:val="single"/>
              </w:rPr>
              <w:t>-</w:t>
            </w:r>
            <w:r w:rsidRPr="00661595">
              <w:rPr>
                <w:rFonts w:ascii="Times New Roman" w:hAnsi="Times New Roman"/>
                <w:b/>
                <w:sz w:val="24"/>
                <w:u w:val="single"/>
              </w:rPr>
              <w:t>CONVERSION FACTORS</w:t>
            </w:r>
          </w:p>
          <w:p w:rsidR="004357B9" w:rsidRPr="00661595" w:rsidRDefault="004357B9" w:rsidP="004357B9">
            <w:pPr>
              <w:rPr>
                <w:rFonts w:ascii="Times New Roman" w:hAnsi="Times New Roman"/>
                <w:sz w:val="24"/>
              </w:rPr>
            </w:pPr>
            <w:r w:rsidRPr="00661595">
              <w:rPr>
                <w:rFonts w:ascii="Times New Roman" w:hAnsi="Times New Roman"/>
                <w:sz w:val="24"/>
              </w:rPr>
              <w:t>Same definition as for column 0</w:t>
            </w:r>
            <w:r w:rsidR="001452FC" w:rsidRPr="00661595">
              <w:rPr>
                <w:rFonts w:ascii="Times New Roman" w:hAnsi="Times New Roman"/>
                <w:sz w:val="24"/>
              </w:rPr>
              <w:t>0</w:t>
            </w:r>
            <w:r w:rsidRPr="00661595">
              <w:rPr>
                <w:rFonts w:ascii="Times New Roman" w:hAnsi="Times New Roman"/>
                <w:sz w:val="24"/>
              </w:rPr>
              <w:t>10 of CR SA template</w:t>
            </w:r>
          </w:p>
        </w:tc>
      </w:tr>
      <w:tr w:rsidR="004357B9" w:rsidRPr="00661595" w:rsidTr="00672D2A">
        <w:tc>
          <w:tcPr>
            <w:tcW w:w="1188" w:type="dxa"/>
          </w:tcPr>
          <w:p w:rsidR="004357B9" w:rsidRPr="00661595" w:rsidRDefault="004357B9" w:rsidP="004357B9">
            <w:pPr>
              <w:rPr>
                <w:rFonts w:ascii="Times New Roman" w:hAnsi="Times New Roman"/>
                <w:sz w:val="24"/>
              </w:rPr>
            </w:pPr>
            <w:r w:rsidRPr="00661595">
              <w:rPr>
                <w:rFonts w:ascii="Times New Roman" w:hAnsi="Times New Roman"/>
                <w:sz w:val="24"/>
              </w:rPr>
              <w:t>0</w:t>
            </w:r>
            <w:r w:rsidR="001452FC" w:rsidRPr="00661595">
              <w:rPr>
                <w:rFonts w:ascii="Times New Roman" w:hAnsi="Times New Roman"/>
                <w:sz w:val="24"/>
              </w:rPr>
              <w:t>0</w:t>
            </w:r>
            <w:r w:rsidRPr="00661595">
              <w:rPr>
                <w:rFonts w:ascii="Times New Roman" w:hAnsi="Times New Roman"/>
                <w:sz w:val="24"/>
              </w:rPr>
              <w:t>20</w:t>
            </w:r>
          </w:p>
        </w:tc>
        <w:tc>
          <w:tcPr>
            <w:tcW w:w="8640" w:type="dxa"/>
          </w:tcPr>
          <w:p w:rsidR="004357B9" w:rsidRPr="00661595" w:rsidRDefault="00771E97" w:rsidP="004357B9">
            <w:pPr>
              <w:rPr>
                <w:rFonts w:ascii="Times New Roman" w:hAnsi="Times New Roman"/>
                <w:b/>
                <w:sz w:val="24"/>
                <w:u w:val="single"/>
              </w:rPr>
            </w:pPr>
            <w:r w:rsidRPr="00661595">
              <w:rPr>
                <w:rFonts w:ascii="Times New Roman" w:hAnsi="Times New Roman"/>
                <w:b/>
                <w:sz w:val="24"/>
                <w:u w:val="single"/>
              </w:rPr>
              <w:t>D</w:t>
            </w:r>
            <w:r w:rsidR="004357B9" w:rsidRPr="00661595">
              <w:rPr>
                <w:rFonts w:ascii="Times New Roman" w:hAnsi="Times New Roman"/>
                <w:b/>
                <w:sz w:val="24"/>
                <w:u w:val="single"/>
              </w:rPr>
              <w:t>efault</w:t>
            </w:r>
            <w:r w:rsidRPr="00661595">
              <w:rPr>
                <w:rFonts w:ascii="Times New Roman" w:hAnsi="Times New Roman"/>
                <w:b/>
                <w:sz w:val="24"/>
                <w:u w:val="single"/>
              </w:rPr>
              <w:t>ed exposures</w:t>
            </w:r>
          </w:p>
          <w:p w:rsidR="004357B9" w:rsidRPr="00661595" w:rsidRDefault="004357B9" w:rsidP="004357B9">
            <w:pPr>
              <w:rPr>
                <w:rStyle w:val="InstructionsTabelleText"/>
                <w:rFonts w:ascii="Times New Roman" w:hAnsi="Times New Roman"/>
                <w:sz w:val="24"/>
              </w:rPr>
            </w:pPr>
            <w:r w:rsidRPr="00661595">
              <w:rPr>
                <w:rStyle w:val="InstructionsTabelleText"/>
                <w:rFonts w:ascii="Times New Roman" w:hAnsi="Times New Roman"/>
                <w:sz w:val="24"/>
              </w:rPr>
              <w:t>Original exposure pre</w:t>
            </w:r>
            <w:r w:rsidR="007574C3" w:rsidRPr="00661595">
              <w:rPr>
                <w:rStyle w:val="InstructionsTabelleText"/>
                <w:rFonts w:ascii="Times New Roman" w:hAnsi="Times New Roman"/>
                <w:sz w:val="24"/>
              </w:rPr>
              <w:t>-</w:t>
            </w:r>
            <w:r w:rsidRPr="00661595">
              <w:rPr>
                <w:rStyle w:val="InstructionsTabelleText"/>
                <w:rFonts w:ascii="Times New Roman" w:hAnsi="Times New Roman"/>
                <w:sz w:val="24"/>
              </w:rPr>
              <w:t>conversion factors for those exposures which have been classified as “exposures</w:t>
            </w:r>
            <w:r w:rsidR="00771E97" w:rsidRPr="00661595">
              <w:rPr>
                <w:rStyle w:val="InstructionsTabelleText"/>
                <w:rFonts w:ascii="Times New Roman" w:hAnsi="Times New Roman"/>
                <w:sz w:val="24"/>
              </w:rPr>
              <w:t xml:space="preserve"> in default</w:t>
            </w:r>
            <w:r w:rsidRPr="00661595">
              <w:rPr>
                <w:rStyle w:val="InstructionsTabelleText"/>
                <w:rFonts w:ascii="Times New Roman" w:hAnsi="Times New Roman"/>
                <w:sz w:val="24"/>
              </w:rPr>
              <w:t>”</w:t>
            </w:r>
            <w:r w:rsidR="00771E97" w:rsidRPr="00661595">
              <w:rPr>
                <w:rStyle w:val="InstructionsTabelleText"/>
                <w:rFonts w:ascii="Times New Roman" w:hAnsi="Times New Roman"/>
                <w:sz w:val="24"/>
              </w:rPr>
              <w:t xml:space="preserve"> and for defaulted exposures assigned to the exposure classes “exposures associated with particularly high risk” or “equity exposures”</w:t>
            </w:r>
            <w:r w:rsidRPr="00661595">
              <w:rPr>
                <w:rStyle w:val="InstructionsTabelleText"/>
                <w:rFonts w:ascii="Times New Roman" w:hAnsi="Times New Roman"/>
                <w:sz w:val="24"/>
              </w:rPr>
              <w:t>.</w:t>
            </w:r>
          </w:p>
          <w:p w:rsidR="004357B9" w:rsidRPr="00661595" w:rsidRDefault="004357B9" w:rsidP="004357B9">
            <w:pPr>
              <w:rPr>
                <w:rStyle w:val="InstructionsTabelleText"/>
                <w:rFonts w:ascii="Times New Roman" w:hAnsi="Times New Roman"/>
                <w:sz w:val="24"/>
              </w:rPr>
            </w:pPr>
            <w:r w:rsidRPr="00661595">
              <w:rPr>
                <w:rStyle w:val="InstructionsTabelleText"/>
                <w:rFonts w:ascii="Times New Roman" w:hAnsi="Times New Roman"/>
                <w:sz w:val="24"/>
              </w:rPr>
              <w:t>This ‘memorandum item’</w:t>
            </w:r>
            <w:r w:rsidR="00763B4B" w:rsidRPr="00661595">
              <w:rPr>
                <w:rStyle w:val="InstructionsTabelleText"/>
                <w:rFonts w:ascii="Times New Roman" w:hAnsi="Times New Roman"/>
                <w:sz w:val="24"/>
              </w:rPr>
              <w:t xml:space="preserve"> shall</w:t>
            </w:r>
            <w:r w:rsidRPr="00661595">
              <w:rPr>
                <w:rStyle w:val="InstructionsTabelleText"/>
                <w:rFonts w:ascii="Times New Roman" w:hAnsi="Times New Roman"/>
                <w:sz w:val="24"/>
              </w:rPr>
              <w:t xml:space="preserve"> provide additional information about the obligor structure of </w:t>
            </w:r>
            <w:r w:rsidR="00771E97" w:rsidRPr="00661595">
              <w:rPr>
                <w:rStyle w:val="InstructionsTabelleText"/>
                <w:rFonts w:ascii="Times New Roman" w:hAnsi="Times New Roman"/>
                <w:sz w:val="24"/>
              </w:rPr>
              <w:t>defaulted exposures</w:t>
            </w:r>
            <w:r w:rsidRPr="00661595">
              <w:rPr>
                <w:rStyle w:val="InstructionsTabelleText"/>
                <w:rFonts w:ascii="Times New Roman" w:hAnsi="Times New Roman"/>
                <w:sz w:val="24"/>
              </w:rPr>
              <w:t xml:space="preserve">. Exposures </w:t>
            </w:r>
            <w:r w:rsidR="00771E97" w:rsidRPr="00661595">
              <w:rPr>
                <w:rStyle w:val="InstructionsTabelleText"/>
                <w:rFonts w:ascii="Times New Roman" w:hAnsi="Times New Roman"/>
                <w:sz w:val="24"/>
              </w:rPr>
              <w:t xml:space="preserve">classified as “exposures in default” </w:t>
            </w:r>
            <w:r w:rsidR="00763B4B" w:rsidRPr="00661595">
              <w:rPr>
                <w:rStyle w:val="InstructionsTabelleText"/>
                <w:rFonts w:ascii="Times New Roman" w:hAnsi="Times New Roman"/>
                <w:sz w:val="24"/>
              </w:rPr>
              <w:t xml:space="preserve">as referred to in </w:t>
            </w:r>
            <w:r w:rsidR="00D21B29" w:rsidRPr="00661595">
              <w:rPr>
                <w:rStyle w:val="InstructionsTabelleText"/>
                <w:rFonts w:ascii="Times New Roman" w:hAnsi="Times New Roman"/>
                <w:sz w:val="24"/>
              </w:rPr>
              <w:t xml:space="preserve">point (j) of </w:t>
            </w:r>
            <w:r w:rsidR="00771E97" w:rsidRPr="00661595">
              <w:rPr>
                <w:rStyle w:val="InstructionsTabelleText"/>
                <w:rFonts w:ascii="Times New Roman" w:hAnsi="Times New Roman"/>
                <w:sz w:val="24"/>
              </w:rPr>
              <w:t>Art</w:t>
            </w:r>
            <w:r w:rsidR="00417984" w:rsidRPr="00661595">
              <w:rPr>
                <w:rStyle w:val="InstructionsTabelleText"/>
                <w:rFonts w:ascii="Times New Roman" w:hAnsi="Times New Roman"/>
                <w:sz w:val="24"/>
              </w:rPr>
              <w:t>icle</w:t>
            </w:r>
            <w:r w:rsidR="00771E97" w:rsidRPr="00661595">
              <w:rPr>
                <w:rStyle w:val="InstructionsTabelleText"/>
                <w:rFonts w:ascii="Times New Roman" w:hAnsi="Times New Roman"/>
                <w:sz w:val="24"/>
              </w:rPr>
              <w:t xml:space="preserve"> 112 CRR </w:t>
            </w:r>
            <w:r w:rsidRPr="00661595">
              <w:rPr>
                <w:rStyle w:val="InstructionsTabelleText"/>
                <w:rFonts w:ascii="Times New Roman" w:hAnsi="Times New Roman"/>
                <w:sz w:val="24"/>
              </w:rPr>
              <w:t>shall be reported where</w:t>
            </w:r>
            <w:r w:rsidR="00771E97" w:rsidRPr="00661595">
              <w:rPr>
                <w:rStyle w:val="InstructionsTabelleText"/>
                <w:rFonts w:ascii="Times New Roman" w:hAnsi="Times New Roman"/>
                <w:sz w:val="24"/>
              </w:rPr>
              <w:t xml:space="preserve"> </w:t>
            </w:r>
            <w:r w:rsidRPr="00661595">
              <w:rPr>
                <w:rStyle w:val="InstructionsTabelleText"/>
                <w:rFonts w:ascii="Times New Roman" w:hAnsi="Times New Roman"/>
                <w:sz w:val="24"/>
              </w:rPr>
              <w:t xml:space="preserve">the obligors would have been </w:t>
            </w:r>
            <w:r w:rsidR="00771E97" w:rsidRPr="00661595">
              <w:rPr>
                <w:rStyle w:val="InstructionsTabelleText"/>
                <w:rFonts w:ascii="Times New Roman" w:hAnsi="Times New Roman"/>
                <w:sz w:val="24"/>
              </w:rPr>
              <w:br/>
            </w:r>
            <w:r w:rsidRPr="00661595">
              <w:rPr>
                <w:rStyle w:val="InstructionsTabelleText"/>
                <w:rFonts w:ascii="Times New Roman" w:hAnsi="Times New Roman"/>
                <w:sz w:val="24"/>
              </w:rPr>
              <w:t>reported if those exposures were not assigned to the exposure classes '</w:t>
            </w:r>
            <w:r w:rsidR="00771E97" w:rsidRPr="00661595">
              <w:rPr>
                <w:rStyle w:val="InstructionsTabelleText"/>
                <w:rFonts w:ascii="Times New Roman" w:hAnsi="Times New Roman"/>
                <w:sz w:val="24"/>
              </w:rPr>
              <w:t xml:space="preserve">exposures </w:t>
            </w:r>
            <w:r w:rsidRPr="00661595">
              <w:rPr>
                <w:rStyle w:val="InstructionsTabelleText"/>
                <w:rFonts w:ascii="Times New Roman" w:hAnsi="Times New Roman"/>
                <w:sz w:val="24"/>
              </w:rPr>
              <w:t xml:space="preserve">in default'. </w:t>
            </w:r>
          </w:p>
          <w:p w:rsidR="004357B9" w:rsidRPr="00661595" w:rsidRDefault="004357B9" w:rsidP="00763B4B">
            <w:pPr>
              <w:rPr>
                <w:rFonts w:ascii="Times New Roman" w:hAnsi="Times New Roman"/>
                <w:sz w:val="24"/>
              </w:rPr>
            </w:pPr>
            <w:r w:rsidRPr="00661595">
              <w:rPr>
                <w:rStyle w:val="InstructionsTabelleText"/>
                <w:rFonts w:ascii="Times New Roman" w:hAnsi="Times New Roman"/>
                <w:sz w:val="24"/>
              </w:rPr>
              <w:t>This information is a ‘memorandum item’ – hence does not affect the calculation of risk weighted exposure amounts of exposure class</w:t>
            </w:r>
            <w:r w:rsidR="00771E97" w:rsidRPr="00661595">
              <w:rPr>
                <w:rStyle w:val="InstructionsTabelleText"/>
                <w:rFonts w:ascii="Times New Roman" w:hAnsi="Times New Roman"/>
                <w:sz w:val="24"/>
              </w:rPr>
              <w:t>es</w:t>
            </w:r>
            <w:r w:rsidRPr="00661595">
              <w:rPr>
                <w:rStyle w:val="InstructionsTabelleText"/>
                <w:rFonts w:ascii="Times New Roman" w:hAnsi="Times New Roman"/>
                <w:sz w:val="24"/>
              </w:rPr>
              <w:t xml:space="preserve"> “</w:t>
            </w:r>
            <w:r w:rsidR="00771E97" w:rsidRPr="00661595">
              <w:rPr>
                <w:rStyle w:val="InstructionsTabelleText"/>
                <w:rFonts w:ascii="Times New Roman" w:hAnsi="Times New Roman"/>
                <w:sz w:val="24"/>
              </w:rPr>
              <w:t xml:space="preserve">exposures </w:t>
            </w:r>
            <w:r w:rsidRPr="00661595">
              <w:rPr>
                <w:rStyle w:val="InstructionsTabelleText"/>
                <w:rFonts w:ascii="Times New Roman" w:hAnsi="Times New Roman"/>
                <w:sz w:val="24"/>
              </w:rPr>
              <w:t>in default”</w:t>
            </w:r>
            <w:r w:rsidR="00771E97" w:rsidRPr="00661595">
              <w:rPr>
                <w:rStyle w:val="InstructionsTabelleText"/>
                <w:rFonts w:ascii="Times New Roman" w:hAnsi="Times New Roman"/>
                <w:sz w:val="24"/>
              </w:rPr>
              <w:t>, “exposures associated with particularly high risk” or “equity exposures”</w:t>
            </w:r>
            <w:r w:rsidRPr="00661595">
              <w:rPr>
                <w:rStyle w:val="InstructionsTabelleText"/>
                <w:rFonts w:ascii="Times New Roman" w:hAnsi="Times New Roman"/>
                <w:sz w:val="24"/>
              </w:rPr>
              <w:t xml:space="preserve"> </w:t>
            </w:r>
            <w:r w:rsidR="00763B4B" w:rsidRPr="00661595">
              <w:rPr>
                <w:rStyle w:val="InstructionsTabelleText"/>
                <w:rFonts w:ascii="Times New Roman" w:hAnsi="Times New Roman"/>
                <w:sz w:val="24"/>
              </w:rPr>
              <w:t xml:space="preserve">as referred to in </w:t>
            </w:r>
            <w:r w:rsidR="00D21B29" w:rsidRPr="00661595">
              <w:rPr>
                <w:rStyle w:val="InstructionsTabelleText"/>
                <w:rFonts w:ascii="Times New Roman" w:hAnsi="Times New Roman"/>
                <w:sz w:val="24"/>
              </w:rPr>
              <w:t xml:space="preserve">points (j), (k) and (p) of </w:t>
            </w:r>
            <w:r w:rsidRPr="00661595">
              <w:rPr>
                <w:rStyle w:val="InstructionsTabelleText"/>
                <w:rFonts w:ascii="Times New Roman" w:hAnsi="Times New Roman"/>
                <w:sz w:val="24"/>
              </w:rPr>
              <w:t xml:space="preserve">Article 112 </w:t>
            </w:r>
            <w:r w:rsidR="00C7103D" w:rsidRPr="00661595">
              <w:rPr>
                <w:rStyle w:val="InstructionsTabelleText"/>
                <w:rFonts w:ascii="Times New Roman" w:hAnsi="Times New Roman"/>
                <w:sz w:val="24"/>
              </w:rPr>
              <w:t>CRR</w:t>
            </w:r>
            <w:r w:rsidRPr="00661595">
              <w:rPr>
                <w:rStyle w:val="InstructionsTabelleText"/>
                <w:rFonts w:ascii="Times New Roman" w:hAnsi="Times New Roman"/>
                <w:sz w:val="24"/>
              </w:rPr>
              <w:t>.</w:t>
            </w:r>
          </w:p>
        </w:tc>
      </w:tr>
      <w:tr w:rsidR="004357B9" w:rsidRPr="00661595" w:rsidTr="00672D2A">
        <w:tc>
          <w:tcPr>
            <w:tcW w:w="1188" w:type="dxa"/>
          </w:tcPr>
          <w:p w:rsidR="004357B9" w:rsidRPr="00661595" w:rsidRDefault="004357B9" w:rsidP="004357B9">
            <w:pPr>
              <w:rPr>
                <w:rFonts w:ascii="Times New Roman" w:hAnsi="Times New Roman"/>
                <w:sz w:val="24"/>
              </w:rPr>
            </w:pPr>
            <w:r w:rsidRPr="00661595">
              <w:rPr>
                <w:rFonts w:ascii="Times New Roman" w:hAnsi="Times New Roman"/>
                <w:sz w:val="24"/>
              </w:rPr>
              <w:t>0</w:t>
            </w:r>
            <w:r w:rsidR="001452FC" w:rsidRPr="00661595">
              <w:rPr>
                <w:rFonts w:ascii="Times New Roman" w:hAnsi="Times New Roman"/>
                <w:sz w:val="24"/>
              </w:rPr>
              <w:t>0</w:t>
            </w:r>
            <w:r w:rsidRPr="00661595">
              <w:rPr>
                <w:rFonts w:ascii="Times New Roman" w:hAnsi="Times New Roman"/>
                <w:sz w:val="24"/>
              </w:rPr>
              <w:t>40</w:t>
            </w:r>
          </w:p>
        </w:tc>
        <w:tc>
          <w:tcPr>
            <w:tcW w:w="8640" w:type="dxa"/>
          </w:tcPr>
          <w:p w:rsidR="004357B9" w:rsidRPr="00661595" w:rsidRDefault="004357B9" w:rsidP="004357B9">
            <w:pPr>
              <w:rPr>
                <w:rFonts w:ascii="Times New Roman" w:hAnsi="Times New Roman"/>
                <w:b/>
                <w:sz w:val="24"/>
                <w:u w:val="single"/>
              </w:rPr>
            </w:pPr>
            <w:r w:rsidRPr="00661595">
              <w:rPr>
                <w:rFonts w:ascii="Times New Roman" w:hAnsi="Times New Roman"/>
                <w:b/>
                <w:sz w:val="24"/>
                <w:u w:val="single"/>
              </w:rPr>
              <w:t>Observed new defaults for the period</w:t>
            </w:r>
          </w:p>
          <w:p w:rsidR="004357B9" w:rsidRPr="00661595" w:rsidRDefault="00DF70AE" w:rsidP="00DF70AE">
            <w:pPr>
              <w:rPr>
                <w:rFonts w:ascii="Times New Roman" w:hAnsi="Times New Roman"/>
                <w:b/>
                <w:sz w:val="24"/>
                <w:u w:val="single"/>
              </w:rPr>
            </w:pPr>
            <w:r w:rsidRPr="00661595">
              <w:rPr>
                <w:rStyle w:val="InstructionsTabelleText"/>
                <w:rFonts w:ascii="Times New Roman" w:hAnsi="Times New Roman"/>
                <w:sz w:val="24"/>
              </w:rPr>
              <w:t>T</w:t>
            </w:r>
            <w:r w:rsidR="004357B9" w:rsidRPr="00661595">
              <w:rPr>
                <w:rStyle w:val="InstructionsTabelleText"/>
                <w:rFonts w:ascii="Times New Roman" w:hAnsi="Times New Roman"/>
                <w:sz w:val="24"/>
              </w:rPr>
              <w:t xml:space="preserve">he amount of original exposures which have moved into exposure class “Exposures in default” during the 3-month period since the last reporting reference date </w:t>
            </w:r>
            <w:r w:rsidR="002D4561" w:rsidRPr="00661595">
              <w:rPr>
                <w:rStyle w:val="InstructionsTabelleText"/>
                <w:rFonts w:ascii="Times New Roman" w:hAnsi="Times New Roman"/>
                <w:sz w:val="24"/>
              </w:rPr>
              <w:t>shall be</w:t>
            </w:r>
            <w:r w:rsidR="004357B9" w:rsidRPr="00661595">
              <w:rPr>
                <w:rStyle w:val="InstructionsTabelleText"/>
                <w:rFonts w:ascii="Times New Roman" w:hAnsi="Times New Roman"/>
                <w:sz w:val="24"/>
              </w:rPr>
              <w:t xml:space="preserve"> reported against the exposure class to which the obligor originally belonged.</w:t>
            </w:r>
          </w:p>
        </w:tc>
      </w:tr>
      <w:tr w:rsidR="004357B9" w:rsidRPr="00661595" w:rsidTr="00672D2A">
        <w:tc>
          <w:tcPr>
            <w:tcW w:w="1188" w:type="dxa"/>
          </w:tcPr>
          <w:p w:rsidR="004357B9" w:rsidRPr="00661595" w:rsidRDefault="004357B9" w:rsidP="004357B9">
            <w:pPr>
              <w:rPr>
                <w:rFonts w:ascii="Times New Roman" w:hAnsi="Times New Roman"/>
                <w:sz w:val="24"/>
              </w:rPr>
            </w:pPr>
            <w:r w:rsidRPr="00661595">
              <w:rPr>
                <w:rFonts w:ascii="Times New Roman" w:hAnsi="Times New Roman"/>
                <w:sz w:val="24"/>
              </w:rPr>
              <w:t>0</w:t>
            </w:r>
            <w:r w:rsidR="001452FC" w:rsidRPr="00661595">
              <w:rPr>
                <w:rFonts w:ascii="Times New Roman" w:hAnsi="Times New Roman"/>
                <w:sz w:val="24"/>
              </w:rPr>
              <w:t>0</w:t>
            </w:r>
            <w:r w:rsidRPr="00661595">
              <w:rPr>
                <w:rFonts w:ascii="Times New Roman" w:hAnsi="Times New Roman"/>
                <w:sz w:val="24"/>
              </w:rPr>
              <w:t>50</w:t>
            </w:r>
          </w:p>
        </w:tc>
        <w:tc>
          <w:tcPr>
            <w:tcW w:w="8640" w:type="dxa"/>
          </w:tcPr>
          <w:p w:rsidR="004357B9" w:rsidRPr="00661595" w:rsidRDefault="004357B9" w:rsidP="004357B9">
            <w:pPr>
              <w:rPr>
                <w:rFonts w:ascii="Times New Roman" w:hAnsi="Times New Roman"/>
                <w:b/>
                <w:sz w:val="24"/>
                <w:u w:val="single"/>
              </w:rPr>
            </w:pPr>
            <w:r w:rsidRPr="00661595">
              <w:rPr>
                <w:rFonts w:ascii="Times New Roman" w:hAnsi="Times New Roman"/>
                <w:b/>
                <w:sz w:val="24"/>
                <w:u w:val="single"/>
              </w:rPr>
              <w:t>General credit risk adjustments</w:t>
            </w:r>
          </w:p>
          <w:p w:rsidR="004357B9" w:rsidRPr="00661595" w:rsidRDefault="004357B9" w:rsidP="004357B9">
            <w:pPr>
              <w:rPr>
                <w:rFonts w:ascii="Times New Roman" w:hAnsi="Times New Roman"/>
                <w:sz w:val="24"/>
              </w:rPr>
            </w:pPr>
            <w:r w:rsidRPr="00661595">
              <w:rPr>
                <w:rFonts w:ascii="Times New Roman" w:hAnsi="Times New Roman"/>
                <w:sz w:val="24"/>
              </w:rPr>
              <w:t xml:space="preserve">Credit risk adjustments </w:t>
            </w:r>
            <w:r w:rsidR="003B2712" w:rsidRPr="00661595">
              <w:rPr>
                <w:rFonts w:ascii="Times New Roman" w:hAnsi="Times New Roman"/>
                <w:sz w:val="24"/>
              </w:rPr>
              <w:t>as referred to in</w:t>
            </w:r>
            <w:r w:rsidRPr="00661595">
              <w:rPr>
                <w:rFonts w:ascii="Times New Roman" w:hAnsi="Times New Roman"/>
                <w:sz w:val="24"/>
              </w:rPr>
              <w:t xml:space="preserve"> Article 110 </w:t>
            </w:r>
            <w:r w:rsidR="00C7103D" w:rsidRPr="00661595">
              <w:rPr>
                <w:rFonts w:ascii="Times New Roman" w:hAnsi="Times New Roman"/>
                <w:sz w:val="24"/>
              </w:rPr>
              <w:t>CRR</w:t>
            </w:r>
            <w:r w:rsidR="00664874" w:rsidRPr="00661595">
              <w:rPr>
                <w:rFonts w:ascii="Times New Roman" w:hAnsi="Times New Roman"/>
                <w:sz w:val="24"/>
              </w:rPr>
              <w:t>, as well as Regulation (EU) 183/2014</w:t>
            </w:r>
            <w:r w:rsidRPr="00661595">
              <w:rPr>
                <w:rFonts w:ascii="Times New Roman" w:hAnsi="Times New Roman"/>
                <w:sz w:val="24"/>
              </w:rPr>
              <w:t xml:space="preserve">. </w:t>
            </w:r>
          </w:p>
          <w:p w:rsidR="00D95045" w:rsidRPr="00661595" w:rsidRDefault="00D95045" w:rsidP="00D95045">
            <w:pPr>
              <w:rPr>
                <w:rFonts w:ascii="Times New Roman" w:hAnsi="Times New Roman"/>
                <w:sz w:val="24"/>
              </w:rPr>
            </w:pPr>
            <w:r w:rsidRPr="00661595">
              <w:rPr>
                <w:rFonts w:ascii="Times New Roman" w:hAnsi="Times New Roman"/>
                <w:sz w:val="24"/>
              </w:rPr>
              <w:t>This item</w:t>
            </w:r>
            <w:r w:rsidR="00AE7CD3" w:rsidRPr="00661595">
              <w:rPr>
                <w:rFonts w:ascii="Times New Roman" w:hAnsi="Times New Roman"/>
                <w:sz w:val="24"/>
              </w:rPr>
              <w:t xml:space="preserve"> shall </w:t>
            </w:r>
            <w:r w:rsidRPr="00661595">
              <w:rPr>
                <w:rFonts w:ascii="Times New Roman" w:hAnsi="Times New Roman"/>
                <w:sz w:val="24"/>
              </w:rPr>
              <w:t>include the general credit risk adjustments that are eligible for inclusion in T2 capital, before</w:t>
            </w:r>
            <w:r w:rsidR="00AE7CD3" w:rsidRPr="00661595">
              <w:rPr>
                <w:rFonts w:ascii="Times New Roman" w:hAnsi="Times New Roman"/>
                <w:sz w:val="24"/>
              </w:rPr>
              <w:t xml:space="preserve"> the application of the</w:t>
            </w:r>
            <w:r w:rsidRPr="00661595">
              <w:rPr>
                <w:rFonts w:ascii="Times New Roman" w:hAnsi="Times New Roman"/>
                <w:sz w:val="24"/>
              </w:rPr>
              <w:t xml:space="preserve"> cap</w:t>
            </w:r>
            <w:r w:rsidR="00AE7CD3" w:rsidRPr="00661595">
              <w:rPr>
                <w:rFonts w:ascii="Times New Roman" w:hAnsi="Times New Roman"/>
                <w:sz w:val="24"/>
              </w:rPr>
              <w:t xml:space="preserve"> referred to in </w:t>
            </w:r>
            <w:r w:rsidR="001E0C80" w:rsidRPr="00661595">
              <w:rPr>
                <w:rFonts w:ascii="Times New Roman" w:hAnsi="Times New Roman"/>
                <w:sz w:val="24"/>
              </w:rPr>
              <w:t xml:space="preserve">point (c) of </w:t>
            </w:r>
            <w:r w:rsidR="00AE7CD3" w:rsidRPr="00661595">
              <w:rPr>
                <w:rFonts w:ascii="Times New Roman" w:hAnsi="Times New Roman"/>
                <w:sz w:val="24"/>
              </w:rPr>
              <w:t xml:space="preserve">Article 62 </w:t>
            </w:r>
            <w:r w:rsidR="00C7103D" w:rsidRPr="00661595">
              <w:rPr>
                <w:rFonts w:ascii="Times New Roman" w:hAnsi="Times New Roman"/>
                <w:sz w:val="24"/>
              </w:rPr>
              <w:t>CRR</w:t>
            </w:r>
            <w:r w:rsidRPr="00661595">
              <w:rPr>
                <w:rFonts w:ascii="Times New Roman" w:hAnsi="Times New Roman"/>
                <w:sz w:val="24"/>
              </w:rPr>
              <w:t>.</w:t>
            </w:r>
          </w:p>
          <w:p w:rsidR="00D95045" w:rsidRPr="00661595" w:rsidRDefault="00D95045" w:rsidP="00D95045">
            <w:pPr>
              <w:rPr>
                <w:rFonts w:ascii="Times New Roman" w:hAnsi="Times New Roman"/>
                <w:b/>
                <w:sz w:val="24"/>
                <w:u w:val="single"/>
              </w:rPr>
            </w:pPr>
            <w:r w:rsidRPr="00661595">
              <w:rPr>
                <w:rFonts w:ascii="Times New Roman" w:hAnsi="Times New Roman"/>
                <w:sz w:val="24"/>
              </w:rPr>
              <w:t>The amount to be reported shall be gross of tax effects.</w:t>
            </w:r>
          </w:p>
        </w:tc>
      </w:tr>
      <w:tr w:rsidR="004357B9" w:rsidRPr="00661595" w:rsidTr="00672D2A">
        <w:tc>
          <w:tcPr>
            <w:tcW w:w="1188" w:type="dxa"/>
          </w:tcPr>
          <w:p w:rsidR="004357B9" w:rsidRPr="00661595" w:rsidRDefault="004357B9" w:rsidP="004357B9">
            <w:pPr>
              <w:rPr>
                <w:rFonts w:ascii="Times New Roman" w:hAnsi="Times New Roman"/>
                <w:sz w:val="24"/>
              </w:rPr>
            </w:pPr>
            <w:r w:rsidRPr="00661595">
              <w:rPr>
                <w:rFonts w:ascii="Times New Roman" w:hAnsi="Times New Roman"/>
                <w:sz w:val="24"/>
              </w:rPr>
              <w:t>0</w:t>
            </w:r>
            <w:r w:rsidR="001452FC" w:rsidRPr="00661595">
              <w:rPr>
                <w:rFonts w:ascii="Times New Roman" w:hAnsi="Times New Roman"/>
                <w:sz w:val="24"/>
              </w:rPr>
              <w:t>0</w:t>
            </w:r>
            <w:r w:rsidRPr="00661595">
              <w:rPr>
                <w:rFonts w:ascii="Times New Roman" w:hAnsi="Times New Roman"/>
                <w:sz w:val="24"/>
              </w:rPr>
              <w:t>55</w:t>
            </w:r>
          </w:p>
        </w:tc>
        <w:tc>
          <w:tcPr>
            <w:tcW w:w="8640" w:type="dxa"/>
          </w:tcPr>
          <w:p w:rsidR="004357B9" w:rsidRPr="00661595" w:rsidRDefault="004357B9" w:rsidP="004357B9">
            <w:pPr>
              <w:rPr>
                <w:rFonts w:ascii="Times New Roman" w:hAnsi="Times New Roman"/>
                <w:b/>
                <w:sz w:val="24"/>
                <w:u w:val="single"/>
              </w:rPr>
            </w:pPr>
            <w:r w:rsidRPr="00661595">
              <w:rPr>
                <w:rFonts w:ascii="Times New Roman" w:hAnsi="Times New Roman"/>
                <w:b/>
                <w:sz w:val="24"/>
                <w:u w:val="single"/>
              </w:rPr>
              <w:t>Specific credit risk adjustments</w:t>
            </w:r>
          </w:p>
          <w:p w:rsidR="004357B9" w:rsidRPr="00661595" w:rsidRDefault="004357B9" w:rsidP="003B2712">
            <w:pPr>
              <w:rPr>
                <w:rFonts w:ascii="Times New Roman" w:hAnsi="Times New Roman"/>
                <w:b/>
                <w:sz w:val="24"/>
                <w:u w:val="single"/>
              </w:rPr>
            </w:pPr>
            <w:r w:rsidRPr="00661595">
              <w:rPr>
                <w:rFonts w:ascii="Times New Roman" w:hAnsi="Times New Roman"/>
                <w:sz w:val="24"/>
              </w:rPr>
              <w:t xml:space="preserve">Credit risk adjustments </w:t>
            </w:r>
            <w:r w:rsidR="003B2712" w:rsidRPr="00661595">
              <w:rPr>
                <w:rFonts w:ascii="Times New Roman" w:hAnsi="Times New Roman"/>
                <w:sz w:val="24"/>
              </w:rPr>
              <w:t xml:space="preserve">as referred to in </w:t>
            </w:r>
            <w:r w:rsidRPr="00661595">
              <w:rPr>
                <w:rFonts w:ascii="Times New Roman" w:hAnsi="Times New Roman"/>
                <w:sz w:val="24"/>
              </w:rPr>
              <w:t xml:space="preserve">Article 110 </w:t>
            </w:r>
            <w:r w:rsidR="00C7103D" w:rsidRPr="00661595">
              <w:rPr>
                <w:rFonts w:ascii="Times New Roman" w:hAnsi="Times New Roman"/>
                <w:sz w:val="24"/>
              </w:rPr>
              <w:t>CRR</w:t>
            </w:r>
            <w:r w:rsidR="00664874" w:rsidRPr="00661595">
              <w:rPr>
                <w:rFonts w:ascii="Times New Roman" w:hAnsi="Times New Roman"/>
                <w:sz w:val="24"/>
              </w:rPr>
              <w:t>, as well as Regulation (EU) 183/2014</w:t>
            </w:r>
            <w:r w:rsidRPr="00661595">
              <w:rPr>
                <w:rFonts w:ascii="Times New Roman" w:hAnsi="Times New Roman"/>
                <w:sz w:val="24"/>
              </w:rPr>
              <w:t>.</w:t>
            </w:r>
          </w:p>
        </w:tc>
      </w:tr>
      <w:tr w:rsidR="004357B9" w:rsidRPr="00661595" w:rsidTr="00672D2A">
        <w:tc>
          <w:tcPr>
            <w:tcW w:w="1188" w:type="dxa"/>
          </w:tcPr>
          <w:p w:rsidR="004357B9" w:rsidRPr="00661595" w:rsidRDefault="004357B9" w:rsidP="004357B9">
            <w:pPr>
              <w:rPr>
                <w:rFonts w:ascii="Times New Roman" w:hAnsi="Times New Roman"/>
                <w:sz w:val="24"/>
              </w:rPr>
            </w:pPr>
            <w:r w:rsidRPr="00661595">
              <w:rPr>
                <w:rFonts w:ascii="Times New Roman" w:hAnsi="Times New Roman"/>
                <w:sz w:val="24"/>
              </w:rPr>
              <w:t>0</w:t>
            </w:r>
            <w:r w:rsidR="001452FC" w:rsidRPr="00661595">
              <w:rPr>
                <w:rFonts w:ascii="Times New Roman" w:hAnsi="Times New Roman"/>
                <w:sz w:val="24"/>
              </w:rPr>
              <w:t>0</w:t>
            </w:r>
            <w:r w:rsidRPr="00661595">
              <w:rPr>
                <w:rFonts w:ascii="Times New Roman" w:hAnsi="Times New Roman"/>
                <w:sz w:val="24"/>
              </w:rPr>
              <w:t>60</w:t>
            </w:r>
          </w:p>
        </w:tc>
        <w:tc>
          <w:tcPr>
            <w:tcW w:w="8640" w:type="dxa"/>
          </w:tcPr>
          <w:p w:rsidR="004357B9" w:rsidRPr="00661595" w:rsidRDefault="004357B9" w:rsidP="004357B9">
            <w:pPr>
              <w:rPr>
                <w:rFonts w:ascii="Times New Roman" w:hAnsi="Times New Roman"/>
                <w:b/>
                <w:sz w:val="24"/>
                <w:u w:val="single"/>
              </w:rPr>
            </w:pPr>
            <w:r w:rsidRPr="00661595">
              <w:rPr>
                <w:rFonts w:ascii="Times New Roman" w:hAnsi="Times New Roman"/>
                <w:b/>
                <w:sz w:val="24"/>
                <w:u w:val="single"/>
              </w:rPr>
              <w:t>Write-offs</w:t>
            </w:r>
          </w:p>
          <w:p w:rsidR="004357B9" w:rsidRPr="00661595" w:rsidRDefault="004357B9" w:rsidP="007D1F12">
            <w:pPr>
              <w:rPr>
                <w:rFonts w:ascii="Times New Roman" w:hAnsi="Times New Roman"/>
                <w:b/>
                <w:sz w:val="24"/>
                <w:u w:val="single"/>
              </w:rPr>
            </w:pPr>
            <w:r w:rsidRPr="00661595">
              <w:rPr>
                <w:rStyle w:val="InstructionsTabelleText"/>
                <w:rFonts w:ascii="Times New Roman" w:hAnsi="Times New Roman"/>
                <w:sz w:val="24"/>
              </w:rPr>
              <w:t xml:space="preserve">Write-offs </w:t>
            </w:r>
            <w:r w:rsidR="007D1F12" w:rsidRPr="00661595">
              <w:rPr>
                <w:rStyle w:val="InstructionsTabelleText"/>
                <w:rFonts w:ascii="Times New Roman" w:hAnsi="Times New Roman"/>
                <w:sz w:val="24"/>
              </w:rPr>
              <w:t xml:space="preserve">as referred to in </w:t>
            </w:r>
            <w:r w:rsidR="00EA4F4F" w:rsidRPr="00661595">
              <w:rPr>
                <w:rStyle w:val="InstructionsTabelleText"/>
                <w:rFonts w:ascii="Times New Roman" w:hAnsi="Times New Roman"/>
                <w:sz w:val="24"/>
              </w:rPr>
              <w:t>IFRS 9.5.4.4 and B5.4.9</w:t>
            </w:r>
            <w:r w:rsidR="007D1F12" w:rsidRPr="00661595">
              <w:rPr>
                <w:rStyle w:val="InstructionsTabelleText"/>
                <w:rFonts w:ascii="Times New Roman" w:hAnsi="Times New Roman"/>
                <w:sz w:val="24"/>
              </w:rPr>
              <w:t>.</w:t>
            </w:r>
          </w:p>
        </w:tc>
      </w:tr>
      <w:tr w:rsidR="00664874" w:rsidRPr="00661595" w:rsidTr="00672D2A">
        <w:tc>
          <w:tcPr>
            <w:tcW w:w="1188" w:type="dxa"/>
          </w:tcPr>
          <w:p w:rsidR="00664874" w:rsidRPr="00661595" w:rsidRDefault="00664874" w:rsidP="00010124">
            <w:pPr>
              <w:rPr>
                <w:rFonts w:ascii="Times New Roman" w:hAnsi="Times New Roman"/>
                <w:sz w:val="24"/>
              </w:rPr>
            </w:pPr>
            <w:r w:rsidRPr="00661595">
              <w:rPr>
                <w:rFonts w:ascii="Times New Roman" w:hAnsi="Times New Roman"/>
                <w:sz w:val="24"/>
                <w:lang w:eastAsia="en-GB" w:bidi="ne-NP"/>
              </w:rPr>
              <w:t>0</w:t>
            </w:r>
            <w:r w:rsidR="001452FC" w:rsidRPr="00661595">
              <w:rPr>
                <w:rFonts w:ascii="Times New Roman" w:hAnsi="Times New Roman"/>
                <w:sz w:val="24"/>
                <w:lang w:eastAsia="en-GB" w:bidi="ne-NP"/>
              </w:rPr>
              <w:t>0</w:t>
            </w:r>
            <w:r w:rsidRPr="00661595">
              <w:rPr>
                <w:rFonts w:ascii="Times New Roman" w:hAnsi="Times New Roman"/>
                <w:sz w:val="24"/>
                <w:lang w:eastAsia="en-GB" w:bidi="ne-NP"/>
              </w:rPr>
              <w:t>61</w:t>
            </w:r>
          </w:p>
        </w:tc>
        <w:tc>
          <w:tcPr>
            <w:tcW w:w="8640" w:type="dxa"/>
          </w:tcPr>
          <w:p w:rsidR="00664874" w:rsidRPr="00661595" w:rsidRDefault="00664874" w:rsidP="00664874">
            <w:pPr>
              <w:rPr>
                <w:rFonts w:ascii="Times New Roman" w:hAnsi="Times New Roman"/>
                <w:b/>
                <w:sz w:val="24"/>
                <w:u w:val="single"/>
                <w:lang w:eastAsia="en-GB" w:bidi="ne-NP"/>
              </w:rPr>
            </w:pPr>
            <w:r w:rsidRPr="00661595">
              <w:rPr>
                <w:rFonts w:ascii="Times New Roman" w:hAnsi="Times New Roman"/>
                <w:b/>
                <w:sz w:val="24"/>
                <w:u w:val="single"/>
                <w:lang w:eastAsia="en-GB" w:bidi="ne-NP"/>
              </w:rPr>
              <w:t>Additional value adjustments and other own funds reductions</w:t>
            </w:r>
          </w:p>
          <w:p w:rsidR="00664874" w:rsidRPr="00661595" w:rsidRDefault="00664874" w:rsidP="00664874">
            <w:pPr>
              <w:rPr>
                <w:rFonts w:ascii="Times New Roman" w:hAnsi="Times New Roman"/>
                <w:b/>
                <w:sz w:val="24"/>
                <w:u w:val="single"/>
              </w:rPr>
            </w:pPr>
            <w:r w:rsidRPr="00661595">
              <w:rPr>
                <w:rFonts w:ascii="Times New Roman" w:hAnsi="Times New Roman"/>
                <w:sz w:val="24"/>
                <w:lang w:eastAsia="en-GB" w:bidi="ne-NP"/>
              </w:rPr>
              <w:t>In line with Article 111 CRR.</w:t>
            </w:r>
          </w:p>
        </w:tc>
      </w:tr>
      <w:tr w:rsidR="004357B9" w:rsidRPr="00661595" w:rsidTr="00672D2A">
        <w:tc>
          <w:tcPr>
            <w:tcW w:w="1188" w:type="dxa"/>
          </w:tcPr>
          <w:p w:rsidR="004357B9" w:rsidRPr="00661595" w:rsidRDefault="004357B9" w:rsidP="004357B9">
            <w:pPr>
              <w:rPr>
                <w:rFonts w:ascii="Times New Roman" w:hAnsi="Times New Roman"/>
                <w:sz w:val="24"/>
              </w:rPr>
            </w:pPr>
            <w:r w:rsidRPr="00661595">
              <w:rPr>
                <w:rFonts w:ascii="Times New Roman" w:hAnsi="Times New Roman"/>
                <w:sz w:val="24"/>
              </w:rPr>
              <w:t>0</w:t>
            </w:r>
            <w:r w:rsidR="001452FC" w:rsidRPr="00661595">
              <w:rPr>
                <w:rFonts w:ascii="Times New Roman" w:hAnsi="Times New Roman"/>
                <w:sz w:val="24"/>
              </w:rPr>
              <w:t>0</w:t>
            </w:r>
            <w:r w:rsidRPr="00661595">
              <w:rPr>
                <w:rFonts w:ascii="Times New Roman" w:hAnsi="Times New Roman"/>
                <w:sz w:val="24"/>
              </w:rPr>
              <w:t>70</w:t>
            </w:r>
          </w:p>
        </w:tc>
        <w:tc>
          <w:tcPr>
            <w:tcW w:w="8640" w:type="dxa"/>
          </w:tcPr>
          <w:p w:rsidR="004357B9" w:rsidRPr="00661595" w:rsidRDefault="004357B9" w:rsidP="004357B9">
            <w:pPr>
              <w:rPr>
                <w:rFonts w:ascii="Times New Roman" w:hAnsi="Times New Roman"/>
                <w:b/>
                <w:sz w:val="24"/>
                <w:u w:val="single"/>
              </w:rPr>
            </w:pPr>
            <w:r w:rsidRPr="00661595">
              <w:rPr>
                <w:rFonts w:ascii="Times New Roman" w:hAnsi="Times New Roman"/>
                <w:b/>
                <w:sz w:val="24"/>
                <w:u w:val="single"/>
              </w:rPr>
              <w:t>Credit risk adjustments/write-offs for observed new defaults</w:t>
            </w:r>
          </w:p>
          <w:p w:rsidR="004357B9" w:rsidRPr="00661595" w:rsidRDefault="004357B9" w:rsidP="004357B9">
            <w:pPr>
              <w:rPr>
                <w:rFonts w:ascii="Times New Roman" w:hAnsi="Times New Roman"/>
                <w:b/>
                <w:sz w:val="24"/>
                <w:u w:val="single"/>
              </w:rPr>
            </w:pPr>
            <w:r w:rsidRPr="00661595">
              <w:rPr>
                <w:rStyle w:val="InstructionsTabelleText"/>
                <w:rFonts w:ascii="Times New Roman" w:hAnsi="Times New Roman"/>
                <w:sz w:val="24"/>
              </w:rPr>
              <w:t>Sum of credit risk adjustments and write-offs for those exposures which were classified as “defaulted exposures” during the 3-month period since the last data submission.</w:t>
            </w:r>
          </w:p>
        </w:tc>
      </w:tr>
      <w:tr w:rsidR="004357B9" w:rsidRPr="00661595" w:rsidTr="00672D2A">
        <w:tc>
          <w:tcPr>
            <w:tcW w:w="1188" w:type="dxa"/>
          </w:tcPr>
          <w:p w:rsidR="004357B9" w:rsidRPr="00661595" w:rsidRDefault="004357B9" w:rsidP="004357B9">
            <w:pPr>
              <w:rPr>
                <w:rFonts w:ascii="Times New Roman" w:hAnsi="Times New Roman"/>
                <w:sz w:val="24"/>
              </w:rPr>
            </w:pPr>
            <w:r w:rsidRPr="00661595">
              <w:rPr>
                <w:rFonts w:ascii="Times New Roman" w:hAnsi="Times New Roman"/>
                <w:sz w:val="24"/>
              </w:rPr>
              <w:t>0</w:t>
            </w:r>
            <w:r w:rsidR="001452FC" w:rsidRPr="00661595">
              <w:rPr>
                <w:rFonts w:ascii="Times New Roman" w:hAnsi="Times New Roman"/>
                <w:sz w:val="24"/>
              </w:rPr>
              <w:t>0</w:t>
            </w:r>
            <w:r w:rsidRPr="00661595">
              <w:rPr>
                <w:rFonts w:ascii="Times New Roman" w:hAnsi="Times New Roman"/>
                <w:sz w:val="24"/>
              </w:rPr>
              <w:t>75</w:t>
            </w:r>
          </w:p>
        </w:tc>
        <w:tc>
          <w:tcPr>
            <w:tcW w:w="8640" w:type="dxa"/>
          </w:tcPr>
          <w:p w:rsidR="004357B9" w:rsidRPr="00661595" w:rsidRDefault="004357B9" w:rsidP="004357B9">
            <w:pPr>
              <w:rPr>
                <w:rFonts w:ascii="Times New Roman" w:hAnsi="Times New Roman"/>
                <w:b/>
                <w:sz w:val="24"/>
                <w:u w:val="single"/>
              </w:rPr>
            </w:pPr>
            <w:r w:rsidRPr="00661595">
              <w:rPr>
                <w:rFonts w:ascii="Times New Roman" w:hAnsi="Times New Roman"/>
                <w:b/>
                <w:sz w:val="24"/>
                <w:u w:val="single"/>
              </w:rPr>
              <w:t>Exposure value</w:t>
            </w:r>
          </w:p>
          <w:p w:rsidR="004357B9" w:rsidRPr="00661595" w:rsidRDefault="004357B9" w:rsidP="004357B9">
            <w:pPr>
              <w:rPr>
                <w:rFonts w:ascii="Times New Roman" w:hAnsi="Times New Roman"/>
                <w:b/>
                <w:sz w:val="24"/>
                <w:u w:val="single"/>
              </w:rPr>
            </w:pPr>
            <w:r w:rsidRPr="00661595">
              <w:rPr>
                <w:rStyle w:val="InstructionsTabelleText"/>
                <w:rFonts w:ascii="Times New Roman" w:hAnsi="Times New Roman"/>
                <w:sz w:val="24"/>
              </w:rPr>
              <w:t xml:space="preserve">Same definition as for column </w:t>
            </w:r>
            <w:r w:rsidR="001452FC" w:rsidRPr="00661595">
              <w:rPr>
                <w:rStyle w:val="InstructionsTabelleText"/>
                <w:rFonts w:ascii="Times New Roman" w:hAnsi="Times New Roman"/>
                <w:sz w:val="24"/>
              </w:rPr>
              <w:t>0</w:t>
            </w:r>
            <w:r w:rsidRPr="00661595">
              <w:rPr>
                <w:rStyle w:val="InstructionsTabelleText"/>
                <w:rFonts w:ascii="Times New Roman" w:hAnsi="Times New Roman"/>
                <w:sz w:val="24"/>
              </w:rPr>
              <w:t>200 of CR SA template</w:t>
            </w:r>
          </w:p>
        </w:tc>
      </w:tr>
      <w:tr w:rsidR="004357B9" w:rsidRPr="00661595" w:rsidTr="00672D2A">
        <w:tc>
          <w:tcPr>
            <w:tcW w:w="1188" w:type="dxa"/>
          </w:tcPr>
          <w:p w:rsidR="004357B9" w:rsidRPr="00661595" w:rsidRDefault="004357B9" w:rsidP="004357B9">
            <w:pPr>
              <w:rPr>
                <w:rFonts w:ascii="Times New Roman" w:hAnsi="Times New Roman"/>
                <w:sz w:val="24"/>
              </w:rPr>
            </w:pPr>
            <w:r w:rsidRPr="00661595">
              <w:rPr>
                <w:rFonts w:ascii="Times New Roman" w:hAnsi="Times New Roman"/>
                <w:sz w:val="24"/>
              </w:rPr>
              <w:t>0</w:t>
            </w:r>
            <w:r w:rsidR="001452FC" w:rsidRPr="00661595">
              <w:rPr>
                <w:rFonts w:ascii="Times New Roman" w:hAnsi="Times New Roman"/>
                <w:sz w:val="24"/>
              </w:rPr>
              <w:t>0</w:t>
            </w:r>
            <w:r w:rsidRPr="00661595">
              <w:rPr>
                <w:rFonts w:ascii="Times New Roman" w:hAnsi="Times New Roman"/>
                <w:sz w:val="24"/>
              </w:rPr>
              <w:t>80</w:t>
            </w:r>
          </w:p>
        </w:tc>
        <w:tc>
          <w:tcPr>
            <w:tcW w:w="8640" w:type="dxa"/>
          </w:tcPr>
          <w:p w:rsidR="004357B9" w:rsidRPr="00661595" w:rsidRDefault="004357B9" w:rsidP="004357B9">
            <w:pPr>
              <w:rPr>
                <w:rFonts w:ascii="Times New Roman" w:hAnsi="Times New Roman"/>
                <w:b/>
                <w:sz w:val="24"/>
                <w:u w:val="single"/>
              </w:rPr>
            </w:pPr>
            <w:r w:rsidRPr="00661595">
              <w:rPr>
                <w:rFonts w:ascii="Times New Roman" w:hAnsi="Times New Roman"/>
                <w:b/>
                <w:sz w:val="24"/>
                <w:u w:val="single"/>
              </w:rPr>
              <w:t>RISK WEIGHTED EXPOSURE AMOUNT PRE SUPPORTING FACTOR</w:t>
            </w:r>
            <w:r w:rsidR="00664874" w:rsidRPr="00661595">
              <w:rPr>
                <w:rFonts w:ascii="Times New Roman" w:hAnsi="Times New Roman"/>
                <w:b/>
                <w:sz w:val="24"/>
                <w:u w:val="single"/>
              </w:rPr>
              <w:t>S</w:t>
            </w:r>
          </w:p>
          <w:p w:rsidR="004357B9" w:rsidRPr="00661595" w:rsidRDefault="004357B9" w:rsidP="004357B9">
            <w:pPr>
              <w:rPr>
                <w:rFonts w:ascii="Times New Roman" w:hAnsi="Times New Roman"/>
                <w:b/>
                <w:sz w:val="24"/>
                <w:u w:val="single"/>
              </w:rPr>
            </w:pPr>
            <w:r w:rsidRPr="00661595">
              <w:rPr>
                <w:rFonts w:ascii="Times New Roman" w:hAnsi="Times New Roman"/>
                <w:sz w:val="24"/>
              </w:rPr>
              <w:t xml:space="preserve">Same definition as for column </w:t>
            </w:r>
            <w:r w:rsidR="001452FC" w:rsidRPr="00661595">
              <w:rPr>
                <w:rFonts w:ascii="Times New Roman" w:hAnsi="Times New Roman"/>
                <w:sz w:val="24"/>
              </w:rPr>
              <w:t>0</w:t>
            </w:r>
            <w:r w:rsidRPr="00661595">
              <w:rPr>
                <w:rFonts w:ascii="Times New Roman" w:hAnsi="Times New Roman"/>
                <w:sz w:val="24"/>
              </w:rPr>
              <w:t>215 of CR SA template</w:t>
            </w:r>
          </w:p>
        </w:tc>
      </w:tr>
      <w:tr w:rsidR="00664874" w:rsidRPr="00661595" w:rsidTr="00672D2A">
        <w:tc>
          <w:tcPr>
            <w:tcW w:w="1188" w:type="dxa"/>
          </w:tcPr>
          <w:p w:rsidR="00664874" w:rsidRPr="00661595" w:rsidRDefault="00664874" w:rsidP="00664874">
            <w:pPr>
              <w:rPr>
                <w:rFonts w:ascii="Times New Roman" w:hAnsi="Times New Roman"/>
                <w:sz w:val="24"/>
              </w:rPr>
            </w:pPr>
            <w:r w:rsidRPr="00661595">
              <w:rPr>
                <w:rFonts w:ascii="Times New Roman" w:hAnsi="Times New Roman"/>
                <w:sz w:val="24"/>
                <w:lang w:eastAsia="en-GB" w:bidi="ne-NP"/>
              </w:rPr>
              <w:t>0</w:t>
            </w:r>
            <w:r w:rsidR="001452FC" w:rsidRPr="00661595">
              <w:rPr>
                <w:rFonts w:ascii="Times New Roman" w:hAnsi="Times New Roman"/>
                <w:sz w:val="24"/>
                <w:lang w:eastAsia="en-GB" w:bidi="ne-NP"/>
              </w:rPr>
              <w:t>0</w:t>
            </w:r>
            <w:r w:rsidRPr="00661595">
              <w:rPr>
                <w:rFonts w:ascii="Times New Roman" w:hAnsi="Times New Roman"/>
                <w:sz w:val="24"/>
                <w:lang w:eastAsia="en-GB" w:bidi="ne-NP"/>
              </w:rPr>
              <w:t>81</w:t>
            </w:r>
          </w:p>
        </w:tc>
        <w:tc>
          <w:tcPr>
            <w:tcW w:w="8640" w:type="dxa"/>
          </w:tcPr>
          <w:p w:rsidR="00664874" w:rsidRPr="00661595" w:rsidRDefault="00664874" w:rsidP="00664874">
            <w:pPr>
              <w:rPr>
                <w:rStyle w:val="InstructionsTabelleberschrift"/>
                <w:rFonts w:ascii="Times New Roman" w:hAnsi="Times New Roman"/>
                <w:sz w:val="32"/>
              </w:rPr>
            </w:pPr>
            <w:r w:rsidRPr="00661595">
              <w:rPr>
                <w:rStyle w:val="InstructionsTabelleberschrift"/>
                <w:rFonts w:ascii="Times New Roman" w:hAnsi="Times New Roman"/>
                <w:sz w:val="24"/>
                <w:lang w:eastAsia="en-GB" w:bidi="ne-NP"/>
              </w:rPr>
              <w:t xml:space="preserve">(-) ADJUSTMENT TO THE RISK-WEIGHTED EXPOSURE AMOUNT DUE TO </w:t>
            </w:r>
            <w:r w:rsidR="003F19BA">
              <w:rPr>
                <w:rStyle w:val="InstructionsTabelleberschrift"/>
                <w:rFonts w:ascii="Times New Roman" w:hAnsi="Times New Roman"/>
                <w:sz w:val="24"/>
                <w:lang w:eastAsia="en-GB" w:bidi="ne-NP"/>
              </w:rPr>
              <w:t xml:space="preserve">THE </w:t>
            </w:r>
            <w:r w:rsidRPr="00661595">
              <w:rPr>
                <w:rStyle w:val="InstructionsTabelleberschrift"/>
                <w:rFonts w:ascii="Times New Roman" w:hAnsi="Times New Roman"/>
                <w:sz w:val="24"/>
                <w:lang w:eastAsia="en-GB" w:bidi="ne-NP"/>
              </w:rPr>
              <w:t>SME SUPPORTING FACTOR</w:t>
            </w:r>
          </w:p>
          <w:p w:rsidR="00664874" w:rsidRPr="00661595" w:rsidRDefault="00664874" w:rsidP="003F19BA">
            <w:pPr>
              <w:rPr>
                <w:rFonts w:ascii="Times New Roman" w:hAnsi="Times New Roman"/>
                <w:b/>
                <w:sz w:val="24"/>
                <w:u w:val="single"/>
              </w:rPr>
            </w:pPr>
            <w:r w:rsidRPr="00661595">
              <w:rPr>
                <w:rFonts w:ascii="Times New Roman" w:hAnsi="Times New Roman"/>
                <w:sz w:val="24"/>
                <w:lang w:eastAsia="en-GB" w:bidi="ne-NP"/>
              </w:rPr>
              <w:t xml:space="preserve">Same definition as for column </w:t>
            </w:r>
            <w:r w:rsidR="001452FC" w:rsidRPr="00661595">
              <w:rPr>
                <w:rFonts w:ascii="Times New Roman" w:hAnsi="Times New Roman"/>
                <w:sz w:val="24"/>
                <w:lang w:eastAsia="en-GB" w:bidi="ne-NP"/>
              </w:rPr>
              <w:t>0</w:t>
            </w:r>
            <w:r w:rsidRPr="00661595">
              <w:rPr>
                <w:rFonts w:ascii="Times New Roman" w:hAnsi="Times New Roman"/>
                <w:sz w:val="24"/>
                <w:lang w:eastAsia="en-GB" w:bidi="ne-NP"/>
              </w:rPr>
              <w:t>216 of CR SA template</w:t>
            </w:r>
          </w:p>
        </w:tc>
      </w:tr>
      <w:tr w:rsidR="00664874" w:rsidRPr="00661595" w:rsidTr="00672D2A">
        <w:tc>
          <w:tcPr>
            <w:tcW w:w="1188" w:type="dxa"/>
          </w:tcPr>
          <w:p w:rsidR="00664874" w:rsidRPr="00661595" w:rsidRDefault="00664874" w:rsidP="00664874">
            <w:pPr>
              <w:rPr>
                <w:rFonts w:ascii="Times New Roman" w:hAnsi="Times New Roman"/>
                <w:sz w:val="24"/>
              </w:rPr>
            </w:pPr>
            <w:r w:rsidRPr="00661595">
              <w:rPr>
                <w:rFonts w:ascii="Times New Roman" w:hAnsi="Times New Roman"/>
                <w:sz w:val="24"/>
                <w:lang w:eastAsia="en-GB" w:bidi="ne-NP"/>
              </w:rPr>
              <w:t>0</w:t>
            </w:r>
            <w:r w:rsidR="001452FC" w:rsidRPr="00661595">
              <w:rPr>
                <w:rFonts w:ascii="Times New Roman" w:hAnsi="Times New Roman"/>
                <w:sz w:val="24"/>
                <w:lang w:eastAsia="en-GB" w:bidi="ne-NP"/>
              </w:rPr>
              <w:t>0</w:t>
            </w:r>
            <w:r w:rsidRPr="00661595">
              <w:rPr>
                <w:rFonts w:ascii="Times New Roman" w:hAnsi="Times New Roman"/>
                <w:sz w:val="24"/>
                <w:lang w:eastAsia="en-GB" w:bidi="ne-NP"/>
              </w:rPr>
              <w:t>82</w:t>
            </w:r>
          </w:p>
        </w:tc>
        <w:tc>
          <w:tcPr>
            <w:tcW w:w="8640" w:type="dxa"/>
          </w:tcPr>
          <w:p w:rsidR="00664874" w:rsidRPr="00661595" w:rsidRDefault="00664874" w:rsidP="00664874">
            <w:pPr>
              <w:rPr>
                <w:rStyle w:val="InstructionsTabelleberschrift"/>
                <w:rFonts w:ascii="Times New Roman" w:hAnsi="Times New Roman"/>
                <w:sz w:val="32"/>
              </w:rPr>
            </w:pPr>
            <w:r w:rsidRPr="00661595">
              <w:rPr>
                <w:rStyle w:val="InstructionsTabelleberschrift"/>
                <w:rFonts w:ascii="Times New Roman" w:hAnsi="Times New Roman"/>
                <w:sz w:val="24"/>
                <w:lang w:eastAsia="en-GB" w:bidi="ne-NP"/>
              </w:rPr>
              <w:t xml:space="preserve">(-) ADJUSTMENT TO THE RISK-WEIGHTED EXPOSURE AMOUNT DUE TO </w:t>
            </w:r>
            <w:r w:rsidR="00696434">
              <w:rPr>
                <w:rStyle w:val="InstructionsTabelleberschrift"/>
                <w:rFonts w:ascii="Times New Roman" w:hAnsi="Times New Roman"/>
                <w:sz w:val="24"/>
                <w:lang w:eastAsia="en-GB" w:bidi="ne-NP"/>
              </w:rPr>
              <w:t xml:space="preserve">THE </w:t>
            </w:r>
            <w:r w:rsidRPr="00661595">
              <w:rPr>
                <w:rStyle w:val="InstructionsTabelleberschrift"/>
                <w:rFonts w:ascii="Times New Roman" w:hAnsi="Times New Roman"/>
                <w:sz w:val="24"/>
                <w:lang w:eastAsia="en-GB" w:bidi="ne-NP"/>
              </w:rPr>
              <w:t xml:space="preserve">INFRASTRUCTURE </w:t>
            </w:r>
            <w:r w:rsidR="005C29CD">
              <w:rPr>
                <w:rStyle w:val="InstructionsTabelleberschrift"/>
                <w:rFonts w:ascii="Times New Roman" w:hAnsi="Times New Roman"/>
                <w:sz w:val="24"/>
                <w:lang w:eastAsia="en-GB" w:bidi="ne-NP"/>
              </w:rPr>
              <w:t>SUPPORTING FACTOR</w:t>
            </w:r>
          </w:p>
          <w:p w:rsidR="00664874" w:rsidRPr="00661595" w:rsidRDefault="00664874" w:rsidP="000E197A">
            <w:pPr>
              <w:rPr>
                <w:rFonts w:ascii="Times New Roman" w:hAnsi="Times New Roman"/>
                <w:b/>
                <w:sz w:val="24"/>
                <w:u w:val="single"/>
              </w:rPr>
            </w:pPr>
            <w:r w:rsidRPr="00661595">
              <w:rPr>
                <w:rFonts w:ascii="Times New Roman" w:hAnsi="Times New Roman"/>
                <w:sz w:val="24"/>
                <w:lang w:eastAsia="en-GB" w:bidi="ne-NP"/>
              </w:rPr>
              <w:t xml:space="preserve">Same definition as for column </w:t>
            </w:r>
            <w:r w:rsidR="001452FC" w:rsidRPr="00661595">
              <w:rPr>
                <w:rFonts w:ascii="Times New Roman" w:hAnsi="Times New Roman"/>
                <w:sz w:val="24"/>
                <w:lang w:eastAsia="en-GB" w:bidi="ne-NP"/>
              </w:rPr>
              <w:t>0</w:t>
            </w:r>
            <w:r w:rsidRPr="00661595">
              <w:rPr>
                <w:rFonts w:ascii="Times New Roman" w:hAnsi="Times New Roman"/>
                <w:sz w:val="24"/>
                <w:lang w:eastAsia="en-GB" w:bidi="ne-NP"/>
              </w:rPr>
              <w:t>217 of CR SA template</w:t>
            </w:r>
          </w:p>
        </w:tc>
      </w:tr>
      <w:tr w:rsidR="004357B9" w:rsidRPr="00661595" w:rsidTr="00672D2A">
        <w:tc>
          <w:tcPr>
            <w:tcW w:w="1188" w:type="dxa"/>
          </w:tcPr>
          <w:p w:rsidR="004357B9" w:rsidRPr="00661595" w:rsidRDefault="004357B9" w:rsidP="004357B9">
            <w:pPr>
              <w:rPr>
                <w:rFonts w:ascii="Times New Roman" w:hAnsi="Times New Roman"/>
                <w:sz w:val="24"/>
              </w:rPr>
            </w:pPr>
            <w:r w:rsidRPr="00661595">
              <w:rPr>
                <w:rFonts w:ascii="Times New Roman" w:hAnsi="Times New Roman"/>
                <w:sz w:val="24"/>
              </w:rPr>
              <w:t>0</w:t>
            </w:r>
            <w:r w:rsidR="001452FC" w:rsidRPr="00661595">
              <w:rPr>
                <w:rFonts w:ascii="Times New Roman" w:hAnsi="Times New Roman"/>
                <w:sz w:val="24"/>
              </w:rPr>
              <w:t>0</w:t>
            </w:r>
            <w:r w:rsidRPr="00661595">
              <w:rPr>
                <w:rFonts w:ascii="Times New Roman" w:hAnsi="Times New Roman"/>
                <w:sz w:val="24"/>
              </w:rPr>
              <w:t>90</w:t>
            </w:r>
          </w:p>
        </w:tc>
        <w:tc>
          <w:tcPr>
            <w:tcW w:w="8640" w:type="dxa"/>
          </w:tcPr>
          <w:p w:rsidR="004357B9" w:rsidRPr="00661595" w:rsidRDefault="004357B9" w:rsidP="004357B9">
            <w:pPr>
              <w:rPr>
                <w:rFonts w:ascii="Times New Roman" w:hAnsi="Times New Roman"/>
                <w:b/>
                <w:sz w:val="24"/>
                <w:u w:val="single"/>
              </w:rPr>
            </w:pPr>
            <w:r w:rsidRPr="00661595">
              <w:rPr>
                <w:rFonts w:ascii="Times New Roman" w:hAnsi="Times New Roman"/>
                <w:b/>
                <w:sz w:val="24"/>
                <w:u w:val="single"/>
              </w:rPr>
              <w:t>RISK WEIGHTED EXPOSURE AMOUNT AFTER SUPPORTING FACTOR</w:t>
            </w:r>
            <w:r w:rsidR="00664874" w:rsidRPr="00661595">
              <w:rPr>
                <w:rFonts w:ascii="Times New Roman" w:hAnsi="Times New Roman"/>
                <w:b/>
                <w:sz w:val="24"/>
                <w:u w:val="single"/>
              </w:rPr>
              <w:t>S</w:t>
            </w:r>
          </w:p>
          <w:p w:rsidR="004357B9" w:rsidRPr="00661595" w:rsidRDefault="004357B9" w:rsidP="004357B9">
            <w:pPr>
              <w:rPr>
                <w:rFonts w:ascii="Times New Roman" w:hAnsi="Times New Roman"/>
                <w:b/>
                <w:sz w:val="24"/>
                <w:u w:val="single"/>
              </w:rPr>
            </w:pPr>
            <w:r w:rsidRPr="00661595">
              <w:rPr>
                <w:rFonts w:ascii="Times New Roman" w:hAnsi="Times New Roman"/>
                <w:sz w:val="24"/>
              </w:rPr>
              <w:t xml:space="preserve">Same definition as for column </w:t>
            </w:r>
            <w:r w:rsidR="001452FC" w:rsidRPr="00661595">
              <w:rPr>
                <w:rFonts w:ascii="Times New Roman" w:hAnsi="Times New Roman"/>
                <w:sz w:val="24"/>
              </w:rPr>
              <w:t>0</w:t>
            </w:r>
            <w:r w:rsidRPr="00661595">
              <w:rPr>
                <w:rFonts w:ascii="Times New Roman" w:hAnsi="Times New Roman"/>
                <w:sz w:val="24"/>
              </w:rPr>
              <w:t>220 of CR SA template</w:t>
            </w:r>
          </w:p>
        </w:tc>
      </w:tr>
    </w:tbl>
    <w:p w:rsidR="004357B9" w:rsidRPr="00661595" w:rsidRDefault="004357B9" w:rsidP="004357B9">
      <w:pPr>
        <w:rPr>
          <w:rFonts w:ascii="Times New Roman" w:hAnsi="Times New Roman"/>
          <w:sz w:val="24"/>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8640"/>
        <w:gridCol w:w="61"/>
      </w:tblGrid>
      <w:tr w:rsidR="004357B9" w:rsidRPr="00661595" w:rsidTr="00672D2A">
        <w:trPr>
          <w:gridAfter w:val="1"/>
          <w:wAfter w:w="61" w:type="dxa"/>
          <w:trHeight w:val="581"/>
        </w:trPr>
        <w:tc>
          <w:tcPr>
            <w:tcW w:w="9828" w:type="dxa"/>
            <w:gridSpan w:val="2"/>
            <w:shd w:val="clear" w:color="auto" w:fill="CCCCCC"/>
          </w:tcPr>
          <w:p w:rsidR="004357B9" w:rsidRPr="00661595" w:rsidRDefault="004357B9" w:rsidP="004357B9">
            <w:pPr>
              <w:spacing w:after="0"/>
              <w:rPr>
                <w:rStyle w:val="InstructionsTabelleText"/>
                <w:rFonts w:ascii="Times New Roman" w:hAnsi="Times New Roman"/>
                <w:b/>
                <w:sz w:val="24"/>
              </w:rPr>
            </w:pPr>
            <w:r w:rsidRPr="00661595">
              <w:rPr>
                <w:rStyle w:val="InstructionsTabelleText"/>
                <w:rFonts w:ascii="Times New Roman" w:hAnsi="Times New Roman"/>
                <w:b/>
                <w:sz w:val="24"/>
              </w:rPr>
              <w:t>Rows</w:t>
            </w:r>
          </w:p>
        </w:tc>
      </w:tr>
      <w:tr w:rsidR="004357B9" w:rsidRPr="00661595" w:rsidTr="00672D2A">
        <w:tc>
          <w:tcPr>
            <w:tcW w:w="1188" w:type="dxa"/>
            <w:shd w:val="clear" w:color="auto" w:fill="FFFFFF"/>
          </w:tcPr>
          <w:p w:rsidR="004357B9" w:rsidRPr="00661595" w:rsidRDefault="004357B9" w:rsidP="004357B9">
            <w:pPr>
              <w:rPr>
                <w:rFonts w:ascii="Times New Roman" w:hAnsi="Times New Roman"/>
                <w:sz w:val="24"/>
              </w:rPr>
            </w:pPr>
            <w:r w:rsidRPr="00661595">
              <w:rPr>
                <w:rFonts w:ascii="Times New Roman" w:hAnsi="Times New Roman"/>
                <w:sz w:val="24"/>
              </w:rPr>
              <w:t>0</w:t>
            </w:r>
            <w:r w:rsidR="001452FC" w:rsidRPr="00661595">
              <w:rPr>
                <w:rFonts w:ascii="Times New Roman" w:hAnsi="Times New Roman"/>
                <w:sz w:val="24"/>
              </w:rPr>
              <w:t>0</w:t>
            </w:r>
            <w:r w:rsidRPr="00661595">
              <w:rPr>
                <w:rFonts w:ascii="Times New Roman" w:hAnsi="Times New Roman"/>
                <w:sz w:val="24"/>
              </w:rPr>
              <w:t>10</w:t>
            </w:r>
          </w:p>
        </w:tc>
        <w:tc>
          <w:tcPr>
            <w:tcW w:w="8701" w:type="dxa"/>
            <w:gridSpan w:val="2"/>
            <w:shd w:val="clear" w:color="auto" w:fill="FFFFFF"/>
          </w:tcPr>
          <w:p w:rsidR="004357B9" w:rsidRPr="00661595" w:rsidRDefault="004357B9" w:rsidP="004357B9">
            <w:pPr>
              <w:ind w:left="72"/>
              <w:rPr>
                <w:rStyle w:val="InstructionsTabelleberschrift"/>
                <w:rFonts w:ascii="Times New Roman" w:hAnsi="Times New Roman"/>
                <w:sz w:val="24"/>
              </w:rPr>
            </w:pPr>
            <w:r w:rsidRPr="00661595">
              <w:rPr>
                <w:rStyle w:val="InstructionsTabelleberschrift"/>
                <w:rFonts w:ascii="Times New Roman" w:hAnsi="Times New Roman"/>
                <w:sz w:val="24"/>
              </w:rPr>
              <w:t>Central governments or central banks</w:t>
            </w:r>
          </w:p>
          <w:p w:rsidR="004357B9" w:rsidRPr="00661595" w:rsidRDefault="00D21B29" w:rsidP="00D21B29">
            <w:pPr>
              <w:ind w:left="72"/>
              <w:rPr>
                <w:rStyle w:val="InstructionsTabelleText"/>
                <w:rFonts w:ascii="Times New Roman" w:hAnsi="Times New Roman"/>
                <w:sz w:val="24"/>
              </w:rPr>
            </w:pPr>
            <w:r w:rsidRPr="00661595">
              <w:rPr>
                <w:rFonts w:ascii="Times New Roman" w:hAnsi="Times New Roman"/>
                <w:sz w:val="24"/>
              </w:rPr>
              <w:t xml:space="preserve">Point (a) of </w:t>
            </w:r>
            <w:r w:rsidR="004357B9" w:rsidRPr="00661595">
              <w:rPr>
                <w:rFonts w:ascii="Times New Roman" w:hAnsi="Times New Roman"/>
                <w:sz w:val="24"/>
              </w:rPr>
              <w:t xml:space="preserve">Article 112 </w:t>
            </w:r>
            <w:r w:rsidR="00C7103D" w:rsidRPr="00661595">
              <w:rPr>
                <w:rFonts w:ascii="Times New Roman" w:hAnsi="Times New Roman"/>
                <w:sz w:val="24"/>
              </w:rPr>
              <w:t>CRR</w:t>
            </w:r>
          </w:p>
        </w:tc>
      </w:tr>
      <w:tr w:rsidR="004357B9" w:rsidRPr="00661595" w:rsidTr="00672D2A">
        <w:tc>
          <w:tcPr>
            <w:tcW w:w="1188" w:type="dxa"/>
            <w:shd w:val="clear" w:color="auto" w:fill="FFFFFF"/>
          </w:tcPr>
          <w:p w:rsidR="004357B9" w:rsidRPr="00661595" w:rsidRDefault="004357B9" w:rsidP="004357B9">
            <w:pPr>
              <w:rPr>
                <w:rFonts w:ascii="Times New Roman" w:hAnsi="Times New Roman"/>
                <w:sz w:val="24"/>
              </w:rPr>
            </w:pPr>
            <w:r w:rsidRPr="00661595">
              <w:rPr>
                <w:rFonts w:ascii="Times New Roman" w:hAnsi="Times New Roman"/>
                <w:sz w:val="24"/>
              </w:rPr>
              <w:t>0</w:t>
            </w:r>
            <w:r w:rsidR="001452FC" w:rsidRPr="00661595">
              <w:rPr>
                <w:rFonts w:ascii="Times New Roman" w:hAnsi="Times New Roman"/>
                <w:sz w:val="24"/>
              </w:rPr>
              <w:t>0</w:t>
            </w:r>
            <w:r w:rsidRPr="00661595">
              <w:rPr>
                <w:rFonts w:ascii="Times New Roman" w:hAnsi="Times New Roman"/>
                <w:sz w:val="24"/>
              </w:rPr>
              <w:t>20</w:t>
            </w:r>
          </w:p>
        </w:tc>
        <w:tc>
          <w:tcPr>
            <w:tcW w:w="8701" w:type="dxa"/>
            <w:gridSpan w:val="2"/>
            <w:shd w:val="clear" w:color="auto" w:fill="FFFFFF"/>
          </w:tcPr>
          <w:p w:rsidR="004357B9" w:rsidRPr="00661595" w:rsidRDefault="004357B9" w:rsidP="004357B9">
            <w:pPr>
              <w:ind w:left="72"/>
              <w:rPr>
                <w:rStyle w:val="InstructionsTabelleberschrift"/>
                <w:rFonts w:ascii="Times New Roman" w:hAnsi="Times New Roman"/>
                <w:sz w:val="24"/>
              </w:rPr>
            </w:pPr>
            <w:r w:rsidRPr="00661595">
              <w:rPr>
                <w:rStyle w:val="InstructionsTabelleberschrift"/>
                <w:rFonts w:ascii="Times New Roman" w:hAnsi="Times New Roman"/>
                <w:sz w:val="24"/>
              </w:rPr>
              <w:t>Regional governments or local authorities</w:t>
            </w:r>
          </w:p>
          <w:p w:rsidR="004357B9" w:rsidRPr="00661595" w:rsidRDefault="00D21B29" w:rsidP="00D21B29">
            <w:pPr>
              <w:ind w:left="72"/>
              <w:rPr>
                <w:rStyle w:val="InstructionsTabelleberschrift"/>
                <w:rFonts w:ascii="Times New Roman" w:hAnsi="Times New Roman"/>
                <w:sz w:val="24"/>
              </w:rPr>
            </w:pPr>
            <w:r w:rsidRPr="00661595">
              <w:rPr>
                <w:rFonts w:ascii="Times New Roman" w:hAnsi="Times New Roman"/>
                <w:bCs/>
                <w:sz w:val="24"/>
              </w:rPr>
              <w:t xml:space="preserve">Point (b) of </w:t>
            </w:r>
            <w:r w:rsidR="004357B9" w:rsidRPr="00661595">
              <w:rPr>
                <w:rFonts w:ascii="Times New Roman" w:hAnsi="Times New Roman"/>
                <w:bCs/>
                <w:sz w:val="24"/>
              </w:rPr>
              <w:t xml:space="preserve">Article 112 </w:t>
            </w:r>
            <w:r w:rsidR="00C7103D" w:rsidRPr="00661595">
              <w:rPr>
                <w:rFonts w:ascii="Times New Roman" w:hAnsi="Times New Roman"/>
                <w:bCs/>
                <w:sz w:val="24"/>
              </w:rPr>
              <w:t>CRR</w:t>
            </w:r>
          </w:p>
        </w:tc>
      </w:tr>
      <w:tr w:rsidR="004357B9" w:rsidRPr="00661595" w:rsidTr="00672D2A">
        <w:tc>
          <w:tcPr>
            <w:tcW w:w="1188" w:type="dxa"/>
            <w:shd w:val="clear" w:color="auto" w:fill="FFFFFF"/>
          </w:tcPr>
          <w:p w:rsidR="004357B9" w:rsidRPr="00661595" w:rsidRDefault="004357B9" w:rsidP="004357B9">
            <w:pPr>
              <w:rPr>
                <w:rFonts w:ascii="Times New Roman" w:hAnsi="Times New Roman"/>
                <w:sz w:val="24"/>
              </w:rPr>
            </w:pPr>
            <w:r w:rsidRPr="00661595">
              <w:rPr>
                <w:rFonts w:ascii="Times New Roman" w:hAnsi="Times New Roman"/>
                <w:sz w:val="24"/>
              </w:rPr>
              <w:t>0</w:t>
            </w:r>
            <w:r w:rsidR="001452FC" w:rsidRPr="00661595">
              <w:rPr>
                <w:rFonts w:ascii="Times New Roman" w:hAnsi="Times New Roman"/>
                <w:sz w:val="24"/>
              </w:rPr>
              <w:t>0</w:t>
            </w:r>
            <w:r w:rsidRPr="00661595">
              <w:rPr>
                <w:rFonts w:ascii="Times New Roman" w:hAnsi="Times New Roman"/>
                <w:sz w:val="24"/>
              </w:rPr>
              <w:t>30</w:t>
            </w:r>
          </w:p>
        </w:tc>
        <w:tc>
          <w:tcPr>
            <w:tcW w:w="8701" w:type="dxa"/>
            <w:gridSpan w:val="2"/>
            <w:shd w:val="clear" w:color="auto" w:fill="FFFFFF"/>
          </w:tcPr>
          <w:p w:rsidR="004357B9" w:rsidRPr="00661595" w:rsidRDefault="004357B9" w:rsidP="004357B9">
            <w:pPr>
              <w:ind w:left="72"/>
              <w:rPr>
                <w:rStyle w:val="InstructionsTabelleberschrift"/>
                <w:rFonts w:ascii="Times New Roman" w:hAnsi="Times New Roman"/>
                <w:sz w:val="24"/>
              </w:rPr>
            </w:pPr>
            <w:r w:rsidRPr="00661595">
              <w:rPr>
                <w:rStyle w:val="InstructionsTabelleberschrift"/>
                <w:rFonts w:ascii="Times New Roman" w:hAnsi="Times New Roman"/>
                <w:sz w:val="24"/>
              </w:rPr>
              <w:t>Public sector entities</w:t>
            </w:r>
          </w:p>
          <w:p w:rsidR="004357B9" w:rsidRPr="00661595" w:rsidRDefault="00D21B29" w:rsidP="00D21B29">
            <w:pPr>
              <w:ind w:left="72"/>
              <w:rPr>
                <w:rStyle w:val="InstructionsTabelleberschrift"/>
                <w:rFonts w:ascii="Times New Roman" w:hAnsi="Times New Roman"/>
                <w:sz w:val="24"/>
              </w:rPr>
            </w:pPr>
            <w:r w:rsidRPr="00661595">
              <w:rPr>
                <w:rFonts w:ascii="Times New Roman" w:hAnsi="Times New Roman"/>
                <w:bCs/>
                <w:sz w:val="24"/>
              </w:rPr>
              <w:t xml:space="preserve">Point (c) of </w:t>
            </w:r>
            <w:r w:rsidR="004357B9" w:rsidRPr="00661595">
              <w:rPr>
                <w:rFonts w:ascii="Times New Roman" w:hAnsi="Times New Roman"/>
                <w:bCs/>
                <w:sz w:val="24"/>
              </w:rPr>
              <w:t xml:space="preserve">Article 112 </w:t>
            </w:r>
            <w:r w:rsidR="00C7103D" w:rsidRPr="00661595">
              <w:rPr>
                <w:rFonts w:ascii="Times New Roman" w:hAnsi="Times New Roman"/>
                <w:bCs/>
                <w:sz w:val="24"/>
              </w:rPr>
              <w:t>CRR</w:t>
            </w:r>
          </w:p>
        </w:tc>
      </w:tr>
      <w:tr w:rsidR="004357B9" w:rsidRPr="00661595" w:rsidTr="00672D2A">
        <w:tc>
          <w:tcPr>
            <w:tcW w:w="1188" w:type="dxa"/>
            <w:shd w:val="clear" w:color="auto" w:fill="FFFFFF"/>
          </w:tcPr>
          <w:p w:rsidR="004357B9" w:rsidRPr="00661595" w:rsidRDefault="004357B9" w:rsidP="004357B9">
            <w:pPr>
              <w:rPr>
                <w:rFonts w:ascii="Times New Roman" w:hAnsi="Times New Roman"/>
                <w:sz w:val="24"/>
              </w:rPr>
            </w:pPr>
            <w:r w:rsidRPr="00661595">
              <w:rPr>
                <w:rFonts w:ascii="Times New Roman" w:hAnsi="Times New Roman"/>
                <w:sz w:val="24"/>
              </w:rPr>
              <w:t>0</w:t>
            </w:r>
            <w:r w:rsidR="001452FC" w:rsidRPr="00661595">
              <w:rPr>
                <w:rFonts w:ascii="Times New Roman" w:hAnsi="Times New Roman"/>
                <w:sz w:val="24"/>
              </w:rPr>
              <w:t>0</w:t>
            </w:r>
            <w:r w:rsidRPr="00661595">
              <w:rPr>
                <w:rFonts w:ascii="Times New Roman" w:hAnsi="Times New Roman"/>
                <w:sz w:val="24"/>
              </w:rPr>
              <w:t>40</w:t>
            </w:r>
          </w:p>
        </w:tc>
        <w:tc>
          <w:tcPr>
            <w:tcW w:w="8701" w:type="dxa"/>
            <w:gridSpan w:val="2"/>
            <w:shd w:val="clear" w:color="auto" w:fill="FFFFFF"/>
          </w:tcPr>
          <w:p w:rsidR="004357B9" w:rsidRPr="00661595" w:rsidRDefault="004357B9" w:rsidP="004357B9">
            <w:pPr>
              <w:ind w:left="72"/>
              <w:rPr>
                <w:rStyle w:val="InstructionsTabelleberschrift"/>
                <w:rFonts w:ascii="Times New Roman" w:hAnsi="Times New Roman"/>
                <w:sz w:val="24"/>
              </w:rPr>
            </w:pPr>
            <w:r w:rsidRPr="00661595">
              <w:rPr>
                <w:rStyle w:val="InstructionsTabelleberschrift"/>
                <w:rFonts w:ascii="Times New Roman" w:hAnsi="Times New Roman"/>
                <w:sz w:val="24"/>
              </w:rPr>
              <w:t>Multilateral developments banks</w:t>
            </w:r>
          </w:p>
          <w:p w:rsidR="004357B9" w:rsidRPr="00661595" w:rsidRDefault="00D21B29" w:rsidP="00D21B29">
            <w:pPr>
              <w:ind w:left="72"/>
              <w:rPr>
                <w:rStyle w:val="InstructionsTabelleberschrift"/>
                <w:rFonts w:ascii="Times New Roman" w:hAnsi="Times New Roman"/>
                <w:sz w:val="24"/>
              </w:rPr>
            </w:pPr>
            <w:r w:rsidRPr="00661595">
              <w:rPr>
                <w:rFonts w:ascii="Times New Roman" w:hAnsi="Times New Roman"/>
                <w:bCs/>
                <w:sz w:val="24"/>
              </w:rPr>
              <w:t xml:space="preserve">Point (d) of </w:t>
            </w:r>
            <w:r w:rsidR="004357B9" w:rsidRPr="00661595">
              <w:rPr>
                <w:rStyle w:val="InstructionsTabelleText"/>
                <w:rFonts w:ascii="Times New Roman" w:hAnsi="Times New Roman"/>
                <w:sz w:val="24"/>
              </w:rPr>
              <w:t xml:space="preserve">Article 112 </w:t>
            </w:r>
            <w:r w:rsidR="00C7103D" w:rsidRPr="00661595">
              <w:rPr>
                <w:rFonts w:ascii="Times New Roman" w:hAnsi="Times New Roman"/>
                <w:bCs/>
                <w:sz w:val="24"/>
              </w:rPr>
              <w:t>CRR</w:t>
            </w:r>
          </w:p>
        </w:tc>
      </w:tr>
      <w:tr w:rsidR="004357B9" w:rsidRPr="00661595" w:rsidTr="00672D2A">
        <w:tc>
          <w:tcPr>
            <w:tcW w:w="1188" w:type="dxa"/>
            <w:shd w:val="clear" w:color="auto" w:fill="FFFFFF"/>
          </w:tcPr>
          <w:p w:rsidR="004357B9" w:rsidRPr="00661595" w:rsidRDefault="004357B9" w:rsidP="004357B9">
            <w:pPr>
              <w:rPr>
                <w:rFonts w:ascii="Times New Roman" w:hAnsi="Times New Roman"/>
                <w:sz w:val="24"/>
              </w:rPr>
            </w:pPr>
            <w:r w:rsidRPr="00661595">
              <w:rPr>
                <w:rFonts w:ascii="Times New Roman" w:hAnsi="Times New Roman"/>
                <w:sz w:val="24"/>
              </w:rPr>
              <w:t>0</w:t>
            </w:r>
            <w:r w:rsidR="001452FC" w:rsidRPr="00661595">
              <w:rPr>
                <w:rFonts w:ascii="Times New Roman" w:hAnsi="Times New Roman"/>
                <w:sz w:val="24"/>
              </w:rPr>
              <w:t>0</w:t>
            </w:r>
            <w:r w:rsidRPr="00661595">
              <w:rPr>
                <w:rFonts w:ascii="Times New Roman" w:hAnsi="Times New Roman"/>
                <w:sz w:val="24"/>
              </w:rPr>
              <w:t>50</w:t>
            </w:r>
          </w:p>
        </w:tc>
        <w:tc>
          <w:tcPr>
            <w:tcW w:w="8701" w:type="dxa"/>
            <w:gridSpan w:val="2"/>
            <w:shd w:val="clear" w:color="auto" w:fill="FFFFFF"/>
          </w:tcPr>
          <w:p w:rsidR="004357B9" w:rsidRPr="00661595" w:rsidRDefault="004357B9" w:rsidP="004357B9">
            <w:pPr>
              <w:ind w:left="72"/>
              <w:rPr>
                <w:rStyle w:val="InstructionsTabelleberschrift"/>
                <w:rFonts w:ascii="Times New Roman" w:hAnsi="Times New Roman"/>
                <w:sz w:val="24"/>
              </w:rPr>
            </w:pPr>
            <w:r w:rsidRPr="00661595">
              <w:rPr>
                <w:rStyle w:val="InstructionsTabelleberschrift"/>
                <w:rFonts w:ascii="Times New Roman" w:hAnsi="Times New Roman"/>
                <w:sz w:val="24"/>
              </w:rPr>
              <w:t>International organisations</w:t>
            </w:r>
          </w:p>
          <w:p w:rsidR="004357B9" w:rsidRPr="00661595" w:rsidRDefault="00D21B29" w:rsidP="00D21B29">
            <w:pPr>
              <w:ind w:left="72"/>
              <w:rPr>
                <w:rStyle w:val="InstructionsTabelleberschrift"/>
                <w:rFonts w:ascii="Times New Roman" w:hAnsi="Times New Roman"/>
                <w:sz w:val="24"/>
              </w:rPr>
            </w:pPr>
            <w:r w:rsidRPr="00661595">
              <w:rPr>
                <w:rFonts w:ascii="Times New Roman" w:hAnsi="Times New Roman"/>
                <w:bCs/>
                <w:sz w:val="24"/>
              </w:rPr>
              <w:t xml:space="preserve">Point (e) of </w:t>
            </w:r>
            <w:r w:rsidR="004357B9" w:rsidRPr="00661595">
              <w:rPr>
                <w:rFonts w:ascii="Times New Roman" w:hAnsi="Times New Roman"/>
                <w:bCs/>
                <w:sz w:val="24"/>
              </w:rPr>
              <w:t xml:space="preserve">Article 112 </w:t>
            </w:r>
            <w:r w:rsidR="00C7103D" w:rsidRPr="00661595">
              <w:rPr>
                <w:rFonts w:ascii="Times New Roman" w:hAnsi="Times New Roman"/>
                <w:bCs/>
                <w:sz w:val="24"/>
              </w:rPr>
              <w:t>CRR</w:t>
            </w:r>
          </w:p>
        </w:tc>
      </w:tr>
      <w:tr w:rsidR="004357B9" w:rsidRPr="00661595" w:rsidTr="00672D2A">
        <w:tc>
          <w:tcPr>
            <w:tcW w:w="1188" w:type="dxa"/>
            <w:shd w:val="clear" w:color="auto" w:fill="FFFFFF"/>
          </w:tcPr>
          <w:p w:rsidR="004357B9" w:rsidRPr="00661595" w:rsidRDefault="004357B9" w:rsidP="004357B9">
            <w:pPr>
              <w:rPr>
                <w:rFonts w:ascii="Times New Roman" w:hAnsi="Times New Roman"/>
                <w:sz w:val="24"/>
              </w:rPr>
            </w:pPr>
            <w:r w:rsidRPr="00661595">
              <w:rPr>
                <w:rFonts w:ascii="Times New Roman" w:hAnsi="Times New Roman"/>
                <w:sz w:val="24"/>
              </w:rPr>
              <w:t>0</w:t>
            </w:r>
            <w:r w:rsidR="001452FC" w:rsidRPr="00661595">
              <w:rPr>
                <w:rFonts w:ascii="Times New Roman" w:hAnsi="Times New Roman"/>
                <w:sz w:val="24"/>
              </w:rPr>
              <w:t>0</w:t>
            </w:r>
            <w:r w:rsidRPr="00661595">
              <w:rPr>
                <w:rFonts w:ascii="Times New Roman" w:hAnsi="Times New Roman"/>
                <w:sz w:val="24"/>
              </w:rPr>
              <w:t>60</w:t>
            </w:r>
          </w:p>
        </w:tc>
        <w:tc>
          <w:tcPr>
            <w:tcW w:w="8701" w:type="dxa"/>
            <w:gridSpan w:val="2"/>
            <w:shd w:val="clear" w:color="auto" w:fill="FFFFFF"/>
          </w:tcPr>
          <w:p w:rsidR="004357B9" w:rsidRPr="00661595" w:rsidRDefault="004357B9" w:rsidP="004357B9">
            <w:pPr>
              <w:ind w:left="72"/>
              <w:rPr>
                <w:rStyle w:val="InstructionsTabelleberschrift"/>
                <w:rFonts w:ascii="Times New Roman" w:hAnsi="Times New Roman"/>
                <w:sz w:val="24"/>
              </w:rPr>
            </w:pPr>
            <w:r w:rsidRPr="00661595">
              <w:rPr>
                <w:rStyle w:val="InstructionsTabelleberschrift"/>
                <w:rFonts w:ascii="Times New Roman" w:hAnsi="Times New Roman"/>
                <w:sz w:val="24"/>
              </w:rPr>
              <w:t>Institutions</w:t>
            </w:r>
          </w:p>
          <w:p w:rsidR="004357B9" w:rsidRPr="00661595" w:rsidRDefault="00D21B29" w:rsidP="00D21B29">
            <w:pPr>
              <w:ind w:left="72"/>
              <w:rPr>
                <w:rStyle w:val="InstructionsTabelleberschrift"/>
                <w:rFonts w:ascii="Times New Roman" w:hAnsi="Times New Roman"/>
                <w:sz w:val="24"/>
              </w:rPr>
            </w:pPr>
            <w:r w:rsidRPr="00661595">
              <w:rPr>
                <w:rFonts w:ascii="Times New Roman" w:hAnsi="Times New Roman"/>
                <w:bCs/>
                <w:sz w:val="24"/>
              </w:rPr>
              <w:t xml:space="preserve">Point (f) of </w:t>
            </w:r>
            <w:r w:rsidR="004357B9" w:rsidRPr="00661595">
              <w:rPr>
                <w:rFonts w:ascii="Times New Roman" w:hAnsi="Times New Roman"/>
                <w:bCs/>
                <w:sz w:val="24"/>
              </w:rPr>
              <w:t xml:space="preserve">Article 112 </w:t>
            </w:r>
            <w:r w:rsidR="00C7103D" w:rsidRPr="00661595">
              <w:rPr>
                <w:rFonts w:ascii="Times New Roman" w:hAnsi="Times New Roman"/>
                <w:bCs/>
                <w:sz w:val="24"/>
              </w:rPr>
              <w:t>CRR</w:t>
            </w:r>
          </w:p>
        </w:tc>
      </w:tr>
      <w:tr w:rsidR="004357B9" w:rsidRPr="00661595" w:rsidTr="00672D2A">
        <w:tc>
          <w:tcPr>
            <w:tcW w:w="1188" w:type="dxa"/>
            <w:shd w:val="clear" w:color="auto" w:fill="FFFFFF"/>
          </w:tcPr>
          <w:p w:rsidR="004357B9" w:rsidRPr="00661595" w:rsidRDefault="004357B9" w:rsidP="004357B9">
            <w:pPr>
              <w:rPr>
                <w:rFonts w:ascii="Times New Roman" w:hAnsi="Times New Roman"/>
                <w:sz w:val="24"/>
              </w:rPr>
            </w:pPr>
            <w:r w:rsidRPr="00661595">
              <w:rPr>
                <w:rFonts w:ascii="Times New Roman" w:hAnsi="Times New Roman"/>
                <w:sz w:val="24"/>
              </w:rPr>
              <w:t>0</w:t>
            </w:r>
            <w:r w:rsidR="001452FC" w:rsidRPr="00661595">
              <w:rPr>
                <w:rFonts w:ascii="Times New Roman" w:hAnsi="Times New Roman"/>
                <w:sz w:val="24"/>
              </w:rPr>
              <w:t>0</w:t>
            </w:r>
            <w:r w:rsidRPr="00661595">
              <w:rPr>
                <w:rFonts w:ascii="Times New Roman" w:hAnsi="Times New Roman"/>
                <w:sz w:val="24"/>
              </w:rPr>
              <w:t>70</w:t>
            </w:r>
          </w:p>
        </w:tc>
        <w:tc>
          <w:tcPr>
            <w:tcW w:w="8701" w:type="dxa"/>
            <w:gridSpan w:val="2"/>
            <w:shd w:val="clear" w:color="auto" w:fill="FFFFFF"/>
          </w:tcPr>
          <w:p w:rsidR="004357B9" w:rsidRPr="00661595" w:rsidRDefault="004357B9" w:rsidP="004357B9">
            <w:pPr>
              <w:ind w:left="72"/>
              <w:rPr>
                <w:rStyle w:val="InstructionsTabelleberschrift"/>
                <w:rFonts w:ascii="Times New Roman" w:hAnsi="Times New Roman"/>
                <w:sz w:val="24"/>
              </w:rPr>
            </w:pPr>
            <w:r w:rsidRPr="00661595">
              <w:rPr>
                <w:rStyle w:val="InstructionsTabelleberschrift"/>
                <w:rFonts w:ascii="Times New Roman" w:hAnsi="Times New Roman"/>
                <w:sz w:val="24"/>
              </w:rPr>
              <w:t>Corporates</w:t>
            </w:r>
          </w:p>
          <w:p w:rsidR="004357B9" w:rsidRPr="00661595" w:rsidRDefault="00D21B29" w:rsidP="00D21B29">
            <w:pPr>
              <w:ind w:left="72"/>
              <w:rPr>
                <w:rStyle w:val="InstructionsTabelleberschrift"/>
                <w:rFonts w:ascii="Times New Roman" w:hAnsi="Times New Roman"/>
                <w:sz w:val="24"/>
              </w:rPr>
            </w:pPr>
            <w:r w:rsidRPr="00661595">
              <w:rPr>
                <w:rFonts w:ascii="Times New Roman" w:hAnsi="Times New Roman"/>
                <w:bCs/>
                <w:sz w:val="24"/>
              </w:rPr>
              <w:t xml:space="preserve">Point (g) of </w:t>
            </w:r>
            <w:r w:rsidR="004357B9" w:rsidRPr="00661595">
              <w:rPr>
                <w:rFonts w:ascii="Times New Roman" w:hAnsi="Times New Roman"/>
                <w:bCs/>
                <w:sz w:val="24"/>
              </w:rPr>
              <w:t xml:space="preserve">Article 112 </w:t>
            </w:r>
            <w:r w:rsidR="00C7103D" w:rsidRPr="00661595">
              <w:rPr>
                <w:rFonts w:ascii="Times New Roman" w:hAnsi="Times New Roman"/>
                <w:bCs/>
                <w:sz w:val="24"/>
              </w:rPr>
              <w:t>CRR</w:t>
            </w:r>
          </w:p>
        </w:tc>
      </w:tr>
      <w:tr w:rsidR="004357B9" w:rsidRPr="00661595" w:rsidTr="00672D2A">
        <w:tc>
          <w:tcPr>
            <w:tcW w:w="1188" w:type="dxa"/>
            <w:shd w:val="clear" w:color="auto" w:fill="FFFFFF"/>
          </w:tcPr>
          <w:p w:rsidR="004357B9" w:rsidRPr="00661595" w:rsidRDefault="004357B9" w:rsidP="004357B9">
            <w:pPr>
              <w:rPr>
                <w:rFonts w:ascii="Times New Roman" w:hAnsi="Times New Roman"/>
                <w:sz w:val="24"/>
              </w:rPr>
            </w:pPr>
            <w:r w:rsidRPr="00661595">
              <w:rPr>
                <w:rFonts w:ascii="Times New Roman" w:hAnsi="Times New Roman"/>
                <w:sz w:val="24"/>
              </w:rPr>
              <w:t>0</w:t>
            </w:r>
            <w:r w:rsidR="001452FC" w:rsidRPr="00661595">
              <w:rPr>
                <w:rFonts w:ascii="Times New Roman" w:hAnsi="Times New Roman"/>
                <w:sz w:val="24"/>
              </w:rPr>
              <w:t>0</w:t>
            </w:r>
            <w:r w:rsidRPr="00661595">
              <w:rPr>
                <w:rFonts w:ascii="Times New Roman" w:hAnsi="Times New Roman"/>
                <w:sz w:val="24"/>
              </w:rPr>
              <w:t>75</w:t>
            </w:r>
          </w:p>
        </w:tc>
        <w:tc>
          <w:tcPr>
            <w:tcW w:w="8701" w:type="dxa"/>
            <w:gridSpan w:val="2"/>
            <w:shd w:val="clear" w:color="auto" w:fill="FFFFFF"/>
          </w:tcPr>
          <w:p w:rsidR="004357B9" w:rsidRPr="00661595" w:rsidRDefault="004357B9" w:rsidP="004357B9">
            <w:pPr>
              <w:ind w:left="72"/>
              <w:rPr>
                <w:rStyle w:val="InstructionsTabelleberschrift"/>
                <w:rFonts w:ascii="Times New Roman" w:hAnsi="Times New Roman"/>
                <w:sz w:val="24"/>
              </w:rPr>
            </w:pPr>
            <w:r w:rsidRPr="00661595">
              <w:rPr>
                <w:rStyle w:val="InstructionsTabelleberschrift"/>
                <w:rFonts w:ascii="Times New Roman" w:hAnsi="Times New Roman"/>
                <w:sz w:val="24"/>
              </w:rPr>
              <w:t>of which: SME</w:t>
            </w:r>
          </w:p>
          <w:p w:rsidR="004357B9" w:rsidRPr="00661595" w:rsidRDefault="004357B9" w:rsidP="007121C9">
            <w:pPr>
              <w:ind w:left="72"/>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Same definition as for row 0</w:t>
            </w:r>
            <w:r w:rsidR="001452FC" w:rsidRPr="00661595">
              <w:rPr>
                <w:rStyle w:val="InstructionsTabelleberschrift"/>
                <w:rFonts w:ascii="Times New Roman" w:hAnsi="Times New Roman"/>
                <w:b w:val="0"/>
                <w:sz w:val="24"/>
                <w:u w:val="none"/>
              </w:rPr>
              <w:t>0</w:t>
            </w:r>
            <w:r w:rsidR="007121C9" w:rsidRPr="00661595">
              <w:rPr>
                <w:rStyle w:val="InstructionsTabelleberschrift"/>
                <w:rFonts w:ascii="Times New Roman" w:hAnsi="Times New Roman"/>
                <w:b w:val="0"/>
                <w:sz w:val="24"/>
                <w:u w:val="none"/>
              </w:rPr>
              <w:t>20</w:t>
            </w:r>
            <w:r w:rsidR="00D21B29" w:rsidRPr="00661595">
              <w:rPr>
                <w:rStyle w:val="InstructionsTabelleberschrift"/>
                <w:rFonts w:ascii="Times New Roman" w:hAnsi="Times New Roman"/>
                <w:b w:val="0"/>
                <w:sz w:val="24"/>
                <w:u w:val="none"/>
              </w:rPr>
              <w:t xml:space="preserve"> </w:t>
            </w:r>
            <w:r w:rsidRPr="00661595">
              <w:rPr>
                <w:rStyle w:val="InstructionsTabelleberschrift"/>
                <w:rFonts w:ascii="Times New Roman" w:hAnsi="Times New Roman"/>
                <w:b w:val="0"/>
                <w:sz w:val="24"/>
                <w:u w:val="none"/>
              </w:rPr>
              <w:t>of CR SA template</w:t>
            </w:r>
          </w:p>
        </w:tc>
      </w:tr>
      <w:tr w:rsidR="004357B9" w:rsidRPr="00661595" w:rsidTr="00672D2A">
        <w:tc>
          <w:tcPr>
            <w:tcW w:w="1188" w:type="dxa"/>
            <w:shd w:val="clear" w:color="auto" w:fill="FFFFFF"/>
          </w:tcPr>
          <w:p w:rsidR="004357B9" w:rsidRPr="00661595" w:rsidRDefault="004357B9" w:rsidP="004357B9">
            <w:pPr>
              <w:rPr>
                <w:rFonts w:ascii="Times New Roman" w:hAnsi="Times New Roman"/>
                <w:sz w:val="24"/>
              </w:rPr>
            </w:pPr>
            <w:r w:rsidRPr="00661595">
              <w:rPr>
                <w:rFonts w:ascii="Times New Roman" w:hAnsi="Times New Roman"/>
                <w:sz w:val="24"/>
              </w:rPr>
              <w:t>0</w:t>
            </w:r>
            <w:r w:rsidR="001452FC" w:rsidRPr="00661595">
              <w:rPr>
                <w:rFonts w:ascii="Times New Roman" w:hAnsi="Times New Roman"/>
                <w:sz w:val="24"/>
              </w:rPr>
              <w:t>0</w:t>
            </w:r>
            <w:r w:rsidRPr="00661595">
              <w:rPr>
                <w:rFonts w:ascii="Times New Roman" w:hAnsi="Times New Roman"/>
                <w:sz w:val="24"/>
              </w:rPr>
              <w:t>80</w:t>
            </w:r>
          </w:p>
        </w:tc>
        <w:tc>
          <w:tcPr>
            <w:tcW w:w="8701" w:type="dxa"/>
            <w:gridSpan w:val="2"/>
            <w:shd w:val="clear" w:color="auto" w:fill="FFFFFF"/>
          </w:tcPr>
          <w:p w:rsidR="004357B9" w:rsidRPr="00661595" w:rsidRDefault="004357B9" w:rsidP="004357B9">
            <w:pPr>
              <w:ind w:left="72"/>
              <w:rPr>
                <w:rStyle w:val="InstructionsTabelleberschrift"/>
                <w:rFonts w:ascii="Times New Roman" w:hAnsi="Times New Roman"/>
                <w:sz w:val="24"/>
              </w:rPr>
            </w:pPr>
            <w:r w:rsidRPr="00661595">
              <w:rPr>
                <w:rStyle w:val="InstructionsTabelleberschrift"/>
                <w:rFonts w:ascii="Times New Roman" w:hAnsi="Times New Roman"/>
                <w:sz w:val="24"/>
              </w:rPr>
              <w:t>Retail</w:t>
            </w:r>
          </w:p>
          <w:p w:rsidR="004357B9" w:rsidRPr="00661595" w:rsidRDefault="00D21B29" w:rsidP="00D21B29">
            <w:pPr>
              <w:ind w:left="72"/>
              <w:rPr>
                <w:rStyle w:val="InstructionsTabelleberschrift"/>
                <w:rFonts w:ascii="Times New Roman" w:hAnsi="Times New Roman"/>
                <w:sz w:val="24"/>
              </w:rPr>
            </w:pPr>
            <w:r w:rsidRPr="00661595">
              <w:rPr>
                <w:rFonts w:ascii="Times New Roman" w:hAnsi="Times New Roman"/>
                <w:bCs/>
                <w:sz w:val="24"/>
              </w:rPr>
              <w:t xml:space="preserve">Point (h) of </w:t>
            </w:r>
            <w:r w:rsidR="004357B9" w:rsidRPr="00661595">
              <w:rPr>
                <w:rFonts w:ascii="Times New Roman" w:hAnsi="Times New Roman"/>
                <w:bCs/>
                <w:sz w:val="24"/>
              </w:rPr>
              <w:t xml:space="preserve">Article 112 </w:t>
            </w:r>
            <w:r w:rsidR="00C7103D" w:rsidRPr="00661595">
              <w:rPr>
                <w:rFonts w:ascii="Times New Roman" w:hAnsi="Times New Roman"/>
                <w:bCs/>
                <w:sz w:val="24"/>
              </w:rPr>
              <w:t>CRR</w:t>
            </w:r>
          </w:p>
        </w:tc>
      </w:tr>
      <w:tr w:rsidR="004357B9" w:rsidRPr="00661595" w:rsidTr="00672D2A">
        <w:tc>
          <w:tcPr>
            <w:tcW w:w="1188" w:type="dxa"/>
            <w:shd w:val="clear" w:color="auto" w:fill="FFFFFF"/>
          </w:tcPr>
          <w:p w:rsidR="004357B9" w:rsidRPr="00661595" w:rsidRDefault="004357B9" w:rsidP="004357B9">
            <w:pPr>
              <w:rPr>
                <w:rFonts w:ascii="Times New Roman" w:hAnsi="Times New Roman"/>
                <w:sz w:val="24"/>
              </w:rPr>
            </w:pPr>
            <w:r w:rsidRPr="00661595">
              <w:rPr>
                <w:rFonts w:ascii="Times New Roman" w:hAnsi="Times New Roman"/>
                <w:sz w:val="24"/>
              </w:rPr>
              <w:t>0</w:t>
            </w:r>
            <w:r w:rsidR="001452FC" w:rsidRPr="00661595">
              <w:rPr>
                <w:rFonts w:ascii="Times New Roman" w:hAnsi="Times New Roman"/>
                <w:sz w:val="24"/>
              </w:rPr>
              <w:t>0</w:t>
            </w:r>
            <w:r w:rsidRPr="00661595">
              <w:rPr>
                <w:rFonts w:ascii="Times New Roman" w:hAnsi="Times New Roman"/>
                <w:sz w:val="24"/>
              </w:rPr>
              <w:t>85</w:t>
            </w:r>
          </w:p>
        </w:tc>
        <w:tc>
          <w:tcPr>
            <w:tcW w:w="8701" w:type="dxa"/>
            <w:gridSpan w:val="2"/>
            <w:shd w:val="clear" w:color="auto" w:fill="FFFFFF"/>
          </w:tcPr>
          <w:p w:rsidR="004357B9" w:rsidRPr="00661595" w:rsidRDefault="004357B9" w:rsidP="004357B9">
            <w:pPr>
              <w:ind w:left="72"/>
              <w:rPr>
                <w:rStyle w:val="InstructionsTabelleberschrift"/>
                <w:rFonts w:ascii="Times New Roman" w:hAnsi="Times New Roman"/>
                <w:sz w:val="24"/>
              </w:rPr>
            </w:pPr>
            <w:r w:rsidRPr="00661595">
              <w:rPr>
                <w:rStyle w:val="InstructionsTabelleberschrift"/>
                <w:rFonts w:ascii="Times New Roman" w:hAnsi="Times New Roman"/>
                <w:sz w:val="24"/>
              </w:rPr>
              <w:t>of which: SME</w:t>
            </w:r>
          </w:p>
          <w:p w:rsidR="004357B9" w:rsidRPr="00661595" w:rsidRDefault="004357B9" w:rsidP="00DE26F2">
            <w:pPr>
              <w:ind w:left="72"/>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Same definition as for row 0</w:t>
            </w:r>
            <w:r w:rsidR="001452FC" w:rsidRPr="00661595">
              <w:rPr>
                <w:rStyle w:val="InstructionsTabelleberschrift"/>
                <w:rFonts w:ascii="Times New Roman" w:hAnsi="Times New Roman"/>
                <w:b w:val="0"/>
                <w:sz w:val="24"/>
                <w:u w:val="none"/>
              </w:rPr>
              <w:t>0</w:t>
            </w:r>
            <w:r w:rsidR="00DE26F2" w:rsidRPr="00661595">
              <w:rPr>
                <w:rStyle w:val="InstructionsTabelleberschrift"/>
                <w:rFonts w:ascii="Times New Roman" w:hAnsi="Times New Roman"/>
                <w:b w:val="0"/>
                <w:sz w:val="24"/>
                <w:u w:val="none"/>
              </w:rPr>
              <w:t>20</w:t>
            </w:r>
            <w:r w:rsidR="00D21B29" w:rsidRPr="00661595">
              <w:rPr>
                <w:rStyle w:val="InstructionsTabelleberschrift"/>
                <w:rFonts w:ascii="Times New Roman" w:hAnsi="Times New Roman"/>
                <w:b w:val="0"/>
                <w:sz w:val="24"/>
                <w:u w:val="none"/>
              </w:rPr>
              <w:t xml:space="preserve"> </w:t>
            </w:r>
            <w:r w:rsidRPr="00661595">
              <w:rPr>
                <w:rStyle w:val="InstructionsTabelleberschrift"/>
                <w:rFonts w:ascii="Times New Roman" w:hAnsi="Times New Roman"/>
                <w:b w:val="0"/>
                <w:sz w:val="24"/>
                <w:u w:val="none"/>
              </w:rPr>
              <w:t>of CR SA template</w:t>
            </w:r>
          </w:p>
        </w:tc>
      </w:tr>
      <w:tr w:rsidR="004357B9" w:rsidRPr="00661595" w:rsidTr="00672D2A">
        <w:tc>
          <w:tcPr>
            <w:tcW w:w="1188" w:type="dxa"/>
            <w:shd w:val="clear" w:color="auto" w:fill="FFFFFF"/>
          </w:tcPr>
          <w:p w:rsidR="004357B9" w:rsidRPr="00661595" w:rsidRDefault="004357B9" w:rsidP="004357B9">
            <w:pPr>
              <w:rPr>
                <w:rFonts w:ascii="Times New Roman" w:hAnsi="Times New Roman"/>
                <w:sz w:val="24"/>
              </w:rPr>
            </w:pPr>
            <w:r w:rsidRPr="00661595">
              <w:rPr>
                <w:rFonts w:ascii="Times New Roman" w:hAnsi="Times New Roman"/>
                <w:sz w:val="24"/>
              </w:rPr>
              <w:t>0</w:t>
            </w:r>
            <w:r w:rsidR="001452FC" w:rsidRPr="00661595">
              <w:rPr>
                <w:rFonts w:ascii="Times New Roman" w:hAnsi="Times New Roman"/>
                <w:sz w:val="24"/>
              </w:rPr>
              <w:t>0</w:t>
            </w:r>
            <w:r w:rsidRPr="00661595">
              <w:rPr>
                <w:rFonts w:ascii="Times New Roman" w:hAnsi="Times New Roman"/>
                <w:sz w:val="24"/>
              </w:rPr>
              <w:t>90</w:t>
            </w:r>
          </w:p>
        </w:tc>
        <w:tc>
          <w:tcPr>
            <w:tcW w:w="8701" w:type="dxa"/>
            <w:gridSpan w:val="2"/>
            <w:shd w:val="clear" w:color="auto" w:fill="FFFFFF"/>
          </w:tcPr>
          <w:p w:rsidR="004357B9" w:rsidRPr="00661595" w:rsidRDefault="004357B9" w:rsidP="004357B9">
            <w:pPr>
              <w:ind w:left="72"/>
              <w:rPr>
                <w:rStyle w:val="InstructionsTabelleberschrift"/>
                <w:rFonts w:ascii="Times New Roman" w:hAnsi="Times New Roman"/>
                <w:sz w:val="24"/>
              </w:rPr>
            </w:pPr>
            <w:r w:rsidRPr="00661595">
              <w:rPr>
                <w:rStyle w:val="InstructionsTabelleberschrift"/>
                <w:rFonts w:ascii="Times New Roman" w:hAnsi="Times New Roman"/>
                <w:sz w:val="24"/>
              </w:rPr>
              <w:t>Secured by mortgages on immovable property</w:t>
            </w:r>
          </w:p>
          <w:p w:rsidR="004357B9" w:rsidRPr="00661595" w:rsidRDefault="00D21B29" w:rsidP="00D21B29">
            <w:pPr>
              <w:ind w:left="72"/>
              <w:rPr>
                <w:rStyle w:val="InstructionsTabelleText"/>
                <w:rFonts w:ascii="Times New Roman" w:hAnsi="Times New Roman"/>
                <w:sz w:val="24"/>
              </w:rPr>
            </w:pPr>
            <w:r w:rsidRPr="00661595">
              <w:rPr>
                <w:rFonts w:ascii="Times New Roman" w:hAnsi="Times New Roman"/>
                <w:bCs/>
                <w:sz w:val="24"/>
              </w:rPr>
              <w:t xml:space="preserve">Point (i) of </w:t>
            </w:r>
            <w:r w:rsidR="004357B9" w:rsidRPr="00661595">
              <w:rPr>
                <w:rFonts w:ascii="Times New Roman" w:hAnsi="Times New Roman"/>
                <w:sz w:val="24"/>
              </w:rPr>
              <w:t xml:space="preserve">Article 112 </w:t>
            </w:r>
            <w:r w:rsidR="00C7103D" w:rsidRPr="00661595">
              <w:rPr>
                <w:rFonts w:ascii="Times New Roman" w:hAnsi="Times New Roman"/>
                <w:sz w:val="24"/>
              </w:rPr>
              <w:t>CRR</w:t>
            </w:r>
          </w:p>
        </w:tc>
      </w:tr>
      <w:tr w:rsidR="004357B9" w:rsidRPr="00661595" w:rsidTr="00672D2A">
        <w:tc>
          <w:tcPr>
            <w:tcW w:w="1188" w:type="dxa"/>
            <w:shd w:val="clear" w:color="auto" w:fill="FFFFFF"/>
          </w:tcPr>
          <w:p w:rsidR="004357B9" w:rsidRPr="00661595" w:rsidRDefault="004357B9" w:rsidP="004357B9">
            <w:pPr>
              <w:rPr>
                <w:rFonts w:ascii="Times New Roman" w:hAnsi="Times New Roman"/>
                <w:sz w:val="24"/>
              </w:rPr>
            </w:pPr>
            <w:r w:rsidRPr="00661595">
              <w:rPr>
                <w:rFonts w:ascii="Times New Roman" w:hAnsi="Times New Roman"/>
                <w:sz w:val="24"/>
              </w:rPr>
              <w:t>0</w:t>
            </w:r>
            <w:r w:rsidR="001452FC" w:rsidRPr="00661595">
              <w:rPr>
                <w:rFonts w:ascii="Times New Roman" w:hAnsi="Times New Roman"/>
                <w:sz w:val="24"/>
              </w:rPr>
              <w:t>0</w:t>
            </w:r>
            <w:r w:rsidRPr="00661595">
              <w:rPr>
                <w:rFonts w:ascii="Times New Roman" w:hAnsi="Times New Roman"/>
                <w:sz w:val="24"/>
              </w:rPr>
              <w:t>95</w:t>
            </w:r>
          </w:p>
        </w:tc>
        <w:tc>
          <w:tcPr>
            <w:tcW w:w="8701" w:type="dxa"/>
            <w:gridSpan w:val="2"/>
            <w:shd w:val="clear" w:color="auto" w:fill="FFFFFF"/>
          </w:tcPr>
          <w:p w:rsidR="004357B9" w:rsidRPr="00661595" w:rsidRDefault="004357B9" w:rsidP="004357B9">
            <w:pPr>
              <w:ind w:left="72"/>
              <w:rPr>
                <w:rStyle w:val="InstructionsTabelleberschrift"/>
                <w:rFonts w:ascii="Times New Roman" w:hAnsi="Times New Roman"/>
                <w:sz w:val="24"/>
              </w:rPr>
            </w:pPr>
            <w:r w:rsidRPr="00661595">
              <w:rPr>
                <w:rStyle w:val="InstructionsTabelleberschrift"/>
                <w:rFonts w:ascii="Times New Roman" w:hAnsi="Times New Roman"/>
                <w:sz w:val="24"/>
              </w:rPr>
              <w:t>of which: SME</w:t>
            </w:r>
          </w:p>
          <w:p w:rsidR="004357B9" w:rsidRPr="00661595" w:rsidRDefault="004357B9" w:rsidP="00DE26F2">
            <w:pPr>
              <w:ind w:left="72"/>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 xml:space="preserve">Same definition as for row </w:t>
            </w:r>
            <w:r w:rsidR="001452FC" w:rsidRPr="00661595">
              <w:rPr>
                <w:rStyle w:val="InstructionsTabelleberschrift"/>
                <w:rFonts w:ascii="Times New Roman" w:hAnsi="Times New Roman"/>
                <w:b w:val="0"/>
                <w:sz w:val="24"/>
                <w:u w:val="none"/>
              </w:rPr>
              <w:t>0</w:t>
            </w:r>
            <w:r w:rsidRPr="00661595">
              <w:rPr>
                <w:rStyle w:val="InstructionsTabelleberschrift"/>
                <w:rFonts w:ascii="Times New Roman" w:hAnsi="Times New Roman"/>
                <w:b w:val="0"/>
                <w:sz w:val="24"/>
                <w:u w:val="none"/>
              </w:rPr>
              <w:t>0</w:t>
            </w:r>
            <w:r w:rsidR="00DE26F2" w:rsidRPr="00661595">
              <w:rPr>
                <w:rStyle w:val="InstructionsTabelleberschrift"/>
                <w:rFonts w:ascii="Times New Roman" w:hAnsi="Times New Roman"/>
                <w:b w:val="0"/>
                <w:sz w:val="24"/>
                <w:u w:val="none"/>
              </w:rPr>
              <w:t>20</w:t>
            </w:r>
            <w:r w:rsidR="00D21B29" w:rsidRPr="00661595">
              <w:rPr>
                <w:rStyle w:val="InstructionsTabelleberschrift"/>
                <w:rFonts w:ascii="Times New Roman" w:hAnsi="Times New Roman"/>
                <w:b w:val="0"/>
                <w:sz w:val="24"/>
                <w:u w:val="none"/>
              </w:rPr>
              <w:t xml:space="preserve"> </w:t>
            </w:r>
            <w:r w:rsidRPr="00661595">
              <w:rPr>
                <w:rStyle w:val="InstructionsTabelleberschrift"/>
                <w:rFonts w:ascii="Times New Roman" w:hAnsi="Times New Roman"/>
                <w:b w:val="0"/>
                <w:sz w:val="24"/>
                <w:u w:val="none"/>
              </w:rPr>
              <w:t>of CR SA template</w:t>
            </w:r>
          </w:p>
        </w:tc>
      </w:tr>
      <w:tr w:rsidR="004357B9" w:rsidRPr="00661595" w:rsidTr="00672D2A">
        <w:tc>
          <w:tcPr>
            <w:tcW w:w="1188" w:type="dxa"/>
            <w:shd w:val="clear" w:color="auto" w:fill="FFFFFF"/>
          </w:tcPr>
          <w:p w:rsidR="004357B9" w:rsidRPr="00661595" w:rsidRDefault="001452FC" w:rsidP="004357B9">
            <w:pPr>
              <w:rPr>
                <w:rFonts w:ascii="Times New Roman" w:hAnsi="Times New Roman"/>
                <w:sz w:val="24"/>
              </w:rPr>
            </w:pPr>
            <w:r w:rsidRPr="00661595">
              <w:rPr>
                <w:rFonts w:ascii="Times New Roman" w:hAnsi="Times New Roman"/>
                <w:sz w:val="24"/>
              </w:rPr>
              <w:t>0</w:t>
            </w:r>
            <w:r w:rsidR="004357B9" w:rsidRPr="00661595">
              <w:rPr>
                <w:rFonts w:ascii="Times New Roman" w:hAnsi="Times New Roman"/>
                <w:sz w:val="24"/>
              </w:rPr>
              <w:t>100</w:t>
            </w:r>
          </w:p>
        </w:tc>
        <w:tc>
          <w:tcPr>
            <w:tcW w:w="8701" w:type="dxa"/>
            <w:gridSpan w:val="2"/>
            <w:shd w:val="clear" w:color="auto" w:fill="FFFFFF"/>
          </w:tcPr>
          <w:p w:rsidR="004357B9" w:rsidRPr="00661595" w:rsidRDefault="004357B9" w:rsidP="004357B9">
            <w:pPr>
              <w:ind w:left="72"/>
              <w:rPr>
                <w:rStyle w:val="InstructionsTabelleberschrift"/>
                <w:rFonts w:ascii="Times New Roman" w:hAnsi="Times New Roman"/>
                <w:sz w:val="24"/>
              </w:rPr>
            </w:pPr>
            <w:r w:rsidRPr="00661595">
              <w:rPr>
                <w:rStyle w:val="InstructionsTabelleberschrift"/>
                <w:rFonts w:ascii="Times New Roman" w:hAnsi="Times New Roman"/>
                <w:sz w:val="24"/>
              </w:rPr>
              <w:t>Exposures in default</w:t>
            </w:r>
          </w:p>
          <w:p w:rsidR="004357B9" w:rsidRPr="00661595" w:rsidRDefault="00D21B29" w:rsidP="00D21B29">
            <w:pPr>
              <w:ind w:left="72"/>
              <w:rPr>
                <w:rStyle w:val="InstructionsTabelleberschrift"/>
                <w:rFonts w:ascii="Times New Roman" w:hAnsi="Times New Roman"/>
                <w:sz w:val="24"/>
              </w:rPr>
            </w:pPr>
            <w:r w:rsidRPr="00661595">
              <w:rPr>
                <w:rFonts w:ascii="Times New Roman" w:hAnsi="Times New Roman"/>
                <w:bCs/>
                <w:sz w:val="24"/>
              </w:rPr>
              <w:t xml:space="preserve">Point (j) of </w:t>
            </w:r>
            <w:r w:rsidR="004357B9" w:rsidRPr="00661595">
              <w:rPr>
                <w:rFonts w:ascii="Times New Roman" w:hAnsi="Times New Roman"/>
                <w:bCs/>
                <w:sz w:val="24"/>
              </w:rPr>
              <w:t xml:space="preserve">Article 112 </w:t>
            </w:r>
            <w:r w:rsidR="00C7103D" w:rsidRPr="00661595">
              <w:rPr>
                <w:rFonts w:ascii="Times New Roman" w:hAnsi="Times New Roman"/>
                <w:bCs/>
                <w:sz w:val="24"/>
              </w:rPr>
              <w:t>CRR</w:t>
            </w:r>
          </w:p>
        </w:tc>
      </w:tr>
      <w:tr w:rsidR="004357B9" w:rsidRPr="00661595" w:rsidTr="00672D2A">
        <w:tc>
          <w:tcPr>
            <w:tcW w:w="1188" w:type="dxa"/>
            <w:shd w:val="clear" w:color="auto" w:fill="FFFFFF"/>
          </w:tcPr>
          <w:p w:rsidR="004357B9" w:rsidRPr="00661595" w:rsidRDefault="001452FC" w:rsidP="004357B9">
            <w:pPr>
              <w:rPr>
                <w:rFonts w:ascii="Times New Roman" w:hAnsi="Times New Roman"/>
                <w:sz w:val="24"/>
              </w:rPr>
            </w:pPr>
            <w:r w:rsidRPr="00661595">
              <w:rPr>
                <w:rFonts w:ascii="Times New Roman" w:hAnsi="Times New Roman"/>
                <w:sz w:val="24"/>
              </w:rPr>
              <w:t>0</w:t>
            </w:r>
            <w:r w:rsidR="004357B9" w:rsidRPr="00661595">
              <w:rPr>
                <w:rFonts w:ascii="Times New Roman" w:hAnsi="Times New Roman"/>
                <w:sz w:val="24"/>
              </w:rPr>
              <w:t>110</w:t>
            </w:r>
          </w:p>
        </w:tc>
        <w:tc>
          <w:tcPr>
            <w:tcW w:w="8701" w:type="dxa"/>
            <w:gridSpan w:val="2"/>
            <w:shd w:val="clear" w:color="auto" w:fill="FFFFFF"/>
          </w:tcPr>
          <w:p w:rsidR="004357B9" w:rsidRPr="00661595" w:rsidRDefault="000565B6" w:rsidP="004357B9">
            <w:pPr>
              <w:autoSpaceDE w:val="0"/>
              <w:autoSpaceDN w:val="0"/>
              <w:adjustRightInd w:val="0"/>
              <w:spacing w:before="0"/>
              <w:ind w:left="72"/>
              <w:jc w:val="left"/>
              <w:rPr>
                <w:rFonts w:ascii="Times New Roman" w:hAnsi="Times New Roman"/>
                <w:b/>
                <w:bCs/>
                <w:sz w:val="24"/>
                <w:u w:val="single"/>
              </w:rPr>
            </w:pPr>
            <w:r w:rsidRPr="00661595">
              <w:rPr>
                <w:rFonts w:ascii="Times New Roman" w:hAnsi="Times New Roman"/>
                <w:b/>
                <w:bCs/>
                <w:sz w:val="24"/>
                <w:u w:val="single"/>
              </w:rPr>
              <w:t>I</w:t>
            </w:r>
            <w:r w:rsidR="004357B9" w:rsidRPr="00661595">
              <w:rPr>
                <w:rFonts w:ascii="Times New Roman" w:hAnsi="Times New Roman"/>
                <w:b/>
                <w:bCs/>
                <w:sz w:val="24"/>
                <w:u w:val="single"/>
              </w:rPr>
              <w:t>tems associated with particularly high risk</w:t>
            </w:r>
          </w:p>
          <w:p w:rsidR="004357B9" w:rsidRPr="00661595" w:rsidRDefault="00D21B29" w:rsidP="00D21B29">
            <w:pPr>
              <w:autoSpaceDE w:val="0"/>
              <w:autoSpaceDN w:val="0"/>
              <w:adjustRightInd w:val="0"/>
              <w:spacing w:before="0"/>
              <w:ind w:left="72"/>
              <w:jc w:val="left"/>
              <w:rPr>
                <w:rStyle w:val="InstructionsTabelleberschrift"/>
                <w:rFonts w:ascii="Times New Roman" w:hAnsi="Times New Roman"/>
                <w:sz w:val="24"/>
              </w:rPr>
            </w:pPr>
            <w:r w:rsidRPr="00661595">
              <w:rPr>
                <w:rFonts w:ascii="Times New Roman" w:hAnsi="Times New Roman"/>
                <w:bCs/>
                <w:sz w:val="24"/>
              </w:rPr>
              <w:t xml:space="preserve">Point (k) of </w:t>
            </w:r>
            <w:r w:rsidR="004357B9" w:rsidRPr="00661595">
              <w:rPr>
                <w:rFonts w:ascii="Times New Roman" w:hAnsi="Times New Roman"/>
                <w:bCs/>
                <w:sz w:val="24"/>
              </w:rPr>
              <w:t xml:space="preserve">Article 112 </w:t>
            </w:r>
            <w:r w:rsidR="00C7103D" w:rsidRPr="00661595">
              <w:rPr>
                <w:rFonts w:ascii="Times New Roman" w:hAnsi="Times New Roman"/>
                <w:bCs/>
                <w:sz w:val="24"/>
              </w:rPr>
              <w:t>CRR</w:t>
            </w:r>
          </w:p>
        </w:tc>
      </w:tr>
      <w:tr w:rsidR="004357B9" w:rsidRPr="00661595" w:rsidTr="00672D2A">
        <w:tc>
          <w:tcPr>
            <w:tcW w:w="1188" w:type="dxa"/>
            <w:shd w:val="clear" w:color="auto" w:fill="FFFFFF"/>
          </w:tcPr>
          <w:p w:rsidR="004357B9" w:rsidRPr="00661595" w:rsidRDefault="001452FC" w:rsidP="004357B9">
            <w:pPr>
              <w:rPr>
                <w:rFonts w:ascii="Times New Roman" w:hAnsi="Times New Roman"/>
                <w:sz w:val="24"/>
              </w:rPr>
            </w:pPr>
            <w:r w:rsidRPr="00661595">
              <w:rPr>
                <w:rFonts w:ascii="Times New Roman" w:hAnsi="Times New Roman"/>
                <w:sz w:val="24"/>
              </w:rPr>
              <w:t>0</w:t>
            </w:r>
            <w:r w:rsidR="004357B9" w:rsidRPr="00661595">
              <w:rPr>
                <w:rFonts w:ascii="Times New Roman" w:hAnsi="Times New Roman"/>
                <w:sz w:val="24"/>
              </w:rPr>
              <w:t>120</w:t>
            </w:r>
          </w:p>
        </w:tc>
        <w:tc>
          <w:tcPr>
            <w:tcW w:w="8701" w:type="dxa"/>
            <w:gridSpan w:val="2"/>
            <w:shd w:val="clear" w:color="auto" w:fill="FFFFFF"/>
          </w:tcPr>
          <w:p w:rsidR="004357B9" w:rsidRPr="00661595" w:rsidRDefault="004357B9" w:rsidP="004357B9">
            <w:pPr>
              <w:autoSpaceDE w:val="0"/>
              <w:autoSpaceDN w:val="0"/>
              <w:adjustRightInd w:val="0"/>
              <w:spacing w:before="0"/>
              <w:ind w:left="72"/>
              <w:jc w:val="left"/>
              <w:rPr>
                <w:rStyle w:val="InstructionsTabelleberschrift"/>
                <w:rFonts w:ascii="Times New Roman" w:hAnsi="Times New Roman"/>
                <w:sz w:val="24"/>
              </w:rPr>
            </w:pPr>
            <w:r w:rsidRPr="00661595">
              <w:rPr>
                <w:rStyle w:val="InstructionsTabelleberschrift"/>
                <w:rFonts w:ascii="Times New Roman" w:hAnsi="Times New Roman"/>
                <w:sz w:val="24"/>
              </w:rPr>
              <w:t>Covered bonds</w:t>
            </w:r>
          </w:p>
          <w:p w:rsidR="004357B9" w:rsidRPr="00661595" w:rsidRDefault="00D21B29" w:rsidP="00D21B29">
            <w:pPr>
              <w:autoSpaceDE w:val="0"/>
              <w:autoSpaceDN w:val="0"/>
              <w:adjustRightInd w:val="0"/>
              <w:spacing w:before="0"/>
              <w:ind w:left="72"/>
              <w:jc w:val="left"/>
              <w:rPr>
                <w:rStyle w:val="InstructionsTabelleText"/>
                <w:rFonts w:ascii="Times New Roman" w:hAnsi="Times New Roman"/>
                <w:bCs/>
                <w:sz w:val="24"/>
                <w:u w:val="single"/>
              </w:rPr>
            </w:pPr>
            <w:r w:rsidRPr="00661595">
              <w:rPr>
                <w:rFonts w:ascii="Times New Roman" w:hAnsi="Times New Roman"/>
                <w:bCs/>
                <w:sz w:val="24"/>
              </w:rPr>
              <w:t xml:space="preserve">Point (l) of </w:t>
            </w:r>
            <w:r w:rsidR="004357B9" w:rsidRPr="00661595">
              <w:rPr>
                <w:rFonts w:ascii="Times New Roman" w:hAnsi="Times New Roman"/>
                <w:bCs/>
                <w:sz w:val="24"/>
              </w:rPr>
              <w:t xml:space="preserve">Article 112 </w:t>
            </w:r>
            <w:r w:rsidR="00C7103D" w:rsidRPr="00661595">
              <w:rPr>
                <w:rFonts w:ascii="Times New Roman" w:hAnsi="Times New Roman"/>
                <w:bCs/>
                <w:sz w:val="24"/>
              </w:rPr>
              <w:t>CRR</w:t>
            </w:r>
          </w:p>
        </w:tc>
      </w:tr>
      <w:tr w:rsidR="004357B9" w:rsidRPr="00661595" w:rsidTr="00672D2A">
        <w:tc>
          <w:tcPr>
            <w:tcW w:w="1188" w:type="dxa"/>
            <w:shd w:val="clear" w:color="auto" w:fill="FFFFFF"/>
          </w:tcPr>
          <w:p w:rsidR="004357B9" w:rsidRPr="00661595" w:rsidRDefault="001452FC" w:rsidP="004357B9">
            <w:pPr>
              <w:rPr>
                <w:rFonts w:ascii="Times New Roman" w:hAnsi="Times New Roman"/>
                <w:sz w:val="24"/>
              </w:rPr>
            </w:pPr>
            <w:r w:rsidRPr="00661595">
              <w:rPr>
                <w:rFonts w:ascii="Times New Roman" w:hAnsi="Times New Roman"/>
                <w:sz w:val="24"/>
              </w:rPr>
              <w:t>0</w:t>
            </w:r>
            <w:r w:rsidR="004357B9" w:rsidRPr="00661595">
              <w:rPr>
                <w:rFonts w:ascii="Times New Roman" w:hAnsi="Times New Roman"/>
                <w:sz w:val="24"/>
              </w:rPr>
              <w:t>130</w:t>
            </w:r>
          </w:p>
          <w:p w:rsidR="004357B9" w:rsidRPr="00661595" w:rsidRDefault="004357B9" w:rsidP="004357B9">
            <w:pPr>
              <w:rPr>
                <w:rFonts w:ascii="Times New Roman" w:hAnsi="Times New Roman"/>
                <w:sz w:val="24"/>
              </w:rPr>
            </w:pPr>
          </w:p>
        </w:tc>
        <w:tc>
          <w:tcPr>
            <w:tcW w:w="8701" w:type="dxa"/>
            <w:gridSpan w:val="2"/>
            <w:shd w:val="clear" w:color="auto" w:fill="FFFFFF"/>
          </w:tcPr>
          <w:p w:rsidR="004357B9" w:rsidRPr="00661595" w:rsidRDefault="004357B9" w:rsidP="004357B9">
            <w:pPr>
              <w:ind w:left="72"/>
              <w:rPr>
                <w:rStyle w:val="InstructionsTabelleberschrift"/>
                <w:rFonts w:ascii="Times New Roman" w:hAnsi="Times New Roman"/>
                <w:bCs w:val="0"/>
                <w:sz w:val="24"/>
              </w:rPr>
            </w:pPr>
            <w:r w:rsidRPr="00661595">
              <w:rPr>
                <w:rStyle w:val="InstructionsTabelleberschrift"/>
                <w:rFonts w:ascii="Times New Roman" w:hAnsi="Times New Roman"/>
                <w:bCs w:val="0"/>
                <w:sz w:val="24"/>
              </w:rPr>
              <w:t>Claims on institutions and corporate</w:t>
            </w:r>
            <w:r w:rsidR="00BA6384" w:rsidRPr="00661595">
              <w:rPr>
                <w:rStyle w:val="InstructionsTabelleberschrift"/>
                <w:rFonts w:ascii="Times New Roman" w:hAnsi="Times New Roman"/>
                <w:bCs w:val="0"/>
                <w:sz w:val="24"/>
              </w:rPr>
              <w:t>s</w:t>
            </w:r>
            <w:r w:rsidRPr="00661595">
              <w:rPr>
                <w:rStyle w:val="InstructionsTabelleberschrift"/>
                <w:rFonts w:ascii="Times New Roman" w:hAnsi="Times New Roman"/>
                <w:bCs w:val="0"/>
                <w:sz w:val="24"/>
              </w:rPr>
              <w:t xml:space="preserve"> with a short-term credit assessment</w:t>
            </w:r>
          </w:p>
          <w:p w:rsidR="004357B9" w:rsidRPr="00661595" w:rsidRDefault="00D21B29" w:rsidP="00D21B29">
            <w:pPr>
              <w:ind w:left="72"/>
              <w:rPr>
                <w:rFonts w:ascii="Times New Roman" w:hAnsi="Times New Roman"/>
                <w:sz w:val="24"/>
              </w:rPr>
            </w:pPr>
            <w:r w:rsidRPr="00661595">
              <w:rPr>
                <w:rFonts w:ascii="Times New Roman" w:hAnsi="Times New Roman"/>
                <w:bCs/>
                <w:sz w:val="24"/>
              </w:rPr>
              <w:t xml:space="preserve">Point (n) of </w:t>
            </w:r>
            <w:r w:rsidR="004357B9" w:rsidRPr="00661595">
              <w:rPr>
                <w:rFonts w:ascii="Times New Roman" w:hAnsi="Times New Roman"/>
                <w:sz w:val="24"/>
              </w:rPr>
              <w:t xml:space="preserve">Article 112 </w:t>
            </w:r>
            <w:r w:rsidR="00C7103D" w:rsidRPr="00661595">
              <w:rPr>
                <w:rFonts w:ascii="Times New Roman" w:hAnsi="Times New Roman"/>
                <w:sz w:val="24"/>
              </w:rPr>
              <w:t>CRR</w:t>
            </w:r>
          </w:p>
        </w:tc>
      </w:tr>
      <w:tr w:rsidR="004357B9" w:rsidRPr="00661595" w:rsidTr="00672D2A">
        <w:tc>
          <w:tcPr>
            <w:tcW w:w="1188" w:type="dxa"/>
            <w:shd w:val="clear" w:color="auto" w:fill="FFFFFF"/>
          </w:tcPr>
          <w:p w:rsidR="004357B9" w:rsidRPr="00661595" w:rsidRDefault="001452FC" w:rsidP="004357B9">
            <w:pPr>
              <w:rPr>
                <w:rFonts w:ascii="Times New Roman" w:hAnsi="Times New Roman"/>
                <w:sz w:val="24"/>
              </w:rPr>
            </w:pPr>
            <w:r w:rsidRPr="00661595">
              <w:rPr>
                <w:rFonts w:ascii="Times New Roman" w:hAnsi="Times New Roman"/>
                <w:sz w:val="24"/>
              </w:rPr>
              <w:t>0</w:t>
            </w:r>
            <w:r w:rsidR="004357B9" w:rsidRPr="00661595">
              <w:rPr>
                <w:rFonts w:ascii="Times New Roman" w:hAnsi="Times New Roman"/>
                <w:sz w:val="24"/>
              </w:rPr>
              <w:t>140</w:t>
            </w:r>
          </w:p>
        </w:tc>
        <w:tc>
          <w:tcPr>
            <w:tcW w:w="8701" w:type="dxa"/>
            <w:gridSpan w:val="2"/>
            <w:shd w:val="clear" w:color="auto" w:fill="FFFFFF"/>
          </w:tcPr>
          <w:p w:rsidR="00D82B60" w:rsidRPr="00661595" w:rsidRDefault="00A402A8" w:rsidP="004357B9">
            <w:pPr>
              <w:ind w:left="72"/>
              <w:rPr>
                <w:rStyle w:val="InstructionsTabelleberschrift"/>
                <w:rFonts w:ascii="Times New Roman" w:hAnsi="Times New Roman"/>
                <w:sz w:val="24"/>
              </w:rPr>
            </w:pPr>
            <w:r w:rsidRPr="00661595">
              <w:rPr>
                <w:rStyle w:val="InstructionsTabelleberschrift"/>
                <w:rFonts w:ascii="Times New Roman" w:hAnsi="Times New Roman"/>
                <w:sz w:val="24"/>
              </w:rPr>
              <w:t>Collective investments undertakings (CIU)</w:t>
            </w:r>
          </w:p>
          <w:p w:rsidR="004357B9" w:rsidRDefault="00D21B29" w:rsidP="00D21B29">
            <w:pPr>
              <w:ind w:left="72"/>
              <w:rPr>
                <w:rFonts w:ascii="Times New Roman" w:hAnsi="Times New Roman"/>
                <w:bCs/>
                <w:sz w:val="24"/>
              </w:rPr>
            </w:pPr>
            <w:r w:rsidRPr="00661595">
              <w:rPr>
                <w:rFonts w:ascii="Times New Roman" w:hAnsi="Times New Roman"/>
                <w:bCs/>
                <w:sz w:val="24"/>
              </w:rPr>
              <w:t xml:space="preserve">Point (o) of </w:t>
            </w:r>
            <w:r w:rsidR="004357B9" w:rsidRPr="00661595">
              <w:rPr>
                <w:rFonts w:ascii="Times New Roman" w:hAnsi="Times New Roman"/>
                <w:bCs/>
                <w:sz w:val="24"/>
              </w:rPr>
              <w:t xml:space="preserve">Article 112 </w:t>
            </w:r>
            <w:r w:rsidR="00C7103D" w:rsidRPr="00661595">
              <w:rPr>
                <w:rFonts w:ascii="Times New Roman" w:hAnsi="Times New Roman"/>
                <w:bCs/>
                <w:sz w:val="24"/>
              </w:rPr>
              <w:t>CRR</w:t>
            </w:r>
          </w:p>
          <w:p w:rsidR="00C1357C" w:rsidRPr="00661595" w:rsidRDefault="00C1357C" w:rsidP="00D21B29">
            <w:pPr>
              <w:ind w:left="72"/>
              <w:rPr>
                <w:rStyle w:val="InstructionsTabelleberschrift"/>
                <w:rFonts w:ascii="Times New Roman" w:hAnsi="Times New Roman"/>
                <w:b w:val="0"/>
                <w:bCs w:val="0"/>
                <w:sz w:val="24"/>
                <w:u w:val="none"/>
              </w:rPr>
            </w:pPr>
            <w:r>
              <w:rPr>
                <w:rFonts w:ascii="Times New Roman" w:hAnsi="Times New Roman"/>
                <w:bCs/>
                <w:sz w:val="24"/>
              </w:rPr>
              <w:t>Sum of rows 0141 to 0143</w:t>
            </w:r>
          </w:p>
        </w:tc>
      </w:tr>
      <w:tr w:rsidR="00664874" w:rsidRPr="00661595" w:rsidTr="00664874">
        <w:tc>
          <w:tcPr>
            <w:tcW w:w="1188" w:type="dxa"/>
            <w:tcBorders>
              <w:top w:val="single" w:sz="4" w:space="0" w:color="auto"/>
              <w:left w:val="single" w:sz="4" w:space="0" w:color="auto"/>
              <w:bottom w:val="single" w:sz="4" w:space="0" w:color="auto"/>
              <w:right w:val="single" w:sz="4" w:space="0" w:color="auto"/>
            </w:tcBorders>
            <w:shd w:val="clear" w:color="auto" w:fill="FFFFFF"/>
          </w:tcPr>
          <w:p w:rsidR="00664874" w:rsidRPr="00661595" w:rsidRDefault="001452FC" w:rsidP="00664874">
            <w:pPr>
              <w:rPr>
                <w:rFonts w:ascii="Times New Roman" w:hAnsi="Times New Roman"/>
                <w:sz w:val="24"/>
              </w:rPr>
            </w:pPr>
            <w:r w:rsidRPr="00661595">
              <w:rPr>
                <w:rFonts w:ascii="Times New Roman" w:hAnsi="Times New Roman"/>
                <w:sz w:val="24"/>
              </w:rPr>
              <w:t>0</w:t>
            </w:r>
            <w:r w:rsidR="00664874" w:rsidRPr="00661595">
              <w:rPr>
                <w:rFonts w:ascii="Times New Roman" w:hAnsi="Times New Roman"/>
                <w:sz w:val="24"/>
              </w:rPr>
              <w:t>141</w:t>
            </w:r>
          </w:p>
        </w:tc>
        <w:tc>
          <w:tcPr>
            <w:tcW w:w="8701" w:type="dxa"/>
            <w:gridSpan w:val="2"/>
            <w:tcBorders>
              <w:top w:val="single" w:sz="4" w:space="0" w:color="auto"/>
              <w:left w:val="single" w:sz="4" w:space="0" w:color="auto"/>
              <w:bottom w:val="single" w:sz="4" w:space="0" w:color="auto"/>
              <w:right w:val="single" w:sz="4" w:space="0" w:color="auto"/>
            </w:tcBorders>
            <w:shd w:val="clear" w:color="auto" w:fill="FFFFFF"/>
          </w:tcPr>
          <w:p w:rsidR="00664874" w:rsidRPr="00661595" w:rsidRDefault="00664874" w:rsidP="00664874">
            <w:pPr>
              <w:ind w:left="72"/>
              <w:rPr>
                <w:rStyle w:val="InstructionsTabelleberschrift"/>
                <w:rFonts w:ascii="Times New Roman" w:hAnsi="Times New Roman"/>
                <w:sz w:val="24"/>
              </w:rPr>
            </w:pPr>
            <w:r w:rsidRPr="00661595">
              <w:rPr>
                <w:rStyle w:val="InstructionsTabelleberschrift"/>
                <w:rFonts w:ascii="Times New Roman" w:hAnsi="Times New Roman"/>
                <w:sz w:val="24"/>
              </w:rPr>
              <w:t>Look-through approach</w:t>
            </w:r>
          </w:p>
          <w:p w:rsidR="00664874" w:rsidRPr="006418A0" w:rsidRDefault="00664874" w:rsidP="00664874">
            <w:pPr>
              <w:ind w:left="72"/>
              <w:rPr>
                <w:rStyle w:val="InstructionsTabelleberschrift"/>
                <w:rFonts w:ascii="Times New Roman" w:hAnsi="Times New Roman"/>
                <w:b w:val="0"/>
                <w:sz w:val="24"/>
                <w:u w:val="none"/>
              </w:rPr>
            </w:pPr>
            <w:r w:rsidRPr="006418A0">
              <w:rPr>
                <w:rStyle w:val="InstructionsTabelleberschrift"/>
                <w:rFonts w:ascii="Times New Roman" w:hAnsi="Times New Roman"/>
                <w:b w:val="0"/>
                <w:sz w:val="24"/>
                <w:u w:val="none"/>
              </w:rPr>
              <w:t xml:space="preserve">Same definition as for row </w:t>
            </w:r>
            <w:r w:rsidR="001452FC" w:rsidRPr="006418A0">
              <w:rPr>
                <w:rStyle w:val="InstructionsTabelleberschrift"/>
                <w:rFonts w:ascii="Times New Roman" w:hAnsi="Times New Roman"/>
                <w:b w:val="0"/>
                <w:sz w:val="24"/>
                <w:u w:val="none"/>
              </w:rPr>
              <w:t>0</w:t>
            </w:r>
            <w:r w:rsidRPr="006418A0">
              <w:rPr>
                <w:rStyle w:val="InstructionsTabelleberschrift"/>
                <w:rFonts w:ascii="Times New Roman" w:hAnsi="Times New Roman"/>
                <w:b w:val="0"/>
                <w:sz w:val="24"/>
                <w:u w:val="none"/>
              </w:rPr>
              <w:t>281 of CR SA template</w:t>
            </w:r>
          </w:p>
        </w:tc>
      </w:tr>
      <w:tr w:rsidR="00664874" w:rsidRPr="00661595" w:rsidTr="00664874">
        <w:tc>
          <w:tcPr>
            <w:tcW w:w="1188" w:type="dxa"/>
            <w:tcBorders>
              <w:top w:val="single" w:sz="4" w:space="0" w:color="auto"/>
              <w:left w:val="single" w:sz="4" w:space="0" w:color="auto"/>
              <w:bottom w:val="single" w:sz="4" w:space="0" w:color="auto"/>
              <w:right w:val="single" w:sz="4" w:space="0" w:color="auto"/>
            </w:tcBorders>
            <w:shd w:val="clear" w:color="auto" w:fill="FFFFFF"/>
          </w:tcPr>
          <w:p w:rsidR="00664874" w:rsidRPr="00661595" w:rsidRDefault="001452FC" w:rsidP="00664874">
            <w:pPr>
              <w:rPr>
                <w:rFonts w:ascii="Times New Roman" w:hAnsi="Times New Roman"/>
                <w:sz w:val="24"/>
              </w:rPr>
            </w:pPr>
            <w:r w:rsidRPr="00661595">
              <w:rPr>
                <w:rFonts w:ascii="Times New Roman" w:hAnsi="Times New Roman"/>
                <w:sz w:val="24"/>
              </w:rPr>
              <w:t>0</w:t>
            </w:r>
            <w:r w:rsidR="00664874" w:rsidRPr="00661595">
              <w:rPr>
                <w:rFonts w:ascii="Times New Roman" w:hAnsi="Times New Roman"/>
                <w:sz w:val="24"/>
              </w:rPr>
              <w:t>142</w:t>
            </w:r>
          </w:p>
        </w:tc>
        <w:tc>
          <w:tcPr>
            <w:tcW w:w="8701" w:type="dxa"/>
            <w:gridSpan w:val="2"/>
            <w:tcBorders>
              <w:top w:val="single" w:sz="4" w:space="0" w:color="auto"/>
              <w:left w:val="single" w:sz="4" w:space="0" w:color="auto"/>
              <w:bottom w:val="single" w:sz="4" w:space="0" w:color="auto"/>
              <w:right w:val="single" w:sz="4" w:space="0" w:color="auto"/>
            </w:tcBorders>
            <w:shd w:val="clear" w:color="auto" w:fill="FFFFFF"/>
          </w:tcPr>
          <w:p w:rsidR="00664874" w:rsidRPr="00661595" w:rsidRDefault="00664874" w:rsidP="00664874">
            <w:pPr>
              <w:ind w:left="72"/>
              <w:rPr>
                <w:rStyle w:val="InstructionsTabelleberschrift"/>
                <w:rFonts w:ascii="Times New Roman" w:hAnsi="Times New Roman"/>
                <w:sz w:val="24"/>
              </w:rPr>
            </w:pPr>
            <w:r w:rsidRPr="00661595">
              <w:rPr>
                <w:rStyle w:val="InstructionsTabelleberschrift"/>
                <w:rFonts w:ascii="Times New Roman" w:hAnsi="Times New Roman"/>
                <w:sz w:val="24"/>
              </w:rPr>
              <w:t>Mandate-based approach</w:t>
            </w:r>
          </w:p>
          <w:p w:rsidR="00664874" w:rsidRPr="006418A0" w:rsidRDefault="00664874" w:rsidP="00664874">
            <w:pPr>
              <w:ind w:left="72"/>
              <w:rPr>
                <w:rStyle w:val="InstructionsTabelleberschrift"/>
                <w:rFonts w:ascii="Times New Roman" w:hAnsi="Times New Roman"/>
                <w:b w:val="0"/>
                <w:sz w:val="24"/>
                <w:u w:val="none"/>
              </w:rPr>
            </w:pPr>
            <w:r w:rsidRPr="006418A0">
              <w:rPr>
                <w:rStyle w:val="InstructionsTabelleberschrift"/>
                <w:rFonts w:ascii="Times New Roman" w:hAnsi="Times New Roman"/>
                <w:b w:val="0"/>
                <w:sz w:val="24"/>
                <w:u w:val="none"/>
              </w:rPr>
              <w:t xml:space="preserve">Same definition as for row </w:t>
            </w:r>
            <w:r w:rsidR="001452FC" w:rsidRPr="006418A0">
              <w:rPr>
                <w:rStyle w:val="InstructionsTabelleberschrift"/>
                <w:rFonts w:ascii="Times New Roman" w:hAnsi="Times New Roman"/>
                <w:b w:val="0"/>
                <w:sz w:val="24"/>
                <w:u w:val="none"/>
              </w:rPr>
              <w:t>0</w:t>
            </w:r>
            <w:r w:rsidRPr="006418A0">
              <w:rPr>
                <w:rStyle w:val="InstructionsTabelleberschrift"/>
                <w:rFonts w:ascii="Times New Roman" w:hAnsi="Times New Roman"/>
                <w:b w:val="0"/>
                <w:sz w:val="24"/>
                <w:u w:val="none"/>
              </w:rPr>
              <w:t>282 of CR SA template</w:t>
            </w:r>
          </w:p>
        </w:tc>
      </w:tr>
      <w:tr w:rsidR="00664874" w:rsidRPr="00661595" w:rsidTr="00664874">
        <w:tc>
          <w:tcPr>
            <w:tcW w:w="1188" w:type="dxa"/>
            <w:tcBorders>
              <w:top w:val="single" w:sz="4" w:space="0" w:color="auto"/>
              <w:left w:val="single" w:sz="4" w:space="0" w:color="auto"/>
              <w:bottom w:val="single" w:sz="4" w:space="0" w:color="auto"/>
              <w:right w:val="single" w:sz="4" w:space="0" w:color="auto"/>
            </w:tcBorders>
            <w:shd w:val="clear" w:color="auto" w:fill="FFFFFF"/>
          </w:tcPr>
          <w:p w:rsidR="00664874" w:rsidRPr="00661595" w:rsidRDefault="001452FC" w:rsidP="00664874">
            <w:pPr>
              <w:rPr>
                <w:rFonts w:ascii="Times New Roman" w:hAnsi="Times New Roman"/>
                <w:sz w:val="24"/>
              </w:rPr>
            </w:pPr>
            <w:r w:rsidRPr="00661595">
              <w:rPr>
                <w:rFonts w:ascii="Times New Roman" w:hAnsi="Times New Roman"/>
                <w:sz w:val="24"/>
              </w:rPr>
              <w:t>0</w:t>
            </w:r>
            <w:r w:rsidR="00664874" w:rsidRPr="00661595">
              <w:rPr>
                <w:rFonts w:ascii="Times New Roman" w:hAnsi="Times New Roman"/>
                <w:sz w:val="24"/>
              </w:rPr>
              <w:t>143</w:t>
            </w:r>
          </w:p>
        </w:tc>
        <w:tc>
          <w:tcPr>
            <w:tcW w:w="8701" w:type="dxa"/>
            <w:gridSpan w:val="2"/>
            <w:tcBorders>
              <w:top w:val="single" w:sz="4" w:space="0" w:color="auto"/>
              <w:left w:val="single" w:sz="4" w:space="0" w:color="auto"/>
              <w:bottom w:val="single" w:sz="4" w:space="0" w:color="auto"/>
              <w:right w:val="single" w:sz="4" w:space="0" w:color="auto"/>
            </w:tcBorders>
            <w:shd w:val="clear" w:color="auto" w:fill="FFFFFF"/>
          </w:tcPr>
          <w:p w:rsidR="00664874" w:rsidRPr="00661595" w:rsidRDefault="00664874" w:rsidP="00664874">
            <w:pPr>
              <w:ind w:left="72"/>
              <w:rPr>
                <w:rStyle w:val="InstructionsTabelleberschrift"/>
                <w:rFonts w:ascii="Times New Roman" w:hAnsi="Times New Roman"/>
                <w:sz w:val="24"/>
              </w:rPr>
            </w:pPr>
            <w:r w:rsidRPr="00661595">
              <w:rPr>
                <w:rStyle w:val="InstructionsTabelleberschrift"/>
                <w:rFonts w:ascii="Times New Roman" w:hAnsi="Times New Roman"/>
                <w:sz w:val="24"/>
              </w:rPr>
              <w:t>Fall-back approach</w:t>
            </w:r>
          </w:p>
          <w:p w:rsidR="00664874" w:rsidRPr="006418A0" w:rsidRDefault="00664874" w:rsidP="00664874">
            <w:pPr>
              <w:ind w:left="72"/>
              <w:rPr>
                <w:rStyle w:val="InstructionsTabelleberschrift"/>
                <w:rFonts w:ascii="Times New Roman" w:hAnsi="Times New Roman"/>
                <w:b w:val="0"/>
                <w:sz w:val="24"/>
                <w:u w:val="none"/>
              </w:rPr>
            </w:pPr>
            <w:r w:rsidRPr="006418A0">
              <w:rPr>
                <w:rStyle w:val="InstructionsTabelleberschrift"/>
                <w:rFonts w:ascii="Times New Roman" w:hAnsi="Times New Roman"/>
                <w:b w:val="0"/>
                <w:sz w:val="24"/>
                <w:u w:val="none"/>
              </w:rPr>
              <w:t xml:space="preserve">Same definition as for row </w:t>
            </w:r>
            <w:r w:rsidR="001452FC" w:rsidRPr="006418A0">
              <w:rPr>
                <w:rStyle w:val="InstructionsTabelleberschrift"/>
                <w:rFonts w:ascii="Times New Roman" w:hAnsi="Times New Roman"/>
                <w:b w:val="0"/>
                <w:sz w:val="24"/>
                <w:u w:val="none"/>
              </w:rPr>
              <w:t>0</w:t>
            </w:r>
            <w:r w:rsidRPr="006418A0">
              <w:rPr>
                <w:rStyle w:val="InstructionsTabelleberschrift"/>
                <w:rFonts w:ascii="Times New Roman" w:hAnsi="Times New Roman"/>
                <w:b w:val="0"/>
                <w:sz w:val="24"/>
                <w:u w:val="none"/>
              </w:rPr>
              <w:t>283 of CR SA template</w:t>
            </w:r>
          </w:p>
        </w:tc>
      </w:tr>
      <w:tr w:rsidR="004357B9" w:rsidRPr="00661595" w:rsidTr="00672D2A">
        <w:tc>
          <w:tcPr>
            <w:tcW w:w="1188" w:type="dxa"/>
            <w:shd w:val="clear" w:color="auto" w:fill="FFFFFF"/>
          </w:tcPr>
          <w:p w:rsidR="004357B9" w:rsidRPr="00661595" w:rsidRDefault="001452FC" w:rsidP="004357B9">
            <w:pPr>
              <w:rPr>
                <w:rFonts w:ascii="Times New Roman" w:hAnsi="Times New Roman"/>
                <w:sz w:val="24"/>
              </w:rPr>
            </w:pPr>
            <w:r w:rsidRPr="00661595">
              <w:rPr>
                <w:rFonts w:ascii="Times New Roman" w:hAnsi="Times New Roman"/>
                <w:sz w:val="24"/>
              </w:rPr>
              <w:t>0</w:t>
            </w:r>
            <w:r w:rsidR="004357B9" w:rsidRPr="00661595">
              <w:rPr>
                <w:rFonts w:ascii="Times New Roman" w:hAnsi="Times New Roman"/>
                <w:sz w:val="24"/>
              </w:rPr>
              <w:t>150</w:t>
            </w:r>
          </w:p>
        </w:tc>
        <w:tc>
          <w:tcPr>
            <w:tcW w:w="8701" w:type="dxa"/>
            <w:gridSpan w:val="2"/>
            <w:shd w:val="clear" w:color="auto" w:fill="FFFFFF"/>
          </w:tcPr>
          <w:p w:rsidR="004357B9" w:rsidRPr="00661595" w:rsidRDefault="004357B9" w:rsidP="004357B9">
            <w:pPr>
              <w:ind w:left="72"/>
              <w:rPr>
                <w:rStyle w:val="InstructionsTabelleberschrift"/>
                <w:rFonts w:ascii="Times New Roman" w:hAnsi="Times New Roman"/>
                <w:sz w:val="24"/>
              </w:rPr>
            </w:pPr>
            <w:r w:rsidRPr="00661595">
              <w:rPr>
                <w:rStyle w:val="InstructionsTabelleberschrift"/>
                <w:rFonts w:ascii="Times New Roman" w:hAnsi="Times New Roman"/>
                <w:sz w:val="24"/>
              </w:rPr>
              <w:t>Equity exposures</w:t>
            </w:r>
          </w:p>
          <w:p w:rsidR="004357B9" w:rsidRPr="00661595" w:rsidRDefault="00D21B29" w:rsidP="00D21B29">
            <w:pPr>
              <w:ind w:left="72"/>
              <w:rPr>
                <w:rStyle w:val="InstructionsTabelleberschrift"/>
                <w:rFonts w:ascii="Times New Roman" w:hAnsi="Times New Roman"/>
                <w:sz w:val="24"/>
              </w:rPr>
            </w:pPr>
            <w:r w:rsidRPr="00661595">
              <w:rPr>
                <w:rFonts w:ascii="Times New Roman" w:hAnsi="Times New Roman"/>
                <w:bCs/>
                <w:sz w:val="24"/>
              </w:rPr>
              <w:t xml:space="preserve">Point (p) of </w:t>
            </w:r>
            <w:r w:rsidR="004357B9" w:rsidRPr="00661595">
              <w:rPr>
                <w:rFonts w:ascii="Times New Roman" w:hAnsi="Times New Roman"/>
                <w:bCs/>
                <w:sz w:val="24"/>
              </w:rPr>
              <w:t xml:space="preserve">Article 112 </w:t>
            </w:r>
            <w:r w:rsidR="00C7103D" w:rsidRPr="00661595">
              <w:rPr>
                <w:rFonts w:ascii="Times New Roman" w:hAnsi="Times New Roman"/>
                <w:bCs/>
                <w:sz w:val="24"/>
              </w:rPr>
              <w:t>CRR</w:t>
            </w:r>
          </w:p>
        </w:tc>
      </w:tr>
      <w:tr w:rsidR="004357B9" w:rsidRPr="00661595" w:rsidTr="00672D2A">
        <w:tc>
          <w:tcPr>
            <w:tcW w:w="1188" w:type="dxa"/>
            <w:shd w:val="clear" w:color="auto" w:fill="FFFFFF"/>
          </w:tcPr>
          <w:p w:rsidR="004357B9" w:rsidRPr="00661595" w:rsidRDefault="001452FC" w:rsidP="004357B9">
            <w:pPr>
              <w:rPr>
                <w:rFonts w:ascii="Times New Roman" w:hAnsi="Times New Roman"/>
                <w:sz w:val="24"/>
              </w:rPr>
            </w:pPr>
            <w:r w:rsidRPr="00661595">
              <w:rPr>
                <w:rFonts w:ascii="Times New Roman" w:hAnsi="Times New Roman"/>
                <w:sz w:val="24"/>
              </w:rPr>
              <w:t>0</w:t>
            </w:r>
            <w:r w:rsidR="004357B9" w:rsidRPr="00661595">
              <w:rPr>
                <w:rFonts w:ascii="Times New Roman" w:hAnsi="Times New Roman"/>
                <w:sz w:val="24"/>
              </w:rPr>
              <w:t>160</w:t>
            </w:r>
          </w:p>
        </w:tc>
        <w:tc>
          <w:tcPr>
            <w:tcW w:w="8701" w:type="dxa"/>
            <w:gridSpan w:val="2"/>
            <w:shd w:val="clear" w:color="auto" w:fill="FFFFFF"/>
          </w:tcPr>
          <w:p w:rsidR="004357B9" w:rsidRPr="00661595" w:rsidRDefault="004357B9" w:rsidP="004357B9">
            <w:pPr>
              <w:ind w:left="72"/>
              <w:rPr>
                <w:rStyle w:val="InstructionsTabelleberschrift"/>
                <w:rFonts w:ascii="Times New Roman" w:hAnsi="Times New Roman"/>
                <w:sz w:val="24"/>
              </w:rPr>
            </w:pPr>
            <w:r w:rsidRPr="00661595">
              <w:rPr>
                <w:rStyle w:val="InstructionsTabelleberschrift"/>
                <w:rFonts w:ascii="Times New Roman" w:hAnsi="Times New Roman"/>
                <w:sz w:val="24"/>
              </w:rPr>
              <w:t>Other exposures</w:t>
            </w:r>
          </w:p>
          <w:p w:rsidR="004357B9" w:rsidRPr="00661595" w:rsidRDefault="00D21B29" w:rsidP="00D21B29">
            <w:pPr>
              <w:ind w:left="72"/>
              <w:rPr>
                <w:rStyle w:val="InstructionsTabelleberschrift"/>
                <w:rFonts w:ascii="Times New Roman" w:hAnsi="Times New Roman"/>
                <w:sz w:val="24"/>
              </w:rPr>
            </w:pPr>
            <w:r w:rsidRPr="00661595">
              <w:rPr>
                <w:rFonts w:ascii="Times New Roman" w:hAnsi="Times New Roman"/>
                <w:bCs/>
                <w:sz w:val="24"/>
              </w:rPr>
              <w:t xml:space="preserve">Point (q) of </w:t>
            </w:r>
            <w:r w:rsidR="004357B9" w:rsidRPr="00661595">
              <w:rPr>
                <w:rFonts w:ascii="Times New Roman" w:hAnsi="Times New Roman"/>
                <w:bCs/>
                <w:sz w:val="24"/>
              </w:rPr>
              <w:t xml:space="preserve">Article 112 </w:t>
            </w:r>
            <w:r w:rsidR="00C7103D" w:rsidRPr="00661595">
              <w:rPr>
                <w:rFonts w:ascii="Times New Roman" w:hAnsi="Times New Roman"/>
                <w:bCs/>
                <w:sz w:val="24"/>
              </w:rPr>
              <w:t>CRR</w:t>
            </w:r>
          </w:p>
        </w:tc>
      </w:tr>
      <w:tr w:rsidR="007A49AC" w:rsidRPr="00661595" w:rsidTr="00672D2A">
        <w:tc>
          <w:tcPr>
            <w:tcW w:w="1188" w:type="dxa"/>
            <w:shd w:val="clear" w:color="auto" w:fill="FFFFFF"/>
          </w:tcPr>
          <w:p w:rsidR="007A49AC" w:rsidRPr="00661595" w:rsidRDefault="001452FC" w:rsidP="004357B9">
            <w:pPr>
              <w:rPr>
                <w:rFonts w:ascii="Times New Roman" w:hAnsi="Times New Roman"/>
                <w:sz w:val="24"/>
              </w:rPr>
            </w:pPr>
            <w:r w:rsidRPr="00661595">
              <w:rPr>
                <w:rFonts w:ascii="Times New Roman" w:hAnsi="Times New Roman"/>
                <w:sz w:val="24"/>
              </w:rPr>
              <w:t>0</w:t>
            </w:r>
            <w:r w:rsidR="007A49AC" w:rsidRPr="00661595">
              <w:rPr>
                <w:rFonts w:ascii="Times New Roman" w:hAnsi="Times New Roman"/>
                <w:sz w:val="24"/>
              </w:rPr>
              <w:t>170</w:t>
            </w:r>
          </w:p>
        </w:tc>
        <w:tc>
          <w:tcPr>
            <w:tcW w:w="8701" w:type="dxa"/>
            <w:gridSpan w:val="2"/>
            <w:shd w:val="clear" w:color="auto" w:fill="FFFFFF"/>
          </w:tcPr>
          <w:p w:rsidR="007A49AC" w:rsidRPr="00661595" w:rsidRDefault="007A49AC" w:rsidP="004357B9">
            <w:pPr>
              <w:ind w:left="72"/>
              <w:rPr>
                <w:rStyle w:val="InstructionsTabelleberschrift"/>
                <w:rFonts w:ascii="Times New Roman" w:hAnsi="Times New Roman"/>
                <w:sz w:val="24"/>
              </w:rPr>
            </w:pPr>
            <w:r w:rsidRPr="00661595">
              <w:rPr>
                <w:rStyle w:val="InstructionsTabelleberschrift"/>
                <w:rFonts w:ascii="Times New Roman" w:hAnsi="Times New Roman"/>
                <w:sz w:val="24"/>
              </w:rPr>
              <w:t>Total exposures</w:t>
            </w:r>
          </w:p>
        </w:tc>
      </w:tr>
    </w:tbl>
    <w:p w:rsidR="004357B9" w:rsidRPr="00661595" w:rsidRDefault="004357B9" w:rsidP="004357B9">
      <w:pPr>
        <w:spacing w:before="0" w:after="200" w:line="312" w:lineRule="auto"/>
        <w:jc w:val="left"/>
        <w:rPr>
          <w:rFonts w:ascii="Times New Roman" w:hAnsi="Times New Roman"/>
          <w:sz w:val="24"/>
        </w:rPr>
      </w:pPr>
      <w:bookmarkStart w:id="366" w:name="_Toc292456210"/>
    </w:p>
    <w:p w:rsidR="004357B9"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367" w:name="_Toc360188364"/>
      <w:bookmarkStart w:id="368" w:name="_Toc473560915"/>
      <w:bookmarkStart w:id="369" w:name="_Toc57831572"/>
      <w:r w:rsidRPr="00661595">
        <w:rPr>
          <w:rFonts w:ascii="Times New Roman" w:hAnsi="Times New Roman" w:cs="Times New Roman"/>
          <w:sz w:val="24"/>
          <w:u w:val="none"/>
          <w:lang w:val="en-GB"/>
        </w:rPr>
        <w:t>3.4.2.</w:t>
      </w:r>
      <w:r w:rsidRPr="00661595">
        <w:rPr>
          <w:rFonts w:ascii="Times New Roman" w:hAnsi="Times New Roman" w:cs="Times New Roman"/>
          <w:sz w:val="24"/>
          <w:u w:val="none"/>
          <w:lang w:val="en-GB"/>
        </w:rPr>
        <w:tab/>
      </w:r>
      <w:r w:rsidR="009769DE" w:rsidRPr="00661595">
        <w:rPr>
          <w:rFonts w:ascii="Times New Roman" w:hAnsi="Times New Roman" w:cs="Times New Roman"/>
          <w:sz w:val="24"/>
          <w:lang w:val="en-GB"/>
        </w:rPr>
        <w:t>C 09.02</w:t>
      </w:r>
      <w:r w:rsidR="004357B9" w:rsidRPr="00661595">
        <w:rPr>
          <w:rFonts w:ascii="Times New Roman" w:hAnsi="Times New Roman" w:cs="Times New Roman"/>
          <w:sz w:val="24"/>
          <w:lang w:val="en-GB"/>
        </w:rPr>
        <w:t xml:space="preserve"> – Geographical breakdown of exposur</w:t>
      </w:r>
      <w:r w:rsidR="009769DE" w:rsidRPr="00661595">
        <w:rPr>
          <w:rFonts w:ascii="Times New Roman" w:hAnsi="Times New Roman" w:cs="Times New Roman"/>
          <w:sz w:val="24"/>
          <w:lang w:val="en-GB"/>
        </w:rPr>
        <w:t xml:space="preserve">es by residence of the obligor: </w:t>
      </w:r>
      <w:r w:rsidR="004357B9" w:rsidRPr="00661595">
        <w:rPr>
          <w:rFonts w:ascii="Times New Roman" w:hAnsi="Times New Roman" w:cs="Times New Roman"/>
          <w:sz w:val="24"/>
          <w:lang w:val="en-GB"/>
        </w:rPr>
        <w:t>IRB exposures</w:t>
      </w:r>
      <w:bookmarkEnd w:id="367"/>
      <w:r w:rsidR="009769DE" w:rsidRPr="00661595">
        <w:rPr>
          <w:rFonts w:ascii="Times New Roman" w:hAnsi="Times New Roman" w:cs="Times New Roman"/>
          <w:sz w:val="24"/>
          <w:lang w:val="en-GB"/>
        </w:rPr>
        <w:t xml:space="preserve"> (CR GB 2)</w:t>
      </w:r>
      <w:bookmarkEnd w:id="368"/>
      <w:bookmarkEnd w:id="369"/>
    </w:p>
    <w:p w:rsidR="004357B9"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370" w:name="_Toc360188365"/>
      <w:bookmarkStart w:id="371" w:name="_Toc473560916"/>
      <w:bookmarkStart w:id="372" w:name="_Toc57831573"/>
      <w:r w:rsidRPr="00661595">
        <w:rPr>
          <w:rFonts w:ascii="Times New Roman" w:hAnsi="Times New Roman" w:cs="Times New Roman"/>
          <w:sz w:val="24"/>
          <w:u w:val="none"/>
          <w:lang w:val="en-GB"/>
        </w:rPr>
        <w:t>3.4.2.1.</w:t>
      </w:r>
      <w:r w:rsidRPr="00661595">
        <w:rPr>
          <w:rFonts w:ascii="Times New Roman" w:hAnsi="Times New Roman" w:cs="Times New Roman"/>
          <w:sz w:val="24"/>
          <w:u w:val="none"/>
          <w:lang w:val="en-GB"/>
        </w:rPr>
        <w:tab/>
      </w:r>
      <w:r w:rsidR="004357B9" w:rsidRPr="00661595">
        <w:rPr>
          <w:rFonts w:ascii="Times New Roman" w:hAnsi="Times New Roman" w:cs="Times New Roman"/>
          <w:sz w:val="24"/>
          <w:lang w:val="en-GB"/>
        </w:rPr>
        <w:t>Instructions concerning specific positions</w:t>
      </w:r>
      <w:bookmarkEnd w:id="370"/>
      <w:bookmarkEnd w:id="371"/>
      <w:bookmarkEnd w:id="372"/>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8640"/>
      </w:tblGrid>
      <w:tr w:rsidR="004357B9" w:rsidRPr="00661595" w:rsidTr="00672D2A">
        <w:tc>
          <w:tcPr>
            <w:tcW w:w="1188" w:type="dxa"/>
            <w:shd w:val="clear" w:color="auto" w:fill="CCCCCC"/>
          </w:tcPr>
          <w:p w:rsidR="004357B9" w:rsidRPr="00661595" w:rsidRDefault="004357B9" w:rsidP="004357B9">
            <w:pPr>
              <w:rPr>
                <w:rFonts w:ascii="Times New Roman" w:hAnsi="Times New Roman"/>
                <w:b/>
                <w:sz w:val="24"/>
              </w:rPr>
            </w:pPr>
            <w:r w:rsidRPr="00661595">
              <w:rPr>
                <w:rFonts w:ascii="Times New Roman" w:hAnsi="Times New Roman"/>
                <w:b/>
                <w:sz w:val="24"/>
              </w:rPr>
              <w:t>Columns</w:t>
            </w:r>
          </w:p>
        </w:tc>
        <w:tc>
          <w:tcPr>
            <w:tcW w:w="8640" w:type="dxa"/>
            <w:shd w:val="clear" w:color="auto" w:fill="CCCCCC"/>
          </w:tcPr>
          <w:p w:rsidR="004357B9" w:rsidRPr="00661595" w:rsidRDefault="004357B9" w:rsidP="004357B9">
            <w:pPr>
              <w:ind w:left="72"/>
              <w:rPr>
                <w:rFonts w:ascii="Times New Roman" w:hAnsi="Times New Roman"/>
                <w:sz w:val="24"/>
              </w:rPr>
            </w:pPr>
          </w:p>
        </w:tc>
      </w:tr>
      <w:tr w:rsidR="004357B9" w:rsidRPr="00661595" w:rsidTr="00672D2A">
        <w:tc>
          <w:tcPr>
            <w:tcW w:w="1188" w:type="dxa"/>
          </w:tcPr>
          <w:p w:rsidR="004357B9" w:rsidRPr="00661595" w:rsidRDefault="004357B9" w:rsidP="004357B9">
            <w:pPr>
              <w:rPr>
                <w:rStyle w:val="InstructionsTabelleText"/>
                <w:rFonts w:ascii="Times New Roman" w:hAnsi="Times New Roman"/>
                <w:sz w:val="24"/>
              </w:rPr>
            </w:pPr>
            <w:r w:rsidRPr="00661595">
              <w:rPr>
                <w:rStyle w:val="InstructionsTabelleText"/>
                <w:rFonts w:ascii="Times New Roman" w:hAnsi="Times New Roman"/>
                <w:sz w:val="24"/>
              </w:rPr>
              <w:t>0</w:t>
            </w:r>
            <w:r w:rsidR="001452FC" w:rsidRPr="00661595">
              <w:rPr>
                <w:rStyle w:val="InstructionsTabelleText"/>
                <w:rFonts w:ascii="Times New Roman" w:hAnsi="Times New Roman"/>
                <w:sz w:val="24"/>
              </w:rPr>
              <w:t>0</w:t>
            </w:r>
            <w:r w:rsidRPr="00661595">
              <w:rPr>
                <w:rStyle w:val="InstructionsTabelleText"/>
                <w:rFonts w:ascii="Times New Roman" w:hAnsi="Times New Roman"/>
                <w:sz w:val="24"/>
              </w:rPr>
              <w:t>10</w:t>
            </w:r>
          </w:p>
        </w:tc>
        <w:tc>
          <w:tcPr>
            <w:tcW w:w="8640" w:type="dxa"/>
          </w:tcPr>
          <w:p w:rsidR="004357B9" w:rsidRPr="00661595" w:rsidRDefault="004357B9" w:rsidP="004357B9">
            <w:pPr>
              <w:rPr>
                <w:rStyle w:val="InstructionsTabelleberschrift"/>
                <w:rFonts w:ascii="Times New Roman" w:hAnsi="Times New Roman"/>
                <w:sz w:val="24"/>
              </w:rPr>
            </w:pPr>
            <w:r w:rsidRPr="00661595">
              <w:rPr>
                <w:rStyle w:val="InstructionsTabelleberschrift"/>
                <w:rFonts w:ascii="Times New Roman" w:hAnsi="Times New Roman"/>
                <w:sz w:val="24"/>
              </w:rPr>
              <w:t>ORIGINAL EXPOSURE PRE</w:t>
            </w:r>
            <w:r w:rsidR="007574C3" w:rsidRPr="00661595">
              <w:rPr>
                <w:rStyle w:val="InstructionsTabelleberschrift"/>
                <w:rFonts w:ascii="Times New Roman" w:hAnsi="Times New Roman"/>
                <w:sz w:val="24"/>
              </w:rPr>
              <w:t>-</w:t>
            </w:r>
            <w:r w:rsidRPr="00661595">
              <w:rPr>
                <w:rStyle w:val="InstructionsTabelleberschrift"/>
                <w:rFonts w:ascii="Times New Roman" w:hAnsi="Times New Roman"/>
                <w:sz w:val="24"/>
              </w:rPr>
              <w:t>CONVERSION FACTORS</w:t>
            </w:r>
          </w:p>
          <w:p w:rsidR="004357B9" w:rsidRPr="00661595" w:rsidRDefault="004357B9" w:rsidP="004357B9">
            <w:pPr>
              <w:autoSpaceDE w:val="0"/>
              <w:autoSpaceDN w:val="0"/>
              <w:adjustRightInd w:val="0"/>
              <w:spacing w:before="0" w:after="0"/>
              <w:jc w:val="left"/>
              <w:rPr>
                <w:rStyle w:val="InstructionsTabelleText"/>
                <w:rFonts w:ascii="Times New Roman" w:hAnsi="Times New Roman"/>
                <w:sz w:val="24"/>
              </w:rPr>
            </w:pPr>
            <w:r w:rsidRPr="00661595">
              <w:rPr>
                <w:rFonts w:ascii="Times New Roman" w:hAnsi="Times New Roman"/>
                <w:sz w:val="24"/>
              </w:rPr>
              <w:t>Same definition as for column 0</w:t>
            </w:r>
            <w:r w:rsidR="001452FC" w:rsidRPr="00661595">
              <w:rPr>
                <w:rFonts w:ascii="Times New Roman" w:hAnsi="Times New Roman"/>
                <w:sz w:val="24"/>
              </w:rPr>
              <w:t>0</w:t>
            </w:r>
            <w:r w:rsidRPr="00661595">
              <w:rPr>
                <w:rFonts w:ascii="Times New Roman" w:hAnsi="Times New Roman"/>
                <w:sz w:val="24"/>
              </w:rPr>
              <w:t>20 of CR IRB template</w:t>
            </w:r>
          </w:p>
        </w:tc>
      </w:tr>
      <w:tr w:rsidR="004357B9" w:rsidRPr="00661595" w:rsidTr="00672D2A">
        <w:tc>
          <w:tcPr>
            <w:tcW w:w="1188" w:type="dxa"/>
          </w:tcPr>
          <w:p w:rsidR="004357B9" w:rsidRPr="00661595" w:rsidRDefault="004357B9" w:rsidP="004357B9">
            <w:pPr>
              <w:rPr>
                <w:rFonts w:ascii="Times New Roman" w:hAnsi="Times New Roman"/>
                <w:sz w:val="24"/>
              </w:rPr>
            </w:pPr>
            <w:r w:rsidRPr="00661595">
              <w:rPr>
                <w:rFonts w:ascii="Times New Roman" w:hAnsi="Times New Roman"/>
                <w:sz w:val="24"/>
              </w:rPr>
              <w:t>0</w:t>
            </w:r>
            <w:r w:rsidR="001452FC" w:rsidRPr="00661595">
              <w:rPr>
                <w:rFonts w:ascii="Times New Roman" w:hAnsi="Times New Roman"/>
                <w:sz w:val="24"/>
              </w:rPr>
              <w:t>0</w:t>
            </w:r>
            <w:r w:rsidRPr="00661595">
              <w:rPr>
                <w:rFonts w:ascii="Times New Roman" w:hAnsi="Times New Roman"/>
                <w:sz w:val="24"/>
              </w:rPr>
              <w:t>30</w:t>
            </w:r>
          </w:p>
        </w:tc>
        <w:tc>
          <w:tcPr>
            <w:tcW w:w="8640" w:type="dxa"/>
          </w:tcPr>
          <w:p w:rsidR="004357B9" w:rsidRPr="00661595" w:rsidRDefault="004357B9" w:rsidP="004357B9">
            <w:pPr>
              <w:rPr>
                <w:rFonts w:ascii="Times New Roman" w:hAnsi="Times New Roman"/>
                <w:b/>
                <w:sz w:val="24"/>
                <w:u w:val="single"/>
              </w:rPr>
            </w:pPr>
            <w:r w:rsidRPr="00661595">
              <w:rPr>
                <w:rFonts w:ascii="Times New Roman" w:hAnsi="Times New Roman"/>
                <w:b/>
                <w:sz w:val="24"/>
                <w:u w:val="single"/>
              </w:rPr>
              <w:t>Of which defaulted</w:t>
            </w:r>
          </w:p>
          <w:p w:rsidR="004357B9" w:rsidRPr="00661595" w:rsidRDefault="004357B9" w:rsidP="00F855D5">
            <w:pPr>
              <w:rPr>
                <w:rStyle w:val="InstructionsTabelleText"/>
                <w:rFonts w:ascii="Times New Roman" w:hAnsi="Times New Roman"/>
                <w:sz w:val="24"/>
              </w:rPr>
            </w:pPr>
            <w:r w:rsidRPr="00661595">
              <w:rPr>
                <w:rStyle w:val="InstructionsTabelleText"/>
                <w:rFonts w:ascii="Times New Roman" w:hAnsi="Times New Roman"/>
                <w:sz w:val="24"/>
              </w:rPr>
              <w:t xml:space="preserve">Original exposure value for those exposures which have been classified as defaulted exposures </w:t>
            </w:r>
            <w:r w:rsidR="00BB22D4" w:rsidRPr="00661595">
              <w:rPr>
                <w:rStyle w:val="InstructionsTabelleText"/>
                <w:rFonts w:ascii="Times New Roman" w:hAnsi="Times New Roman"/>
                <w:sz w:val="24"/>
              </w:rPr>
              <w:t>in accordance with</w:t>
            </w:r>
            <w:r w:rsidRPr="00661595">
              <w:rPr>
                <w:rStyle w:val="InstructionsTabelleText"/>
                <w:rFonts w:ascii="Times New Roman" w:hAnsi="Times New Roman"/>
                <w:sz w:val="24"/>
              </w:rPr>
              <w:t xml:space="preserve"> </w:t>
            </w:r>
            <w:r w:rsidR="00D21B29" w:rsidRPr="00661595">
              <w:rPr>
                <w:rStyle w:val="InstructionsTabelleText"/>
                <w:rFonts w:ascii="Times New Roman" w:hAnsi="Times New Roman"/>
                <w:sz w:val="24"/>
              </w:rPr>
              <w:t>Article</w:t>
            </w:r>
            <w:r w:rsidRPr="00661595">
              <w:rPr>
                <w:rStyle w:val="InstructionsTabelleText"/>
                <w:rFonts w:ascii="Times New Roman" w:hAnsi="Times New Roman"/>
                <w:sz w:val="24"/>
              </w:rPr>
              <w:t xml:space="preserve"> 178</w:t>
            </w:r>
            <w:r w:rsidR="00F855D5" w:rsidRPr="00661595">
              <w:rPr>
                <w:rStyle w:val="InstructionsTabelleText"/>
                <w:rFonts w:ascii="Times New Roman" w:hAnsi="Times New Roman"/>
                <w:sz w:val="24"/>
              </w:rPr>
              <w:t xml:space="preserve"> CRR</w:t>
            </w:r>
          </w:p>
        </w:tc>
      </w:tr>
      <w:tr w:rsidR="004357B9" w:rsidRPr="00661595" w:rsidTr="00672D2A">
        <w:tc>
          <w:tcPr>
            <w:tcW w:w="1188" w:type="dxa"/>
          </w:tcPr>
          <w:p w:rsidR="004357B9" w:rsidRPr="00661595" w:rsidRDefault="004357B9" w:rsidP="004357B9">
            <w:pPr>
              <w:rPr>
                <w:rFonts w:ascii="Times New Roman" w:hAnsi="Times New Roman"/>
                <w:sz w:val="24"/>
              </w:rPr>
            </w:pPr>
            <w:r w:rsidRPr="00661595">
              <w:rPr>
                <w:rFonts w:ascii="Times New Roman" w:hAnsi="Times New Roman"/>
                <w:sz w:val="24"/>
              </w:rPr>
              <w:t>0</w:t>
            </w:r>
            <w:r w:rsidR="001452FC" w:rsidRPr="00661595">
              <w:rPr>
                <w:rFonts w:ascii="Times New Roman" w:hAnsi="Times New Roman"/>
                <w:sz w:val="24"/>
              </w:rPr>
              <w:t>0</w:t>
            </w:r>
            <w:r w:rsidRPr="00661595">
              <w:rPr>
                <w:rFonts w:ascii="Times New Roman" w:hAnsi="Times New Roman"/>
                <w:sz w:val="24"/>
              </w:rPr>
              <w:t>40</w:t>
            </w:r>
          </w:p>
        </w:tc>
        <w:tc>
          <w:tcPr>
            <w:tcW w:w="8640" w:type="dxa"/>
          </w:tcPr>
          <w:p w:rsidR="004357B9" w:rsidRPr="00661595" w:rsidRDefault="004357B9" w:rsidP="004357B9">
            <w:pPr>
              <w:rPr>
                <w:rFonts w:ascii="Times New Roman" w:hAnsi="Times New Roman"/>
                <w:b/>
                <w:sz w:val="24"/>
                <w:u w:val="single"/>
              </w:rPr>
            </w:pPr>
            <w:r w:rsidRPr="00661595">
              <w:rPr>
                <w:rFonts w:ascii="Times New Roman" w:hAnsi="Times New Roman"/>
                <w:b/>
                <w:sz w:val="24"/>
                <w:u w:val="single"/>
              </w:rPr>
              <w:t>Observed new defaults for the period</w:t>
            </w:r>
          </w:p>
          <w:p w:rsidR="004357B9" w:rsidRPr="00661595" w:rsidRDefault="003D14AE" w:rsidP="003D14AE">
            <w:pPr>
              <w:rPr>
                <w:rFonts w:ascii="Times New Roman" w:hAnsi="Times New Roman"/>
                <w:b/>
                <w:sz w:val="24"/>
                <w:u w:val="single"/>
              </w:rPr>
            </w:pPr>
            <w:r w:rsidRPr="00661595">
              <w:rPr>
                <w:rStyle w:val="InstructionsTabelleText"/>
                <w:rFonts w:ascii="Times New Roman" w:hAnsi="Times New Roman"/>
                <w:sz w:val="24"/>
              </w:rPr>
              <w:t>Original exposure value for those exposures</w:t>
            </w:r>
            <w:r w:rsidR="00FD6675">
              <w:rPr>
                <w:rStyle w:val="InstructionsTabelleText"/>
                <w:rFonts w:ascii="Times New Roman" w:hAnsi="Times New Roman"/>
                <w:sz w:val="24"/>
              </w:rPr>
              <w:t>,</w:t>
            </w:r>
            <w:r w:rsidRPr="00661595">
              <w:rPr>
                <w:rStyle w:val="InstructionsTabelleText"/>
                <w:rFonts w:ascii="Times New Roman" w:hAnsi="Times New Roman"/>
                <w:sz w:val="24"/>
              </w:rPr>
              <w:t xml:space="preserve"> which have been classified as defaulted defaulted exposures in accordance with Article 178 CRR</w:t>
            </w:r>
            <w:r w:rsidRPr="00661595" w:rsidDel="00623BDC">
              <w:rPr>
                <w:rStyle w:val="InstructionsTabelleText"/>
                <w:rFonts w:ascii="Times New Roman" w:hAnsi="Times New Roman"/>
                <w:sz w:val="24"/>
              </w:rPr>
              <w:t xml:space="preserve"> </w:t>
            </w:r>
            <w:r w:rsidR="004357B9" w:rsidRPr="00661595">
              <w:rPr>
                <w:rStyle w:val="InstructionsTabelleText"/>
                <w:rFonts w:ascii="Times New Roman" w:hAnsi="Times New Roman"/>
                <w:sz w:val="24"/>
              </w:rPr>
              <w:t>during the 3-month period since the last reporting reference date</w:t>
            </w:r>
            <w:r w:rsidR="00FD6675">
              <w:rPr>
                <w:rStyle w:val="InstructionsTabelleText"/>
                <w:rFonts w:ascii="Times New Roman" w:hAnsi="Times New Roman"/>
                <w:sz w:val="24"/>
              </w:rPr>
              <w:t>,</w:t>
            </w:r>
            <w:r w:rsidR="00487597" w:rsidRPr="00661595">
              <w:rPr>
                <w:rStyle w:val="InstructionsTabelleText"/>
                <w:rFonts w:ascii="Times New Roman" w:hAnsi="Times New Roman"/>
                <w:sz w:val="24"/>
              </w:rPr>
              <w:t xml:space="preserve"> shall be reported against the exposure class to which the obligor belong</w:t>
            </w:r>
            <w:r w:rsidR="0027034D" w:rsidRPr="00661595">
              <w:rPr>
                <w:rStyle w:val="InstructionsTabelleText"/>
                <w:rFonts w:ascii="Times New Roman" w:hAnsi="Times New Roman"/>
                <w:sz w:val="24"/>
              </w:rPr>
              <w:t>s</w:t>
            </w:r>
            <w:r w:rsidR="004357B9" w:rsidRPr="00661595">
              <w:rPr>
                <w:rStyle w:val="InstructionsTabelleText"/>
                <w:rFonts w:ascii="Times New Roman" w:hAnsi="Times New Roman"/>
                <w:sz w:val="24"/>
              </w:rPr>
              <w:t>.</w:t>
            </w:r>
          </w:p>
        </w:tc>
      </w:tr>
      <w:tr w:rsidR="004357B9" w:rsidRPr="00661595" w:rsidTr="00672D2A">
        <w:tc>
          <w:tcPr>
            <w:tcW w:w="1188" w:type="dxa"/>
          </w:tcPr>
          <w:p w:rsidR="004357B9" w:rsidRPr="00661595" w:rsidRDefault="004357B9" w:rsidP="004357B9">
            <w:pPr>
              <w:rPr>
                <w:rFonts w:ascii="Times New Roman" w:hAnsi="Times New Roman"/>
                <w:sz w:val="24"/>
              </w:rPr>
            </w:pPr>
            <w:r w:rsidRPr="00661595">
              <w:rPr>
                <w:rFonts w:ascii="Times New Roman" w:hAnsi="Times New Roman"/>
                <w:sz w:val="24"/>
              </w:rPr>
              <w:t>0</w:t>
            </w:r>
            <w:r w:rsidR="001452FC" w:rsidRPr="00661595">
              <w:rPr>
                <w:rFonts w:ascii="Times New Roman" w:hAnsi="Times New Roman"/>
                <w:sz w:val="24"/>
              </w:rPr>
              <w:t>0</w:t>
            </w:r>
            <w:r w:rsidRPr="00661595">
              <w:rPr>
                <w:rFonts w:ascii="Times New Roman" w:hAnsi="Times New Roman"/>
                <w:sz w:val="24"/>
              </w:rPr>
              <w:t>50</w:t>
            </w:r>
          </w:p>
        </w:tc>
        <w:tc>
          <w:tcPr>
            <w:tcW w:w="8640" w:type="dxa"/>
          </w:tcPr>
          <w:p w:rsidR="004357B9" w:rsidRPr="00661595" w:rsidRDefault="004357B9" w:rsidP="004357B9">
            <w:pPr>
              <w:rPr>
                <w:rFonts w:ascii="Times New Roman" w:hAnsi="Times New Roman"/>
                <w:b/>
                <w:sz w:val="24"/>
                <w:u w:val="single"/>
              </w:rPr>
            </w:pPr>
            <w:r w:rsidRPr="00661595">
              <w:rPr>
                <w:rFonts w:ascii="Times New Roman" w:hAnsi="Times New Roman"/>
                <w:b/>
                <w:sz w:val="24"/>
                <w:u w:val="single"/>
              </w:rPr>
              <w:t>General credit risk adjustments</w:t>
            </w:r>
          </w:p>
          <w:p w:rsidR="004357B9" w:rsidRPr="00661595" w:rsidRDefault="004357B9" w:rsidP="00D82B60">
            <w:pPr>
              <w:rPr>
                <w:rFonts w:ascii="Times New Roman" w:hAnsi="Times New Roman"/>
                <w:b/>
                <w:sz w:val="24"/>
                <w:u w:val="single"/>
              </w:rPr>
            </w:pPr>
            <w:r w:rsidRPr="00661595">
              <w:rPr>
                <w:rFonts w:ascii="Times New Roman" w:hAnsi="Times New Roman"/>
                <w:sz w:val="24"/>
              </w:rPr>
              <w:t xml:space="preserve">Credit risk adjustments </w:t>
            </w:r>
            <w:r w:rsidR="003B2712" w:rsidRPr="00661595">
              <w:rPr>
                <w:rFonts w:ascii="Times New Roman" w:hAnsi="Times New Roman"/>
                <w:sz w:val="24"/>
              </w:rPr>
              <w:t>as referred to in</w:t>
            </w:r>
            <w:r w:rsidRPr="00661595">
              <w:rPr>
                <w:rFonts w:ascii="Times New Roman" w:hAnsi="Times New Roman"/>
                <w:sz w:val="24"/>
              </w:rPr>
              <w:t xml:space="preserve"> Article 110</w:t>
            </w:r>
            <w:r w:rsidR="00F855D5" w:rsidRPr="00661595">
              <w:rPr>
                <w:rFonts w:ascii="Times New Roman" w:hAnsi="Times New Roman"/>
                <w:sz w:val="24"/>
              </w:rPr>
              <w:t xml:space="preserve"> </w:t>
            </w:r>
            <w:r w:rsidR="00C7103D" w:rsidRPr="00661595">
              <w:rPr>
                <w:rFonts w:ascii="Times New Roman" w:hAnsi="Times New Roman"/>
                <w:sz w:val="24"/>
              </w:rPr>
              <w:t>CRR</w:t>
            </w:r>
            <w:r w:rsidR="0027034D" w:rsidRPr="00661595">
              <w:rPr>
                <w:rFonts w:ascii="Times New Roman" w:hAnsi="Times New Roman"/>
                <w:sz w:val="24"/>
              </w:rPr>
              <w:t>, as well as Regulation (EU) 183/2014</w:t>
            </w:r>
          </w:p>
        </w:tc>
      </w:tr>
      <w:tr w:rsidR="004357B9" w:rsidRPr="00661595" w:rsidTr="00672D2A">
        <w:tc>
          <w:tcPr>
            <w:tcW w:w="1188" w:type="dxa"/>
          </w:tcPr>
          <w:p w:rsidR="004357B9" w:rsidRPr="00661595" w:rsidRDefault="004357B9" w:rsidP="004357B9">
            <w:pPr>
              <w:rPr>
                <w:rFonts w:ascii="Times New Roman" w:hAnsi="Times New Roman"/>
                <w:sz w:val="24"/>
              </w:rPr>
            </w:pPr>
            <w:r w:rsidRPr="00661595">
              <w:rPr>
                <w:rFonts w:ascii="Times New Roman" w:hAnsi="Times New Roman"/>
                <w:sz w:val="24"/>
              </w:rPr>
              <w:t>0</w:t>
            </w:r>
            <w:r w:rsidR="001452FC" w:rsidRPr="00661595">
              <w:rPr>
                <w:rFonts w:ascii="Times New Roman" w:hAnsi="Times New Roman"/>
                <w:sz w:val="24"/>
              </w:rPr>
              <w:t>0</w:t>
            </w:r>
            <w:r w:rsidRPr="00661595">
              <w:rPr>
                <w:rFonts w:ascii="Times New Roman" w:hAnsi="Times New Roman"/>
                <w:sz w:val="24"/>
              </w:rPr>
              <w:t>55</w:t>
            </w:r>
          </w:p>
        </w:tc>
        <w:tc>
          <w:tcPr>
            <w:tcW w:w="8640" w:type="dxa"/>
          </w:tcPr>
          <w:p w:rsidR="004357B9" w:rsidRPr="00661595" w:rsidRDefault="004357B9" w:rsidP="004357B9">
            <w:pPr>
              <w:rPr>
                <w:rFonts w:ascii="Times New Roman" w:hAnsi="Times New Roman"/>
                <w:b/>
                <w:sz w:val="24"/>
                <w:u w:val="single"/>
              </w:rPr>
            </w:pPr>
            <w:r w:rsidRPr="00661595">
              <w:rPr>
                <w:rFonts w:ascii="Times New Roman" w:hAnsi="Times New Roman"/>
                <w:b/>
                <w:sz w:val="24"/>
                <w:u w:val="single"/>
              </w:rPr>
              <w:t>Specific credit risk adjustments</w:t>
            </w:r>
          </w:p>
          <w:p w:rsidR="004357B9" w:rsidRPr="00661595" w:rsidRDefault="004357B9" w:rsidP="003B2712">
            <w:pPr>
              <w:rPr>
                <w:rFonts w:ascii="Times New Roman" w:hAnsi="Times New Roman"/>
                <w:b/>
                <w:sz w:val="24"/>
                <w:u w:val="single"/>
              </w:rPr>
            </w:pPr>
            <w:r w:rsidRPr="00661595">
              <w:rPr>
                <w:rFonts w:ascii="Times New Roman" w:hAnsi="Times New Roman"/>
                <w:sz w:val="24"/>
              </w:rPr>
              <w:t xml:space="preserve">Credit risk adjustments </w:t>
            </w:r>
            <w:r w:rsidR="003B2712" w:rsidRPr="00661595">
              <w:rPr>
                <w:rFonts w:ascii="Times New Roman" w:hAnsi="Times New Roman"/>
                <w:sz w:val="24"/>
              </w:rPr>
              <w:t xml:space="preserve">as referred to in </w:t>
            </w:r>
            <w:r w:rsidRPr="00661595">
              <w:rPr>
                <w:rFonts w:ascii="Times New Roman" w:hAnsi="Times New Roman"/>
                <w:sz w:val="24"/>
              </w:rPr>
              <w:t xml:space="preserve">Article 110 </w:t>
            </w:r>
            <w:r w:rsidR="00C7103D" w:rsidRPr="00661595">
              <w:rPr>
                <w:rFonts w:ascii="Times New Roman" w:hAnsi="Times New Roman"/>
                <w:sz w:val="24"/>
              </w:rPr>
              <w:t>CRR</w:t>
            </w:r>
            <w:r w:rsidR="0027034D" w:rsidRPr="00661595">
              <w:rPr>
                <w:rFonts w:ascii="Times New Roman" w:hAnsi="Times New Roman"/>
                <w:sz w:val="24"/>
              </w:rPr>
              <w:t>, as well as Regulation (EU) 183/2014</w:t>
            </w:r>
          </w:p>
        </w:tc>
      </w:tr>
      <w:tr w:rsidR="004357B9" w:rsidRPr="00661595" w:rsidTr="00672D2A">
        <w:tc>
          <w:tcPr>
            <w:tcW w:w="1188" w:type="dxa"/>
          </w:tcPr>
          <w:p w:rsidR="004357B9" w:rsidRPr="00661595" w:rsidRDefault="004357B9" w:rsidP="004357B9">
            <w:pPr>
              <w:rPr>
                <w:rFonts w:ascii="Times New Roman" w:hAnsi="Times New Roman"/>
                <w:sz w:val="24"/>
              </w:rPr>
            </w:pPr>
            <w:r w:rsidRPr="00661595">
              <w:rPr>
                <w:rFonts w:ascii="Times New Roman" w:hAnsi="Times New Roman"/>
                <w:sz w:val="24"/>
              </w:rPr>
              <w:t>0</w:t>
            </w:r>
            <w:r w:rsidR="001452FC" w:rsidRPr="00661595">
              <w:rPr>
                <w:rFonts w:ascii="Times New Roman" w:hAnsi="Times New Roman"/>
                <w:sz w:val="24"/>
              </w:rPr>
              <w:t>0</w:t>
            </w:r>
            <w:r w:rsidRPr="00661595">
              <w:rPr>
                <w:rFonts w:ascii="Times New Roman" w:hAnsi="Times New Roman"/>
                <w:sz w:val="24"/>
              </w:rPr>
              <w:t>60</w:t>
            </w:r>
          </w:p>
        </w:tc>
        <w:tc>
          <w:tcPr>
            <w:tcW w:w="8640" w:type="dxa"/>
          </w:tcPr>
          <w:p w:rsidR="004357B9" w:rsidRPr="00661595" w:rsidRDefault="004357B9" w:rsidP="004357B9">
            <w:pPr>
              <w:rPr>
                <w:rFonts w:ascii="Times New Roman" w:hAnsi="Times New Roman"/>
                <w:b/>
                <w:sz w:val="24"/>
                <w:u w:val="single"/>
              </w:rPr>
            </w:pPr>
            <w:r w:rsidRPr="00661595">
              <w:rPr>
                <w:rFonts w:ascii="Times New Roman" w:hAnsi="Times New Roman"/>
                <w:b/>
                <w:sz w:val="24"/>
                <w:u w:val="single"/>
              </w:rPr>
              <w:t>Write-offs</w:t>
            </w:r>
          </w:p>
          <w:p w:rsidR="004357B9" w:rsidRPr="00661595" w:rsidRDefault="004357B9" w:rsidP="00EA4F4F">
            <w:pPr>
              <w:rPr>
                <w:rFonts w:ascii="Times New Roman" w:hAnsi="Times New Roman"/>
                <w:b/>
                <w:sz w:val="24"/>
                <w:u w:val="single"/>
              </w:rPr>
            </w:pPr>
            <w:r w:rsidRPr="00661595">
              <w:rPr>
                <w:rStyle w:val="InstructionsTabelleText"/>
                <w:rFonts w:ascii="Times New Roman" w:hAnsi="Times New Roman"/>
                <w:sz w:val="24"/>
              </w:rPr>
              <w:t xml:space="preserve">Write-offs </w:t>
            </w:r>
            <w:r w:rsidR="007D1F12" w:rsidRPr="00661595">
              <w:rPr>
                <w:rStyle w:val="InstructionsTabelleText"/>
                <w:rFonts w:ascii="Times New Roman" w:hAnsi="Times New Roman"/>
                <w:sz w:val="24"/>
              </w:rPr>
              <w:t xml:space="preserve">as referred to in </w:t>
            </w:r>
            <w:r w:rsidR="00EA4F4F" w:rsidRPr="00661595">
              <w:rPr>
                <w:rStyle w:val="InstructionsTabelleText"/>
                <w:rFonts w:ascii="Times New Roman" w:hAnsi="Times New Roman"/>
                <w:sz w:val="24"/>
              </w:rPr>
              <w:t>IFRS 9.5.4.4 and B5.4.9</w:t>
            </w:r>
          </w:p>
        </w:tc>
      </w:tr>
      <w:tr w:rsidR="004357B9" w:rsidRPr="00661595" w:rsidTr="00672D2A">
        <w:tc>
          <w:tcPr>
            <w:tcW w:w="1188" w:type="dxa"/>
          </w:tcPr>
          <w:p w:rsidR="004357B9" w:rsidRPr="00661595" w:rsidRDefault="004357B9" w:rsidP="004357B9">
            <w:pPr>
              <w:rPr>
                <w:rFonts w:ascii="Times New Roman" w:hAnsi="Times New Roman"/>
                <w:sz w:val="24"/>
              </w:rPr>
            </w:pPr>
            <w:r w:rsidRPr="00661595">
              <w:rPr>
                <w:rFonts w:ascii="Times New Roman" w:hAnsi="Times New Roman"/>
                <w:sz w:val="24"/>
              </w:rPr>
              <w:t>0</w:t>
            </w:r>
            <w:r w:rsidR="001452FC" w:rsidRPr="00661595">
              <w:rPr>
                <w:rFonts w:ascii="Times New Roman" w:hAnsi="Times New Roman"/>
                <w:sz w:val="24"/>
              </w:rPr>
              <w:t>0</w:t>
            </w:r>
            <w:r w:rsidRPr="00661595">
              <w:rPr>
                <w:rFonts w:ascii="Times New Roman" w:hAnsi="Times New Roman"/>
                <w:sz w:val="24"/>
              </w:rPr>
              <w:t>70</w:t>
            </w:r>
          </w:p>
        </w:tc>
        <w:tc>
          <w:tcPr>
            <w:tcW w:w="8640" w:type="dxa"/>
          </w:tcPr>
          <w:p w:rsidR="004357B9" w:rsidRPr="00661595" w:rsidRDefault="004357B9" w:rsidP="004357B9">
            <w:pPr>
              <w:rPr>
                <w:rFonts w:ascii="Times New Roman" w:hAnsi="Times New Roman"/>
                <w:b/>
                <w:sz w:val="24"/>
                <w:u w:val="single"/>
              </w:rPr>
            </w:pPr>
            <w:r w:rsidRPr="00661595">
              <w:rPr>
                <w:rFonts w:ascii="Times New Roman" w:hAnsi="Times New Roman"/>
                <w:b/>
                <w:sz w:val="24"/>
                <w:u w:val="single"/>
              </w:rPr>
              <w:t>Credit risk adjustments/write-offs for observed new defaults</w:t>
            </w:r>
          </w:p>
          <w:p w:rsidR="004357B9" w:rsidRPr="00661595" w:rsidRDefault="004357B9" w:rsidP="004357B9">
            <w:pPr>
              <w:rPr>
                <w:rFonts w:ascii="Times New Roman" w:hAnsi="Times New Roman"/>
                <w:b/>
                <w:sz w:val="24"/>
                <w:u w:val="single"/>
              </w:rPr>
            </w:pPr>
            <w:r w:rsidRPr="00661595">
              <w:rPr>
                <w:rStyle w:val="InstructionsTabelleText"/>
                <w:rFonts w:ascii="Times New Roman" w:hAnsi="Times New Roman"/>
                <w:sz w:val="24"/>
              </w:rPr>
              <w:t>Sum of credit risk adjustments and write-offs for those exposures which were classified as “defaulted exposures” during the 3-month period since the last data submission</w:t>
            </w:r>
          </w:p>
        </w:tc>
      </w:tr>
      <w:tr w:rsidR="004357B9" w:rsidRPr="00661595" w:rsidTr="00672D2A">
        <w:tc>
          <w:tcPr>
            <w:tcW w:w="1188" w:type="dxa"/>
          </w:tcPr>
          <w:p w:rsidR="004357B9" w:rsidRPr="00661595" w:rsidRDefault="004357B9" w:rsidP="004357B9">
            <w:pPr>
              <w:rPr>
                <w:rFonts w:ascii="Times New Roman" w:hAnsi="Times New Roman"/>
                <w:sz w:val="24"/>
              </w:rPr>
            </w:pPr>
            <w:r w:rsidRPr="00661595">
              <w:rPr>
                <w:rFonts w:ascii="Times New Roman" w:hAnsi="Times New Roman"/>
                <w:sz w:val="24"/>
              </w:rPr>
              <w:t>0</w:t>
            </w:r>
            <w:r w:rsidR="001452FC" w:rsidRPr="00661595">
              <w:rPr>
                <w:rFonts w:ascii="Times New Roman" w:hAnsi="Times New Roman"/>
                <w:sz w:val="24"/>
              </w:rPr>
              <w:t>0</w:t>
            </w:r>
            <w:r w:rsidRPr="00661595">
              <w:rPr>
                <w:rFonts w:ascii="Times New Roman" w:hAnsi="Times New Roman"/>
                <w:sz w:val="24"/>
              </w:rPr>
              <w:t>80</w:t>
            </w:r>
          </w:p>
        </w:tc>
        <w:tc>
          <w:tcPr>
            <w:tcW w:w="8640" w:type="dxa"/>
          </w:tcPr>
          <w:p w:rsidR="004357B9" w:rsidRPr="00661595" w:rsidRDefault="004357B9" w:rsidP="004357B9">
            <w:pPr>
              <w:rPr>
                <w:rStyle w:val="InstructionsTabelleberschrift"/>
                <w:rFonts w:ascii="Times New Roman" w:hAnsi="Times New Roman"/>
                <w:bCs w:val="0"/>
                <w:sz w:val="24"/>
              </w:rPr>
            </w:pPr>
            <w:r w:rsidRPr="00661595">
              <w:rPr>
                <w:rStyle w:val="InstructionsTabelleberschrift"/>
                <w:rFonts w:ascii="Times New Roman" w:hAnsi="Times New Roman"/>
                <w:bCs w:val="0"/>
                <w:sz w:val="24"/>
              </w:rPr>
              <w:t xml:space="preserve">INTERNAL RATING </w:t>
            </w:r>
            <w:r w:rsidR="009A4399" w:rsidRPr="00661595">
              <w:rPr>
                <w:rStyle w:val="InstructionsTabelleberschrift"/>
                <w:rFonts w:ascii="Times New Roman" w:hAnsi="Times New Roman"/>
                <w:bCs w:val="0"/>
                <w:sz w:val="24"/>
              </w:rPr>
              <w:t>SCALE</w:t>
            </w:r>
            <w:r w:rsidRPr="00661595">
              <w:rPr>
                <w:rStyle w:val="InstructionsTabelleberschrift"/>
                <w:rFonts w:ascii="Times New Roman" w:hAnsi="Times New Roman"/>
                <w:bCs w:val="0"/>
                <w:sz w:val="24"/>
              </w:rPr>
              <w:t>/ PD ASSIGNED TO THE OBLIGOR GRADE OR POOL (%)</w:t>
            </w:r>
          </w:p>
          <w:p w:rsidR="004357B9" w:rsidRPr="00661595" w:rsidRDefault="004357B9" w:rsidP="004357B9">
            <w:pPr>
              <w:rPr>
                <w:rFonts w:ascii="Times New Roman" w:hAnsi="Times New Roman"/>
                <w:b/>
                <w:sz w:val="24"/>
                <w:u w:val="single"/>
              </w:rPr>
            </w:pPr>
            <w:r w:rsidRPr="00661595">
              <w:rPr>
                <w:rStyle w:val="InstructionsTabelleText"/>
                <w:rFonts w:ascii="Times New Roman" w:hAnsi="Times New Roman"/>
                <w:sz w:val="24"/>
              </w:rPr>
              <w:t>Same definition as for column 0</w:t>
            </w:r>
            <w:r w:rsidR="001452FC" w:rsidRPr="00661595">
              <w:rPr>
                <w:rStyle w:val="InstructionsTabelleText"/>
                <w:rFonts w:ascii="Times New Roman" w:hAnsi="Times New Roman"/>
                <w:sz w:val="24"/>
              </w:rPr>
              <w:t>0</w:t>
            </w:r>
            <w:r w:rsidRPr="00661595">
              <w:rPr>
                <w:rStyle w:val="InstructionsTabelleText"/>
                <w:rFonts w:ascii="Times New Roman" w:hAnsi="Times New Roman"/>
                <w:sz w:val="24"/>
              </w:rPr>
              <w:t>10 of CR IRB template</w:t>
            </w:r>
          </w:p>
        </w:tc>
      </w:tr>
      <w:tr w:rsidR="004357B9" w:rsidRPr="00661595" w:rsidTr="00672D2A">
        <w:tc>
          <w:tcPr>
            <w:tcW w:w="1188" w:type="dxa"/>
          </w:tcPr>
          <w:p w:rsidR="004357B9" w:rsidRPr="00661595" w:rsidRDefault="004357B9" w:rsidP="004357B9">
            <w:pPr>
              <w:rPr>
                <w:rFonts w:ascii="Times New Roman" w:hAnsi="Times New Roman"/>
                <w:sz w:val="24"/>
              </w:rPr>
            </w:pPr>
            <w:r w:rsidRPr="00661595">
              <w:rPr>
                <w:rFonts w:ascii="Times New Roman" w:hAnsi="Times New Roman"/>
                <w:sz w:val="24"/>
              </w:rPr>
              <w:t>0</w:t>
            </w:r>
            <w:r w:rsidR="001452FC" w:rsidRPr="00661595">
              <w:rPr>
                <w:rFonts w:ascii="Times New Roman" w:hAnsi="Times New Roman"/>
                <w:sz w:val="24"/>
              </w:rPr>
              <w:t>0</w:t>
            </w:r>
            <w:r w:rsidRPr="00661595">
              <w:rPr>
                <w:rFonts w:ascii="Times New Roman" w:hAnsi="Times New Roman"/>
                <w:sz w:val="24"/>
              </w:rPr>
              <w:t>90</w:t>
            </w:r>
          </w:p>
        </w:tc>
        <w:tc>
          <w:tcPr>
            <w:tcW w:w="8640" w:type="dxa"/>
          </w:tcPr>
          <w:p w:rsidR="004357B9" w:rsidRPr="00661595" w:rsidRDefault="004357B9" w:rsidP="004357B9">
            <w:pPr>
              <w:rPr>
                <w:rFonts w:ascii="Times New Roman" w:hAnsi="Times New Roman"/>
                <w:b/>
                <w:sz w:val="24"/>
                <w:u w:val="single"/>
              </w:rPr>
            </w:pPr>
            <w:r w:rsidRPr="00661595">
              <w:rPr>
                <w:rFonts w:ascii="Times New Roman" w:hAnsi="Times New Roman"/>
                <w:b/>
                <w:sz w:val="24"/>
                <w:u w:val="single"/>
              </w:rPr>
              <w:t>EXPOSURE WEIGHTED AVERAGE LGD (%)</w:t>
            </w:r>
          </w:p>
          <w:p w:rsidR="004357B9" w:rsidRPr="00661595" w:rsidRDefault="004357B9" w:rsidP="004357B9">
            <w:pPr>
              <w:rPr>
                <w:rStyle w:val="InstructionsTabelleText"/>
                <w:rFonts w:ascii="Times New Roman" w:hAnsi="Times New Roman"/>
                <w:sz w:val="24"/>
              </w:rPr>
            </w:pPr>
            <w:r w:rsidRPr="00661595">
              <w:rPr>
                <w:rStyle w:val="InstructionsTabelleText"/>
                <w:rFonts w:ascii="Times New Roman" w:hAnsi="Times New Roman"/>
                <w:sz w:val="24"/>
              </w:rPr>
              <w:t>Same definition as for column</w:t>
            </w:r>
            <w:r w:rsidR="00EA56D1" w:rsidRPr="00661595">
              <w:rPr>
                <w:rStyle w:val="InstructionsTabelleText"/>
                <w:rFonts w:ascii="Times New Roman" w:hAnsi="Times New Roman"/>
                <w:sz w:val="24"/>
              </w:rPr>
              <w:t>s</w:t>
            </w:r>
            <w:r w:rsidRPr="00661595">
              <w:rPr>
                <w:rStyle w:val="InstructionsTabelleText"/>
                <w:rFonts w:ascii="Times New Roman" w:hAnsi="Times New Roman"/>
                <w:sz w:val="24"/>
              </w:rPr>
              <w:t xml:space="preserve"> </w:t>
            </w:r>
            <w:r w:rsidR="001452FC" w:rsidRPr="00661595">
              <w:rPr>
                <w:rStyle w:val="InstructionsTabelleText"/>
                <w:rFonts w:ascii="Times New Roman" w:hAnsi="Times New Roman"/>
                <w:sz w:val="24"/>
              </w:rPr>
              <w:t>0</w:t>
            </w:r>
            <w:r w:rsidRPr="00661595">
              <w:rPr>
                <w:rStyle w:val="InstructionsTabelleText"/>
                <w:rFonts w:ascii="Times New Roman" w:hAnsi="Times New Roman"/>
                <w:sz w:val="24"/>
              </w:rPr>
              <w:t>230</w:t>
            </w:r>
            <w:r w:rsidR="00EA56D1" w:rsidRPr="00661595">
              <w:rPr>
                <w:rStyle w:val="InstructionsTabelleText"/>
                <w:rFonts w:ascii="Times New Roman" w:hAnsi="Times New Roman"/>
                <w:sz w:val="24"/>
              </w:rPr>
              <w:t xml:space="preserve"> and </w:t>
            </w:r>
            <w:r w:rsidR="001452FC" w:rsidRPr="00661595">
              <w:rPr>
                <w:rStyle w:val="InstructionsTabelleText"/>
                <w:rFonts w:ascii="Times New Roman" w:hAnsi="Times New Roman"/>
                <w:sz w:val="24"/>
              </w:rPr>
              <w:t>0</w:t>
            </w:r>
            <w:r w:rsidR="00EA56D1" w:rsidRPr="00661595">
              <w:rPr>
                <w:rStyle w:val="InstructionsTabelleText"/>
                <w:rFonts w:ascii="Times New Roman" w:hAnsi="Times New Roman"/>
                <w:sz w:val="24"/>
              </w:rPr>
              <w:t>240</w:t>
            </w:r>
            <w:r w:rsidRPr="00661595">
              <w:rPr>
                <w:rStyle w:val="InstructionsTabelleText"/>
                <w:rFonts w:ascii="Times New Roman" w:hAnsi="Times New Roman"/>
                <w:sz w:val="24"/>
              </w:rPr>
              <w:t xml:space="preserve"> of CR IRB template</w:t>
            </w:r>
            <w:r w:rsidR="00082265" w:rsidRPr="00661595">
              <w:rPr>
                <w:rStyle w:val="InstructionsTabelleText"/>
                <w:rFonts w:ascii="Times New Roman" w:hAnsi="Times New Roman"/>
                <w:sz w:val="24"/>
              </w:rPr>
              <w:t>:</w:t>
            </w:r>
            <w:r w:rsidR="00EA56D1" w:rsidRPr="00661595">
              <w:rPr>
                <w:rStyle w:val="InstructionsTabelleText"/>
                <w:rFonts w:ascii="Times New Roman" w:hAnsi="Times New Roman"/>
                <w:sz w:val="24"/>
              </w:rPr>
              <w:t xml:space="preserve"> the exposure weighted average LGD (%) </w:t>
            </w:r>
            <w:r w:rsidR="00D96E61" w:rsidRPr="00661595">
              <w:rPr>
                <w:rStyle w:val="InstructionsTabelleText"/>
                <w:rFonts w:ascii="Times New Roman" w:hAnsi="Times New Roman"/>
                <w:sz w:val="24"/>
              </w:rPr>
              <w:t>shall refer to</w:t>
            </w:r>
            <w:r w:rsidR="00EA56D1" w:rsidRPr="00661595">
              <w:rPr>
                <w:rStyle w:val="InstructionsTabelleText"/>
                <w:rFonts w:ascii="Times New Roman" w:hAnsi="Times New Roman"/>
                <w:sz w:val="24"/>
              </w:rPr>
              <w:t xml:space="preserve"> all exposures</w:t>
            </w:r>
            <w:r w:rsidR="00082265" w:rsidRPr="00661595">
              <w:rPr>
                <w:rStyle w:val="InstructionsTabelleText"/>
                <w:rFonts w:ascii="Times New Roman" w:hAnsi="Times New Roman"/>
                <w:sz w:val="24"/>
              </w:rPr>
              <w:t>, including exposures to large financial sector entities and unregulated financial entities</w:t>
            </w:r>
            <w:r w:rsidRPr="00661595">
              <w:rPr>
                <w:rStyle w:val="InstructionsTabelleText"/>
                <w:rFonts w:ascii="Times New Roman" w:hAnsi="Times New Roman"/>
                <w:sz w:val="24"/>
              </w:rPr>
              <w:t xml:space="preserve">. </w:t>
            </w:r>
            <w:r w:rsidR="003B2712" w:rsidRPr="00661595">
              <w:rPr>
                <w:rStyle w:val="InstructionsTabelleText"/>
                <w:rFonts w:ascii="Times New Roman" w:hAnsi="Times New Roman"/>
                <w:sz w:val="24"/>
              </w:rPr>
              <w:t>P</w:t>
            </w:r>
            <w:r w:rsidR="00D21B29" w:rsidRPr="00661595">
              <w:rPr>
                <w:rStyle w:val="InstructionsTabelleText"/>
                <w:rFonts w:ascii="Times New Roman" w:hAnsi="Times New Roman"/>
                <w:sz w:val="24"/>
              </w:rPr>
              <w:t xml:space="preserve">oint (h) of </w:t>
            </w:r>
            <w:r w:rsidRPr="00661595">
              <w:rPr>
                <w:rStyle w:val="InstructionsTabelleText"/>
                <w:rFonts w:ascii="Times New Roman" w:hAnsi="Times New Roman"/>
                <w:sz w:val="24"/>
              </w:rPr>
              <w:t xml:space="preserve">Article 181(1) </w:t>
            </w:r>
            <w:r w:rsidR="00C7103D" w:rsidRPr="00661595">
              <w:rPr>
                <w:rStyle w:val="InstructionsTabelleText"/>
                <w:rFonts w:ascii="Times New Roman" w:hAnsi="Times New Roman"/>
                <w:sz w:val="24"/>
              </w:rPr>
              <w:t>CRR</w:t>
            </w:r>
            <w:r w:rsidRPr="00661595">
              <w:rPr>
                <w:rStyle w:val="InstructionsTabelleText"/>
                <w:rFonts w:ascii="Times New Roman" w:hAnsi="Times New Roman"/>
                <w:sz w:val="24"/>
              </w:rPr>
              <w:t xml:space="preserve"> shall apply.</w:t>
            </w:r>
          </w:p>
          <w:p w:rsidR="0042766A" w:rsidRPr="00661595" w:rsidRDefault="0027034D" w:rsidP="009A4399">
            <w:pPr>
              <w:rPr>
                <w:rFonts w:ascii="Times New Roman" w:hAnsi="Times New Roman"/>
                <w:b/>
                <w:sz w:val="24"/>
                <w:u w:val="single"/>
              </w:rPr>
            </w:pPr>
            <w:r w:rsidRPr="00661595">
              <w:rPr>
                <w:rFonts w:ascii="Times New Roman" w:hAnsi="Times New Roman"/>
                <w:sz w:val="24"/>
              </w:rPr>
              <w:t xml:space="preserve">For specialised lending exposures where the PD is </w:t>
            </w:r>
            <w:r w:rsidR="003D14AE" w:rsidRPr="00661595">
              <w:rPr>
                <w:rFonts w:ascii="Times New Roman" w:hAnsi="Times New Roman"/>
                <w:sz w:val="24"/>
              </w:rPr>
              <w:t>estimated</w:t>
            </w:r>
            <w:r w:rsidRPr="00661595">
              <w:rPr>
                <w:rFonts w:ascii="Times New Roman" w:hAnsi="Times New Roman"/>
                <w:sz w:val="24"/>
              </w:rPr>
              <w:t xml:space="preserve">, the </w:t>
            </w:r>
            <w:r w:rsidR="003D14AE" w:rsidRPr="00661595">
              <w:rPr>
                <w:rFonts w:ascii="Times New Roman" w:hAnsi="Times New Roman"/>
                <w:sz w:val="24"/>
              </w:rPr>
              <w:t xml:space="preserve">reported value should be either the </w:t>
            </w:r>
            <w:r w:rsidRPr="00661595">
              <w:rPr>
                <w:rFonts w:ascii="Times New Roman" w:hAnsi="Times New Roman"/>
                <w:sz w:val="24"/>
              </w:rPr>
              <w:t>estimated</w:t>
            </w:r>
            <w:r w:rsidR="003D14AE" w:rsidRPr="00661595">
              <w:rPr>
                <w:rFonts w:ascii="Times New Roman" w:hAnsi="Times New Roman"/>
                <w:sz w:val="24"/>
              </w:rPr>
              <w:t xml:space="preserve"> or the </w:t>
            </w:r>
            <w:r w:rsidRPr="00661595">
              <w:rPr>
                <w:rFonts w:ascii="Times New Roman" w:hAnsi="Times New Roman"/>
                <w:sz w:val="24"/>
              </w:rPr>
              <w:t>regulatory LGD. For speciali</w:t>
            </w:r>
            <w:r w:rsidR="009A4399" w:rsidRPr="00661595">
              <w:rPr>
                <w:rFonts w:ascii="Times New Roman" w:hAnsi="Times New Roman"/>
                <w:sz w:val="24"/>
              </w:rPr>
              <w:t>s</w:t>
            </w:r>
            <w:r w:rsidRPr="00661595">
              <w:rPr>
                <w:rFonts w:ascii="Times New Roman" w:hAnsi="Times New Roman"/>
                <w:sz w:val="24"/>
              </w:rPr>
              <w:t xml:space="preserve">ed lending exposures </w:t>
            </w:r>
            <w:r w:rsidR="0044539D" w:rsidRPr="00661595">
              <w:rPr>
                <w:rFonts w:ascii="Times New Roman" w:hAnsi="Times New Roman"/>
                <w:sz w:val="24"/>
              </w:rPr>
              <w:t>referred to in Article 153</w:t>
            </w:r>
            <w:r w:rsidRPr="00661595">
              <w:rPr>
                <w:rFonts w:ascii="Times New Roman" w:hAnsi="Times New Roman"/>
                <w:sz w:val="24"/>
              </w:rPr>
              <w:t>(5)</w:t>
            </w:r>
            <w:r w:rsidR="0044539D" w:rsidRPr="00661595">
              <w:rPr>
                <w:rFonts w:ascii="Times New Roman" w:hAnsi="Times New Roman"/>
                <w:sz w:val="24"/>
              </w:rPr>
              <w:t xml:space="preserve"> CRR</w:t>
            </w:r>
            <w:r w:rsidRPr="00661595">
              <w:rPr>
                <w:rFonts w:ascii="Times New Roman" w:hAnsi="Times New Roman"/>
                <w:sz w:val="24"/>
              </w:rPr>
              <w:t>, data cannot be reported as it is not available.</w:t>
            </w:r>
          </w:p>
        </w:tc>
      </w:tr>
      <w:tr w:rsidR="004357B9" w:rsidRPr="00661595" w:rsidTr="00672D2A">
        <w:tc>
          <w:tcPr>
            <w:tcW w:w="1188" w:type="dxa"/>
          </w:tcPr>
          <w:p w:rsidR="004357B9" w:rsidRPr="00661595" w:rsidRDefault="001452FC" w:rsidP="004357B9">
            <w:pPr>
              <w:rPr>
                <w:rFonts w:ascii="Times New Roman" w:hAnsi="Times New Roman"/>
                <w:sz w:val="24"/>
              </w:rPr>
            </w:pPr>
            <w:r w:rsidRPr="00661595">
              <w:rPr>
                <w:rFonts w:ascii="Times New Roman" w:hAnsi="Times New Roman"/>
                <w:sz w:val="24"/>
              </w:rPr>
              <w:t>0</w:t>
            </w:r>
            <w:r w:rsidR="004357B9" w:rsidRPr="00661595">
              <w:rPr>
                <w:rFonts w:ascii="Times New Roman" w:hAnsi="Times New Roman"/>
                <w:sz w:val="24"/>
              </w:rPr>
              <w:t>100</w:t>
            </w:r>
          </w:p>
        </w:tc>
        <w:tc>
          <w:tcPr>
            <w:tcW w:w="8640" w:type="dxa"/>
          </w:tcPr>
          <w:p w:rsidR="004357B9" w:rsidRPr="00661595" w:rsidRDefault="004357B9" w:rsidP="004357B9">
            <w:pPr>
              <w:rPr>
                <w:rFonts w:ascii="Times New Roman" w:hAnsi="Times New Roman"/>
                <w:b/>
                <w:sz w:val="24"/>
                <w:u w:val="single"/>
              </w:rPr>
            </w:pPr>
            <w:r w:rsidRPr="00661595">
              <w:rPr>
                <w:rFonts w:ascii="Times New Roman" w:hAnsi="Times New Roman"/>
                <w:b/>
                <w:sz w:val="24"/>
                <w:u w:val="single"/>
              </w:rPr>
              <w:t>Of which: defaulted</w:t>
            </w:r>
          </w:p>
          <w:p w:rsidR="004357B9" w:rsidRPr="00661595" w:rsidRDefault="004357B9" w:rsidP="003B2712">
            <w:pPr>
              <w:rPr>
                <w:rFonts w:ascii="Times New Roman" w:hAnsi="Times New Roman"/>
                <w:b/>
                <w:sz w:val="24"/>
                <w:u w:val="single"/>
              </w:rPr>
            </w:pPr>
            <w:r w:rsidRPr="00661595">
              <w:rPr>
                <w:rStyle w:val="InstructionsTabelleText"/>
                <w:rFonts w:ascii="Times New Roman" w:hAnsi="Times New Roman"/>
                <w:sz w:val="24"/>
              </w:rPr>
              <w:t xml:space="preserve">Exposure weighted LGD for those exposures which have been classified as defaulted exposures </w:t>
            </w:r>
            <w:r w:rsidR="00BB22D4" w:rsidRPr="00661595">
              <w:rPr>
                <w:rStyle w:val="InstructionsTabelleText"/>
                <w:rFonts w:ascii="Times New Roman" w:hAnsi="Times New Roman"/>
                <w:sz w:val="24"/>
              </w:rPr>
              <w:t>in accordance with</w:t>
            </w:r>
            <w:r w:rsidRPr="00661595">
              <w:rPr>
                <w:rStyle w:val="InstructionsTabelleText"/>
                <w:rFonts w:ascii="Times New Roman" w:hAnsi="Times New Roman"/>
                <w:sz w:val="24"/>
              </w:rPr>
              <w:t xml:space="preserve"> </w:t>
            </w:r>
            <w:r w:rsidR="00280B99" w:rsidRPr="00661595">
              <w:rPr>
                <w:rStyle w:val="InstructionsTabelleText"/>
                <w:rFonts w:ascii="Times New Roman" w:hAnsi="Times New Roman"/>
                <w:sz w:val="24"/>
              </w:rPr>
              <w:t>A</w:t>
            </w:r>
            <w:r w:rsidRPr="00661595">
              <w:rPr>
                <w:rStyle w:val="InstructionsTabelleText"/>
                <w:rFonts w:ascii="Times New Roman" w:hAnsi="Times New Roman"/>
                <w:sz w:val="24"/>
              </w:rPr>
              <w:t>rticle 178</w:t>
            </w:r>
            <w:r w:rsidR="00280B99" w:rsidRPr="00661595">
              <w:rPr>
                <w:rStyle w:val="InstructionsTabelleText"/>
                <w:rFonts w:ascii="Times New Roman" w:hAnsi="Times New Roman"/>
                <w:sz w:val="24"/>
              </w:rPr>
              <w:t xml:space="preserve"> </w:t>
            </w:r>
            <w:r w:rsidR="00C7103D" w:rsidRPr="00661595">
              <w:rPr>
                <w:rStyle w:val="InstructionsTabelleText"/>
                <w:rFonts w:ascii="Times New Roman" w:hAnsi="Times New Roman"/>
                <w:sz w:val="24"/>
              </w:rPr>
              <w:t>CRR</w:t>
            </w:r>
          </w:p>
        </w:tc>
      </w:tr>
      <w:tr w:rsidR="004357B9" w:rsidRPr="00661595" w:rsidTr="00672D2A">
        <w:tc>
          <w:tcPr>
            <w:tcW w:w="1188" w:type="dxa"/>
          </w:tcPr>
          <w:p w:rsidR="004357B9" w:rsidRPr="00661595" w:rsidRDefault="001452FC" w:rsidP="004357B9">
            <w:pPr>
              <w:rPr>
                <w:rFonts w:ascii="Times New Roman" w:hAnsi="Times New Roman"/>
                <w:sz w:val="24"/>
              </w:rPr>
            </w:pPr>
            <w:r w:rsidRPr="00661595">
              <w:rPr>
                <w:rFonts w:ascii="Times New Roman" w:hAnsi="Times New Roman"/>
                <w:sz w:val="24"/>
              </w:rPr>
              <w:t>0</w:t>
            </w:r>
            <w:r w:rsidR="00F45359" w:rsidRPr="00661595">
              <w:rPr>
                <w:rFonts w:ascii="Times New Roman" w:hAnsi="Times New Roman"/>
                <w:sz w:val="24"/>
              </w:rPr>
              <w:t>105</w:t>
            </w:r>
          </w:p>
        </w:tc>
        <w:tc>
          <w:tcPr>
            <w:tcW w:w="8640" w:type="dxa"/>
          </w:tcPr>
          <w:p w:rsidR="004357B9" w:rsidRPr="00661595" w:rsidRDefault="004357B9" w:rsidP="004357B9">
            <w:pPr>
              <w:rPr>
                <w:rFonts w:ascii="Times New Roman" w:hAnsi="Times New Roman"/>
                <w:b/>
                <w:sz w:val="24"/>
                <w:u w:val="single"/>
              </w:rPr>
            </w:pPr>
            <w:r w:rsidRPr="00661595">
              <w:rPr>
                <w:rFonts w:ascii="Times New Roman" w:hAnsi="Times New Roman"/>
                <w:b/>
                <w:sz w:val="24"/>
                <w:u w:val="single"/>
              </w:rPr>
              <w:t>Exposure value</w:t>
            </w:r>
          </w:p>
          <w:p w:rsidR="004357B9" w:rsidRPr="00661595" w:rsidRDefault="004357B9" w:rsidP="004357B9">
            <w:pPr>
              <w:rPr>
                <w:rFonts w:ascii="Times New Roman" w:hAnsi="Times New Roman"/>
                <w:b/>
                <w:sz w:val="24"/>
                <w:u w:val="single"/>
              </w:rPr>
            </w:pPr>
            <w:r w:rsidRPr="00661595">
              <w:rPr>
                <w:rStyle w:val="InstructionsTabelleText"/>
                <w:rFonts w:ascii="Times New Roman" w:hAnsi="Times New Roman"/>
                <w:sz w:val="24"/>
              </w:rPr>
              <w:t xml:space="preserve">Same definition as for column </w:t>
            </w:r>
            <w:r w:rsidR="001452FC" w:rsidRPr="00661595">
              <w:rPr>
                <w:rStyle w:val="InstructionsTabelleText"/>
                <w:rFonts w:ascii="Times New Roman" w:hAnsi="Times New Roman"/>
                <w:sz w:val="24"/>
              </w:rPr>
              <w:t>0</w:t>
            </w:r>
            <w:r w:rsidRPr="00661595">
              <w:rPr>
                <w:rStyle w:val="InstructionsTabelleText"/>
                <w:rFonts w:ascii="Times New Roman" w:hAnsi="Times New Roman"/>
                <w:sz w:val="24"/>
              </w:rPr>
              <w:t>110 of CR IRB template</w:t>
            </w:r>
          </w:p>
        </w:tc>
      </w:tr>
      <w:tr w:rsidR="004357B9" w:rsidRPr="00661595" w:rsidTr="00672D2A">
        <w:tc>
          <w:tcPr>
            <w:tcW w:w="1188" w:type="dxa"/>
          </w:tcPr>
          <w:p w:rsidR="004357B9" w:rsidRPr="00661595" w:rsidRDefault="001452FC" w:rsidP="004357B9">
            <w:pPr>
              <w:rPr>
                <w:rFonts w:ascii="Times New Roman" w:hAnsi="Times New Roman"/>
                <w:sz w:val="24"/>
              </w:rPr>
            </w:pPr>
            <w:r w:rsidRPr="00661595">
              <w:rPr>
                <w:rFonts w:ascii="Times New Roman" w:hAnsi="Times New Roman"/>
                <w:sz w:val="24"/>
              </w:rPr>
              <w:t>0</w:t>
            </w:r>
            <w:r w:rsidR="004357B9" w:rsidRPr="00661595">
              <w:rPr>
                <w:rFonts w:ascii="Times New Roman" w:hAnsi="Times New Roman"/>
                <w:sz w:val="24"/>
              </w:rPr>
              <w:t>110</w:t>
            </w:r>
          </w:p>
        </w:tc>
        <w:tc>
          <w:tcPr>
            <w:tcW w:w="8640" w:type="dxa"/>
          </w:tcPr>
          <w:p w:rsidR="004357B9" w:rsidRPr="00661595" w:rsidRDefault="004357B9" w:rsidP="004357B9">
            <w:pPr>
              <w:rPr>
                <w:rFonts w:ascii="Times New Roman" w:hAnsi="Times New Roman"/>
                <w:b/>
                <w:sz w:val="24"/>
                <w:u w:val="single"/>
              </w:rPr>
            </w:pPr>
            <w:r w:rsidRPr="00661595">
              <w:rPr>
                <w:rFonts w:ascii="Times New Roman" w:hAnsi="Times New Roman"/>
                <w:b/>
                <w:sz w:val="24"/>
                <w:u w:val="single"/>
              </w:rPr>
              <w:t>RISK WEIGHTED EXPOSURE AMOUNT PRE SUPPORTING FACTOR</w:t>
            </w:r>
            <w:r w:rsidR="0027034D" w:rsidRPr="00661595">
              <w:rPr>
                <w:rFonts w:ascii="Times New Roman" w:hAnsi="Times New Roman"/>
                <w:b/>
                <w:sz w:val="24"/>
                <w:u w:val="single"/>
              </w:rPr>
              <w:t>S</w:t>
            </w:r>
          </w:p>
          <w:p w:rsidR="004357B9" w:rsidRPr="00661595" w:rsidRDefault="004357B9" w:rsidP="004357B9">
            <w:pPr>
              <w:rPr>
                <w:rFonts w:ascii="Times New Roman" w:hAnsi="Times New Roman"/>
                <w:b/>
                <w:sz w:val="24"/>
                <w:u w:val="single"/>
              </w:rPr>
            </w:pPr>
            <w:r w:rsidRPr="00661595">
              <w:rPr>
                <w:rStyle w:val="InstructionsTabelleText"/>
                <w:rFonts w:ascii="Times New Roman" w:hAnsi="Times New Roman"/>
                <w:sz w:val="24"/>
              </w:rPr>
              <w:t xml:space="preserve">Same definition as for column </w:t>
            </w:r>
            <w:r w:rsidR="001452FC" w:rsidRPr="00661595">
              <w:rPr>
                <w:rStyle w:val="InstructionsTabelleText"/>
                <w:rFonts w:ascii="Times New Roman" w:hAnsi="Times New Roman"/>
                <w:sz w:val="24"/>
              </w:rPr>
              <w:t>0</w:t>
            </w:r>
            <w:r w:rsidRPr="00661595">
              <w:rPr>
                <w:rStyle w:val="InstructionsTabelleText"/>
                <w:rFonts w:ascii="Times New Roman" w:hAnsi="Times New Roman"/>
                <w:sz w:val="24"/>
              </w:rPr>
              <w:t>255 of CR IRB template</w:t>
            </w:r>
          </w:p>
        </w:tc>
      </w:tr>
      <w:tr w:rsidR="004357B9" w:rsidRPr="00661595" w:rsidTr="00672D2A">
        <w:tc>
          <w:tcPr>
            <w:tcW w:w="1188" w:type="dxa"/>
          </w:tcPr>
          <w:p w:rsidR="004357B9" w:rsidRPr="00661595" w:rsidRDefault="001452FC" w:rsidP="004357B9">
            <w:pPr>
              <w:rPr>
                <w:rFonts w:ascii="Times New Roman" w:hAnsi="Times New Roman"/>
                <w:sz w:val="24"/>
              </w:rPr>
            </w:pPr>
            <w:r w:rsidRPr="00661595">
              <w:rPr>
                <w:rFonts w:ascii="Times New Roman" w:hAnsi="Times New Roman"/>
                <w:sz w:val="24"/>
              </w:rPr>
              <w:t>0</w:t>
            </w:r>
            <w:r w:rsidR="004357B9" w:rsidRPr="00661595">
              <w:rPr>
                <w:rFonts w:ascii="Times New Roman" w:hAnsi="Times New Roman"/>
                <w:sz w:val="24"/>
              </w:rPr>
              <w:t>120</w:t>
            </w:r>
          </w:p>
        </w:tc>
        <w:tc>
          <w:tcPr>
            <w:tcW w:w="8640" w:type="dxa"/>
          </w:tcPr>
          <w:p w:rsidR="004357B9" w:rsidRPr="00661595" w:rsidRDefault="004357B9" w:rsidP="004357B9">
            <w:pPr>
              <w:rPr>
                <w:rFonts w:ascii="Times New Roman" w:hAnsi="Times New Roman"/>
                <w:b/>
                <w:sz w:val="24"/>
                <w:u w:val="single"/>
              </w:rPr>
            </w:pPr>
            <w:r w:rsidRPr="00661595">
              <w:rPr>
                <w:rFonts w:ascii="Times New Roman" w:hAnsi="Times New Roman"/>
                <w:b/>
                <w:sz w:val="24"/>
                <w:u w:val="single"/>
              </w:rPr>
              <w:t>Of which defaulted</w:t>
            </w:r>
          </w:p>
          <w:p w:rsidR="004357B9" w:rsidRPr="00661595" w:rsidRDefault="004357B9" w:rsidP="00BB22D4">
            <w:pPr>
              <w:rPr>
                <w:rFonts w:ascii="Times New Roman" w:hAnsi="Times New Roman"/>
                <w:b/>
                <w:sz w:val="24"/>
                <w:u w:val="single"/>
              </w:rPr>
            </w:pPr>
            <w:r w:rsidRPr="00661595">
              <w:rPr>
                <w:rStyle w:val="InstructionsTabelleText"/>
                <w:rFonts w:ascii="Times New Roman" w:hAnsi="Times New Roman"/>
                <w:sz w:val="24"/>
              </w:rPr>
              <w:t xml:space="preserve">Risk weighted exposure amount for those exposures which have been classified as defaulted exposures </w:t>
            </w:r>
            <w:r w:rsidR="00BB22D4" w:rsidRPr="00661595">
              <w:rPr>
                <w:rStyle w:val="InstructionsTabelleText"/>
                <w:rFonts w:ascii="Times New Roman" w:hAnsi="Times New Roman"/>
                <w:sz w:val="24"/>
              </w:rPr>
              <w:t xml:space="preserve">in accordance with </w:t>
            </w:r>
            <w:r w:rsidR="004E5B02" w:rsidRPr="00661595">
              <w:rPr>
                <w:rStyle w:val="InstructionsTabelleText"/>
                <w:rFonts w:ascii="Times New Roman" w:hAnsi="Times New Roman"/>
                <w:sz w:val="24"/>
              </w:rPr>
              <w:t>A</w:t>
            </w:r>
            <w:r w:rsidRPr="00661595">
              <w:rPr>
                <w:rStyle w:val="InstructionsTabelleText"/>
                <w:rFonts w:ascii="Times New Roman" w:hAnsi="Times New Roman"/>
                <w:sz w:val="24"/>
              </w:rPr>
              <w:t>rticle 178</w:t>
            </w:r>
            <w:r w:rsidR="00A37A04" w:rsidRPr="00661595">
              <w:rPr>
                <w:rStyle w:val="InstructionsTabelleText"/>
                <w:rFonts w:ascii="Times New Roman" w:hAnsi="Times New Roman"/>
                <w:sz w:val="24"/>
              </w:rPr>
              <w:t>(1)</w:t>
            </w:r>
            <w:r w:rsidR="004E5B02" w:rsidRPr="00661595">
              <w:rPr>
                <w:rStyle w:val="InstructionsTabelleText"/>
                <w:rFonts w:ascii="Times New Roman" w:hAnsi="Times New Roman"/>
                <w:sz w:val="24"/>
              </w:rPr>
              <w:t xml:space="preserve"> </w:t>
            </w:r>
            <w:r w:rsidR="00C7103D" w:rsidRPr="00661595">
              <w:rPr>
                <w:rStyle w:val="InstructionsTabelleText"/>
                <w:rFonts w:ascii="Times New Roman" w:hAnsi="Times New Roman"/>
                <w:sz w:val="24"/>
              </w:rPr>
              <w:t>CRR</w:t>
            </w:r>
          </w:p>
        </w:tc>
      </w:tr>
      <w:tr w:rsidR="0027034D" w:rsidRPr="00661595" w:rsidTr="00672D2A">
        <w:tc>
          <w:tcPr>
            <w:tcW w:w="1188" w:type="dxa"/>
          </w:tcPr>
          <w:p w:rsidR="0027034D" w:rsidRPr="00661595" w:rsidRDefault="001452FC" w:rsidP="0027034D">
            <w:pPr>
              <w:rPr>
                <w:rFonts w:ascii="Times New Roman" w:hAnsi="Times New Roman"/>
                <w:sz w:val="24"/>
              </w:rPr>
            </w:pPr>
            <w:r w:rsidRPr="00661595">
              <w:rPr>
                <w:rFonts w:ascii="Times New Roman" w:hAnsi="Times New Roman"/>
                <w:sz w:val="24"/>
                <w:lang w:eastAsia="en-GB" w:bidi="ne-NP"/>
              </w:rPr>
              <w:t>0</w:t>
            </w:r>
            <w:r w:rsidR="0027034D" w:rsidRPr="00661595">
              <w:rPr>
                <w:rFonts w:ascii="Times New Roman" w:hAnsi="Times New Roman"/>
                <w:sz w:val="24"/>
                <w:lang w:eastAsia="en-GB" w:bidi="ne-NP"/>
              </w:rPr>
              <w:t>121</w:t>
            </w:r>
          </w:p>
        </w:tc>
        <w:tc>
          <w:tcPr>
            <w:tcW w:w="8640" w:type="dxa"/>
          </w:tcPr>
          <w:p w:rsidR="0027034D" w:rsidRPr="00661595" w:rsidRDefault="0027034D" w:rsidP="0027034D">
            <w:pPr>
              <w:rPr>
                <w:rFonts w:ascii="Times New Roman" w:hAnsi="Times New Roman"/>
                <w:b/>
                <w:sz w:val="24"/>
                <w:u w:val="single"/>
                <w:lang w:eastAsia="en-GB" w:bidi="ne-NP"/>
              </w:rPr>
            </w:pPr>
            <w:r w:rsidRPr="00661595">
              <w:rPr>
                <w:rFonts w:ascii="Times New Roman" w:hAnsi="Times New Roman"/>
                <w:b/>
                <w:sz w:val="24"/>
                <w:u w:val="single"/>
                <w:lang w:eastAsia="en-GB" w:bidi="ne-NP"/>
              </w:rPr>
              <w:t>(-)  ADJUSTMENT TO RISK-WEIGHTED EXPOSURE AMOUNT DUE TO SME SUPPORTING FACTOR</w:t>
            </w:r>
          </w:p>
          <w:p w:rsidR="0027034D" w:rsidRPr="00661595" w:rsidRDefault="0027034D" w:rsidP="0027034D">
            <w:pPr>
              <w:rPr>
                <w:rFonts w:ascii="Times New Roman" w:hAnsi="Times New Roman"/>
                <w:b/>
                <w:sz w:val="24"/>
                <w:u w:val="single"/>
              </w:rPr>
            </w:pPr>
            <w:r w:rsidRPr="00661595">
              <w:rPr>
                <w:rStyle w:val="InstructionsTabelleText"/>
                <w:rFonts w:ascii="Times New Roman" w:hAnsi="Times New Roman"/>
                <w:sz w:val="24"/>
                <w:lang w:eastAsia="en-GB" w:bidi="ne-NP"/>
              </w:rPr>
              <w:t xml:space="preserve">Same definition as for column </w:t>
            </w:r>
            <w:r w:rsidR="001452FC" w:rsidRPr="00661595">
              <w:rPr>
                <w:rStyle w:val="InstructionsTabelleText"/>
                <w:rFonts w:ascii="Times New Roman" w:hAnsi="Times New Roman"/>
                <w:sz w:val="24"/>
                <w:lang w:eastAsia="en-GB" w:bidi="ne-NP"/>
              </w:rPr>
              <w:t>0</w:t>
            </w:r>
            <w:r w:rsidRPr="00661595">
              <w:rPr>
                <w:rStyle w:val="InstructionsTabelleText"/>
                <w:rFonts w:ascii="Times New Roman" w:hAnsi="Times New Roman"/>
                <w:sz w:val="24"/>
                <w:lang w:eastAsia="en-GB" w:bidi="ne-NP"/>
              </w:rPr>
              <w:t>256 of CR IRB template</w:t>
            </w:r>
          </w:p>
        </w:tc>
      </w:tr>
      <w:tr w:rsidR="0027034D" w:rsidRPr="00661595" w:rsidTr="00672D2A">
        <w:tc>
          <w:tcPr>
            <w:tcW w:w="1188" w:type="dxa"/>
          </w:tcPr>
          <w:p w:rsidR="0027034D" w:rsidRPr="00661595" w:rsidRDefault="001452FC" w:rsidP="0027034D">
            <w:pPr>
              <w:rPr>
                <w:rFonts w:ascii="Times New Roman" w:hAnsi="Times New Roman"/>
                <w:sz w:val="24"/>
              </w:rPr>
            </w:pPr>
            <w:r w:rsidRPr="00661595">
              <w:rPr>
                <w:rFonts w:ascii="Times New Roman" w:hAnsi="Times New Roman"/>
                <w:sz w:val="24"/>
                <w:lang w:eastAsia="en-GB" w:bidi="ne-NP"/>
              </w:rPr>
              <w:t>0</w:t>
            </w:r>
            <w:r w:rsidR="0027034D" w:rsidRPr="00661595">
              <w:rPr>
                <w:rFonts w:ascii="Times New Roman" w:hAnsi="Times New Roman"/>
                <w:sz w:val="24"/>
                <w:lang w:eastAsia="en-GB" w:bidi="ne-NP"/>
              </w:rPr>
              <w:t>122</w:t>
            </w:r>
          </w:p>
        </w:tc>
        <w:tc>
          <w:tcPr>
            <w:tcW w:w="8640" w:type="dxa"/>
          </w:tcPr>
          <w:p w:rsidR="0027034D" w:rsidRPr="00661595" w:rsidRDefault="0027034D" w:rsidP="0027034D">
            <w:pPr>
              <w:rPr>
                <w:rFonts w:ascii="Times New Roman" w:hAnsi="Times New Roman"/>
                <w:b/>
                <w:sz w:val="24"/>
                <w:u w:val="single"/>
                <w:lang w:eastAsia="en-GB" w:bidi="ne-NP"/>
              </w:rPr>
            </w:pPr>
            <w:r w:rsidRPr="00661595">
              <w:rPr>
                <w:rFonts w:ascii="Times New Roman" w:hAnsi="Times New Roman"/>
                <w:b/>
                <w:sz w:val="24"/>
                <w:u w:val="single"/>
                <w:lang w:eastAsia="en-GB" w:bidi="ne-NP"/>
              </w:rPr>
              <w:t xml:space="preserve">(-) ADJUSTMENT TO RISK-WEIGHTED EXPOSURE AMOUNT DUE TO </w:t>
            </w:r>
            <w:r w:rsidR="00696434">
              <w:rPr>
                <w:rFonts w:ascii="Times New Roman" w:hAnsi="Times New Roman"/>
                <w:b/>
                <w:sz w:val="24"/>
                <w:u w:val="single"/>
                <w:lang w:eastAsia="en-GB" w:bidi="ne-NP"/>
              </w:rPr>
              <w:t xml:space="preserve">THE </w:t>
            </w:r>
            <w:r w:rsidRPr="00661595">
              <w:rPr>
                <w:rFonts w:ascii="Times New Roman" w:hAnsi="Times New Roman"/>
                <w:b/>
                <w:sz w:val="24"/>
                <w:u w:val="single"/>
                <w:lang w:eastAsia="en-GB" w:bidi="ne-NP"/>
              </w:rPr>
              <w:t xml:space="preserve">INFRASTRUCTURE </w:t>
            </w:r>
            <w:r w:rsidR="005C29CD">
              <w:rPr>
                <w:rFonts w:ascii="Times New Roman" w:hAnsi="Times New Roman"/>
                <w:b/>
                <w:sz w:val="24"/>
                <w:u w:val="single"/>
                <w:lang w:eastAsia="en-GB" w:bidi="ne-NP"/>
              </w:rPr>
              <w:t>SUPPORTING FACTOR</w:t>
            </w:r>
          </w:p>
          <w:p w:rsidR="0027034D" w:rsidRPr="00661595" w:rsidRDefault="0027034D" w:rsidP="0027034D">
            <w:pPr>
              <w:rPr>
                <w:rFonts w:ascii="Times New Roman" w:hAnsi="Times New Roman"/>
                <w:b/>
                <w:sz w:val="24"/>
                <w:u w:val="single"/>
              </w:rPr>
            </w:pPr>
            <w:r w:rsidRPr="00661595">
              <w:rPr>
                <w:rStyle w:val="InstructionsTabelleText"/>
                <w:rFonts w:ascii="Times New Roman" w:hAnsi="Times New Roman"/>
                <w:sz w:val="24"/>
                <w:lang w:eastAsia="en-GB" w:bidi="ne-NP"/>
              </w:rPr>
              <w:t xml:space="preserve">Same definition as for column </w:t>
            </w:r>
            <w:r w:rsidR="001452FC" w:rsidRPr="00661595">
              <w:rPr>
                <w:rStyle w:val="InstructionsTabelleText"/>
                <w:rFonts w:ascii="Times New Roman" w:hAnsi="Times New Roman"/>
                <w:sz w:val="24"/>
                <w:lang w:eastAsia="en-GB" w:bidi="ne-NP"/>
              </w:rPr>
              <w:t>0</w:t>
            </w:r>
            <w:r w:rsidRPr="00661595">
              <w:rPr>
                <w:rStyle w:val="InstructionsTabelleText"/>
                <w:rFonts w:ascii="Times New Roman" w:hAnsi="Times New Roman"/>
                <w:sz w:val="24"/>
                <w:lang w:eastAsia="en-GB" w:bidi="ne-NP"/>
              </w:rPr>
              <w:t>257 of CR IRB template</w:t>
            </w:r>
          </w:p>
        </w:tc>
      </w:tr>
      <w:tr w:rsidR="004357B9" w:rsidRPr="00661595" w:rsidTr="00672D2A">
        <w:tc>
          <w:tcPr>
            <w:tcW w:w="1188" w:type="dxa"/>
          </w:tcPr>
          <w:p w:rsidR="004357B9" w:rsidRPr="00661595" w:rsidRDefault="001452FC" w:rsidP="004357B9">
            <w:pPr>
              <w:rPr>
                <w:rFonts w:ascii="Times New Roman" w:hAnsi="Times New Roman"/>
                <w:sz w:val="24"/>
              </w:rPr>
            </w:pPr>
            <w:r w:rsidRPr="00661595">
              <w:rPr>
                <w:rFonts w:ascii="Times New Roman" w:hAnsi="Times New Roman"/>
                <w:sz w:val="24"/>
              </w:rPr>
              <w:t>0</w:t>
            </w:r>
            <w:r w:rsidR="004357B9" w:rsidRPr="00661595">
              <w:rPr>
                <w:rFonts w:ascii="Times New Roman" w:hAnsi="Times New Roman"/>
                <w:sz w:val="24"/>
              </w:rPr>
              <w:t>125</w:t>
            </w:r>
          </w:p>
        </w:tc>
        <w:tc>
          <w:tcPr>
            <w:tcW w:w="8640" w:type="dxa"/>
          </w:tcPr>
          <w:p w:rsidR="004357B9" w:rsidRPr="00661595" w:rsidRDefault="004357B9" w:rsidP="004357B9">
            <w:pPr>
              <w:rPr>
                <w:rFonts w:ascii="Times New Roman" w:hAnsi="Times New Roman"/>
                <w:b/>
                <w:sz w:val="24"/>
                <w:u w:val="single"/>
              </w:rPr>
            </w:pPr>
            <w:r w:rsidRPr="00661595">
              <w:rPr>
                <w:rFonts w:ascii="Times New Roman" w:hAnsi="Times New Roman"/>
                <w:b/>
                <w:sz w:val="24"/>
                <w:u w:val="single"/>
              </w:rPr>
              <w:t>RISK WEIGHTED EXPOSURE AMOUNT AFTER SUPPORTING FACTOR</w:t>
            </w:r>
            <w:r w:rsidR="0027034D" w:rsidRPr="00661595">
              <w:rPr>
                <w:rFonts w:ascii="Times New Roman" w:hAnsi="Times New Roman"/>
                <w:b/>
                <w:sz w:val="24"/>
                <w:u w:val="single"/>
              </w:rPr>
              <w:t>S</w:t>
            </w:r>
          </w:p>
          <w:p w:rsidR="004357B9" w:rsidRPr="00661595" w:rsidRDefault="004357B9" w:rsidP="004357B9">
            <w:pPr>
              <w:rPr>
                <w:rFonts w:ascii="Times New Roman" w:hAnsi="Times New Roman"/>
                <w:b/>
                <w:sz w:val="24"/>
                <w:u w:val="single"/>
              </w:rPr>
            </w:pPr>
            <w:r w:rsidRPr="00661595">
              <w:rPr>
                <w:rStyle w:val="InstructionsTabelleText"/>
                <w:rFonts w:ascii="Times New Roman" w:hAnsi="Times New Roman"/>
                <w:sz w:val="24"/>
              </w:rPr>
              <w:t xml:space="preserve">Same definition as for column </w:t>
            </w:r>
            <w:r w:rsidR="001452FC" w:rsidRPr="00661595">
              <w:rPr>
                <w:rStyle w:val="InstructionsTabelleText"/>
                <w:rFonts w:ascii="Times New Roman" w:hAnsi="Times New Roman"/>
                <w:sz w:val="24"/>
              </w:rPr>
              <w:t>0</w:t>
            </w:r>
            <w:r w:rsidRPr="00661595">
              <w:rPr>
                <w:rStyle w:val="InstructionsTabelleText"/>
                <w:rFonts w:ascii="Times New Roman" w:hAnsi="Times New Roman"/>
                <w:sz w:val="24"/>
              </w:rPr>
              <w:t>260 of CR IRB template</w:t>
            </w:r>
          </w:p>
        </w:tc>
      </w:tr>
      <w:tr w:rsidR="004357B9" w:rsidRPr="00661595" w:rsidTr="00672D2A">
        <w:tc>
          <w:tcPr>
            <w:tcW w:w="1188" w:type="dxa"/>
          </w:tcPr>
          <w:p w:rsidR="004357B9" w:rsidRPr="00661595" w:rsidRDefault="001452FC" w:rsidP="004357B9">
            <w:pPr>
              <w:rPr>
                <w:rFonts w:ascii="Times New Roman" w:hAnsi="Times New Roman"/>
                <w:sz w:val="24"/>
              </w:rPr>
            </w:pPr>
            <w:r w:rsidRPr="00661595">
              <w:rPr>
                <w:rFonts w:ascii="Times New Roman" w:hAnsi="Times New Roman"/>
                <w:sz w:val="24"/>
              </w:rPr>
              <w:t>0</w:t>
            </w:r>
            <w:r w:rsidR="004357B9" w:rsidRPr="00661595">
              <w:rPr>
                <w:rFonts w:ascii="Times New Roman" w:hAnsi="Times New Roman"/>
                <w:sz w:val="24"/>
              </w:rPr>
              <w:t>130</w:t>
            </w:r>
          </w:p>
        </w:tc>
        <w:tc>
          <w:tcPr>
            <w:tcW w:w="8640" w:type="dxa"/>
          </w:tcPr>
          <w:p w:rsidR="004357B9" w:rsidRPr="00661595" w:rsidRDefault="004357B9" w:rsidP="004357B9">
            <w:pPr>
              <w:rPr>
                <w:rFonts w:ascii="Times New Roman" w:hAnsi="Times New Roman"/>
                <w:b/>
                <w:sz w:val="24"/>
                <w:u w:val="single"/>
              </w:rPr>
            </w:pPr>
            <w:r w:rsidRPr="00661595">
              <w:rPr>
                <w:rFonts w:ascii="Times New Roman" w:hAnsi="Times New Roman"/>
                <w:b/>
                <w:sz w:val="24"/>
                <w:u w:val="single"/>
              </w:rPr>
              <w:t>EXPECTED LOSS AMOUNT</w:t>
            </w:r>
          </w:p>
          <w:p w:rsidR="004357B9" w:rsidRPr="00661595" w:rsidRDefault="004357B9" w:rsidP="004357B9">
            <w:pPr>
              <w:rPr>
                <w:rFonts w:ascii="Times New Roman" w:hAnsi="Times New Roman"/>
                <w:b/>
                <w:sz w:val="24"/>
                <w:u w:val="single"/>
              </w:rPr>
            </w:pPr>
            <w:r w:rsidRPr="00661595">
              <w:rPr>
                <w:rStyle w:val="InstructionsTabelleText"/>
                <w:rFonts w:ascii="Times New Roman" w:hAnsi="Times New Roman"/>
                <w:sz w:val="24"/>
              </w:rPr>
              <w:t xml:space="preserve">Same definition as for column </w:t>
            </w:r>
            <w:r w:rsidR="001452FC" w:rsidRPr="00661595">
              <w:rPr>
                <w:rStyle w:val="InstructionsTabelleText"/>
                <w:rFonts w:ascii="Times New Roman" w:hAnsi="Times New Roman"/>
                <w:sz w:val="24"/>
              </w:rPr>
              <w:t>0</w:t>
            </w:r>
            <w:r w:rsidRPr="00661595">
              <w:rPr>
                <w:rStyle w:val="InstructionsTabelleText"/>
                <w:rFonts w:ascii="Times New Roman" w:hAnsi="Times New Roman"/>
                <w:sz w:val="24"/>
              </w:rPr>
              <w:t>280 of CR IRB template</w:t>
            </w:r>
          </w:p>
        </w:tc>
      </w:tr>
    </w:tbl>
    <w:p w:rsidR="004357B9" w:rsidRPr="00661595" w:rsidRDefault="004357B9" w:rsidP="004357B9">
      <w:pPr>
        <w:rPr>
          <w:rFonts w:ascii="Times New Roman" w:hAnsi="Times New Roman"/>
          <w:sz w:val="24"/>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8640"/>
      </w:tblGrid>
      <w:tr w:rsidR="004357B9" w:rsidRPr="00661595" w:rsidTr="00672D2A">
        <w:tc>
          <w:tcPr>
            <w:tcW w:w="1188" w:type="dxa"/>
            <w:shd w:val="clear" w:color="auto" w:fill="CCCCCC"/>
          </w:tcPr>
          <w:p w:rsidR="004357B9" w:rsidRPr="00661595" w:rsidRDefault="004357B9" w:rsidP="004357B9">
            <w:pPr>
              <w:rPr>
                <w:rFonts w:ascii="Times New Roman" w:hAnsi="Times New Roman"/>
                <w:b/>
                <w:sz w:val="24"/>
              </w:rPr>
            </w:pPr>
            <w:r w:rsidRPr="00661595">
              <w:rPr>
                <w:rFonts w:ascii="Times New Roman" w:hAnsi="Times New Roman"/>
                <w:b/>
                <w:sz w:val="24"/>
              </w:rPr>
              <w:t>Rows</w:t>
            </w:r>
          </w:p>
        </w:tc>
        <w:tc>
          <w:tcPr>
            <w:tcW w:w="8640" w:type="dxa"/>
            <w:shd w:val="clear" w:color="auto" w:fill="CCCCCC"/>
          </w:tcPr>
          <w:p w:rsidR="004357B9" w:rsidRPr="00661595" w:rsidRDefault="004357B9" w:rsidP="004357B9">
            <w:pPr>
              <w:ind w:left="72"/>
              <w:rPr>
                <w:rFonts w:ascii="Times New Roman" w:hAnsi="Times New Roman"/>
                <w:sz w:val="24"/>
              </w:rPr>
            </w:pPr>
          </w:p>
        </w:tc>
      </w:tr>
      <w:tr w:rsidR="004357B9" w:rsidRPr="00661595" w:rsidTr="00672D2A">
        <w:tc>
          <w:tcPr>
            <w:tcW w:w="1188" w:type="dxa"/>
          </w:tcPr>
          <w:p w:rsidR="004357B9" w:rsidRPr="00661595" w:rsidRDefault="004357B9" w:rsidP="004357B9">
            <w:pPr>
              <w:rPr>
                <w:rFonts w:ascii="Times New Roman" w:hAnsi="Times New Roman"/>
                <w:sz w:val="24"/>
              </w:rPr>
            </w:pPr>
            <w:r w:rsidRPr="00661595">
              <w:rPr>
                <w:rFonts w:ascii="Times New Roman" w:hAnsi="Times New Roman"/>
                <w:sz w:val="24"/>
              </w:rPr>
              <w:t>0</w:t>
            </w:r>
            <w:r w:rsidR="001452FC" w:rsidRPr="00661595">
              <w:rPr>
                <w:rFonts w:ascii="Times New Roman" w:hAnsi="Times New Roman"/>
                <w:sz w:val="24"/>
              </w:rPr>
              <w:t>0</w:t>
            </w:r>
            <w:r w:rsidRPr="00661595">
              <w:rPr>
                <w:rFonts w:ascii="Times New Roman" w:hAnsi="Times New Roman"/>
                <w:sz w:val="24"/>
              </w:rPr>
              <w:t>10</w:t>
            </w:r>
          </w:p>
        </w:tc>
        <w:tc>
          <w:tcPr>
            <w:tcW w:w="8640" w:type="dxa"/>
          </w:tcPr>
          <w:p w:rsidR="004357B9" w:rsidRPr="00661595" w:rsidRDefault="004357B9" w:rsidP="004357B9">
            <w:pPr>
              <w:rPr>
                <w:rFonts w:ascii="Times New Roman" w:hAnsi="Times New Roman"/>
                <w:b/>
                <w:sz w:val="24"/>
                <w:u w:val="single"/>
              </w:rPr>
            </w:pPr>
            <w:r w:rsidRPr="00661595">
              <w:rPr>
                <w:rFonts w:ascii="Times New Roman" w:hAnsi="Times New Roman"/>
                <w:b/>
                <w:sz w:val="24"/>
                <w:u w:val="single"/>
              </w:rPr>
              <w:t xml:space="preserve">Central banks and central governments </w:t>
            </w:r>
          </w:p>
          <w:p w:rsidR="004357B9" w:rsidRPr="00661595" w:rsidRDefault="00D21B29" w:rsidP="001E0C80">
            <w:pPr>
              <w:rPr>
                <w:rFonts w:ascii="Times New Roman" w:hAnsi="Times New Roman"/>
                <w:sz w:val="24"/>
              </w:rPr>
            </w:pPr>
            <w:r w:rsidRPr="00661595">
              <w:rPr>
                <w:rFonts w:ascii="Times New Roman" w:hAnsi="Times New Roman"/>
                <w:sz w:val="24"/>
              </w:rPr>
              <w:t>P</w:t>
            </w:r>
            <w:r w:rsidRPr="00661595">
              <w:rPr>
                <w:rFonts w:ascii="Times New Roman" w:hAnsi="Times New Roman"/>
                <w:bCs/>
                <w:sz w:val="24"/>
              </w:rPr>
              <w:t>oint (</w:t>
            </w:r>
            <w:r w:rsidR="001E0C80" w:rsidRPr="00661595">
              <w:rPr>
                <w:rFonts w:ascii="Times New Roman" w:hAnsi="Times New Roman"/>
                <w:bCs/>
                <w:sz w:val="24"/>
              </w:rPr>
              <w:t>a</w:t>
            </w:r>
            <w:r w:rsidRPr="00661595">
              <w:rPr>
                <w:rFonts w:ascii="Times New Roman" w:hAnsi="Times New Roman"/>
                <w:bCs/>
                <w:sz w:val="24"/>
              </w:rPr>
              <w:t xml:space="preserve">) of </w:t>
            </w:r>
            <w:r w:rsidR="004357B9" w:rsidRPr="00661595">
              <w:rPr>
                <w:rFonts w:ascii="Times New Roman" w:hAnsi="Times New Roman"/>
                <w:sz w:val="24"/>
              </w:rPr>
              <w:t>Article 147(2) CRR</w:t>
            </w:r>
          </w:p>
        </w:tc>
      </w:tr>
      <w:tr w:rsidR="004357B9" w:rsidRPr="00661595" w:rsidTr="00672D2A">
        <w:tc>
          <w:tcPr>
            <w:tcW w:w="1188" w:type="dxa"/>
          </w:tcPr>
          <w:p w:rsidR="004357B9" w:rsidRPr="00661595" w:rsidRDefault="004357B9" w:rsidP="004357B9">
            <w:pPr>
              <w:rPr>
                <w:rFonts w:ascii="Times New Roman" w:hAnsi="Times New Roman"/>
                <w:sz w:val="24"/>
              </w:rPr>
            </w:pPr>
            <w:r w:rsidRPr="00661595">
              <w:rPr>
                <w:rFonts w:ascii="Times New Roman" w:hAnsi="Times New Roman"/>
                <w:sz w:val="24"/>
              </w:rPr>
              <w:t>0</w:t>
            </w:r>
            <w:r w:rsidR="001452FC" w:rsidRPr="00661595">
              <w:rPr>
                <w:rFonts w:ascii="Times New Roman" w:hAnsi="Times New Roman"/>
                <w:sz w:val="24"/>
              </w:rPr>
              <w:t>0</w:t>
            </w:r>
            <w:r w:rsidRPr="00661595">
              <w:rPr>
                <w:rFonts w:ascii="Times New Roman" w:hAnsi="Times New Roman"/>
                <w:sz w:val="24"/>
              </w:rPr>
              <w:t>20</w:t>
            </w:r>
          </w:p>
        </w:tc>
        <w:tc>
          <w:tcPr>
            <w:tcW w:w="8640" w:type="dxa"/>
          </w:tcPr>
          <w:p w:rsidR="004357B9" w:rsidRPr="00661595" w:rsidRDefault="004357B9" w:rsidP="004357B9">
            <w:pPr>
              <w:rPr>
                <w:rFonts w:ascii="Times New Roman" w:hAnsi="Times New Roman"/>
                <w:b/>
                <w:sz w:val="24"/>
                <w:u w:val="single"/>
              </w:rPr>
            </w:pPr>
            <w:r w:rsidRPr="00661595">
              <w:rPr>
                <w:rFonts w:ascii="Times New Roman" w:hAnsi="Times New Roman"/>
                <w:b/>
                <w:sz w:val="24"/>
                <w:u w:val="single"/>
              </w:rPr>
              <w:t>Institutions</w:t>
            </w:r>
          </w:p>
          <w:p w:rsidR="004357B9" w:rsidRPr="00661595" w:rsidRDefault="00D21B29" w:rsidP="00D21B29">
            <w:pPr>
              <w:rPr>
                <w:rFonts w:ascii="Times New Roman" w:hAnsi="Times New Roman"/>
                <w:sz w:val="24"/>
              </w:rPr>
            </w:pPr>
            <w:r w:rsidRPr="00661595">
              <w:rPr>
                <w:rFonts w:ascii="Times New Roman" w:hAnsi="Times New Roman"/>
                <w:sz w:val="24"/>
              </w:rPr>
              <w:t xml:space="preserve">Point (b) of </w:t>
            </w:r>
            <w:r w:rsidR="004357B9" w:rsidRPr="00661595">
              <w:rPr>
                <w:rFonts w:ascii="Times New Roman" w:hAnsi="Times New Roman"/>
                <w:sz w:val="24"/>
              </w:rPr>
              <w:t>Article 147(2) CRR</w:t>
            </w:r>
          </w:p>
        </w:tc>
      </w:tr>
      <w:tr w:rsidR="004357B9" w:rsidRPr="00661595" w:rsidTr="00672D2A">
        <w:tc>
          <w:tcPr>
            <w:tcW w:w="1188" w:type="dxa"/>
          </w:tcPr>
          <w:p w:rsidR="004357B9" w:rsidRPr="00661595" w:rsidRDefault="004357B9" w:rsidP="004357B9">
            <w:pPr>
              <w:rPr>
                <w:rFonts w:ascii="Times New Roman" w:hAnsi="Times New Roman"/>
                <w:sz w:val="24"/>
              </w:rPr>
            </w:pPr>
            <w:r w:rsidRPr="00661595">
              <w:rPr>
                <w:rFonts w:ascii="Times New Roman" w:hAnsi="Times New Roman"/>
                <w:sz w:val="24"/>
              </w:rPr>
              <w:t>0</w:t>
            </w:r>
            <w:r w:rsidR="001452FC" w:rsidRPr="00661595">
              <w:rPr>
                <w:rFonts w:ascii="Times New Roman" w:hAnsi="Times New Roman"/>
                <w:sz w:val="24"/>
              </w:rPr>
              <w:t>0</w:t>
            </w:r>
            <w:r w:rsidRPr="00661595">
              <w:rPr>
                <w:rFonts w:ascii="Times New Roman" w:hAnsi="Times New Roman"/>
                <w:sz w:val="24"/>
              </w:rPr>
              <w:t>30</w:t>
            </w:r>
          </w:p>
        </w:tc>
        <w:tc>
          <w:tcPr>
            <w:tcW w:w="8640" w:type="dxa"/>
          </w:tcPr>
          <w:p w:rsidR="004357B9" w:rsidRPr="00661595" w:rsidRDefault="004357B9" w:rsidP="004357B9">
            <w:pPr>
              <w:rPr>
                <w:rFonts w:ascii="Times New Roman" w:hAnsi="Times New Roman"/>
                <w:b/>
                <w:sz w:val="24"/>
                <w:u w:val="single"/>
              </w:rPr>
            </w:pPr>
            <w:r w:rsidRPr="00661595">
              <w:rPr>
                <w:rFonts w:ascii="Times New Roman" w:hAnsi="Times New Roman"/>
                <w:b/>
                <w:sz w:val="24"/>
                <w:u w:val="single"/>
              </w:rPr>
              <w:t xml:space="preserve">Corporates </w:t>
            </w:r>
          </w:p>
          <w:p w:rsidR="004357B9" w:rsidRPr="00661595" w:rsidRDefault="004357B9" w:rsidP="003B2712">
            <w:pPr>
              <w:pStyle w:val="ListParagraph"/>
              <w:ind w:left="0"/>
              <w:rPr>
                <w:rFonts w:ascii="Times New Roman" w:hAnsi="Times New Roman"/>
                <w:sz w:val="24"/>
                <w:lang w:eastAsia="de-DE"/>
              </w:rPr>
            </w:pPr>
            <w:r w:rsidRPr="00661595">
              <w:rPr>
                <w:rFonts w:ascii="Times New Roman" w:hAnsi="Times New Roman"/>
                <w:sz w:val="24"/>
                <w:lang w:eastAsia="de-DE"/>
              </w:rPr>
              <w:t xml:space="preserve">All </w:t>
            </w:r>
            <w:r w:rsidR="003B2712" w:rsidRPr="00661595">
              <w:rPr>
                <w:rFonts w:ascii="Times New Roman" w:hAnsi="Times New Roman"/>
                <w:sz w:val="24"/>
                <w:lang w:eastAsia="de-DE"/>
              </w:rPr>
              <w:t xml:space="preserve">exposures to </w:t>
            </w:r>
            <w:r w:rsidRPr="00661595">
              <w:rPr>
                <w:rFonts w:ascii="Times New Roman" w:hAnsi="Times New Roman"/>
                <w:sz w:val="24"/>
                <w:lang w:eastAsia="de-DE"/>
              </w:rPr>
              <w:t xml:space="preserve">corporates </w:t>
            </w:r>
            <w:r w:rsidR="003B2712" w:rsidRPr="00661595">
              <w:rPr>
                <w:rFonts w:ascii="Times New Roman" w:hAnsi="Times New Roman"/>
                <w:sz w:val="24"/>
                <w:lang w:eastAsia="de-DE"/>
              </w:rPr>
              <w:t xml:space="preserve">as referred to in </w:t>
            </w:r>
            <w:r w:rsidR="00D21B29" w:rsidRPr="00661595">
              <w:rPr>
                <w:rFonts w:ascii="Times New Roman" w:hAnsi="Times New Roman"/>
                <w:bCs/>
                <w:sz w:val="24"/>
              </w:rPr>
              <w:t xml:space="preserve">point (c) of </w:t>
            </w:r>
            <w:r w:rsidR="00D21B29" w:rsidRPr="00661595">
              <w:rPr>
                <w:rFonts w:ascii="Times New Roman" w:hAnsi="Times New Roman"/>
                <w:sz w:val="24"/>
                <w:lang w:eastAsia="de-DE"/>
              </w:rPr>
              <w:t>Article</w:t>
            </w:r>
            <w:r w:rsidRPr="00661595">
              <w:rPr>
                <w:rFonts w:ascii="Times New Roman" w:hAnsi="Times New Roman"/>
                <w:sz w:val="24"/>
                <w:lang w:eastAsia="de-DE"/>
              </w:rPr>
              <w:t xml:space="preserve"> 147(2)</w:t>
            </w:r>
            <w:r w:rsidR="00D21B29" w:rsidRPr="00661595">
              <w:rPr>
                <w:rFonts w:ascii="Times New Roman" w:hAnsi="Times New Roman"/>
                <w:sz w:val="24"/>
                <w:lang w:eastAsia="de-DE"/>
              </w:rPr>
              <w:t xml:space="preserve"> CRR</w:t>
            </w:r>
          </w:p>
        </w:tc>
      </w:tr>
      <w:tr w:rsidR="004357B9" w:rsidRPr="00661595" w:rsidTr="00672D2A">
        <w:tc>
          <w:tcPr>
            <w:tcW w:w="1188" w:type="dxa"/>
          </w:tcPr>
          <w:p w:rsidR="004357B9" w:rsidRPr="00661595" w:rsidRDefault="004357B9" w:rsidP="004357B9">
            <w:pPr>
              <w:rPr>
                <w:rFonts w:ascii="Times New Roman" w:hAnsi="Times New Roman"/>
                <w:sz w:val="24"/>
              </w:rPr>
            </w:pPr>
            <w:r w:rsidRPr="00661595">
              <w:rPr>
                <w:rFonts w:ascii="Times New Roman" w:hAnsi="Times New Roman"/>
                <w:sz w:val="24"/>
              </w:rPr>
              <w:t>0</w:t>
            </w:r>
            <w:r w:rsidR="001452FC" w:rsidRPr="00661595">
              <w:rPr>
                <w:rFonts w:ascii="Times New Roman" w:hAnsi="Times New Roman"/>
                <w:sz w:val="24"/>
              </w:rPr>
              <w:t>0</w:t>
            </w:r>
            <w:r w:rsidRPr="00661595">
              <w:rPr>
                <w:rFonts w:ascii="Times New Roman" w:hAnsi="Times New Roman"/>
                <w:sz w:val="24"/>
              </w:rPr>
              <w:t>4</w:t>
            </w:r>
            <w:r w:rsidR="000E093A" w:rsidRPr="00661595">
              <w:rPr>
                <w:rFonts w:ascii="Times New Roman" w:hAnsi="Times New Roman"/>
                <w:sz w:val="24"/>
              </w:rPr>
              <w:t>2</w:t>
            </w:r>
          </w:p>
        </w:tc>
        <w:tc>
          <w:tcPr>
            <w:tcW w:w="8640" w:type="dxa"/>
          </w:tcPr>
          <w:p w:rsidR="004357B9" w:rsidRPr="00661595" w:rsidRDefault="004357B9" w:rsidP="004357B9">
            <w:pPr>
              <w:rPr>
                <w:rFonts w:ascii="Times New Roman" w:hAnsi="Times New Roman"/>
                <w:b/>
                <w:sz w:val="24"/>
                <w:u w:val="single"/>
              </w:rPr>
            </w:pPr>
            <w:r w:rsidRPr="00661595">
              <w:rPr>
                <w:rFonts w:ascii="Times New Roman" w:hAnsi="Times New Roman"/>
                <w:b/>
                <w:sz w:val="24"/>
                <w:u w:val="single"/>
              </w:rPr>
              <w:t>Of which: Speciali</w:t>
            </w:r>
            <w:r w:rsidR="00C7103D" w:rsidRPr="00661595">
              <w:rPr>
                <w:rFonts w:ascii="Times New Roman" w:hAnsi="Times New Roman"/>
                <w:b/>
                <w:sz w:val="24"/>
                <w:u w:val="single"/>
              </w:rPr>
              <w:t>s</w:t>
            </w:r>
            <w:r w:rsidRPr="00661595">
              <w:rPr>
                <w:rFonts w:ascii="Times New Roman" w:hAnsi="Times New Roman"/>
                <w:b/>
                <w:sz w:val="24"/>
                <w:u w:val="single"/>
              </w:rPr>
              <w:t>ed lending</w:t>
            </w:r>
            <w:r w:rsidR="000E093A" w:rsidRPr="00661595">
              <w:rPr>
                <w:rFonts w:ascii="Times New Roman" w:hAnsi="Times New Roman"/>
                <w:b/>
                <w:sz w:val="24"/>
                <w:u w:val="single"/>
              </w:rPr>
              <w:t xml:space="preserve"> (excl. SL subject </w:t>
            </w:r>
            <w:r w:rsidR="003D14AE" w:rsidRPr="00661595">
              <w:rPr>
                <w:rFonts w:ascii="Times New Roman" w:hAnsi="Times New Roman"/>
                <w:b/>
                <w:sz w:val="24"/>
                <w:u w:val="single"/>
              </w:rPr>
              <w:t xml:space="preserve">under the </w:t>
            </w:r>
            <w:r w:rsidR="000E093A" w:rsidRPr="00661595">
              <w:rPr>
                <w:rFonts w:ascii="Times New Roman" w:hAnsi="Times New Roman"/>
                <w:b/>
                <w:sz w:val="24"/>
                <w:u w:val="single"/>
              </w:rPr>
              <w:t xml:space="preserve">slotting </w:t>
            </w:r>
            <w:r w:rsidR="003D14AE" w:rsidRPr="00661595">
              <w:rPr>
                <w:rFonts w:ascii="Times New Roman" w:hAnsi="Times New Roman"/>
                <w:b/>
                <w:sz w:val="24"/>
                <w:u w:val="single"/>
              </w:rPr>
              <w:t>approach</w:t>
            </w:r>
            <w:r w:rsidR="000E093A" w:rsidRPr="00661595">
              <w:rPr>
                <w:rFonts w:ascii="Times New Roman" w:hAnsi="Times New Roman"/>
                <w:b/>
                <w:sz w:val="24"/>
                <w:u w:val="single"/>
              </w:rPr>
              <w:t>)</w:t>
            </w:r>
          </w:p>
          <w:p w:rsidR="004357B9" w:rsidRPr="00661595" w:rsidRDefault="00D21B29" w:rsidP="004357B9">
            <w:pPr>
              <w:pStyle w:val="ListParagraph"/>
              <w:ind w:left="0"/>
              <w:rPr>
                <w:rFonts w:ascii="Times New Roman" w:hAnsi="Times New Roman"/>
                <w:sz w:val="24"/>
                <w:lang w:eastAsia="de-DE"/>
              </w:rPr>
            </w:pPr>
            <w:r w:rsidRPr="00661595">
              <w:rPr>
                <w:rFonts w:ascii="Times New Roman" w:hAnsi="Times New Roman"/>
                <w:bCs/>
                <w:sz w:val="24"/>
              </w:rPr>
              <w:t xml:space="preserve">Point (a) of </w:t>
            </w:r>
            <w:r w:rsidR="004357B9" w:rsidRPr="00661595">
              <w:rPr>
                <w:rFonts w:ascii="Times New Roman" w:hAnsi="Times New Roman"/>
                <w:sz w:val="24"/>
                <w:lang w:eastAsia="de-DE"/>
              </w:rPr>
              <w:t>Article 147(8) CRR</w:t>
            </w:r>
          </w:p>
          <w:p w:rsidR="0042766A" w:rsidRPr="00661595" w:rsidRDefault="0042766A" w:rsidP="009A4399">
            <w:pPr>
              <w:pStyle w:val="ListParagraph"/>
              <w:ind w:left="0"/>
              <w:rPr>
                <w:rFonts w:ascii="Times New Roman" w:hAnsi="Times New Roman"/>
                <w:sz w:val="24"/>
                <w:lang w:eastAsia="de-DE"/>
              </w:rPr>
            </w:pPr>
            <w:r w:rsidRPr="00661595">
              <w:rPr>
                <w:rFonts w:ascii="Times New Roman" w:hAnsi="Times New Roman"/>
                <w:sz w:val="24"/>
                <w:lang w:eastAsia="de-DE"/>
              </w:rPr>
              <w:t>Data shall not be reported for speciali</w:t>
            </w:r>
            <w:r w:rsidR="009A4399" w:rsidRPr="00661595">
              <w:rPr>
                <w:rFonts w:ascii="Times New Roman" w:hAnsi="Times New Roman"/>
                <w:sz w:val="24"/>
                <w:lang w:eastAsia="de-DE"/>
              </w:rPr>
              <w:t>s</w:t>
            </w:r>
            <w:r w:rsidRPr="00661595">
              <w:rPr>
                <w:rFonts w:ascii="Times New Roman" w:hAnsi="Times New Roman"/>
                <w:sz w:val="24"/>
                <w:lang w:eastAsia="de-DE"/>
              </w:rPr>
              <w:t xml:space="preserve">ed lending exposures </w:t>
            </w:r>
            <w:r w:rsidR="003B2712" w:rsidRPr="00661595">
              <w:rPr>
                <w:rFonts w:ascii="Times New Roman" w:hAnsi="Times New Roman"/>
                <w:sz w:val="24"/>
                <w:lang w:eastAsia="de-DE"/>
              </w:rPr>
              <w:t xml:space="preserve">as </w:t>
            </w:r>
            <w:r w:rsidRPr="00661595">
              <w:rPr>
                <w:rFonts w:ascii="Times New Roman" w:hAnsi="Times New Roman"/>
                <w:sz w:val="24"/>
                <w:lang w:eastAsia="de-DE"/>
              </w:rPr>
              <w:t xml:space="preserve">referred to in </w:t>
            </w:r>
            <w:r w:rsidR="00D21B29" w:rsidRPr="00661595">
              <w:rPr>
                <w:rFonts w:ascii="Times New Roman" w:hAnsi="Times New Roman"/>
                <w:sz w:val="24"/>
                <w:lang w:eastAsia="de-DE"/>
              </w:rPr>
              <w:t>Article</w:t>
            </w:r>
            <w:r w:rsidRPr="00661595">
              <w:rPr>
                <w:rFonts w:ascii="Times New Roman" w:hAnsi="Times New Roman"/>
                <w:sz w:val="24"/>
                <w:lang w:eastAsia="de-DE"/>
              </w:rPr>
              <w:t xml:space="preserve"> 153(5)</w:t>
            </w:r>
            <w:r w:rsidR="00F855D5" w:rsidRPr="00661595">
              <w:rPr>
                <w:rFonts w:ascii="Times New Roman" w:hAnsi="Times New Roman"/>
                <w:sz w:val="24"/>
                <w:lang w:eastAsia="de-DE"/>
              </w:rPr>
              <w:t xml:space="preserve"> CRR</w:t>
            </w:r>
            <w:r w:rsidRPr="00661595">
              <w:rPr>
                <w:rFonts w:ascii="Times New Roman" w:hAnsi="Times New Roman"/>
                <w:sz w:val="24"/>
                <w:lang w:eastAsia="de-DE"/>
              </w:rPr>
              <w:t>.</w:t>
            </w:r>
          </w:p>
        </w:tc>
      </w:tr>
      <w:tr w:rsidR="000E093A" w:rsidRPr="00661595" w:rsidTr="00672D2A">
        <w:tc>
          <w:tcPr>
            <w:tcW w:w="1188" w:type="dxa"/>
          </w:tcPr>
          <w:p w:rsidR="000E093A" w:rsidRPr="00661595" w:rsidRDefault="000E093A" w:rsidP="004357B9">
            <w:pPr>
              <w:rPr>
                <w:rFonts w:ascii="Times New Roman" w:hAnsi="Times New Roman"/>
                <w:sz w:val="24"/>
              </w:rPr>
            </w:pPr>
            <w:r w:rsidRPr="00661595">
              <w:rPr>
                <w:rFonts w:ascii="Times New Roman" w:hAnsi="Times New Roman"/>
                <w:sz w:val="24"/>
              </w:rPr>
              <w:t>0</w:t>
            </w:r>
            <w:r w:rsidR="001452FC" w:rsidRPr="00661595">
              <w:rPr>
                <w:rFonts w:ascii="Times New Roman" w:hAnsi="Times New Roman"/>
                <w:sz w:val="24"/>
              </w:rPr>
              <w:t>0</w:t>
            </w:r>
            <w:r w:rsidRPr="00661595">
              <w:rPr>
                <w:rFonts w:ascii="Times New Roman" w:hAnsi="Times New Roman"/>
                <w:sz w:val="24"/>
              </w:rPr>
              <w:t>45</w:t>
            </w:r>
          </w:p>
        </w:tc>
        <w:tc>
          <w:tcPr>
            <w:tcW w:w="8640" w:type="dxa"/>
          </w:tcPr>
          <w:p w:rsidR="000E093A" w:rsidRPr="00661595" w:rsidRDefault="000E093A" w:rsidP="004357B9">
            <w:pPr>
              <w:rPr>
                <w:rFonts w:ascii="Times New Roman" w:hAnsi="Times New Roman"/>
                <w:b/>
                <w:sz w:val="24"/>
                <w:u w:val="single"/>
              </w:rPr>
            </w:pPr>
            <w:r w:rsidRPr="00661595">
              <w:rPr>
                <w:rFonts w:ascii="Times New Roman" w:hAnsi="Times New Roman"/>
                <w:b/>
                <w:sz w:val="24"/>
                <w:u w:val="single"/>
              </w:rPr>
              <w:t>Of which: Speciali</w:t>
            </w:r>
            <w:r w:rsidR="00C7103D" w:rsidRPr="00661595">
              <w:rPr>
                <w:rFonts w:ascii="Times New Roman" w:hAnsi="Times New Roman"/>
                <w:b/>
                <w:sz w:val="24"/>
                <w:u w:val="single"/>
              </w:rPr>
              <w:t>s</w:t>
            </w:r>
            <w:r w:rsidRPr="00661595">
              <w:rPr>
                <w:rFonts w:ascii="Times New Roman" w:hAnsi="Times New Roman"/>
                <w:b/>
                <w:sz w:val="24"/>
                <w:u w:val="single"/>
              </w:rPr>
              <w:t xml:space="preserve">ed lending </w:t>
            </w:r>
            <w:r w:rsidR="003D14AE" w:rsidRPr="00661595">
              <w:rPr>
                <w:rFonts w:ascii="Times New Roman" w:hAnsi="Times New Roman"/>
                <w:b/>
                <w:sz w:val="24"/>
                <w:u w:val="single"/>
              </w:rPr>
              <w:t>under the</w:t>
            </w:r>
            <w:r w:rsidRPr="00661595">
              <w:rPr>
                <w:rFonts w:ascii="Times New Roman" w:hAnsi="Times New Roman"/>
                <w:b/>
                <w:sz w:val="24"/>
                <w:u w:val="single"/>
              </w:rPr>
              <w:t xml:space="preserve"> slotting </w:t>
            </w:r>
            <w:r w:rsidR="003D14AE" w:rsidRPr="00661595">
              <w:rPr>
                <w:rFonts w:ascii="Times New Roman" w:hAnsi="Times New Roman"/>
                <w:b/>
                <w:sz w:val="24"/>
                <w:u w:val="single"/>
              </w:rPr>
              <w:t>approach</w:t>
            </w:r>
          </w:p>
          <w:p w:rsidR="000E093A" w:rsidRPr="00661595" w:rsidRDefault="00D21B29" w:rsidP="00D21B29">
            <w:pPr>
              <w:rPr>
                <w:rFonts w:ascii="Times New Roman" w:hAnsi="Times New Roman"/>
                <w:b/>
                <w:sz w:val="24"/>
                <w:u w:val="single"/>
              </w:rPr>
            </w:pPr>
            <w:r w:rsidRPr="00661595">
              <w:rPr>
                <w:rFonts w:ascii="Times New Roman" w:hAnsi="Times New Roman"/>
                <w:sz w:val="24"/>
              </w:rPr>
              <w:t xml:space="preserve">Point (a) of </w:t>
            </w:r>
            <w:r w:rsidR="000E093A" w:rsidRPr="00661595">
              <w:rPr>
                <w:rFonts w:ascii="Times New Roman" w:hAnsi="Times New Roman"/>
                <w:sz w:val="24"/>
                <w:lang w:eastAsia="de-DE"/>
              </w:rPr>
              <w:t xml:space="preserve">Article 147(8) and </w:t>
            </w:r>
            <w:r w:rsidR="003B2712" w:rsidRPr="00661595">
              <w:rPr>
                <w:rFonts w:ascii="Times New Roman" w:hAnsi="Times New Roman"/>
                <w:sz w:val="24"/>
                <w:lang w:eastAsia="de-DE"/>
              </w:rPr>
              <w:t xml:space="preserve">Article </w:t>
            </w:r>
            <w:r w:rsidR="000E093A" w:rsidRPr="00661595">
              <w:rPr>
                <w:rFonts w:ascii="Times New Roman" w:hAnsi="Times New Roman"/>
                <w:sz w:val="24"/>
                <w:lang w:eastAsia="de-DE"/>
              </w:rPr>
              <w:t>153(5) CRR</w:t>
            </w:r>
          </w:p>
        </w:tc>
      </w:tr>
      <w:tr w:rsidR="004357B9" w:rsidRPr="00661595" w:rsidTr="00672D2A">
        <w:tc>
          <w:tcPr>
            <w:tcW w:w="1188" w:type="dxa"/>
          </w:tcPr>
          <w:p w:rsidR="004357B9" w:rsidRPr="00661595" w:rsidRDefault="004357B9" w:rsidP="004357B9">
            <w:pPr>
              <w:rPr>
                <w:rFonts w:ascii="Times New Roman" w:hAnsi="Times New Roman"/>
                <w:sz w:val="24"/>
              </w:rPr>
            </w:pPr>
            <w:r w:rsidRPr="00661595">
              <w:rPr>
                <w:rFonts w:ascii="Times New Roman" w:hAnsi="Times New Roman"/>
                <w:sz w:val="24"/>
              </w:rPr>
              <w:t>0</w:t>
            </w:r>
            <w:r w:rsidR="001452FC" w:rsidRPr="00661595">
              <w:rPr>
                <w:rFonts w:ascii="Times New Roman" w:hAnsi="Times New Roman"/>
                <w:sz w:val="24"/>
              </w:rPr>
              <w:t>0</w:t>
            </w:r>
            <w:r w:rsidRPr="00661595">
              <w:rPr>
                <w:rFonts w:ascii="Times New Roman" w:hAnsi="Times New Roman"/>
                <w:sz w:val="24"/>
              </w:rPr>
              <w:t>50</w:t>
            </w:r>
          </w:p>
        </w:tc>
        <w:tc>
          <w:tcPr>
            <w:tcW w:w="8640" w:type="dxa"/>
          </w:tcPr>
          <w:p w:rsidR="004357B9" w:rsidRPr="00661595" w:rsidRDefault="004357B9" w:rsidP="004357B9">
            <w:pPr>
              <w:rPr>
                <w:rFonts w:ascii="Times New Roman" w:hAnsi="Times New Roman"/>
                <w:b/>
                <w:sz w:val="24"/>
                <w:u w:val="single"/>
              </w:rPr>
            </w:pPr>
            <w:r w:rsidRPr="00661595">
              <w:rPr>
                <w:rFonts w:ascii="Times New Roman" w:hAnsi="Times New Roman"/>
                <w:b/>
                <w:sz w:val="24"/>
                <w:u w:val="single"/>
              </w:rPr>
              <w:t>Of which: SME</w:t>
            </w:r>
          </w:p>
          <w:p w:rsidR="004357B9" w:rsidRPr="00661595" w:rsidRDefault="00D21B29" w:rsidP="00D21B29">
            <w:pPr>
              <w:pStyle w:val="ListParagraph"/>
              <w:ind w:left="0"/>
              <w:rPr>
                <w:rFonts w:ascii="Times New Roman" w:hAnsi="Times New Roman"/>
                <w:sz w:val="24"/>
                <w:lang w:eastAsia="de-DE"/>
              </w:rPr>
            </w:pPr>
            <w:r w:rsidRPr="00661595">
              <w:rPr>
                <w:rFonts w:ascii="Times New Roman" w:hAnsi="Times New Roman"/>
                <w:bCs/>
                <w:sz w:val="24"/>
              </w:rPr>
              <w:t xml:space="preserve">Point (c) of </w:t>
            </w:r>
            <w:r w:rsidR="004357B9" w:rsidRPr="00661595">
              <w:rPr>
                <w:rFonts w:ascii="Times New Roman" w:hAnsi="Times New Roman"/>
                <w:sz w:val="24"/>
                <w:lang w:eastAsia="de-DE"/>
              </w:rPr>
              <w:t>Article 147(2) CRR</w:t>
            </w:r>
          </w:p>
          <w:p w:rsidR="0027034D" w:rsidRPr="00661595" w:rsidRDefault="0027034D" w:rsidP="009A4399">
            <w:pPr>
              <w:pStyle w:val="ListParagraph"/>
              <w:ind w:left="0"/>
              <w:rPr>
                <w:rFonts w:ascii="Times New Roman" w:hAnsi="Times New Roman"/>
                <w:sz w:val="24"/>
                <w:lang w:eastAsia="de-DE"/>
              </w:rPr>
            </w:pPr>
            <w:r w:rsidRPr="00661595">
              <w:rPr>
                <w:rFonts w:ascii="Times New Roman" w:hAnsi="Times New Roman"/>
                <w:sz w:val="24"/>
                <w:lang w:eastAsia="de-DE"/>
              </w:rPr>
              <w:t xml:space="preserve">Under the IRB </w:t>
            </w:r>
            <w:r w:rsidR="009A4399" w:rsidRPr="00661595">
              <w:rPr>
                <w:rFonts w:ascii="Times New Roman" w:hAnsi="Times New Roman"/>
                <w:sz w:val="24"/>
                <w:lang w:eastAsia="de-DE"/>
              </w:rPr>
              <w:t>a</w:t>
            </w:r>
            <w:r w:rsidRPr="00661595">
              <w:rPr>
                <w:rFonts w:ascii="Times New Roman" w:hAnsi="Times New Roman"/>
                <w:sz w:val="24"/>
                <w:lang w:eastAsia="de-DE"/>
              </w:rPr>
              <w:t>pproach, the reporting entities shall use their internal definition of SME, as applied in internal risk management processes.</w:t>
            </w:r>
          </w:p>
        </w:tc>
      </w:tr>
      <w:tr w:rsidR="004357B9" w:rsidRPr="00661595" w:rsidTr="00672D2A">
        <w:tc>
          <w:tcPr>
            <w:tcW w:w="1188" w:type="dxa"/>
          </w:tcPr>
          <w:p w:rsidR="004357B9" w:rsidRPr="00661595" w:rsidRDefault="004357B9" w:rsidP="004357B9">
            <w:pPr>
              <w:rPr>
                <w:rFonts w:ascii="Times New Roman" w:hAnsi="Times New Roman"/>
                <w:sz w:val="24"/>
              </w:rPr>
            </w:pPr>
            <w:r w:rsidRPr="00661595">
              <w:rPr>
                <w:rFonts w:ascii="Times New Roman" w:hAnsi="Times New Roman"/>
                <w:sz w:val="24"/>
              </w:rPr>
              <w:t>0</w:t>
            </w:r>
            <w:r w:rsidR="001452FC" w:rsidRPr="00661595">
              <w:rPr>
                <w:rFonts w:ascii="Times New Roman" w:hAnsi="Times New Roman"/>
                <w:sz w:val="24"/>
              </w:rPr>
              <w:t>0</w:t>
            </w:r>
            <w:r w:rsidRPr="00661595">
              <w:rPr>
                <w:rFonts w:ascii="Times New Roman" w:hAnsi="Times New Roman"/>
                <w:sz w:val="24"/>
              </w:rPr>
              <w:t>60</w:t>
            </w:r>
          </w:p>
        </w:tc>
        <w:tc>
          <w:tcPr>
            <w:tcW w:w="8640" w:type="dxa"/>
          </w:tcPr>
          <w:p w:rsidR="004357B9" w:rsidRPr="00661595" w:rsidRDefault="004357B9" w:rsidP="004357B9">
            <w:pPr>
              <w:rPr>
                <w:rFonts w:ascii="Times New Roman" w:hAnsi="Times New Roman"/>
                <w:b/>
                <w:sz w:val="24"/>
                <w:u w:val="single"/>
              </w:rPr>
            </w:pPr>
            <w:r w:rsidRPr="00661595">
              <w:rPr>
                <w:rFonts w:ascii="Times New Roman" w:hAnsi="Times New Roman"/>
                <w:b/>
                <w:sz w:val="24"/>
                <w:u w:val="single"/>
              </w:rPr>
              <w:t>Retail</w:t>
            </w:r>
          </w:p>
          <w:p w:rsidR="004357B9" w:rsidRPr="00661595" w:rsidRDefault="004357B9" w:rsidP="003B2712">
            <w:pPr>
              <w:rPr>
                <w:rFonts w:ascii="Times New Roman" w:hAnsi="Times New Roman"/>
                <w:sz w:val="24"/>
              </w:rPr>
            </w:pPr>
            <w:r w:rsidRPr="00661595">
              <w:rPr>
                <w:rFonts w:ascii="Times New Roman" w:hAnsi="Times New Roman"/>
                <w:sz w:val="24"/>
                <w:lang w:eastAsia="de-DE"/>
              </w:rPr>
              <w:t xml:space="preserve">All </w:t>
            </w:r>
            <w:r w:rsidR="003B2712" w:rsidRPr="00661595">
              <w:rPr>
                <w:rFonts w:ascii="Times New Roman" w:hAnsi="Times New Roman"/>
                <w:sz w:val="24"/>
                <w:lang w:eastAsia="de-DE"/>
              </w:rPr>
              <w:t>r</w:t>
            </w:r>
            <w:r w:rsidRPr="00661595">
              <w:rPr>
                <w:rFonts w:ascii="Times New Roman" w:hAnsi="Times New Roman"/>
                <w:sz w:val="24"/>
                <w:lang w:eastAsia="de-DE"/>
              </w:rPr>
              <w:t xml:space="preserve">etail exposures </w:t>
            </w:r>
            <w:r w:rsidR="003B2712" w:rsidRPr="00661595">
              <w:rPr>
                <w:rFonts w:ascii="Times New Roman" w:hAnsi="Times New Roman"/>
                <w:sz w:val="24"/>
                <w:lang w:eastAsia="de-DE"/>
              </w:rPr>
              <w:t xml:space="preserve">as referred to </w:t>
            </w:r>
            <w:r w:rsidR="00BB22D4" w:rsidRPr="00661595">
              <w:rPr>
                <w:rFonts w:ascii="Times New Roman" w:hAnsi="Times New Roman"/>
                <w:sz w:val="24"/>
                <w:lang w:eastAsia="de-DE"/>
              </w:rPr>
              <w:t xml:space="preserve">in </w:t>
            </w:r>
            <w:r w:rsidR="00D21B29" w:rsidRPr="00661595">
              <w:rPr>
                <w:rFonts w:ascii="Times New Roman" w:hAnsi="Times New Roman"/>
                <w:sz w:val="24"/>
                <w:lang w:eastAsia="de-DE"/>
              </w:rPr>
              <w:t xml:space="preserve">point (d) of </w:t>
            </w:r>
            <w:r w:rsidRPr="00661595">
              <w:rPr>
                <w:rFonts w:ascii="Times New Roman" w:hAnsi="Times New Roman"/>
                <w:sz w:val="24"/>
                <w:lang w:eastAsia="de-DE"/>
              </w:rPr>
              <w:t xml:space="preserve">Article 147(2) </w:t>
            </w:r>
            <w:r w:rsidR="00D21B29" w:rsidRPr="00661595">
              <w:rPr>
                <w:rFonts w:ascii="Times New Roman" w:hAnsi="Times New Roman"/>
                <w:sz w:val="24"/>
                <w:lang w:eastAsia="de-DE"/>
              </w:rPr>
              <w:t>CRR</w:t>
            </w:r>
          </w:p>
        </w:tc>
      </w:tr>
      <w:tr w:rsidR="004357B9" w:rsidRPr="00661595" w:rsidTr="00672D2A">
        <w:tc>
          <w:tcPr>
            <w:tcW w:w="1188" w:type="dxa"/>
          </w:tcPr>
          <w:p w:rsidR="004357B9" w:rsidRPr="00661595" w:rsidRDefault="004357B9" w:rsidP="004357B9">
            <w:pPr>
              <w:rPr>
                <w:rFonts w:ascii="Times New Roman" w:hAnsi="Times New Roman"/>
                <w:sz w:val="24"/>
              </w:rPr>
            </w:pPr>
            <w:r w:rsidRPr="00661595">
              <w:rPr>
                <w:rFonts w:ascii="Times New Roman" w:hAnsi="Times New Roman"/>
                <w:sz w:val="24"/>
              </w:rPr>
              <w:t>0</w:t>
            </w:r>
            <w:r w:rsidR="001452FC" w:rsidRPr="00661595">
              <w:rPr>
                <w:rFonts w:ascii="Times New Roman" w:hAnsi="Times New Roman"/>
                <w:sz w:val="24"/>
              </w:rPr>
              <w:t>0</w:t>
            </w:r>
            <w:r w:rsidRPr="00661595">
              <w:rPr>
                <w:rFonts w:ascii="Times New Roman" w:hAnsi="Times New Roman"/>
                <w:sz w:val="24"/>
              </w:rPr>
              <w:t>70</w:t>
            </w:r>
          </w:p>
        </w:tc>
        <w:tc>
          <w:tcPr>
            <w:tcW w:w="8640" w:type="dxa"/>
          </w:tcPr>
          <w:p w:rsidR="004357B9" w:rsidRPr="00661595" w:rsidRDefault="004357B9" w:rsidP="004357B9">
            <w:pPr>
              <w:rPr>
                <w:rFonts w:ascii="Times New Roman" w:hAnsi="Times New Roman"/>
                <w:b/>
                <w:sz w:val="24"/>
                <w:u w:val="single"/>
              </w:rPr>
            </w:pPr>
            <w:r w:rsidRPr="00661595">
              <w:rPr>
                <w:rFonts w:ascii="Times New Roman" w:hAnsi="Times New Roman"/>
                <w:b/>
                <w:sz w:val="24"/>
                <w:u w:val="single"/>
              </w:rPr>
              <w:t xml:space="preserve">Retail – Secured by </w:t>
            </w:r>
            <w:r w:rsidR="003D14AE" w:rsidRPr="00661595">
              <w:rPr>
                <w:rFonts w:ascii="Times New Roman" w:hAnsi="Times New Roman"/>
                <w:b/>
                <w:sz w:val="24"/>
                <w:u w:val="single"/>
              </w:rPr>
              <w:t>immovable</w:t>
            </w:r>
            <w:r w:rsidRPr="00661595">
              <w:rPr>
                <w:rFonts w:ascii="Times New Roman" w:hAnsi="Times New Roman"/>
                <w:b/>
                <w:sz w:val="24"/>
                <w:u w:val="single"/>
              </w:rPr>
              <w:t xml:space="preserve"> property</w:t>
            </w:r>
          </w:p>
          <w:p w:rsidR="004357B9" w:rsidRPr="00661595" w:rsidRDefault="003B2712" w:rsidP="00D21B29">
            <w:pPr>
              <w:pStyle w:val="ListParagraph"/>
              <w:ind w:left="0"/>
              <w:rPr>
                <w:rFonts w:ascii="Times New Roman" w:hAnsi="Times New Roman"/>
                <w:sz w:val="24"/>
                <w:lang w:eastAsia="de-DE"/>
              </w:rPr>
            </w:pPr>
            <w:r w:rsidRPr="00661595">
              <w:rPr>
                <w:rFonts w:ascii="Times New Roman" w:hAnsi="Times New Roman"/>
                <w:sz w:val="24"/>
                <w:lang w:eastAsia="de-DE"/>
              </w:rPr>
              <w:t>Retail e</w:t>
            </w:r>
            <w:r w:rsidR="004357B9" w:rsidRPr="00661595">
              <w:rPr>
                <w:rFonts w:ascii="Times New Roman" w:hAnsi="Times New Roman"/>
                <w:sz w:val="24"/>
                <w:lang w:eastAsia="de-DE"/>
              </w:rPr>
              <w:t xml:space="preserve">xposures </w:t>
            </w:r>
            <w:r w:rsidRPr="00661595">
              <w:rPr>
                <w:rFonts w:ascii="Times New Roman" w:hAnsi="Times New Roman"/>
                <w:sz w:val="24"/>
                <w:lang w:eastAsia="de-DE"/>
              </w:rPr>
              <w:t>as referred to in</w:t>
            </w:r>
            <w:r w:rsidR="004357B9" w:rsidRPr="00661595">
              <w:rPr>
                <w:rFonts w:ascii="Times New Roman" w:hAnsi="Times New Roman"/>
                <w:sz w:val="24"/>
                <w:lang w:eastAsia="de-DE"/>
              </w:rPr>
              <w:t xml:space="preserve"> </w:t>
            </w:r>
            <w:r w:rsidR="00D21B29" w:rsidRPr="00661595">
              <w:rPr>
                <w:rFonts w:ascii="Times New Roman" w:hAnsi="Times New Roman"/>
                <w:sz w:val="24"/>
                <w:lang w:eastAsia="de-DE"/>
              </w:rPr>
              <w:t xml:space="preserve">point (d) of </w:t>
            </w:r>
            <w:r w:rsidR="004357B9" w:rsidRPr="00661595">
              <w:rPr>
                <w:rFonts w:ascii="Times New Roman" w:hAnsi="Times New Roman"/>
                <w:sz w:val="24"/>
                <w:lang w:eastAsia="de-DE"/>
              </w:rPr>
              <w:t>Article 147(2) CRR which are secured by real estate</w:t>
            </w:r>
          </w:p>
          <w:p w:rsidR="0027034D" w:rsidRPr="00661595" w:rsidRDefault="0027034D" w:rsidP="00D21B29">
            <w:pPr>
              <w:pStyle w:val="ListParagraph"/>
              <w:ind w:left="0"/>
              <w:rPr>
                <w:rFonts w:ascii="Times New Roman" w:hAnsi="Times New Roman"/>
                <w:sz w:val="24"/>
                <w:lang w:eastAsia="de-DE"/>
              </w:rPr>
            </w:pPr>
            <w:r w:rsidRPr="00661595">
              <w:rPr>
                <w:rFonts w:ascii="Times New Roman" w:hAnsi="Times New Roman"/>
                <w:sz w:val="24"/>
                <w:lang w:eastAsia="de-DE"/>
              </w:rPr>
              <w:t>Retail exposures secured by immovable property will be considered any retail exposures secured by immovable property recognised as collateral, regardless of the ratio of the value of collateral to the exposure or of the purpose of the loan.</w:t>
            </w:r>
          </w:p>
        </w:tc>
      </w:tr>
      <w:tr w:rsidR="004357B9" w:rsidRPr="00661595" w:rsidTr="00672D2A">
        <w:tc>
          <w:tcPr>
            <w:tcW w:w="1188" w:type="dxa"/>
          </w:tcPr>
          <w:p w:rsidR="004357B9" w:rsidRPr="00661595" w:rsidRDefault="004357B9" w:rsidP="004357B9">
            <w:pPr>
              <w:rPr>
                <w:rFonts w:ascii="Times New Roman" w:hAnsi="Times New Roman"/>
                <w:sz w:val="24"/>
              </w:rPr>
            </w:pPr>
            <w:r w:rsidRPr="00661595">
              <w:rPr>
                <w:rFonts w:ascii="Times New Roman" w:hAnsi="Times New Roman"/>
                <w:sz w:val="24"/>
              </w:rPr>
              <w:t>0</w:t>
            </w:r>
            <w:r w:rsidR="001452FC" w:rsidRPr="00661595">
              <w:rPr>
                <w:rFonts w:ascii="Times New Roman" w:hAnsi="Times New Roman"/>
                <w:sz w:val="24"/>
              </w:rPr>
              <w:t>0</w:t>
            </w:r>
            <w:r w:rsidRPr="00661595">
              <w:rPr>
                <w:rFonts w:ascii="Times New Roman" w:hAnsi="Times New Roman"/>
                <w:sz w:val="24"/>
              </w:rPr>
              <w:t>80</w:t>
            </w:r>
          </w:p>
        </w:tc>
        <w:tc>
          <w:tcPr>
            <w:tcW w:w="8640" w:type="dxa"/>
          </w:tcPr>
          <w:p w:rsidR="004357B9" w:rsidRPr="00661595" w:rsidRDefault="004357B9" w:rsidP="004357B9">
            <w:pPr>
              <w:rPr>
                <w:rFonts w:ascii="Times New Roman" w:hAnsi="Times New Roman"/>
                <w:b/>
                <w:sz w:val="24"/>
                <w:u w:val="single"/>
              </w:rPr>
            </w:pPr>
            <w:r w:rsidRPr="00661595">
              <w:rPr>
                <w:rFonts w:ascii="Times New Roman" w:hAnsi="Times New Roman"/>
                <w:b/>
                <w:sz w:val="24"/>
                <w:u w:val="single"/>
              </w:rPr>
              <w:t>SME</w:t>
            </w:r>
          </w:p>
          <w:p w:rsidR="004357B9" w:rsidRPr="00661595" w:rsidRDefault="004357B9" w:rsidP="00BD4E13">
            <w:pPr>
              <w:pStyle w:val="ListParagraph"/>
              <w:ind w:left="0"/>
              <w:rPr>
                <w:rFonts w:ascii="Times New Roman" w:hAnsi="Times New Roman"/>
                <w:sz w:val="24"/>
                <w:lang w:eastAsia="de-DE"/>
              </w:rPr>
            </w:pPr>
            <w:r w:rsidRPr="00661595">
              <w:rPr>
                <w:rFonts w:ascii="Times New Roman" w:hAnsi="Times New Roman"/>
                <w:sz w:val="24"/>
                <w:lang w:eastAsia="de-DE"/>
              </w:rPr>
              <w:t xml:space="preserve">Retail exposures </w:t>
            </w:r>
            <w:r w:rsidR="003B2712" w:rsidRPr="00661595">
              <w:rPr>
                <w:rFonts w:ascii="Times New Roman" w:hAnsi="Times New Roman"/>
                <w:sz w:val="24"/>
                <w:lang w:eastAsia="de-DE"/>
              </w:rPr>
              <w:t xml:space="preserve">as referred to in </w:t>
            </w:r>
            <w:r w:rsidR="00D21B29" w:rsidRPr="00661595">
              <w:rPr>
                <w:rFonts w:ascii="Times New Roman" w:hAnsi="Times New Roman"/>
                <w:sz w:val="24"/>
                <w:lang w:eastAsia="de-DE"/>
              </w:rPr>
              <w:t xml:space="preserve">point (d) of </w:t>
            </w:r>
            <w:r w:rsidRPr="00661595">
              <w:rPr>
                <w:rFonts w:ascii="Times New Roman" w:hAnsi="Times New Roman"/>
                <w:sz w:val="24"/>
                <w:lang w:eastAsia="de-DE"/>
              </w:rPr>
              <w:t>Article 147(2)</w:t>
            </w:r>
            <w:r w:rsidR="003B2712" w:rsidRPr="00661595">
              <w:rPr>
                <w:rFonts w:ascii="Times New Roman" w:hAnsi="Times New Roman"/>
                <w:sz w:val="24"/>
                <w:lang w:eastAsia="de-DE"/>
              </w:rPr>
              <w:t xml:space="preserve"> </w:t>
            </w:r>
            <w:r w:rsidR="00A37988" w:rsidRPr="00661595">
              <w:rPr>
                <w:rFonts w:ascii="Times New Roman" w:hAnsi="Times New Roman"/>
                <w:sz w:val="24"/>
                <w:lang w:eastAsia="de-DE"/>
              </w:rPr>
              <w:t xml:space="preserve">and </w:t>
            </w:r>
            <w:r w:rsidRPr="00661595">
              <w:rPr>
                <w:rFonts w:ascii="Times New Roman" w:hAnsi="Times New Roman"/>
                <w:sz w:val="24"/>
                <w:lang w:eastAsia="de-DE"/>
              </w:rPr>
              <w:t>Article 15</w:t>
            </w:r>
            <w:r w:rsidR="00A37988" w:rsidRPr="00661595">
              <w:rPr>
                <w:rFonts w:ascii="Times New Roman" w:hAnsi="Times New Roman"/>
                <w:sz w:val="24"/>
                <w:lang w:eastAsia="de-DE"/>
              </w:rPr>
              <w:t>4</w:t>
            </w:r>
            <w:r w:rsidRPr="00661595">
              <w:rPr>
                <w:rFonts w:ascii="Times New Roman" w:hAnsi="Times New Roman"/>
                <w:sz w:val="24"/>
                <w:lang w:eastAsia="de-DE"/>
              </w:rPr>
              <w:t>(3) CRR which are secured by real estate</w:t>
            </w:r>
          </w:p>
        </w:tc>
      </w:tr>
      <w:tr w:rsidR="004357B9" w:rsidRPr="00661595" w:rsidTr="00672D2A">
        <w:tc>
          <w:tcPr>
            <w:tcW w:w="1188" w:type="dxa"/>
          </w:tcPr>
          <w:p w:rsidR="004357B9" w:rsidRPr="00661595" w:rsidRDefault="004357B9" w:rsidP="004357B9">
            <w:pPr>
              <w:rPr>
                <w:rFonts w:ascii="Times New Roman" w:hAnsi="Times New Roman"/>
                <w:sz w:val="24"/>
              </w:rPr>
            </w:pPr>
            <w:r w:rsidRPr="00661595">
              <w:rPr>
                <w:rFonts w:ascii="Times New Roman" w:hAnsi="Times New Roman"/>
                <w:sz w:val="24"/>
              </w:rPr>
              <w:t>0</w:t>
            </w:r>
            <w:r w:rsidR="001452FC" w:rsidRPr="00661595">
              <w:rPr>
                <w:rFonts w:ascii="Times New Roman" w:hAnsi="Times New Roman"/>
                <w:sz w:val="24"/>
              </w:rPr>
              <w:t>0</w:t>
            </w:r>
            <w:r w:rsidRPr="00661595">
              <w:rPr>
                <w:rFonts w:ascii="Times New Roman" w:hAnsi="Times New Roman"/>
                <w:sz w:val="24"/>
              </w:rPr>
              <w:t>90</w:t>
            </w:r>
          </w:p>
        </w:tc>
        <w:tc>
          <w:tcPr>
            <w:tcW w:w="8640" w:type="dxa"/>
          </w:tcPr>
          <w:p w:rsidR="004357B9" w:rsidRPr="00661595" w:rsidRDefault="004357B9" w:rsidP="004357B9">
            <w:pPr>
              <w:rPr>
                <w:rFonts w:ascii="Times New Roman" w:hAnsi="Times New Roman"/>
                <w:b/>
                <w:sz w:val="24"/>
                <w:u w:val="single"/>
              </w:rPr>
            </w:pPr>
            <w:r w:rsidRPr="00661595">
              <w:rPr>
                <w:rFonts w:ascii="Times New Roman" w:hAnsi="Times New Roman"/>
                <w:b/>
                <w:sz w:val="24"/>
                <w:u w:val="single"/>
              </w:rPr>
              <w:t>non-SME</w:t>
            </w:r>
          </w:p>
          <w:p w:rsidR="004357B9" w:rsidRPr="00661595" w:rsidRDefault="004357B9" w:rsidP="003B2712">
            <w:pPr>
              <w:pStyle w:val="ListParagraph"/>
              <w:ind w:left="0"/>
              <w:rPr>
                <w:rFonts w:ascii="Times New Roman" w:hAnsi="Times New Roman"/>
                <w:sz w:val="24"/>
                <w:lang w:eastAsia="de-DE"/>
              </w:rPr>
            </w:pPr>
            <w:r w:rsidRPr="00661595">
              <w:rPr>
                <w:rFonts w:ascii="Times New Roman" w:hAnsi="Times New Roman"/>
                <w:sz w:val="24"/>
                <w:lang w:eastAsia="de-DE"/>
              </w:rPr>
              <w:t xml:space="preserve">Retail exposures </w:t>
            </w:r>
            <w:r w:rsidR="003B2712" w:rsidRPr="00661595">
              <w:rPr>
                <w:rFonts w:ascii="Times New Roman" w:hAnsi="Times New Roman"/>
                <w:sz w:val="24"/>
                <w:lang w:eastAsia="de-DE"/>
              </w:rPr>
              <w:t xml:space="preserve">as referred to in </w:t>
            </w:r>
            <w:r w:rsidR="00D21B29" w:rsidRPr="00661595">
              <w:rPr>
                <w:rFonts w:ascii="Times New Roman" w:hAnsi="Times New Roman"/>
                <w:sz w:val="24"/>
                <w:lang w:eastAsia="de-DE"/>
              </w:rPr>
              <w:t xml:space="preserve">point (d) of </w:t>
            </w:r>
            <w:r w:rsidRPr="00661595">
              <w:rPr>
                <w:rFonts w:ascii="Times New Roman" w:hAnsi="Times New Roman"/>
                <w:sz w:val="24"/>
                <w:lang w:eastAsia="de-DE"/>
              </w:rPr>
              <w:t>Article 147(2) CRR which are secured by real estate</w:t>
            </w:r>
          </w:p>
        </w:tc>
      </w:tr>
      <w:tr w:rsidR="004357B9" w:rsidRPr="00661595" w:rsidTr="00672D2A">
        <w:tc>
          <w:tcPr>
            <w:tcW w:w="1188" w:type="dxa"/>
          </w:tcPr>
          <w:p w:rsidR="004357B9" w:rsidRPr="00661595" w:rsidRDefault="001452FC" w:rsidP="004357B9">
            <w:pPr>
              <w:rPr>
                <w:rFonts w:ascii="Times New Roman" w:hAnsi="Times New Roman"/>
                <w:sz w:val="24"/>
              </w:rPr>
            </w:pPr>
            <w:r w:rsidRPr="00661595">
              <w:rPr>
                <w:rFonts w:ascii="Times New Roman" w:hAnsi="Times New Roman"/>
                <w:sz w:val="24"/>
              </w:rPr>
              <w:t>0</w:t>
            </w:r>
            <w:r w:rsidR="004357B9" w:rsidRPr="00661595">
              <w:rPr>
                <w:rFonts w:ascii="Times New Roman" w:hAnsi="Times New Roman"/>
                <w:sz w:val="24"/>
              </w:rPr>
              <w:t>100</w:t>
            </w:r>
          </w:p>
        </w:tc>
        <w:tc>
          <w:tcPr>
            <w:tcW w:w="8640" w:type="dxa"/>
          </w:tcPr>
          <w:p w:rsidR="004357B9" w:rsidRPr="00661595" w:rsidRDefault="004357B9" w:rsidP="004357B9">
            <w:pPr>
              <w:rPr>
                <w:rFonts w:ascii="Times New Roman" w:hAnsi="Times New Roman"/>
                <w:b/>
                <w:sz w:val="24"/>
                <w:u w:val="single"/>
              </w:rPr>
            </w:pPr>
            <w:r w:rsidRPr="00661595">
              <w:rPr>
                <w:rFonts w:ascii="Times New Roman" w:hAnsi="Times New Roman"/>
                <w:b/>
                <w:sz w:val="24"/>
                <w:u w:val="single"/>
              </w:rPr>
              <w:t>Retail – Qualifying revolving</w:t>
            </w:r>
          </w:p>
          <w:p w:rsidR="004357B9" w:rsidRPr="00661595" w:rsidRDefault="003B2712" w:rsidP="00F811C6">
            <w:pPr>
              <w:pStyle w:val="ListParagraph"/>
              <w:ind w:left="0"/>
              <w:rPr>
                <w:rFonts w:ascii="Times New Roman" w:hAnsi="Times New Roman"/>
                <w:sz w:val="24"/>
                <w:lang w:eastAsia="de-DE"/>
              </w:rPr>
            </w:pPr>
            <w:r w:rsidRPr="00661595">
              <w:rPr>
                <w:rFonts w:ascii="Times New Roman" w:hAnsi="Times New Roman"/>
                <w:sz w:val="24"/>
                <w:lang w:eastAsia="de-DE"/>
              </w:rPr>
              <w:t xml:space="preserve">Retail exposures as referred to in </w:t>
            </w:r>
            <w:r w:rsidRPr="00661595">
              <w:rPr>
                <w:rFonts w:ascii="Times New Roman" w:hAnsi="Times New Roman"/>
                <w:bCs/>
                <w:sz w:val="24"/>
              </w:rPr>
              <w:t>p</w:t>
            </w:r>
            <w:r w:rsidR="00D21B29" w:rsidRPr="00661595">
              <w:rPr>
                <w:rFonts w:ascii="Times New Roman" w:hAnsi="Times New Roman"/>
                <w:bCs/>
                <w:sz w:val="24"/>
              </w:rPr>
              <w:t xml:space="preserve">oint (d) of </w:t>
            </w:r>
            <w:r w:rsidR="004357B9" w:rsidRPr="00661595">
              <w:rPr>
                <w:rFonts w:ascii="Times New Roman" w:hAnsi="Times New Roman"/>
                <w:sz w:val="24"/>
                <w:lang w:eastAsia="de-DE"/>
              </w:rPr>
              <w:t>Article 147(2) in conjunction with Article 154(4) CRR</w:t>
            </w:r>
          </w:p>
        </w:tc>
      </w:tr>
      <w:tr w:rsidR="004357B9" w:rsidRPr="00661595" w:rsidTr="00672D2A">
        <w:tc>
          <w:tcPr>
            <w:tcW w:w="1188" w:type="dxa"/>
          </w:tcPr>
          <w:p w:rsidR="004357B9" w:rsidRPr="00661595" w:rsidRDefault="001452FC" w:rsidP="004357B9">
            <w:pPr>
              <w:rPr>
                <w:rFonts w:ascii="Times New Roman" w:hAnsi="Times New Roman"/>
                <w:sz w:val="24"/>
              </w:rPr>
            </w:pPr>
            <w:r w:rsidRPr="00661595">
              <w:rPr>
                <w:rFonts w:ascii="Times New Roman" w:hAnsi="Times New Roman"/>
                <w:sz w:val="24"/>
              </w:rPr>
              <w:t>0</w:t>
            </w:r>
            <w:r w:rsidR="004357B9" w:rsidRPr="00661595">
              <w:rPr>
                <w:rFonts w:ascii="Times New Roman" w:hAnsi="Times New Roman"/>
                <w:sz w:val="24"/>
              </w:rPr>
              <w:t>110</w:t>
            </w:r>
          </w:p>
        </w:tc>
        <w:tc>
          <w:tcPr>
            <w:tcW w:w="8640" w:type="dxa"/>
          </w:tcPr>
          <w:p w:rsidR="004357B9" w:rsidRPr="00661595" w:rsidRDefault="004357B9" w:rsidP="004357B9">
            <w:pPr>
              <w:rPr>
                <w:rFonts w:ascii="Times New Roman" w:hAnsi="Times New Roman"/>
                <w:b/>
                <w:sz w:val="24"/>
                <w:u w:val="single"/>
              </w:rPr>
            </w:pPr>
            <w:r w:rsidRPr="00661595">
              <w:rPr>
                <w:rFonts w:ascii="Times New Roman" w:hAnsi="Times New Roman"/>
                <w:b/>
                <w:sz w:val="24"/>
                <w:u w:val="single"/>
              </w:rPr>
              <w:t>Other Retail</w:t>
            </w:r>
          </w:p>
          <w:p w:rsidR="004357B9" w:rsidRPr="00661595" w:rsidRDefault="004357B9" w:rsidP="003B2712">
            <w:pPr>
              <w:pStyle w:val="ListParagraph"/>
              <w:ind w:left="0"/>
              <w:rPr>
                <w:rFonts w:ascii="Times New Roman" w:hAnsi="Times New Roman"/>
                <w:sz w:val="24"/>
                <w:lang w:eastAsia="de-DE"/>
              </w:rPr>
            </w:pPr>
            <w:r w:rsidRPr="00661595">
              <w:rPr>
                <w:rFonts w:ascii="Times New Roman" w:hAnsi="Times New Roman"/>
                <w:sz w:val="24"/>
                <w:lang w:eastAsia="de-DE"/>
              </w:rPr>
              <w:t xml:space="preserve">Other retail exposures </w:t>
            </w:r>
            <w:r w:rsidR="003B2712" w:rsidRPr="00661595">
              <w:rPr>
                <w:rFonts w:ascii="Times New Roman" w:hAnsi="Times New Roman"/>
                <w:sz w:val="24"/>
                <w:lang w:eastAsia="de-DE"/>
              </w:rPr>
              <w:t xml:space="preserve">as referred to in </w:t>
            </w:r>
            <w:r w:rsidR="00D21B29" w:rsidRPr="00661595">
              <w:rPr>
                <w:rFonts w:ascii="Times New Roman" w:hAnsi="Times New Roman"/>
                <w:sz w:val="24"/>
                <w:lang w:eastAsia="de-DE"/>
              </w:rPr>
              <w:t xml:space="preserve">point (d) of </w:t>
            </w:r>
            <w:r w:rsidRPr="00661595">
              <w:rPr>
                <w:rFonts w:ascii="Times New Roman" w:hAnsi="Times New Roman"/>
                <w:sz w:val="24"/>
                <w:lang w:eastAsia="de-DE"/>
              </w:rPr>
              <w:t xml:space="preserve">Article 147(2) </w:t>
            </w:r>
            <w:r w:rsidR="00D21B29" w:rsidRPr="00661595">
              <w:rPr>
                <w:rFonts w:ascii="Times New Roman" w:hAnsi="Times New Roman"/>
                <w:sz w:val="24"/>
                <w:lang w:eastAsia="de-DE"/>
              </w:rPr>
              <w:t xml:space="preserve">CRR </w:t>
            </w:r>
            <w:r w:rsidR="003B2712" w:rsidRPr="00661595">
              <w:rPr>
                <w:rFonts w:ascii="Times New Roman" w:hAnsi="Times New Roman"/>
                <w:sz w:val="24"/>
                <w:lang w:eastAsia="de-DE"/>
              </w:rPr>
              <w:t xml:space="preserve">which are </w:t>
            </w:r>
            <w:r w:rsidRPr="00661595">
              <w:rPr>
                <w:rFonts w:ascii="Times New Roman" w:hAnsi="Times New Roman"/>
                <w:sz w:val="24"/>
                <w:lang w:eastAsia="de-DE"/>
              </w:rPr>
              <w:t>not reported in rows 0</w:t>
            </w:r>
            <w:r w:rsidR="001452FC" w:rsidRPr="00661595">
              <w:rPr>
                <w:rFonts w:ascii="Times New Roman" w:hAnsi="Times New Roman"/>
                <w:sz w:val="24"/>
                <w:lang w:eastAsia="de-DE"/>
              </w:rPr>
              <w:t>0</w:t>
            </w:r>
            <w:r w:rsidRPr="00661595">
              <w:rPr>
                <w:rFonts w:ascii="Times New Roman" w:hAnsi="Times New Roman"/>
                <w:sz w:val="24"/>
                <w:lang w:eastAsia="de-DE"/>
              </w:rPr>
              <w:t xml:space="preserve">70 </w:t>
            </w:r>
            <w:r w:rsidR="0027034D" w:rsidRPr="00661595">
              <w:rPr>
                <w:rFonts w:ascii="Times New Roman" w:hAnsi="Times New Roman"/>
                <w:sz w:val="24"/>
                <w:lang w:eastAsia="de-DE"/>
              </w:rPr>
              <w:t>–</w:t>
            </w:r>
            <w:r w:rsidRPr="00661595">
              <w:rPr>
                <w:rFonts w:ascii="Times New Roman" w:hAnsi="Times New Roman"/>
                <w:sz w:val="24"/>
                <w:lang w:eastAsia="de-DE"/>
              </w:rPr>
              <w:t xml:space="preserve"> </w:t>
            </w:r>
            <w:r w:rsidR="001452FC" w:rsidRPr="00661595">
              <w:rPr>
                <w:rFonts w:ascii="Times New Roman" w:hAnsi="Times New Roman"/>
                <w:sz w:val="24"/>
                <w:lang w:eastAsia="de-DE"/>
              </w:rPr>
              <w:t>0</w:t>
            </w:r>
            <w:r w:rsidRPr="00661595">
              <w:rPr>
                <w:rFonts w:ascii="Times New Roman" w:hAnsi="Times New Roman"/>
                <w:sz w:val="24"/>
                <w:lang w:eastAsia="de-DE"/>
              </w:rPr>
              <w:t>100</w:t>
            </w:r>
          </w:p>
        </w:tc>
      </w:tr>
      <w:tr w:rsidR="004357B9" w:rsidRPr="00661595" w:rsidTr="00672D2A">
        <w:tc>
          <w:tcPr>
            <w:tcW w:w="1188" w:type="dxa"/>
          </w:tcPr>
          <w:p w:rsidR="004357B9" w:rsidRPr="00661595" w:rsidRDefault="001452FC" w:rsidP="004357B9">
            <w:pPr>
              <w:rPr>
                <w:rFonts w:ascii="Times New Roman" w:hAnsi="Times New Roman"/>
                <w:sz w:val="24"/>
              </w:rPr>
            </w:pPr>
            <w:r w:rsidRPr="00661595">
              <w:rPr>
                <w:rFonts w:ascii="Times New Roman" w:hAnsi="Times New Roman"/>
                <w:sz w:val="24"/>
              </w:rPr>
              <w:t>0</w:t>
            </w:r>
            <w:r w:rsidR="004357B9" w:rsidRPr="00661595">
              <w:rPr>
                <w:rFonts w:ascii="Times New Roman" w:hAnsi="Times New Roman"/>
                <w:sz w:val="24"/>
              </w:rPr>
              <w:t>120</w:t>
            </w:r>
          </w:p>
        </w:tc>
        <w:tc>
          <w:tcPr>
            <w:tcW w:w="8640" w:type="dxa"/>
          </w:tcPr>
          <w:p w:rsidR="004357B9" w:rsidRPr="00661595" w:rsidRDefault="004357B9" w:rsidP="004357B9">
            <w:pPr>
              <w:rPr>
                <w:rFonts w:ascii="Times New Roman" w:hAnsi="Times New Roman"/>
                <w:b/>
                <w:sz w:val="24"/>
                <w:u w:val="single"/>
              </w:rPr>
            </w:pPr>
            <w:r w:rsidRPr="00661595">
              <w:rPr>
                <w:rFonts w:ascii="Times New Roman" w:hAnsi="Times New Roman"/>
                <w:b/>
                <w:sz w:val="24"/>
                <w:u w:val="single"/>
              </w:rPr>
              <w:t>SME</w:t>
            </w:r>
          </w:p>
          <w:p w:rsidR="004357B9" w:rsidRPr="00661595" w:rsidRDefault="004357B9" w:rsidP="0024244E">
            <w:pPr>
              <w:pStyle w:val="ListParagraph"/>
              <w:ind w:left="0"/>
              <w:rPr>
                <w:rFonts w:ascii="Times New Roman" w:hAnsi="Times New Roman"/>
                <w:sz w:val="24"/>
                <w:lang w:eastAsia="de-DE"/>
              </w:rPr>
            </w:pPr>
            <w:r w:rsidRPr="00661595">
              <w:rPr>
                <w:rFonts w:ascii="Times New Roman" w:hAnsi="Times New Roman"/>
                <w:sz w:val="24"/>
                <w:lang w:eastAsia="de-DE"/>
              </w:rPr>
              <w:t xml:space="preserve">Other retail exposures </w:t>
            </w:r>
            <w:r w:rsidR="0027034D" w:rsidRPr="00661595">
              <w:rPr>
                <w:rFonts w:ascii="Times New Roman" w:hAnsi="Times New Roman"/>
                <w:sz w:val="24"/>
                <w:lang w:eastAsia="de-DE"/>
              </w:rPr>
              <w:t xml:space="preserve">to SMEs </w:t>
            </w:r>
            <w:r w:rsidR="003B2712" w:rsidRPr="00661595">
              <w:rPr>
                <w:rFonts w:ascii="Times New Roman" w:hAnsi="Times New Roman"/>
                <w:sz w:val="24"/>
                <w:lang w:eastAsia="de-DE"/>
              </w:rPr>
              <w:t xml:space="preserve">as referred to in </w:t>
            </w:r>
            <w:r w:rsidR="00D21B29" w:rsidRPr="00661595">
              <w:rPr>
                <w:rFonts w:ascii="Times New Roman" w:hAnsi="Times New Roman"/>
                <w:sz w:val="24"/>
                <w:lang w:eastAsia="de-DE"/>
              </w:rPr>
              <w:t xml:space="preserve">point (d) of </w:t>
            </w:r>
            <w:r w:rsidRPr="00661595">
              <w:rPr>
                <w:rFonts w:ascii="Times New Roman" w:hAnsi="Times New Roman"/>
                <w:sz w:val="24"/>
                <w:lang w:eastAsia="de-DE"/>
              </w:rPr>
              <w:t xml:space="preserve">Article 147(2) </w:t>
            </w:r>
            <w:r w:rsidR="0024244E">
              <w:rPr>
                <w:rFonts w:ascii="Times New Roman" w:hAnsi="Times New Roman"/>
                <w:sz w:val="24"/>
                <w:lang w:eastAsia="de-DE"/>
              </w:rPr>
              <w:t>CRR</w:t>
            </w:r>
          </w:p>
        </w:tc>
      </w:tr>
      <w:tr w:rsidR="004357B9" w:rsidRPr="00661595" w:rsidTr="00672D2A">
        <w:tc>
          <w:tcPr>
            <w:tcW w:w="1188" w:type="dxa"/>
          </w:tcPr>
          <w:p w:rsidR="004357B9" w:rsidRPr="00661595" w:rsidRDefault="001452FC" w:rsidP="004357B9">
            <w:pPr>
              <w:rPr>
                <w:rFonts w:ascii="Times New Roman" w:hAnsi="Times New Roman"/>
                <w:sz w:val="24"/>
              </w:rPr>
            </w:pPr>
            <w:r w:rsidRPr="00661595">
              <w:rPr>
                <w:rFonts w:ascii="Times New Roman" w:hAnsi="Times New Roman"/>
                <w:sz w:val="24"/>
              </w:rPr>
              <w:t>0</w:t>
            </w:r>
            <w:r w:rsidR="004357B9" w:rsidRPr="00661595">
              <w:rPr>
                <w:rFonts w:ascii="Times New Roman" w:hAnsi="Times New Roman"/>
                <w:sz w:val="24"/>
              </w:rPr>
              <w:t>130</w:t>
            </w:r>
          </w:p>
        </w:tc>
        <w:tc>
          <w:tcPr>
            <w:tcW w:w="8640" w:type="dxa"/>
          </w:tcPr>
          <w:p w:rsidR="004357B9" w:rsidRPr="00661595" w:rsidRDefault="004357B9" w:rsidP="004357B9">
            <w:pPr>
              <w:rPr>
                <w:rFonts w:ascii="Times New Roman" w:hAnsi="Times New Roman"/>
                <w:b/>
                <w:sz w:val="24"/>
                <w:u w:val="single"/>
              </w:rPr>
            </w:pPr>
            <w:r w:rsidRPr="00661595">
              <w:rPr>
                <w:rFonts w:ascii="Times New Roman" w:hAnsi="Times New Roman"/>
                <w:b/>
                <w:sz w:val="24"/>
                <w:u w:val="single"/>
              </w:rPr>
              <w:t>non-SME</w:t>
            </w:r>
          </w:p>
          <w:p w:rsidR="004357B9" w:rsidRPr="00661595" w:rsidRDefault="004357B9" w:rsidP="0024244E">
            <w:pPr>
              <w:rPr>
                <w:rFonts w:ascii="Times New Roman" w:hAnsi="Times New Roman"/>
                <w:sz w:val="24"/>
              </w:rPr>
            </w:pPr>
            <w:r w:rsidRPr="00661595">
              <w:rPr>
                <w:rFonts w:ascii="Times New Roman" w:hAnsi="Times New Roman"/>
                <w:sz w:val="24"/>
                <w:lang w:eastAsia="de-DE"/>
              </w:rPr>
              <w:t>Other retail exposures</w:t>
            </w:r>
            <w:r w:rsidR="0027034D" w:rsidRPr="00661595">
              <w:rPr>
                <w:rFonts w:ascii="Times New Roman" w:hAnsi="Times New Roman"/>
                <w:sz w:val="24"/>
                <w:lang w:eastAsia="de-DE"/>
              </w:rPr>
              <w:t xml:space="preserve"> to individuals</w:t>
            </w:r>
            <w:r w:rsidRPr="00661595">
              <w:rPr>
                <w:rFonts w:ascii="Times New Roman" w:hAnsi="Times New Roman"/>
                <w:sz w:val="24"/>
                <w:lang w:eastAsia="de-DE"/>
              </w:rPr>
              <w:t xml:space="preserve"> </w:t>
            </w:r>
            <w:r w:rsidR="003B2712" w:rsidRPr="00661595">
              <w:rPr>
                <w:rFonts w:ascii="Times New Roman" w:hAnsi="Times New Roman"/>
                <w:sz w:val="24"/>
                <w:lang w:eastAsia="de-DE"/>
              </w:rPr>
              <w:t xml:space="preserve">as referred to in </w:t>
            </w:r>
            <w:r w:rsidR="00D21B29" w:rsidRPr="00661595">
              <w:rPr>
                <w:rFonts w:ascii="Times New Roman" w:hAnsi="Times New Roman"/>
                <w:sz w:val="24"/>
                <w:lang w:eastAsia="de-DE"/>
              </w:rPr>
              <w:t xml:space="preserve">point (d) of </w:t>
            </w:r>
            <w:r w:rsidRPr="00661595">
              <w:rPr>
                <w:rFonts w:ascii="Times New Roman" w:hAnsi="Times New Roman"/>
                <w:sz w:val="24"/>
                <w:lang w:eastAsia="de-DE"/>
              </w:rPr>
              <w:t>Article 147(2) CRR</w:t>
            </w:r>
          </w:p>
        </w:tc>
      </w:tr>
      <w:bookmarkEnd w:id="366"/>
      <w:tr w:rsidR="004357B9" w:rsidRPr="00661595" w:rsidTr="00672D2A">
        <w:tc>
          <w:tcPr>
            <w:tcW w:w="1188" w:type="dxa"/>
            <w:tcBorders>
              <w:top w:val="single" w:sz="4" w:space="0" w:color="auto"/>
              <w:left w:val="single" w:sz="4" w:space="0" w:color="auto"/>
              <w:bottom w:val="single" w:sz="4" w:space="0" w:color="auto"/>
              <w:right w:val="single" w:sz="4" w:space="0" w:color="auto"/>
            </w:tcBorders>
          </w:tcPr>
          <w:p w:rsidR="004357B9" w:rsidRPr="00661595" w:rsidRDefault="001452FC" w:rsidP="004357B9">
            <w:pPr>
              <w:rPr>
                <w:rFonts w:ascii="Times New Roman" w:hAnsi="Times New Roman"/>
                <w:sz w:val="24"/>
              </w:rPr>
            </w:pPr>
            <w:r w:rsidRPr="00661595">
              <w:rPr>
                <w:rFonts w:ascii="Times New Roman" w:hAnsi="Times New Roman"/>
                <w:sz w:val="24"/>
              </w:rPr>
              <w:t>0</w:t>
            </w:r>
            <w:r w:rsidR="004357B9" w:rsidRPr="00661595">
              <w:rPr>
                <w:rFonts w:ascii="Times New Roman" w:hAnsi="Times New Roman"/>
                <w:sz w:val="24"/>
              </w:rPr>
              <w:t>140</w:t>
            </w:r>
          </w:p>
        </w:tc>
        <w:tc>
          <w:tcPr>
            <w:tcW w:w="8640" w:type="dxa"/>
            <w:tcBorders>
              <w:top w:val="single" w:sz="4" w:space="0" w:color="auto"/>
              <w:left w:val="single" w:sz="4" w:space="0" w:color="auto"/>
              <w:bottom w:val="single" w:sz="4" w:space="0" w:color="auto"/>
              <w:right w:val="single" w:sz="4" w:space="0" w:color="auto"/>
            </w:tcBorders>
          </w:tcPr>
          <w:p w:rsidR="004357B9" w:rsidRPr="00661595" w:rsidRDefault="004357B9" w:rsidP="004357B9">
            <w:pPr>
              <w:rPr>
                <w:rFonts w:ascii="Times New Roman" w:hAnsi="Times New Roman"/>
                <w:b/>
                <w:sz w:val="24"/>
                <w:u w:val="single"/>
              </w:rPr>
            </w:pPr>
            <w:r w:rsidRPr="00661595">
              <w:rPr>
                <w:rFonts w:ascii="Times New Roman" w:hAnsi="Times New Roman"/>
                <w:b/>
                <w:sz w:val="24"/>
                <w:u w:val="single"/>
              </w:rPr>
              <w:t>Equity</w:t>
            </w:r>
          </w:p>
          <w:p w:rsidR="004357B9" w:rsidRPr="00661595" w:rsidRDefault="004357B9" w:rsidP="003B2712">
            <w:pPr>
              <w:rPr>
                <w:rFonts w:ascii="Times New Roman" w:hAnsi="Times New Roman"/>
                <w:b/>
                <w:sz w:val="24"/>
                <w:u w:val="single"/>
              </w:rPr>
            </w:pPr>
            <w:r w:rsidRPr="00661595">
              <w:rPr>
                <w:rFonts w:ascii="Times New Roman" w:hAnsi="Times New Roman"/>
                <w:sz w:val="24"/>
                <w:lang w:eastAsia="de-DE"/>
              </w:rPr>
              <w:t xml:space="preserve">Equity exposures </w:t>
            </w:r>
            <w:r w:rsidR="003B2712" w:rsidRPr="00661595">
              <w:rPr>
                <w:rFonts w:ascii="Times New Roman" w:hAnsi="Times New Roman"/>
                <w:sz w:val="24"/>
                <w:lang w:eastAsia="de-DE"/>
              </w:rPr>
              <w:t xml:space="preserve">as referred to in </w:t>
            </w:r>
            <w:r w:rsidR="00D21B29" w:rsidRPr="00661595">
              <w:rPr>
                <w:rFonts w:ascii="Times New Roman" w:hAnsi="Times New Roman"/>
                <w:sz w:val="24"/>
                <w:lang w:eastAsia="de-DE"/>
              </w:rPr>
              <w:t xml:space="preserve">point (e) of </w:t>
            </w:r>
            <w:r w:rsidRPr="00661595">
              <w:rPr>
                <w:rFonts w:ascii="Times New Roman" w:hAnsi="Times New Roman"/>
                <w:sz w:val="24"/>
                <w:lang w:eastAsia="de-DE"/>
              </w:rPr>
              <w:t>Article 147(2) CRR</w:t>
            </w:r>
          </w:p>
        </w:tc>
      </w:tr>
      <w:tr w:rsidR="007A49AC" w:rsidRPr="00661595" w:rsidTr="00672D2A">
        <w:tc>
          <w:tcPr>
            <w:tcW w:w="1188" w:type="dxa"/>
            <w:tcBorders>
              <w:top w:val="single" w:sz="4" w:space="0" w:color="auto"/>
              <w:left w:val="single" w:sz="4" w:space="0" w:color="auto"/>
              <w:bottom w:val="single" w:sz="4" w:space="0" w:color="auto"/>
              <w:right w:val="single" w:sz="4" w:space="0" w:color="auto"/>
            </w:tcBorders>
          </w:tcPr>
          <w:p w:rsidR="007A49AC" w:rsidRPr="00661595" w:rsidRDefault="001452FC" w:rsidP="004357B9">
            <w:pPr>
              <w:rPr>
                <w:rFonts w:ascii="Times New Roman" w:hAnsi="Times New Roman"/>
                <w:sz w:val="24"/>
              </w:rPr>
            </w:pPr>
            <w:r w:rsidRPr="00661595">
              <w:rPr>
                <w:rFonts w:ascii="Times New Roman" w:hAnsi="Times New Roman"/>
                <w:sz w:val="24"/>
              </w:rPr>
              <w:t>0</w:t>
            </w:r>
            <w:r w:rsidR="007A49AC" w:rsidRPr="00661595">
              <w:rPr>
                <w:rFonts w:ascii="Times New Roman" w:hAnsi="Times New Roman"/>
                <w:sz w:val="24"/>
              </w:rPr>
              <w:t>150</w:t>
            </w:r>
          </w:p>
        </w:tc>
        <w:tc>
          <w:tcPr>
            <w:tcW w:w="8640" w:type="dxa"/>
            <w:tcBorders>
              <w:top w:val="single" w:sz="4" w:space="0" w:color="auto"/>
              <w:left w:val="single" w:sz="4" w:space="0" w:color="auto"/>
              <w:bottom w:val="single" w:sz="4" w:space="0" w:color="auto"/>
              <w:right w:val="single" w:sz="4" w:space="0" w:color="auto"/>
            </w:tcBorders>
          </w:tcPr>
          <w:p w:rsidR="007A49AC" w:rsidRPr="00661595" w:rsidRDefault="007A49AC" w:rsidP="00A779E9">
            <w:pPr>
              <w:rPr>
                <w:rFonts w:ascii="Times New Roman" w:hAnsi="Times New Roman"/>
                <w:b/>
                <w:sz w:val="24"/>
                <w:u w:val="single"/>
              </w:rPr>
            </w:pPr>
            <w:r w:rsidRPr="00661595">
              <w:rPr>
                <w:rFonts w:ascii="Times New Roman" w:hAnsi="Times New Roman"/>
                <w:b/>
                <w:sz w:val="24"/>
                <w:u w:val="single"/>
              </w:rPr>
              <w:t>Total exposures</w:t>
            </w:r>
          </w:p>
        </w:tc>
      </w:tr>
    </w:tbl>
    <w:p w:rsidR="004357B9" w:rsidRPr="00661595" w:rsidRDefault="004357B9" w:rsidP="004357B9">
      <w:pPr>
        <w:spacing w:before="0" w:after="200" w:line="312" w:lineRule="auto"/>
        <w:jc w:val="left"/>
        <w:rPr>
          <w:rFonts w:ascii="Times New Roman" w:hAnsi="Times New Roman"/>
          <w:sz w:val="24"/>
        </w:rPr>
      </w:pPr>
    </w:p>
    <w:p w:rsidR="004357B9"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373" w:name="_Toc360188366"/>
      <w:bookmarkStart w:id="374" w:name="_Toc473560917"/>
      <w:bookmarkStart w:id="375" w:name="_Toc57831574"/>
      <w:r w:rsidRPr="00661595">
        <w:rPr>
          <w:rFonts w:ascii="Times New Roman" w:hAnsi="Times New Roman" w:cs="Times New Roman"/>
          <w:sz w:val="24"/>
          <w:u w:val="none"/>
          <w:lang w:val="en-GB"/>
        </w:rPr>
        <w:t>3.4.3.</w:t>
      </w:r>
      <w:r w:rsidRPr="00661595">
        <w:rPr>
          <w:rFonts w:ascii="Times New Roman" w:hAnsi="Times New Roman" w:cs="Times New Roman"/>
          <w:sz w:val="24"/>
          <w:u w:val="none"/>
          <w:lang w:val="en-GB"/>
        </w:rPr>
        <w:tab/>
      </w:r>
      <w:r w:rsidR="009769DE" w:rsidRPr="00661595">
        <w:rPr>
          <w:rFonts w:ascii="Times New Roman" w:hAnsi="Times New Roman" w:cs="Times New Roman"/>
          <w:sz w:val="24"/>
          <w:lang w:val="en-GB"/>
        </w:rPr>
        <w:t>C 09.</w:t>
      </w:r>
      <w:r w:rsidR="00BC793E" w:rsidRPr="00661595">
        <w:rPr>
          <w:rFonts w:ascii="Times New Roman" w:hAnsi="Times New Roman" w:cs="Times New Roman"/>
          <w:sz w:val="24"/>
          <w:lang w:val="en-GB"/>
        </w:rPr>
        <w:t xml:space="preserve">04 </w:t>
      </w:r>
      <w:r w:rsidR="004357B9" w:rsidRPr="00661595">
        <w:rPr>
          <w:rFonts w:ascii="Times New Roman" w:hAnsi="Times New Roman" w:cs="Times New Roman"/>
          <w:sz w:val="24"/>
          <w:lang w:val="en-GB"/>
        </w:rPr>
        <w:t xml:space="preserve">– </w:t>
      </w:r>
      <w:r w:rsidR="00430F6F" w:rsidRPr="00661595">
        <w:rPr>
          <w:rFonts w:ascii="Times New Roman" w:hAnsi="Times New Roman" w:cs="Times New Roman"/>
          <w:sz w:val="24"/>
          <w:lang w:val="en-GB"/>
        </w:rPr>
        <w:t>Breakdown of credit exposures relevant for the calculation of the countercyclical buffer by country and institution-specific countercyclical buffer rate</w:t>
      </w:r>
      <w:r w:rsidR="00D82B60" w:rsidRPr="00661595" w:rsidDel="00D82B60">
        <w:rPr>
          <w:rFonts w:ascii="Times New Roman" w:hAnsi="Times New Roman" w:cs="Times New Roman"/>
          <w:sz w:val="24"/>
          <w:lang w:val="en-GB"/>
        </w:rPr>
        <w:t xml:space="preserve"> </w:t>
      </w:r>
      <w:bookmarkEnd w:id="373"/>
      <w:r w:rsidR="009769DE" w:rsidRPr="00661595">
        <w:rPr>
          <w:rFonts w:ascii="Times New Roman" w:hAnsi="Times New Roman" w:cs="Times New Roman"/>
          <w:sz w:val="24"/>
          <w:lang w:val="en-GB"/>
        </w:rPr>
        <w:t>(</w:t>
      </w:r>
      <w:r w:rsidR="00ED4629" w:rsidRPr="00661595">
        <w:rPr>
          <w:rFonts w:ascii="Times New Roman" w:hAnsi="Times New Roman" w:cs="Times New Roman"/>
          <w:sz w:val="24"/>
          <w:lang w:val="en-GB"/>
        </w:rPr>
        <w:t>CCB</w:t>
      </w:r>
      <w:r w:rsidR="009769DE" w:rsidRPr="00661595">
        <w:rPr>
          <w:rFonts w:ascii="Times New Roman" w:hAnsi="Times New Roman" w:cs="Times New Roman"/>
          <w:sz w:val="24"/>
          <w:lang w:val="en-GB"/>
        </w:rPr>
        <w:t>)</w:t>
      </w:r>
      <w:bookmarkEnd w:id="374"/>
      <w:bookmarkEnd w:id="375"/>
    </w:p>
    <w:p w:rsidR="004357B9"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376" w:name="_Toc360188367"/>
      <w:bookmarkStart w:id="377" w:name="_Toc473560918"/>
      <w:bookmarkStart w:id="378" w:name="_Toc57831575"/>
      <w:r w:rsidRPr="00661595">
        <w:rPr>
          <w:rFonts w:ascii="Times New Roman" w:hAnsi="Times New Roman" w:cs="Times New Roman"/>
          <w:sz w:val="24"/>
          <w:u w:val="none"/>
          <w:lang w:val="en-GB"/>
        </w:rPr>
        <w:t>3.4.3.1.</w:t>
      </w:r>
      <w:r w:rsidRPr="00661595">
        <w:rPr>
          <w:rFonts w:ascii="Times New Roman" w:hAnsi="Times New Roman" w:cs="Times New Roman"/>
          <w:sz w:val="24"/>
          <w:u w:val="none"/>
          <w:lang w:val="en-GB"/>
        </w:rPr>
        <w:tab/>
      </w:r>
      <w:r w:rsidR="004357B9" w:rsidRPr="00661595">
        <w:rPr>
          <w:rFonts w:ascii="Times New Roman" w:hAnsi="Times New Roman" w:cs="Times New Roman"/>
          <w:sz w:val="24"/>
          <w:lang w:val="en-GB"/>
        </w:rPr>
        <w:t>General remarks</w:t>
      </w:r>
      <w:bookmarkEnd w:id="376"/>
      <w:bookmarkEnd w:id="377"/>
      <w:bookmarkEnd w:id="378"/>
    </w:p>
    <w:p w:rsidR="00430F6F" w:rsidRPr="00661595" w:rsidRDefault="00D11E4C" w:rsidP="00487A02">
      <w:pPr>
        <w:pStyle w:val="InstructionsText2"/>
        <w:numPr>
          <w:ilvl w:val="0"/>
          <w:numId w:val="0"/>
        </w:numPr>
        <w:ind w:left="1353" w:hanging="360"/>
      </w:pPr>
      <w:fldSimple w:instr=" seq paragraphs ">
        <w:r w:rsidR="00771068">
          <w:rPr>
            <w:noProof/>
          </w:rPr>
          <w:t>88</w:t>
        </w:r>
      </w:fldSimple>
      <w:r w:rsidR="00125707" w:rsidRPr="00661595">
        <w:t>.</w:t>
      </w:r>
      <w:r w:rsidR="00125707" w:rsidRPr="00661595">
        <w:tab/>
      </w:r>
      <w:r w:rsidR="00430F6F" w:rsidRPr="00661595">
        <w:t xml:space="preserve">This </w:t>
      </w:r>
      <w:r w:rsidR="00133396" w:rsidRPr="00661595">
        <w:t xml:space="preserve">template </w:t>
      </w:r>
      <w:r w:rsidR="00AA7658" w:rsidRPr="00661595">
        <w:t xml:space="preserve">aims at </w:t>
      </w:r>
      <w:r w:rsidR="00430F6F" w:rsidRPr="00661595">
        <w:t>receiv</w:t>
      </w:r>
      <w:r w:rsidR="00AA7658" w:rsidRPr="00661595">
        <w:t xml:space="preserve">ing </w:t>
      </w:r>
      <w:r w:rsidR="00430F6F" w:rsidRPr="00661595">
        <w:t>more information regarding the elements of the</w:t>
      </w:r>
      <w:r w:rsidR="00AA7658" w:rsidRPr="00661595">
        <w:t xml:space="preserve"> institution</w:t>
      </w:r>
      <w:r w:rsidR="00A04CFA" w:rsidRPr="00661595">
        <w:t>-</w:t>
      </w:r>
      <w:r w:rsidR="00430F6F" w:rsidRPr="00661595">
        <w:t>specific countercyclical capital buffer. The information</w:t>
      </w:r>
      <w:r w:rsidR="00AA7658" w:rsidRPr="00661595">
        <w:t xml:space="preserve"> required</w:t>
      </w:r>
      <w:r w:rsidR="00430F6F" w:rsidRPr="00661595">
        <w:t xml:space="preserve"> refers to the own funds requirements determined in accordance with Title II and Title IV</w:t>
      </w:r>
      <w:r w:rsidR="00A779E9" w:rsidRPr="00661595">
        <w:t xml:space="preserve"> of Part Three</w:t>
      </w:r>
      <w:r w:rsidR="00430F6F" w:rsidRPr="00661595">
        <w:t xml:space="preserve"> </w:t>
      </w:r>
      <w:r w:rsidR="00C7103D" w:rsidRPr="00661595">
        <w:t>CRR</w:t>
      </w:r>
      <w:r w:rsidR="00FD380B" w:rsidRPr="00661595">
        <w:t xml:space="preserve"> and the geographical location</w:t>
      </w:r>
      <w:r w:rsidR="00430F6F" w:rsidRPr="00661595">
        <w:t xml:space="preserve"> for credit exposures, securitisation exposures and trading book exposures relevant for the calculation of the institution</w:t>
      </w:r>
      <w:r w:rsidR="003B2712" w:rsidRPr="00661595">
        <w:t>-</w:t>
      </w:r>
      <w:r w:rsidR="00430F6F" w:rsidRPr="00661595">
        <w:t xml:space="preserve">specific countercyclical capital buffer (CCB) in accordance with Article 140 CRD (relevant credit exposures). </w:t>
      </w:r>
    </w:p>
    <w:p w:rsidR="00430F6F" w:rsidRPr="00661595" w:rsidRDefault="00D11E4C" w:rsidP="00487A02">
      <w:pPr>
        <w:pStyle w:val="InstructionsText2"/>
        <w:numPr>
          <w:ilvl w:val="0"/>
          <w:numId w:val="0"/>
        </w:numPr>
        <w:ind w:left="1353" w:hanging="360"/>
      </w:pPr>
      <w:fldSimple w:instr=" seq paragraphs ">
        <w:r w:rsidR="00771068">
          <w:rPr>
            <w:noProof/>
          </w:rPr>
          <w:t>89</w:t>
        </w:r>
      </w:fldSimple>
      <w:r w:rsidR="00125707" w:rsidRPr="00661595">
        <w:t>.</w:t>
      </w:r>
      <w:r w:rsidR="00125707" w:rsidRPr="00661595">
        <w:tab/>
      </w:r>
      <w:r w:rsidR="00430F6F" w:rsidRPr="00661595">
        <w:t xml:space="preserve">Information in </w:t>
      </w:r>
      <w:r w:rsidR="00FD457C" w:rsidRPr="00661595">
        <w:t xml:space="preserve">template </w:t>
      </w:r>
      <w:r w:rsidR="00430F6F" w:rsidRPr="00661595">
        <w:t>C 09.0</w:t>
      </w:r>
      <w:r w:rsidR="007A212A" w:rsidRPr="00661595">
        <w:t>4</w:t>
      </w:r>
      <w:r w:rsidR="00AA7658" w:rsidRPr="00661595">
        <w:t xml:space="preserve"> shall be reported</w:t>
      </w:r>
      <w:r w:rsidR="00430F6F" w:rsidRPr="00661595">
        <w:t xml:space="preserve"> for the </w:t>
      </w:r>
      <w:r w:rsidR="002305D2" w:rsidRPr="00661595">
        <w:t>‘T</w:t>
      </w:r>
      <w:r w:rsidR="00430F6F" w:rsidRPr="00661595">
        <w:t>otal</w:t>
      </w:r>
      <w:r w:rsidR="002305D2" w:rsidRPr="00661595">
        <w:t>’</w:t>
      </w:r>
      <w:r w:rsidR="00430F6F" w:rsidRPr="00661595">
        <w:t xml:space="preserve"> of relevant credit exposures across all jurisdictions where th</w:t>
      </w:r>
      <w:r w:rsidR="003B2712" w:rsidRPr="00661595">
        <w:t>o</w:t>
      </w:r>
      <w:r w:rsidR="00430F6F" w:rsidRPr="00661595">
        <w:t>se exposures are located and individually for each of the jurisdictions in which relevant credit exposures are located. The total figures as well as the information of each jurisdiction</w:t>
      </w:r>
      <w:r w:rsidR="00AA7658" w:rsidRPr="00661595">
        <w:t xml:space="preserve"> shall be </w:t>
      </w:r>
      <w:r w:rsidR="00430F6F" w:rsidRPr="00661595">
        <w:t>reported in a separate dimension.</w:t>
      </w:r>
      <w:r w:rsidR="00FD457C" w:rsidRPr="00661595">
        <w:t xml:space="preserve"> </w:t>
      </w:r>
    </w:p>
    <w:p w:rsidR="007463E2" w:rsidRPr="00661595" w:rsidRDefault="00D11E4C" w:rsidP="00487A02">
      <w:pPr>
        <w:pStyle w:val="InstructionsText2"/>
        <w:numPr>
          <w:ilvl w:val="0"/>
          <w:numId w:val="0"/>
        </w:numPr>
        <w:ind w:left="1353" w:hanging="360"/>
      </w:pPr>
      <w:fldSimple w:instr=" seq paragraphs ">
        <w:r w:rsidR="00771068">
          <w:rPr>
            <w:noProof/>
          </w:rPr>
          <w:t>90</w:t>
        </w:r>
      </w:fldSimple>
      <w:r w:rsidR="00125707" w:rsidRPr="00661595">
        <w:t>.</w:t>
      </w:r>
      <w:r w:rsidR="00125707" w:rsidRPr="00661595">
        <w:tab/>
      </w:r>
      <w:r w:rsidR="007463E2" w:rsidRPr="00661595">
        <w:t>The threshold set in Article 5(</w:t>
      </w:r>
      <w:r w:rsidR="00CB3146" w:rsidRPr="00661595">
        <w:t>5</w:t>
      </w:r>
      <w:r w:rsidR="007463E2" w:rsidRPr="00661595">
        <w:t xml:space="preserve">) of this </w:t>
      </w:r>
      <w:r w:rsidR="001E0C80" w:rsidRPr="00661595">
        <w:t xml:space="preserve">Implementing </w:t>
      </w:r>
      <w:r w:rsidR="007463E2" w:rsidRPr="00661595">
        <w:t>Regulation</w:t>
      </w:r>
      <w:r w:rsidR="00AA7658" w:rsidRPr="00661595">
        <w:t xml:space="preserve"> shall </w:t>
      </w:r>
      <w:r w:rsidR="007463E2" w:rsidRPr="00661595">
        <w:t>not</w:t>
      </w:r>
      <w:r w:rsidR="00AA7658" w:rsidRPr="00661595">
        <w:t xml:space="preserve"> apply </w:t>
      </w:r>
      <w:r w:rsidR="007463E2" w:rsidRPr="00661595">
        <w:t>for the reporting of this breakdown.</w:t>
      </w:r>
    </w:p>
    <w:p w:rsidR="005A7CA9" w:rsidRPr="00661595" w:rsidRDefault="00D11E4C" w:rsidP="00487A02">
      <w:pPr>
        <w:pStyle w:val="InstructionsText2"/>
        <w:numPr>
          <w:ilvl w:val="0"/>
          <w:numId w:val="0"/>
        </w:numPr>
        <w:ind w:left="1353" w:hanging="360"/>
      </w:pPr>
      <w:fldSimple w:instr=" seq paragraphs ">
        <w:r w:rsidR="00771068">
          <w:rPr>
            <w:noProof/>
          </w:rPr>
          <w:t>91</w:t>
        </w:r>
      </w:fldSimple>
      <w:r w:rsidR="00125707" w:rsidRPr="00661595">
        <w:t>.</w:t>
      </w:r>
      <w:r w:rsidR="00125707" w:rsidRPr="00661595">
        <w:tab/>
      </w:r>
      <w:r w:rsidR="007463E2" w:rsidRPr="00661595">
        <w:t xml:space="preserve">In order to determine the geographical location, the exposures </w:t>
      </w:r>
      <w:r w:rsidR="003B2712" w:rsidRPr="00661595">
        <w:t>shall be</w:t>
      </w:r>
      <w:r w:rsidR="007463E2" w:rsidRPr="00661595">
        <w:t xml:space="preserve"> allocated on an immediate obligor basis as provided for in Commission Delegated Regulation (EU) No 1152/2014</w:t>
      </w:r>
      <w:r w:rsidR="003B2712" w:rsidRPr="00661595">
        <w:footnoteReference w:id="10"/>
      </w:r>
      <w:r w:rsidR="007463E2" w:rsidRPr="00661595">
        <w:t xml:space="preserve">. </w:t>
      </w:r>
      <w:r w:rsidR="005A7CA9" w:rsidRPr="00661595">
        <w:t>Therefore</w:t>
      </w:r>
      <w:r w:rsidR="003B2712" w:rsidRPr="00661595">
        <w:t>,</w:t>
      </w:r>
      <w:r w:rsidR="005A7CA9" w:rsidRPr="00661595">
        <w:t xml:space="preserve"> CRM techniques </w:t>
      </w:r>
      <w:r w:rsidR="003B2712" w:rsidRPr="00661595">
        <w:t>shall</w:t>
      </w:r>
      <w:r w:rsidR="005A7CA9" w:rsidRPr="00661595">
        <w:t xml:space="preserve"> not change the allocation of an exposure to </w:t>
      </w:r>
      <w:r w:rsidR="007463E2" w:rsidRPr="00661595">
        <w:t xml:space="preserve">its geographical location </w:t>
      </w:r>
      <w:r w:rsidR="00EF3F40" w:rsidRPr="00661595">
        <w:t xml:space="preserve">for the purpose of </w:t>
      </w:r>
      <w:r w:rsidR="007463E2" w:rsidRPr="00661595">
        <w:t xml:space="preserve">reporting information set out in </w:t>
      </w:r>
      <w:r w:rsidR="00C4425F" w:rsidRPr="00661595">
        <w:t xml:space="preserve">this </w:t>
      </w:r>
      <w:r w:rsidR="007463E2" w:rsidRPr="00661595">
        <w:t>template</w:t>
      </w:r>
      <w:r w:rsidR="005A7CA9" w:rsidRPr="00661595">
        <w:t>.</w:t>
      </w:r>
    </w:p>
    <w:p w:rsidR="00154859"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379" w:name="_Toc360188368"/>
      <w:bookmarkStart w:id="380" w:name="_Toc473560919"/>
      <w:bookmarkStart w:id="381" w:name="_Toc57831576"/>
      <w:r w:rsidRPr="00661595">
        <w:rPr>
          <w:rFonts w:ascii="Times New Roman" w:hAnsi="Times New Roman" w:cs="Times New Roman"/>
          <w:sz w:val="24"/>
          <w:u w:val="none"/>
          <w:lang w:val="en-GB"/>
        </w:rPr>
        <w:t>3.4.3.2.</w:t>
      </w:r>
      <w:r w:rsidRPr="00661595">
        <w:rPr>
          <w:rFonts w:ascii="Times New Roman" w:hAnsi="Times New Roman" w:cs="Times New Roman"/>
          <w:sz w:val="24"/>
          <w:u w:val="none"/>
          <w:lang w:val="en-GB"/>
        </w:rPr>
        <w:tab/>
      </w:r>
      <w:r w:rsidR="004357B9" w:rsidRPr="00661595">
        <w:rPr>
          <w:rFonts w:ascii="Times New Roman" w:hAnsi="Times New Roman" w:cs="Times New Roman"/>
          <w:sz w:val="24"/>
          <w:lang w:val="en-GB"/>
        </w:rPr>
        <w:t>Instructions concerning specific positions</w:t>
      </w:r>
      <w:bookmarkEnd w:id="379"/>
      <w:bookmarkEnd w:id="380"/>
      <w:bookmarkEnd w:id="381"/>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7"/>
        <w:gridCol w:w="8131"/>
      </w:tblGrid>
      <w:tr w:rsidR="004357B9" w:rsidRPr="00661595" w:rsidTr="00672D2A">
        <w:tc>
          <w:tcPr>
            <w:tcW w:w="1697" w:type="dxa"/>
            <w:shd w:val="clear" w:color="auto" w:fill="CCCCCC"/>
          </w:tcPr>
          <w:p w:rsidR="00154859" w:rsidRPr="00661595" w:rsidRDefault="00154859" w:rsidP="004357B9">
            <w:pPr>
              <w:rPr>
                <w:rFonts w:ascii="Times New Roman" w:hAnsi="Times New Roman"/>
                <w:b/>
                <w:sz w:val="24"/>
              </w:rPr>
            </w:pPr>
            <w:r w:rsidRPr="00661595">
              <w:rPr>
                <w:rFonts w:ascii="Times New Roman" w:hAnsi="Times New Roman"/>
                <w:b/>
                <w:sz w:val="24"/>
              </w:rPr>
              <w:t>Columns</w:t>
            </w:r>
          </w:p>
        </w:tc>
        <w:tc>
          <w:tcPr>
            <w:tcW w:w="8131" w:type="dxa"/>
            <w:shd w:val="clear" w:color="auto" w:fill="CCCCCC"/>
          </w:tcPr>
          <w:p w:rsidR="004357B9" w:rsidRPr="00661595" w:rsidRDefault="004357B9" w:rsidP="004357B9">
            <w:pPr>
              <w:ind w:left="72"/>
              <w:rPr>
                <w:rFonts w:ascii="Times New Roman" w:hAnsi="Times New Roman"/>
                <w:sz w:val="24"/>
              </w:rPr>
            </w:pPr>
          </w:p>
        </w:tc>
      </w:tr>
      <w:tr w:rsidR="00154859" w:rsidRPr="00661595" w:rsidTr="00672D2A">
        <w:tc>
          <w:tcPr>
            <w:tcW w:w="1697" w:type="dxa"/>
          </w:tcPr>
          <w:p w:rsidR="00154859" w:rsidRPr="00661595" w:rsidRDefault="00154859" w:rsidP="004357B9">
            <w:pPr>
              <w:rPr>
                <w:rStyle w:val="InstructionsTabelleText"/>
                <w:rFonts w:ascii="Times New Roman" w:hAnsi="Times New Roman"/>
                <w:sz w:val="24"/>
              </w:rPr>
            </w:pPr>
            <w:r w:rsidRPr="00661595">
              <w:rPr>
                <w:rFonts w:ascii="Times New Roman" w:hAnsi="Times New Roman"/>
                <w:sz w:val="24"/>
              </w:rPr>
              <w:t>0</w:t>
            </w:r>
            <w:r w:rsidR="006E0E76" w:rsidRPr="00661595">
              <w:rPr>
                <w:rFonts w:ascii="Times New Roman" w:hAnsi="Times New Roman"/>
                <w:sz w:val="24"/>
              </w:rPr>
              <w:t>0</w:t>
            </w:r>
            <w:r w:rsidRPr="00661595">
              <w:rPr>
                <w:rFonts w:ascii="Times New Roman" w:hAnsi="Times New Roman"/>
                <w:sz w:val="24"/>
              </w:rPr>
              <w:t>10</w:t>
            </w:r>
          </w:p>
        </w:tc>
        <w:tc>
          <w:tcPr>
            <w:tcW w:w="8131" w:type="dxa"/>
          </w:tcPr>
          <w:p w:rsidR="00154859" w:rsidRPr="00661595" w:rsidRDefault="00154859" w:rsidP="00133107">
            <w:pPr>
              <w:rPr>
                <w:rFonts w:ascii="Times New Roman" w:hAnsi="Times New Roman"/>
                <w:b/>
                <w:bCs/>
                <w:sz w:val="24"/>
                <w:u w:val="single"/>
                <w:lang w:eastAsia="de-DE"/>
              </w:rPr>
            </w:pPr>
            <w:r w:rsidRPr="00661595">
              <w:rPr>
                <w:rFonts w:ascii="Times New Roman" w:hAnsi="Times New Roman"/>
                <w:b/>
                <w:bCs/>
                <w:sz w:val="24"/>
                <w:u w:val="single"/>
                <w:lang w:eastAsia="de-DE"/>
              </w:rPr>
              <w:t>Amount</w:t>
            </w:r>
          </w:p>
          <w:p w:rsidR="00154859" w:rsidRPr="00661595" w:rsidRDefault="006E3440" w:rsidP="00535A98">
            <w:pPr>
              <w:rPr>
                <w:rFonts w:ascii="Times New Roman" w:hAnsi="Times New Roman"/>
                <w:b/>
                <w:sz w:val="24"/>
                <w:u w:val="single"/>
              </w:rPr>
            </w:pPr>
            <w:r w:rsidRPr="00661595">
              <w:rPr>
                <w:rFonts w:ascii="Times New Roman" w:hAnsi="Times New Roman"/>
                <w:bCs/>
                <w:sz w:val="24"/>
                <w:lang w:eastAsia="de-DE"/>
              </w:rPr>
              <w:t>The v</w:t>
            </w:r>
            <w:r w:rsidR="00154859" w:rsidRPr="00661595">
              <w:rPr>
                <w:rFonts w:ascii="Times New Roman" w:hAnsi="Times New Roman"/>
                <w:bCs/>
                <w:sz w:val="24"/>
                <w:lang w:eastAsia="de-DE"/>
              </w:rPr>
              <w:t>alue of the relevant credit exposures and their associated own-fund</w:t>
            </w:r>
            <w:r w:rsidR="00FD457C" w:rsidRPr="00661595">
              <w:rPr>
                <w:rFonts w:ascii="Times New Roman" w:hAnsi="Times New Roman"/>
                <w:bCs/>
                <w:sz w:val="24"/>
                <w:lang w:eastAsia="de-DE"/>
              </w:rPr>
              <w:t>s</w:t>
            </w:r>
            <w:r w:rsidR="00154859" w:rsidRPr="00661595">
              <w:rPr>
                <w:rFonts w:ascii="Times New Roman" w:hAnsi="Times New Roman"/>
                <w:bCs/>
                <w:sz w:val="24"/>
                <w:lang w:eastAsia="de-DE"/>
              </w:rPr>
              <w:t xml:space="preserve"> requirements determined in accordance with the instructions for the </w:t>
            </w:r>
            <w:r w:rsidR="00535A98" w:rsidRPr="00661595">
              <w:rPr>
                <w:rFonts w:ascii="Times New Roman" w:hAnsi="Times New Roman"/>
                <w:bCs/>
                <w:sz w:val="24"/>
                <w:lang w:eastAsia="de-DE"/>
              </w:rPr>
              <w:t>respective</w:t>
            </w:r>
            <w:r w:rsidR="00154859" w:rsidRPr="00661595">
              <w:rPr>
                <w:rFonts w:ascii="Times New Roman" w:hAnsi="Times New Roman"/>
                <w:bCs/>
                <w:sz w:val="24"/>
                <w:lang w:eastAsia="de-DE"/>
              </w:rPr>
              <w:t xml:space="preserve"> row.</w:t>
            </w:r>
          </w:p>
        </w:tc>
      </w:tr>
      <w:tr w:rsidR="00154859" w:rsidRPr="00661595" w:rsidTr="00672D2A">
        <w:tc>
          <w:tcPr>
            <w:tcW w:w="1697" w:type="dxa"/>
          </w:tcPr>
          <w:p w:rsidR="00154859" w:rsidRPr="00661595" w:rsidRDefault="00154859" w:rsidP="004357B9">
            <w:pPr>
              <w:rPr>
                <w:sz w:val="24"/>
              </w:rPr>
            </w:pPr>
            <w:r w:rsidRPr="00661595">
              <w:rPr>
                <w:rFonts w:ascii="Times New Roman" w:hAnsi="Times New Roman"/>
                <w:sz w:val="24"/>
              </w:rPr>
              <w:t>0</w:t>
            </w:r>
            <w:r w:rsidR="006E0E76" w:rsidRPr="00661595">
              <w:rPr>
                <w:rFonts w:ascii="Times New Roman" w:hAnsi="Times New Roman"/>
                <w:sz w:val="24"/>
              </w:rPr>
              <w:t>0</w:t>
            </w:r>
            <w:r w:rsidRPr="00661595">
              <w:rPr>
                <w:rFonts w:ascii="Times New Roman" w:hAnsi="Times New Roman"/>
                <w:sz w:val="24"/>
              </w:rPr>
              <w:t>20</w:t>
            </w:r>
          </w:p>
        </w:tc>
        <w:tc>
          <w:tcPr>
            <w:tcW w:w="8131" w:type="dxa"/>
          </w:tcPr>
          <w:p w:rsidR="00154859" w:rsidRPr="00661595" w:rsidRDefault="00154859" w:rsidP="00133107">
            <w:pPr>
              <w:rPr>
                <w:rFonts w:ascii="Times New Roman" w:hAnsi="Times New Roman"/>
                <w:b/>
                <w:bCs/>
                <w:sz w:val="24"/>
                <w:u w:val="single"/>
                <w:lang w:eastAsia="de-DE"/>
              </w:rPr>
            </w:pPr>
            <w:r w:rsidRPr="00661595">
              <w:rPr>
                <w:rFonts w:ascii="Times New Roman" w:hAnsi="Times New Roman"/>
                <w:b/>
                <w:bCs/>
                <w:sz w:val="24"/>
                <w:u w:val="single"/>
                <w:lang w:eastAsia="de-DE"/>
              </w:rPr>
              <w:t>Percentage</w:t>
            </w:r>
          </w:p>
          <w:p w:rsidR="00154859" w:rsidRPr="00661595" w:rsidRDefault="00154859" w:rsidP="00133107">
            <w:pPr>
              <w:rPr>
                <w:rFonts w:ascii="Times New Roman" w:hAnsi="Times New Roman"/>
                <w:b/>
                <w:bCs/>
                <w:sz w:val="24"/>
                <w:u w:val="single"/>
                <w:lang w:eastAsia="de-DE"/>
              </w:rPr>
            </w:pPr>
          </w:p>
        </w:tc>
      </w:tr>
      <w:tr w:rsidR="00154859" w:rsidRPr="00661595" w:rsidTr="00672D2A">
        <w:tc>
          <w:tcPr>
            <w:tcW w:w="1697" w:type="dxa"/>
          </w:tcPr>
          <w:p w:rsidR="00154859" w:rsidRPr="00661595" w:rsidRDefault="00154859" w:rsidP="004357B9">
            <w:pPr>
              <w:rPr>
                <w:rFonts w:ascii="Times New Roman" w:hAnsi="Times New Roman"/>
                <w:sz w:val="24"/>
              </w:rPr>
            </w:pPr>
            <w:r w:rsidRPr="00661595">
              <w:rPr>
                <w:rFonts w:ascii="Times New Roman" w:hAnsi="Times New Roman"/>
                <w:sz w:val="24"/>
              </w:rPr>
              <w:t>0</w:t>
            </w:r>
            <w:r w:rsidR="006E0E76" w:rsidRPr="00661595">
              <w:rPr>
                <w:rFonts w:ascii="Times New Roman" w:hAnsi="Times New Roman"/>
                <w:sz w:val="24"/>
              </w:rPr>
              <w:t>0</w:t>
            </w:r>
            <w:r w:rsidRPr="00661595">
              <w:rPr>
                <w:rFonts w:ascii="Times New Roman" w:hAnsi="Times New Roman"/>
                <w:sz w:val="24"/>
              </w:rPr>
              <w:t>30</w:t>
            </w:r>
          </w:p>
        </w:tc>
        <w:tc>
          <w:tcPr>
            <w:tcW w:w="8131" w:type="dxa"/>
          </w:tcPr>
          <w:p w:rsidR="00154859" w:rsidRPr="00661595" w:rsidRDefault="00187348" w:rsidP="00133107">
            <w:pPr>
              <w:autoSpaceDE w:val="0"/>
              <w:autoSpaceDN w:val="0"/>
              <w:adjustRightInd w:val="0"/>
              <w:rPr>
                <w:rFonts w:ascii="Times New Roman" w:hAnsi="Times New Roman"/>
                <w:b/>
                <w:bCs/>
                <w:sz w:val="24"/>
                <w:u w:val="single"/>
                <w:lang w:eastAsia="de-DE"/>
              </w:rPr>
            </w:pPr>
            <w:r w:rsidRPr="00661595">
              <w:rPr>
                <w:rFonts w:ascii="Times New Roman" w:hAnsi="Times New Roman"/>
                <w:b/>
                <w:bCs/>
                <w:sz w:val="24"/>
                <w:u w:val="single"/>
                <w:lang w:eastAsia="de-DE"/>
              </w:rPr>
              <w:t>Qualitative Information</w:t>
            </w:r>
          </w:p>
          <w:p w:rsidR="00514783" w:rsidRPr="00661595" w:rsidRDefault="00CA270D" w:rsidP="00234E7D">
            <w:pPr>
              <w:autoSpaceDE w:val="0"/>
              <w:autoSpaceDN w:val="0"/>
              <w:adjustRightInd w:val="0"/>
              <w:rPr>
                <w:rFonts w:ascii="Times New Roman" w:hAnsi="Times New Roman"/>
                <w:sz w:val="24"/>
              </w:rPr>
            </w:pPr>
            <w:r w:rsidRPr="00661595">
              <w:rPr>
                <w:rFonts w:ascii="Times New Roman" w:hAnsi="Times New Roman"/>
                <w:sz w:val="24"/>
              </w:rPr>
              <w:t xml:space="preserve">This </w:t>
            </w:r>
            <w:r w:rsidR="006E3440" w:rsidRPr="00661595">
              <w:rPr>
                <w:rFonts w:ascii="Times New Roman" w:hAnsi="Times New Roman"/>
                <w:sz w:val="24"/>
              </w:rPr>
              <w:t>information</w:t>
            </w:r>
            <w:r w:rsidRPr="00661595">
              <w:rPr>
                <w:rFonts w:ascii="Times New Roman" w:hAnsi="Times New Roman"/>
                <w:sz w:val="24"/>
              </w:rPr>
              <w:t xml:space="preserve"> shall only be reported for the country of residence of the institution (the jurisdiction corresponding to its home Member State)</w:t>
            </w:r>
            <w:r w:rsidR="00FC0624" w:rsidRPr="00661595">
              <w:rPr>
                <w:rFonts w:ascii="Times New Roman" w:hAnsi="Times New Roman"/>
                <w:sz w:val="24"/>
              </w:rPr>
              <w:t xml:space="preserve"> and </w:t>
            </w:r>
            <w:r w:rsidR="00FD457C" w:rsidRPr="00661595">
              <w:rPr>
                <w:rFonts w:ascii="Times New Roman" w:hAnsi="Times New Roman"/>
                <w:sz w:val="24"/>
              </w:rPr>
              <w:t>the ‘</w:t>
            </w:r>
            <w:r w:rsidR="00FC0624" w:rsidRPr="00661595">
              <w:rPr>
                <w:rFonts w:ascii="Times New Roman" w:hAnsi="Times New Roman"/>
                <w:sz w:val="24"/>
              </w:rPr>
              <w:t>Total</w:t>
            </w:r>
            <w:r w:rsidR="00FD457C" w:rsidRPr="00661595">
              <w:rPr>
                <w:rFonts w:ascii="Times New Roman" w:hAnsi="Times New Roman"/>
                <w:sz w:val="24"/>
              </w:rPr>
              <w:t>’ of all countries</w:t>
            </w:r>
            <w:r w:rsidRPr="00661595">
              <w:rPr>
                <w:rFonts w:ascii="Times New Roman" w:hAnsi="Times New Roman"/>
                <w:sz w:val="24"/>
              </w:rPr>
              <w:t>.</w:t>
            </w:r>
            <w:r w:rsidR="00514783" w:rsidRPr="00661595">
              <w:rPr>
                <w:rFonts w:ascii="Times New Roman" w:hAnsi="Times New Roman"/>
                <w:sz w:val="24"/>
              </w:rPr>
              <w:t xml:space="preserve"> </w:t>
            </w:r>
          </w:p>
          <w:p w:rsidR="00EF3F40" w:rsidRPr="00661595" w:rsidRDefault="00514783" w:rsidP="00514783">
            <w:pPr>
              <w:autoSpaceDE w:val="0"/>
              <w:autoSpaceDN w:val="0"/>
              <w:adjustRightInd w:val="0"/>
              <w:rPr>
                <w:rFonts w:ascii="Times New Roman" w:hAnsi="Times New Roman"/>
                <w:b/>
                <w:bCs/>
                <w:sz w:val="24"/>
                <w:u w:val="single"/>
                <w:lang w:eastAsia="de-DE"/>
              </w:rPr>
            </w:pPr>
            <w:r w:rsidRPr="00661595">
              <w:rPr>
                <w:rFonts w:ascii="Times New Roman" w:hAnsi="Times New Roman"/>
                <w:sz w:val="24"/>
              </w:rPr>
              <w:t>Institutions shall report either {y} or {n} in accordance with the instructions for the relevant row.</w:t>
            </w:r>
          </w:p>
        </w:tc>
      </w:tr>
    </w:tbl>
    <w:p w:rsidR="00464F34" w:rsidRPr="00661595" w:rsidRDefault="00464F34" w:rsidP="00487A02">
      <w:pPr>
        <w:pStyle w:val="InstructionsText"/>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7"/>
        <w:gridCol w:w="8131"/>
      </w:tblGrid>
      <w:tr w:rsidR="00BD5485" w:rsidRPr="00661595" w:rsidTr="00672D2A">
        <w:tc>
          <w:tcPr>
            <w:tcW w:w="1697" w:type="dxa"/>
            <w:shd w:val="clear" w:color="auto" w:fill="CCCCCC"/>
          </w:tcPr>
          <w:p w:rsidR="00BD5485" w:rsidRPr="00661595" w:rsidRDefault="00BD5485" w:rsidP="00133107">
            <w:pPr>
              <w:rPr>
                <w:rFonts w:ascii="Times New Roman" w:hAnsi="Times New Roman"/>
                <w:b/>
                <w:sz w:val="24"/>
              </w:rPr>
            </w:pPr>
            <w:r w:rsidRPr="00661595">
              <w:rPr>
                <w:rFonts w:ascii="Times New Roman" w:hAnsi="Times New Roman"/>
                <w:b/>
                <w:sz w:val="24"/>
              </w:rPr>
              <w:t>Rows</w:t>
            </w:r>
          </w:p>
        </w:tc>
        <w:tc>
          <w:tcPr>
            <w:tcW w:w="8131" w:type="dxa"/>
            <w:shd w:val="clear" w:color="auto" w:fill="CCCCCC"/>
          </w:tcPr>
          <w:p w:rsidR="00BD5485" w:rsidRPr="00661595" w:rsidRDefault="00BD5485" w:rsidP="00133107">
            <w:pPr>
              <w:ind w:left="72"/>
              <w:rPr>
                <w:rFonts w:ascii="Times New Roman" w:hAnsi="Times New Roman"/>
                <w:sz w:val="24"/>
              </w:rPr>
            </w:pPr>
          </w:p>
        </w:tc>
      </w:tr>
      <w:tr w:rsidR="00BD5485" w:rsidRPr="00661595" w:rsidTr="00672D2A">
        <w:tc>
          <w:tcPr>
            <w:tcW w:w="1697" w:type="dxa"/>
          </w:tcPr>
          <w:p w:rsidR="00BD5485" w:rsidRPr="00661595" w:rsidRDefault="00BD5485" w:rsidP="00133107">
            <w:pPr>
              <w:rPr>
                <w:rStyle w:val="InstructionsTabelleText"/>
                <w:rFonts w:ascii="Times New Roman" w:hAnsi="Times New Roman"/>
                <w:sz w:val="24"/>
              </w:rPr>
            </w:pPr>
            <w:r w:rsidRPr="00661595">
              <w:rPr>
                <w:rFonts w:ascii="Times New Roman" w:hAnsi="Times New Roman"/>
                <w:sz w:val="24"/>
              </w:rPr>
              <w:t>0</w:t>
            </w:r>
            <w:r w:rsidR="006E0E76" w:rsidRPr="00661595">
              <w:rPr>
                <w:rFonts w:ascii="Times New Roman" w:hAnsi="Times New Roman"/>
                <w:sz w:val="24"/>
              </w:rPr>
              <w:t>0</w:t>
            </w:r>
            <w:r w:rsidRPr="00661595">
              <w:rPr>
                <w:rFonts w:ascii="Times New Roman" w:hAnsi="Times New Roman"/>
                <w:sz w:val="24"/>
              </w:rPr>
              <w:t>10-0</w:t>
            </w:r>
            <w:r w:rsidR="006E0E76" w:rsidRPr="00661595">
              <w:rPr>
                <w:rFonts w:ascii="Times New Roman" w:hAnsi="Times New Roman"/>
                <w:sz w:val="24"/>
              </w:rPr>
              <w:t>0</w:t>
            </w:r>
            <w:r w:rsidRPr="00661595">
              <w:rPr>
                <w:rFonts w:ascii="Times New Roman" w:hAnsi="Times New Roman"/>
                <w:sz w:val="24"/>
              </w:rPr>
              <w:t>20</w:t>
            </w:r>
          </w:p>
        </w:tc>
        <w:tc>
          <w:tcPr>
            <w:tcW w:w="8131" w:type="dxa"/>
          </w:tcPr>
          <w:p w:rsidR="00BD5485" w:rsidRPr="00661595" w:rsidRDefault="00BD5485" w:rsidP="00BD5485">
            <w:pPr>
              <w:rPr>
                <w:rFonts w:ascii="Times New Roman" w:hAnsi="Times New Roman"/>
                <w:b/>
                <w:bCs/>
                <w:sz w:val="24"/>
                <w:u w:val="single"/>
                <w:lang w:eastAsia="de-DE"/>
              </w:rPr>
            </w:pPr>
            <w:r w:rsidRPr="00661595">
              <w:rPr>
                <w:rFonts w:ascii="Times New Roman" w:hAnsi="Times New Roman"/>
                <w:b/>
                <w:bCs/>
                <w:sz w:val="24"/>
                <w:u w:val="single"/>
                <w:lang w:eastAsia="de-DE"/>
              </w:rPr>
              <w:t>Relevant credit exposures – Credit risk</w:t>
            </w:r>
          </w:p>
          <w:p w:rsidR="00BD5485" w:rsidRPr="00661595" w:rsidRDefault="00BD5485" w:rsidP="00A37A04">
            <w:pPr>
              <w:rPr>
                <w:rFonts w:ascii="Times New Roman" w:hAnsi="Times New Roman"/>
                <w:b/>
                <w:sz w:val="24"/>
                <w:u w:val="single"/>
              </w:rPr>
            </w:pPr>
            <w:r w:rsidRPr="00661595">
              <w:rPr>
                <w:rFonts w:ascii="Times New Roman" w:hAnsi="Times New Roman"/>
                <w:sz w:val="24"/>
              </w:rPr>
              <w:t xml:space="preserve">Relevant credit exposures </w:t>
            </w:r>
            <w:r w:rsidR="00A37A04" w:rsidRPr="00661595">
              <w:rPr>
                <w:rFonts w:ascii="Times New Roman" w:hAnsi="Times New Roman"/>
                <w:sz w:val="24"/>
              </w:rPr>
              <w:t xml:space="preserve">as referred to in </w:t>
            </w:r>
            <w:r w:rsidR="002B004B" w:rsidRPr="00661595">
              <w:rPr>
                <w:rFonts w:ascii="Times New Roman" w:hAnsi="Times New Roman"/>
                <w:sz w:val="24"/>
              </w:rPr>
              <w:t xml:space="preserve">point (a) of </w:t>
            </w:r>
            <w:r w:rsidRPr="00661595">
              <w:rPr>
                <w:rFonts w:ascii="Times New Roman" w:hAnsi="Times New Roman"/>
                <w:sz w:val="24"/>
              </w:rPr>
              <w:t>Article 140(4) CRD.</w:t>
            </w:r>
          </w:p>
        </w:tc>
      </w:tr>
      <w:tr w:rsidR="00BD5485" w:rsidRPr="00661595" w:rsidTr="00672D2A">
        <w:tc>
          <w:tcPr>
            <w:tcW w:w="1697" w:type="dxa"/>
          </w:tcPr>
          <w:p w:rsidR="00BD5485" w:rsidRPr="00661595" w:rsidRDefault="00BD5485" w:rsidP="00133107">
            <w:pPr>
              <w:rPr>
                <w:sz w:val="24"/>
              </w:rPr>
            </w:pPr>
            <w:r w:rsidRPr="00661595">
              <w:rPr>
                <w:rFonts w:ascii="Times New Roman" w:hAnsi="Times New Roman"/>
                <w:sz w:val="24"/>
              </w:rPr>
              <w:t>0</w:t>
            </w:r>
            <w:r w:rsidR="006E0E76" w:rsidRPr="00661595">
              <w:rPr>
                <w:rFonts w:ascii="Times New Roman" w:hAnsi="Times New Roman"/>
                <w:sz w:val="24"/>
              </w:rPr>
              <w:t>0</w:t>
            </w:r>
            <w:r w:rsidRPr="00661595">
              <w:rPr>
                <w:rFonts w:ascii="Times New Roman" w:hAnsi="Times New Roman"/>
                <w:sz w:val="24"/>
              </w:rPr>
              <w:t>10</w:t>
            </w:r>
          </w:p>
        </w:tc>
        <w:tc>
          <w:tcPr>
            <w:tcW w:w="8131" w:type="dxa"/>
          </w:tcPr>
          <w:p w:rsidR="00BD5485" w:rsidRPr="00661595" w:rsidRDefault="00BD5485" w:rsidP="00BD5485">
            <w:pPr>
              <w:rPr>
                <w:rFonts w:ascii="Times New Roman" w:hAnsi="Times New Roman"/>
                <w:b/>
                <w:bCs/>
                <w:sz w:val="24"/>
                <w:u w:val="single"/>
                <w:lang w:eastAsia="de-DE"/>
              </w:rPr>
            </w:pPr>
            <w:r w:rsidRPr="00661595">
              <w:rPr>
                <w:rFonts w:ascii="Times New Roman" w:hAnsi="Times New Roman"/>
                <w:b/>
                <w:bCs/>
                <w:sz w:val="24"/>
                <w:u w:val="single"/>
                <w:lang w:eastAsia="de-DE"/>
              </w:rPr>
              <w:t xml:space="preserve">Exposure value under the Standardised </w:t>
            </w:r>
            <w:r w:rsidR="009A4399" w:rsidRPr="00661595">
              <w:rPr>
                <w:rFonts w:ascii="Times New Roman" w:hAnsi="Times New Roman"/>
                <w:b/>
                <w:bCs/>
                <w:sz w:val="24"/>
                <w:u w:val="single"/>
                <w:lang w:eastAsia="de-DE"/>
              </w:rPr>
              <w:t>approach</w:t>
            </w:r>
          </w:p>
          <w:p w:rsidR="00BD5485" w:rsidRPr="00661595" w:rsidRDefault="00BD5485" w:rsidP="00BD5485">
            <w:pPr>
              <w:autoSpaceDE w:val="0"/>
              <w:autoSpaceDN w:val="0"/>
              <w:adjustRightInd w:val="0"/>
              <w:rPr>
                <w:rFonts w:ascii="Times New Roman" w:hAnsi="Times New Roman"/>
                <w:sz w:val="24"/>
              </w:rPr>
            </w:pPr>
            <w:r w:rsidRPr="00661595">
              <w:rPr>
                <w:rFonts w:ascii="Times New Roman" w:hAnsi="Times New Roman"/>
                <w:sz w:val="24"/>
              </w:rPr>
              <w:t xml:space="preserve">Exposure value </w:t>
            </w:r>
            <w:r w:rsidR="00A37A04" w:rsidRPr="00661595">
              <w:rPr>
                <w:rFonts w:ascii="Times New Roman" w:hAnsi="Times New Roman"/>
                <w:sz w:val="24"/>
              </w:rPr>
              <w:t>calculated</w:t>
            </w:r>
            <w:r w:rsidRPr="00661595">
              <w:rPr>
                <w:rFonts w:ascii="Times New Roman" w:hAnsi="Times New Roman"/>
                <w:sz w:val="24"/>
              </w:rPr>
              <w:t xml:space="preserve"> in accordance with Article 111 CRR for relevant credit exposures </w:t>
            </w:r>
            <w:r w:rsidR="00A37A04" w:rsidRPr="00661595">
              <w:rPr>
                <w:rFonts w:ascii="Times New Roman" w:hAnsi="Times New Roman"/>
                <w:sz w:val="24"/>
              </w:rPr>
              <w:t>as referred to in</w:t>
            </w:r>
            <w:r w:rsidRPr="00661595">
              <w:rPr>
                <w:rFonts w:ascii="Times New Roman" w:hAnsi="Times New Roman"/>
                <w:sz w:val="24"/>
              </w:rPr>
              <w:t xml:space="preserve"> </w:t>
            </w:r>
            <w:r w:rsidR="002B004B" w:rsidRPr="00661595">
              <w:rPr>
                <w:rFonts w:ascii="Times New Roman" w:hAnsi="Times New Roman"/>
                <w:sz w:val="24"/>
              </w:rPr>
              <w:t xml:space="preserve">point (a) of </w:t>
            </w:r>
            <w:r w:rsidRPr="00661595">
              <w:rPr>
                <w:rFonts w:ascii="Times New Roman" w:hAnsi="Times New Roman"/>
                <w:sz w:val="24"/>
              </w:rPr>
              <w:t xml:space="preserve">Article 140(4) CRD. </w:t>
            </w:r>
          </w:p>
          <w:p w:rsidR="00BD5485" w:rsidRPr="00661595" w:rsidRDefault="00BD5485" w:rsidP="00B85F75">
            <w:pPr>
              <w:autoSpaceDE w:val="0"/>
              <w:autoSpaceDN w:val="0"/>
              <w:adjustRightInd w:val="0"/>
              <w:rPr>
                <w:rFonts w:ascii="Times New Roman" w:hAnsi="Times New Roman"/>
                <w:b/>
                <w:bCs/>
                <w:sz w:val="24"/>
                <w:u w:val="single"/>
                <w:lang w:eastAsia="de-DE"/>
              </w:rPr>
            </w:pPr>
            <w:r w:rsidRPr="00661595">
              <w:rPr>
                <w:rFonts w:ascii="Times New Roman" w:hAnsi="Times New Roman"/>
                <w:sz w:val="24"/>
              </w:rPr>
              <w:t xml:space="preserve">The exposure value of securitisation positions in the banking book shall be excluded from this row and reported in row </w:t>
            </w:r>
            <w:r w:rsidR="00B85F75" w:rsidRPr="00661595">
              <w:rPr>
                <w:rFonts w:ascii="Times New Roman" w:hAnsi="Times New Roman"/>
                <w:sz w:val="24"/>
              </w:rPr>
              <w:t>0</w:t>
            </w:r>
            <w:r w:rsidR="006E0E76" w:rsidRPr="00661595">
              <w:rPr>
                <w:rFonts w:ascii="Times New Roman" w:hAnsi="Times New Roman"/>
                <w:sz w:val="24"/>
              </w:rPr>
              <w:t>0</w:t>
            </w:r>
            <w:r w:rsidR="00B85F75" w:rsidRPr="00661595">
              <w:rPr>
                <w:rFonts w:ascii="Times New Roman" w:hAnsi="Times New Roman"/>
                <w:sz w:val="24"/>
              </w:rPr>
              <w:t>55</w:t>
            </w:r>
            <w:r w:rsidRPr="00661595">
              <w:rPr>
                <w:rFonts w:ascii="Times New Roman" w:hAnsi="Times New Roman"/>
                <w:sz w:val="24"/>
              </w:rPr>
              <w:t>.</w:t>
            </w:r>
          </w:p>
        </w:tc>
      </w:tr>
      <w:tr w:rsidR="00BD5485" w:rsidRPr="00661595" w:rsidTr="00672D2A">
        <w:tc>
          <w:tcPr>
            <w:tcW w:w="1697" w:type="dxa"/>
          </w:tcPr>
          <w:p w:rsidR="00BD5485" w:rsidRPr="00661595" w:rsidRDefault="00BD5485" w:rsidP="00133107">
            <w:pPr>
              <w:rPr>
                <w:rFonts w:ascii="Times New Roman" w:hAnsi="Times New Roman"/>
                <w:sz w:val="24"/>
              </w:rPr>
            </w:pPr>
            <w:r w:rsidRPr="00661595">
              <w:rPr>
                <w:rFonts w:ascii="Times New Roman" w:hAnsi="Times New Roman"/>
                <w:sz w:val="24"/>
              </w:rPr>
              <w:t>0</w:t>
            </w:r>
            <w:r w:rsidR="006E0E76" w:rsidRPr="00661595">
              <w:rPr>
                <w:rFonts w:ascii="Times New Roman" w:hAnsi="Times New Roman"/>
                <w:sz w:val="24"/>
              </w:rPr>
              <w:t>0</w:t>
            </w:r>
            <w:r w:rsidRPr="00661595">
              <w:rPr>
                <w:rFonts w:ascii="Times New Roman" w:hAnsi="Times New Roman"/>
                <w:sz w:val="24"/>
              </w:rPr>
              <w:t>20</w:t>
            </w:r>
          </w:p>
        </w:tc>
        <w:tc>
          <w:tcPr>
            <w:tcW w:w="8131" w:type="dxa"/>
          </w:tcPr>
          <w:p w:rsidR="00BD5485" w:rsidRPr="00661595" w:rsidRDefault="00BD5485" w:rsidP="00BD5485">
            <w:pPr>
              <w:rPr>
                <w:rFonts w:ascii="Times New Roman" w:hAnsi="Times New Roman"/>
                <w:b/>
                <w:bCs/>
                <w:sz w:val="24"/>
                <w:u w:val="single"/>
                <w:lang w:eastAsia="de-DE"/>
              </w:rPr>
            </w:pPr>
            <w:r w:rsidRPr="00661595">
              <w:rPr>
                <w:rFonts w:ascii="Times New Roman" w:hAnsi="Times New Roman"/>
                <w:b/>
                <w:bCs/>
                <w:sz w:val="24"/>
                <w:u w:val="single"/>
                <w:lang w:eastAsia="de-DE"/>
              </w:rPr>
              <w:t xml:space="preserve">Exposure value under the IRB </w:t>
            </w:r>
            <w:r w:rsidR="009A4399" w:rsidRPr="00661595">
              <w:rPr>
                <w:rFonts w:ascii="Times New Roman" w:hAnsi="Times New Roman"/>
                <w:b/>
                <w:bCs/>
                <w:sz w:val="24"/>
                <w:u w:val="single"/>
                <w:lang w:eastAsia="de-DE"/>
              </w:rPr>
              <w:t>approach</w:t>
            </w:r>
          </w:p>
          <w:p w:rsidR="00BD5485" w:rsidRPr="00661595" w:rsidRDefault="00BD5485" w:rsidP="00BD5485">
            <w:pPr>
              <w:autoSpaceDE w:val="0"/>
              <w:autoSpaceDN w:val="0"/>
              <w:adjustRightInd w:val="0"/>
              <w:rPr>
                <w:rFonts w:ascii="Times New Roman" w:hAnsi="Times New Roman"/>
                <w:sz w:val="24"/>
              </w:rPr>
            </w:pPr>
            <w:r w:rsidRPr="00661595">
              <w:rPr>
                <w:rFonts w:ascii="Times New Roman" w:hAnsi="Times New Roman"/>
                <w:sz w:val="24"/>
              </w:rPr>
              <w:t xml:space="preserve">Exposure value </w:t>
            </w:r>
            <w:r w:rsidR="00A37A04" w:rsidRPr="00661595">
              <w:rPr>
                <w:rFonts w:ascii="Times New Roman" w:hAnsi="Times New Roman"/>
                <w:sz w:val="24"/>
              </w:rPr>
              <w:t>calculated</w:t>
            </w:r>
            <w:r w:rsidRPr="00661595">
              <w:rPr>
                <w:rFonts w:ascii="Times New Roman" w:hAnsi="Times New Roman"/>
                <w:sz w:val="24"/>
              </w:rPr>
              <w:t xml:space="preserve"> in accordance with Article 166 CRR for relevant credit exposures </w:t>
            </w:r>
            <w:r w:rsidR="00A37A04" w:rsidRPr="00661595">
              <w:rPr>
                <w:rFonts w:ascii="Times New Roman" w:hAnsi="Times New Roman"/>
                <w:sz w:val="24"/>
              </w:rPr>
              <w:t xml:space="preserve">as referred to in </w:t>
            </w:r>
            <w:r w:rsidR="002B004B" w:rsidRPr="00661595">
              <w:rPr>
                <w:rFonts w:ascii="Times New Roman" w:hAnsi="Times New Roman"/>
                <w:sz w:val="24"/>
              </w:rPr>
              <w:t xml:space="preserve">point (a) of </w:t>
            </w:r>
            <w:r w:rsidRPr="00661595">
              <w:rPr>
                <w:rFonts w:ascii="Times New Roman" w:hAnsi="Times New Roman"/>
                <w:sz w:val="24"/>
              </w:rPr>
              <w:t xml:space="preserve">Article 140(4) CRD. </w:t>
            </w:r>
          </w:p>
          <w:p w:rsidR="00BD5485" w:rsidRPr="00661595" w:rsidRDefault="00BD5485" w:rsidP="00B85F75">
            <w:pPr>
              <w:rPr>
                <w:rFonts w:ascii="Times New Roman" w:hAnsi="Times New Roman"/>
                <w:b/>
                <w:bCs/>
                <w:sz w:val="24"/>
                <w:u w:val="single"/>
                <w:lang w:eastAsia="de-DE"/>
              </w:rPr>
            </w:pPr>
            <w:r w:rsidRPr="00661595">
              <w:rPr>
                <w:rFonts w:ascii="Times New Roman" w:hAnsi="Times New Roman"/>
                <w:sz w:val="24"/>
              </w:rPr>
              <w:t xml:space="preserve">The exposure value of securitisation positions in the banking book shall be excluded from this row and reported in row </w:t>
            </w:r>
            <w:r w:rsidR="006C2F61" w:rsidRPr="00661595">
              <w:rPr>
                <w:rFonts w:ascii="Times New Roman" w:hAnsi="Times New Roman"/>
                <w:sz w:val="24"/>
              </w:rPr>
              <w:t>0</w:t>
            </w:r>
            <w:r w:rsidR="006E0E76" w:rsidRPr="00661595">
              <w:rPr>
                <w:rFonts w:ascii="Times New Roman" w:hAnsi="Times New Roman"/>
                <w:sz w:val="24"/>
              </w:rPr>
              <w:t>0</w:t>
            </w:r>
            <w:r w:rsidR="006C2F61" w:rsidRPr="00661595">
              <w:rPr>
                <w:rFonts w:ascii="Times New Roman" w:hAnsi="Times New Roman"/>
                <w:sz w:val="24"/>
              </w:rPr>
              <w:t>5</w:t>
            </w:r>
            <w:r w:rsidR="00B85F75" w:rsidRPr="00661595">
              <w:rPr>
                <w:rFonts w:ascii="Times New Roman" w:hAnsi="Times New Roman"/>
                <w:sz w:val="24"/>
              </w:rPr>
              <w:t>5.</w:t>
            </w:r>
          </w:p>
        </w:tc>
      </w:tr>
      <w:tr w:rsidR="00BD5485" w:rsidRPr="00661595" w:rsidTr="00672D2A">
        <w:tc>
          <w:tcPr>
            <w:tcW w:w="1697" w:type="dxa"/>
          </w:tcPr>
          <w:p w:rsidR="00BD5485" w:rsidRPr="00661595" w:rsidRDefault="00BD5485" w:rsidP="00133107">
            <w:pPr>
              <w:rPr>
                <w:rFonts w:ascii="Times New Roman" w:hAnsi="Times New Roman"/>
                <w:sz w:val="24"/>
              </w:rPr>
            </w:pPr>
            <w:r w:rsidRPr="00661595">
              <w:rPr>
                <w:rFonts w:ascii="Times New Roman" w:hAnsi="Times New Roman"/>
                <w:sz w:val="24"/>
              </w:rPr>
              <w:t>0</w:t>
            </w:r>
            <w:r w:rsidR="006E0E76" w:rsidRPr="00661595">
              <w:rPr>
                <w:rFonts w:ascii="Times New Roman" w:hAnsi="Times New Roman"/>
                <w:sz w:val="24"/>
              </w:rPr>
              <w:t>0</w:t>
            </w:r>
            <w:r w:rsidRPr="00661595">
              <w:rPr>
                <w:rFonts w:ascii="Times New Roman" w:hAnsi="Times New Roman"/>
                <w:sz w:val="24"/>
              </w:rPr>
              <w:t>30-0</w:t>
            </w:r>
            <w:r w:rsidR="006E0E76" w:rsidRPr="00661595">
              <w:rPr>
                <w:rFonts w:ascii="Times New Roman" w:hAnsi="Times New Roman"/>
                <w:sz w:val="24"/>
              </w:rPr>
              <w:t>0</w:t>
            </w:r>
            <w:r w:rsidRPr="00661595">
              <w:rPr>
                <w:rFonts w:ascii="Times New Roman" w:hAnsi="Times New Roman"/>
                <w:sz w:val="24"/>
              </w:rPr>
              <w:t>40</w:t>
            </w:r>
          </w:p>
        </w:tc>
        <w:tc>
          <w:tcPr>
            <w:tcW w:w="8131" w:type="dxa"/>
          </w:tcPr>
          <w:p w:rsidR="00BD5485" w:rsidRPr="00661595" w:rsidRDefault="00BD5485" w:rsidP="00BD5485">
            <w:pPr>
              <w:rPr>
                <w:rFonts w:ascii="Times New Roman" w:hAnsi="Times New Roman"/>
                <w:b/>
                <w:bCs/>
                <w:sz w:val="24"/>
                <w:u w:val="single"/>
                <w:lang w:eastAsia="de-DE"/>
              </w:rPr>
            </w:pPr>
            <w:r w:rsidRPr="00661595">
              <w:rPr>
                <w:rFonts w:ascii="Times New Roman" w:hAnsi="Times New Roman"/>
                <w:b/>
                <w:bCs/>
                <w:sz w:val="24"/>
                <w:u w:val="single"/>
                <w:lang w:eastAsia="de-DE"/>
              </w:rPr>
              <w:t>Relevant credit exposures – Market risk</w:t>
            </w:r>
          </w:p>
          <w:p w:rsidR="00BD5485" w:rsidRPr="00661595" w:rsidRDefault="00BD5485" w:rsidP="00A37A04">
            <w:pPr>
              <w:rPr>
                <w:rFonts w:ascii="Times New Roman" w:hAnsi="Times New Roman"/>
                <w:b/>
                <w:bCs/>
                <w:sz w:val="24"/>
                <w:u w:val="single"/>
                <w:lang w:eastAsia="de-DE"/>
              </w:rPr>
            </w:pPr>
            <w:r w:rsidRPr="00661595">
              <w:rPr>
                <w:rFonts w:ascii="Times New Roman" w:hAnsi="Times New Roman"/>
                <w:sz w:val="24"/>
              </w:rPr>
              <w:t xml:space="preserve">Relevant credit exposures </w:t>
            </w:r>
            <w:r w:rsidR="00A37A04" w:rsidRPr="00661595">
              <w:rPr>
                <w:rFonts w:ascii="Times New Roman" w:hAnsi="Times New Roman"/>
                <w:sz w:val="24"/>
              </w:rPr>
              <w:t>as referred to in</w:t>
            </w:r>
            <w:r w:rsidRPr="00661595">
              <w:rPr>
                <w:rFonts w:ascii="Times New Roman" w:hAnsi="Times New Roman"/>
                <w:sz w:val="24"/>
              </w:rPr>
              <w:t xml:space="preserve"> </w:t>
            </w:r>
            <w:r w:rsidR="002B004B" w:rsidRPr="00661595">
              <w:rPr>
                <w:rFonts w:ascii="Times New Roman" w:hAnsi="Times New Roman"/>
                <w:sz w:val="24"/>
              </w:rPr>
              <w:t xml:space="preserve">point (b) of </w:t>
            </w:r>
            <w:r w:rsidRPr="00661595">
              <w:rPr>
                <w:rFonts w:ascii="Times New Roman" w:hAnsi="Times New Roman"/>
                <w:sz w:val="24"/>
              </w:rPr>
              <w:t>Article 140(4) CRD.</w:t>
            </w:r>
          </w:p>
        </w:tc>
      </w:tr>
      <w:tr w:rsidR="00BD5485" w:rsidRPr="00661595" w:rsidTr="00672D2A">
        <w:tc>
          <w:tcPr>
            <w:tcW w:w="1697" w:type="dxa"/>
          </w:tcPr>
          <w:p w:rsidR="00BD5485" w:rsidRPr="00661595" w:rsidRDefault="00BD5485" w:rsidP="00133107">
            <w:pPr>
              <w:rPr>
                <w:rFonts w:ascii="Times New Roman" w:hAnsi="Times New Roman"/>
                <w:sz w:val="24"/>
              </w:rPr>
            </w:pPr>
            <w:r w:rsidRPr="00661595">
              <w:rPr>
                <w:rFonts w:ascii="Times New Roman" w:hAnsi="Times New Roman"/>
                <w:sz w:val="24"/>
              </w:rPr>
              <w:t>0</w:t>
            </w:r>
            <w:r w:rsidR="006E0E76" w:rsidRPr="00661595">
              <w:rPr>
                <w:rFonts w:ascii="Times New Roman" w:hAnsi="Times New Roman"/>
                <w:sz w:val="24"/>
              </w:rPr>
              <w:t>0</w:t>
            </w:r>
            <w:r w:rsidRPr="00661595">
              <w:rPr>
                <w:rFonts w:ascii="Times New Roman" w:hAnsi="Times New Roman"/>
                <w:sz w:val="24"/>
              </w:rPr>
              <w:t>30</w:t>
            </w:r>
          </w:p>
        </w:tc>
        <w:tc>
          <w:tcPr>
            <w:tcW w:w="8131" w:type="dxa"/>
          </w:tcPr>
          <w:p w:rsidR="00BD5485" w:rsidRPr="00661595" w:rsidRDefault="00BD5485" w:rsidP="00BD5485">
            <w:pPr>
              <w:rPr>
                <w:rFonts w:ascii="Times New Roman" w:hAnsi="Times New Roman"/>
                <w:b/>
                <w:bCs/>
                <w:sz w:val="24"/>
                <w:u w:val="single"/>
                <w:lang w:eastAsia="de-DE"/>
              </w:rPr>
            </w:pPr>
            <w:r w:rsidRPr="00661595">
              <w:rPr>
                <w:rFonts w:ascii="Times New Roman" w:hAnsi="Times New Roman"/>
                <w:b/>
                <w:bCs/>
                <w:sz w:val="24"/>
                <w:u w:val="single"/>
                <w:lang w:eastAsia="de-DE"/>
              </w:rPr>
              <w:t xml:space="preserve">Sum of long and short positions of trading book exposures for </w:t>
            </w:r>
            <w:r w:rsidR="00CA21CA" w:rsidRPr="00661595">
              <w:rPr>
                <w:rFonts w:ascii="Times New Roman" w:hAnsi="Times New Roman"/>
                <w:b/>
                <w:bCs/>
                <w:sz w:val="24"/>
                <w:u w:val="single"/>
                <w:lang w:eastAsia="de-DE"/>
              </w:rPr>
              <w:t xml:space="preserve">Standardised </w:t>
            </w:r>
            <w:r w:rsidR="009A4399" w:rsidRPr="00661595">
              <w:rPr>
                <w:rFonts w:ascii="Times New Roman" w:hAnsi="Times New Roman"/>
                <w:b/>
                <w:bCs/>
                <w:sz w:val="24"/>
                <w:u w:val="single"/>
                <w:lang w:eastAsia="de-DE"/>
              </w:rPr>
              <w:t>approach</w:t>
            </w:r>
          </w:p>
          <w:p w:rsidR="00BD5485" w:rsidRPr="00661595" w:rsidRDefault="00BD5485" w:rsidP="00BD5485">
            <w:pPr>
              <w:autoSpaceDE w:val="0"/>
              <w:autoSpaceDN w:val="0"/>
              <w:adjustRightInd w:val="0"/>
              <w:rPr>
                <w:rFonts w:ascii="Times New Roman" w:hAnsi="Times New Roman"/>
                <w:sz w:val="24"/>
              </w:rPr>
            </w:pPr>
            <w:r w:rsidRPr="00661595">
              <w:rPr>
                <w:rFonts w:ascii="Times New Roman" w:hAnsi="Times New Roman"/>
                <w:sz w:val="24"/>
              </w:rPr>
              <w:t xml:space="preserve">Sum of net long and net short positions </w:t>
            </w:r>
            <w:r w:rsidR="00BB22D4" w:rsidRPr="00661595">
              <w:rPr>
                <w:rFonts w:ascii="Times New Roman" w:hAnsi="Times New Roman"/>
                <w:sz w:val="24"/>
              </w:rPr>
              <w:t>in accordance with</w:t>
            </w:r>
            <w:r w:rsidR="00E2447E" w:rsidRPr="00661595">
              <w:rPr>
                <w:rFonts w:ascii="Times New Roman" w:hAnsi="Times New Roman"/>
                <w:sz w:val="24"/>
              </w:rPr>
              <w:t xml:space="preserve"> Art</w:t>
            </w:r>
            <w:r w:rsidR="00417984" w:rsidRPr="00661595">
              <w:rPr>
                <w:rFonts w:ascii="Times New Roman" w:hAnsi="Times New Roman"/>
                <w:sz w:val="24"/>
              </w:rPr>
              <w:t>icle</w:t>
            </w:r>
            <w:r w:rsidR="00E2447E" w:rsidRPr="00661595">
              <w:rPr>
                <w:rFonts w:ascii="Times New Roman" w:hAnsi="Times New Roman"/>
                <w:sz w:val="24"/>
              </w:rPr>
              <w:t xml:space="preserve"> 327 CRR </w:t>
            </w:r>
            <w:r w:rsidRPr="00661595">
              <w:rPr>
                <w:rFonts w:ascii="Times New Roman" w:hAnsi="Times New Roman"/>
                <w:sz w:val="24"/>
              </w:rPr>
              <w:t xml:space="preserve">of relevant credit exposures </w:t>
            </w:r>
            <w:r w:rsidR="00A37A04" w:rsidRPr="00661595">
              <w:rPr>
                <w:rFonts w:ascii="Times New Roman" w:hAnsi="Times New Roman"/>
                <w:sz w:val="24"/>
              </w:rPr>
              <w:t xml:space="preserve">as referred to in </w:t>
            </w:r>
            <w:r w:rsidR="002B004B" w:rsidRPr="00661595">
              <w:rPr>
                <w:rFonts w:ascii="Times New Roman" w:hAnsi="Times New Roman"/>
                <w:sz w:val="24"/>
              </w:rPr>
              <w:t xml:space="preserve">point (b) of </w:t>
            </w:r>
            <w:r w:rsidRPr="00661595">
              <w:rPr>
                <w:rFonts w:ascii="Times New Roman" w:hAnsi="Times New Roman"/>
                <w:sz w:val="24"/>
              </w:rPr>
              <w:t>Article 140(4) CRD</w:t>
            </w:r>
            <w:r w:rsidR="00A779E9" w:rsidRPr="00661595">
              <w:rPr>
                <w:rFonts w:ascii="Times New Roman" w:hAnsi="Times New Roman"/>
                <w:sz w:val="24"/>
              </w:rPr>
              <w:t xml:space="preserve"> subject to own funds requirements </w:t>
            </w:r>
            <w:r w:rsidRPr="00661595">
              <w:rPr>
                <w:rFonts w:ascii="Times New Roman" w:hAnsi="Times New Roman"/>
                <w:sz w:val="24"/>
              </w:rPr>
              <w:t xml:space="preserve">under </w:t>
            </w:r>
            <w:r w:rsidR="002B004B" w:rsidRPr="00661595">
              <w:rPr>
                <w:rFonts w:ascii="Times New Roman" w:hAnsi="Times New Roman"/>
                <w:sz w:val="24"/>
              </w:rPr>
              <w:t xml:space="preserve">Chapter 2 of Title IV of </w:t>
            </w:r>
            <w:r w:rsidRPr="00661595">
              <w:rPr>
                <w:rFonts w:ascii="Times New Roman" w:hAnsi="Times New Roman"/>
                <w:sz w:val="24"/>
              </w:rPr>
              <w:t>Part Three</w:t>
            </w:r>
            <w:r w:rsidR="002B004B" w:rsidRPr="00661595">
              <w:rPr>
                <w:rFonts w:ascii="Times New Roman" w:hAnsi="Times New Roman"/>
                <w:sz w:val="24"/>
              </w:rPr>
              <w:t xml:space="preserve"> </w:t>
            </w:r>
            <w:r w:rsidRPr="00661595">
              <w:rPr>
                <w:rFonts w:ascii="Times New Roman" w:hAnsi="Times New Roman"/>
                <w:sz w:val="24"/>
              </w:rPr>
              <w:t xml:space="preserve">CRR: </w:t>
            </w:r>
          </w:p>
          <w:p w:rsidR="00C4425F" w:rsidRPr="00661595" w:rsidRDefault="00125707" w:rsidP="0023700C">
            <w:pPr>
              <w:autoSpaceDE w:val="0"/>
              <w:autoSpaceDN w:val="0"/>
              <w:adjustRightInd w:val="0"/>
              <w:ind w:left="357" w:hanging="357"/>
              <w:contextualSpacing/>
              <w:rPr>
                <w:rFonts w:ascii="Times New Roman" w:hAnsi="Times New Roman"/>
                <w:sz w:val="24"/>
              </w:rPr>
            </w:pPr>
            <w:r w:rsidRPr="00661595">
              <w:rPr>
                <w:rFonts w:ascii="Times New Roman" w:hAnsi="Times New Roman"/>
                <w:sz w:val="24"/>
              </w:rPr>
              <w:t>-</w:t>
            </w:r>
            <w:r w:rsidRPr="00661595">
              <w:rPr>
                <w:rFonts w:ascii="Times New Roman" w:hAnsi="Times New Roman"/>
                <w:sz w:val="24"/>
              </w:rPr>
              <w:tab/>
            </w:r>
            <w:r w:rsidR="00C4425F" w:rsidRPr="00661595">
              <w:rPr>
                <w:rFonts w:ascii="Times New Roman" w:hAnsi="Times New Roman"/>
                <w:sz w:val="24"/>
              </w:rPr>
              <w:t>exposures to debt instruments other than securitisation</w:t>
            </w:r>
            <w:r w:rsidR="00A37A04" w:rsidRPr="00661595">
              <w:rPr>
                <w:rFonts w:ascii="Times New Roman" w:hAnsi="Times New Roman"/>
                <w:sz w:val="24"/>
              </w:rPr>
              <w:t>;</w:t>
            </w:r>
          </w:p>
          <w:p w:rsidR="00C4425F" w:rsidRPr="00661595" w:rsidRDefault="00125707" w:rsidP="0023700C">
            <w:pPr>
              <w:autoSpaceDE w:val="0"/>
              <w:autoSpaceDN w:val="0"/>
              <w:adjustRightInd w:val="0"/>
              <w:ind w:left="357" w:hanging="357"/>
              <w:contextualSpacing/>
              <w:rPr>
                <w:rFonts w:ascii="Times New Roman" w:hAnsi="Times New Roman"/>
                <w:sz w:val="24"/>
              </w:rPr>
            </w:pPr>
            <w:r w:rsidRPr="00661595">
              <w:rPr>
                <w:rFonts w:ascii="Times New Roman" w:hAnsi="Times New Roman"/>
                <w:sz w:val="24"/>
              </w:rPr>
              <w:t>-</w:t>
            </w:r>
            <w:r w:rsidRPr="00661595">
              <w:rPr>
                <w:rFonts w:ascii="Times New Roman" w:hAnsi="Times New Roman"/>
                <w:sz w:val="24"/>
              </w:rPr>
              <w:tab/>
            </w:r>
            <w:r w:rsidR="00C4425F" w:rsidRPr="00661595">
              <w:rPr>
                <w:rFonts w:ascii="Times New Roman" w:hAnsi="Times New Roman"/>
                <w:sz w:val="24"/>
              </w:rPr>
              <w:t>exposures to securitisation positions in the trading book</w:t>
            </w:r>
            <w:r w:rsidR="00A37A04" w:rsidRPr="00661595">
              <w:rPr>
                <w:rFonts w:ascii="Times New Roman" w:hAnsi="Times New Roman"/>
                <w:sz w:val="24"/>
              </w:rPr>
              <w:t>;</w:t>
            </w:r>
          </w:p>
          <w:p w:rsidR="00C4425F" w:rsidRPr="00661595" w:rsidRDefault="00125707" w:rsidP="0023700C">
            <w:pPr>
              <w:autoSpaceDE w:val="0"/>
              <w:autoSpaceDN w:val="0"/>
              <w:adjustRightInd w:val="0"/>
              <w:ind w:left="357" w:hanging="357"/>
              <w:contextualSpacing/>
              <w:rPr>
                <w:rFonts w:ascii="Times New Roman" w:hAnsi="Times New Roman"/>
                <w:sz w:val="24"/>
              </w:rPr>
            </w:pPr>
            <w:r w:rsidRPr="00661595">
              <w:rPr>
                <w:rFonts w:ascii="Times New Roman" w:hAnsi="Times New Roman"/>
                <w:sz w:val="24"/>
              </w:rPr>
              <w:t>-</w:t>
            </w:r>
            <w:r w:rsidRPr="00661595">
              <w:rPr>
                <w:rFonts w:ascii="Times New Roman" w:hAnsi="Times New Roman"/>
                <w:sz w:val="24"/>
              </w:rPr>
              <w:tab/>
            </w:r>
            <w:r w:rsidR="00C4425F" w:rsidRPr="00661595">
              <w:rPr>
                <w:rFonts w:ascii="Times New Roman" w:hAnsi="Times New Roman"/>
                <w:sz w:val="24"/>
              </w:rPr>
              <w:t>exposures to correlation trading portfolios</w:t>
            </w:r>
            <w:r w:rsidR="00A37A04" w:rsidRPr="00661595">
              <w:rPr>
                <w:rFonts w:ascii="Times New Roman" w:hAnsi="Times New Roman"/>
                <w:sz w:val="24"/>
              </w:rPr>
              <w:t>;</w:t>
            </w:r>
          </w:p>
          <w:p w:rsidR="00C4425F" w:rsidRPr="00661595" w:rsidRDefault="00125707" w:rsidP="0023700C">
            <w:pPr>
              <w:autoSpaceDE w:val="0"/>
              <w:autoSpaceDN w:val="0"/>
              <w:adjustRightInd w:val="0"/>
              <w:ind w:left="357" w:hanging="357"/>
              <w:contextualSpacing/>
              <w:rPr>
                <w:rFonts w:ascii="Times New Roman" w:hAnsi="Times New Roman"/>
                <w:sz w:val="24"/>
              </w:rPr>
            </w:pPr>
            <w:r w:rsidRPr="00661595">
              <w:rPr>
                <w:rFonts w:ascii="Times New Roman" w:hAnsi="Times New Roman"/>
                <w:sz w:val="24"/>
              </w:rPr>
              <w:t>-</w:t>
            </w:r>
            <w:r w:rsidRPr="00661595">
              <w:rPr>
                <w:rFonts w:ascii="Times New Roman" w:hAnsi="Times New Roman"/>
                <w:sz w:val="24"/>
              </w:rPr>
              <w:tab/>
            </w:r>
            <w:r w:rsidR="00C4425F" w:rsidRPr="00661595">
              <w:rPr>
                <w:rFonts w:ascii="Times New Roman" w:hAnsi="Times New Roman"/>
                <w:sz w:val="24"/>
              </w:rPr>
              <w:t>exposures to equity securities</w:t>
            </w:r>
            <w:r w:rsidR="00A37A04" w:rsidRPr="00661595">
              <w:rPr>
                <w:rFonts w:ascii="Times New Roman" w:hAnsi="Times New Roman"/>
                <w:sz w:val="24"/>
              </w:rPr>
              <w:t>;</w:t>
            </w:r>
          </w:p>
          <w:p w:rsidR="00797715" w:rsidRPr="00661595" w:rsidRDefault="00125707" w:rsidP="0023700C">
            <w:pPr>
              <w:autoSpaceDE w:val="0"/>
              <w:autoSpaceDN w:val="0"/>
              <w:adjustRightInd w:val="0"/>
              <w:ind w:left="357" w:hanging="357"/>
              <w:contextualSpacing/>
              <w:rPr>
                <w:rFonts w:ascii="Times New Roman" w:hAnsi="Times New Roman"/>
                <w:b/>
                <w:bCs/>
                <w:sz w:val="24"/>
                <w:u w:val="single"/>
                <w:lang w:eastAsia="de-DE"/>
              </w:rPr>
            </w:pPr>
            <w:r w:rsidRPr="00661595">
              <w:rPr>
                <w:rFonts w:ascii="Times New Roman" w:hAnsi="Times New Roman"/>
                <w:bCs/>
                <w:sz w:val="24"/>
                <w:lang w:eastAsia="de-DE"/>
              </w:rPr>
              <w:t>-</w:t>
            </w:r>
            <w:r w:rsidRPr="00661595">
              <w:rPr>
                <w:rFonts w:ascii="Times New Roman" w:hAnsi="Times New Roman"/>
                <w:bCs/>
                <w:sz w:val="24"/>
                <w:lang w:eastAsia="de-DE"/>
              </w:rPr>
              <w:tab/>
            </w:r>
            <w:r w:rsidR="00C4425F" w:rsidRPr="00661595">
              <w:rPr>
                <w:rFonts w:ascii="Times New Roman" w:hAnsi="Times New Roman"/>
                <w:sz w:val="24"/>
              </w:rPr>
              <w:t xml:space="preserve">exposures to CIUs </w:t>
            </w:r>
            <w:r w:rsidR="00A37A04" w:rsidRPr="00661595">
              <w:rPr>
                <w:rFonts w:ascii="Times New Roman" w:hAnsi="Times New Roman"/>
                <w:sz w:val="24"/>
              </w:rPr>
              <w:t>where</w:t>
            </w:r>
            <w:r w:rsidR="00C4425F" w:rsidRPr="00661595">
              <w:rPr>
                <w:rFonts w:ascii="Times New Roman" w:hAnsi="Times New Roman"/>
                <w:sz w:val="24"/>
              </w:rPr>
              <w:t xml:space="preserve"> capital requirements are calculated </w:t>
            </w:r>
            <w:r w:rsidR="00BB22D4" w:rsidRPr="00661595">
              <w:rPr>
                <w:rFonts w:ascii="Times New Roman" w:hAnsi="Times New Roman"/>
                <w:sz w:val="24"/>
              </w:rPr>
              <w:t>in accordance with</w:t>
            </w:r>
            <w:r w:rsidR="00C4425F" w:rsidRPr="00661595">
              <w:rPr>
                <w:rFonts w:ascii="Times New Roman" w:hAnsi="Times New Roman"/>
                <w:sz w:val="24"/>
              </w:rPr>
              <w:t xml:space="preserve"> Article 348 CRR.</w:t>
            </w:r>
          </w:p>
        </w:tc>
      </w:tr>
      <w:tr w:rsidR="00BD5485" w:rsidRPr="00661595" w:rsidTr="00672D2A">
        <w:tc>
          <w:tcPr>
            <w:tcW w:w="1697" w:type="dxa"/>
          </w:tcPr>
          <w:p w:rsidR="00BD5485" w:rsidRPr="00661595" w:rsidRDefault="00BD5485" w:rsidP="00133107">
            <w:pPr>
              <w:rPr>
                <w:rFonts w:ascii="Times New Roman" w:hAnsi="Times New Roman"/>
                <w:sz w:val="24"/>
              </w:rPr>
            </w:pPr>
            <w:r w:rsidRPr="00661595">
              <w:rPr>
                <w:rFonts w:ascii="Times New Roman" w:hAnsi="Times New Roman"/>
                <w:sz w:val="24"/>
              </w:rPr>
              <w:t>0</w:t>
            </w:r>
            <w:r w:rsidR="006E0E76" w:rsidRPr="00661595">
              <w:rPr>
                <w:rFonts w:ascii="Times New Roman" w:hAnsi="Times New Roman"/>
                <w:sz w:val="24"/>
              </w:rPr>
              <w:t>0</w:t>
            </w:r>
            <w:r w:rsidRPr="00661595">
              <w:rPr>
                <w:rFonts w:ascii="Times New Roman" w:hAnsi="Times New Roman"/>
                <w:sz w:val="24"/>
              </w:rPr>
              <w:t>40</w:t>
            </w:r>
          </w:p>
        </w:tc>
        <w:tc>
          <w:tcPr>
            <w:tcW w:w="8131" w:type="dxa"/>
          </w:tcPr>
          <w:p w:rsidR="00BD5485" w:rsidRPr="00661595" w:rsidRDefault="00BD5485" w:rsidP="00BD5485">
            <w:pPr>
              <w:rPr>
                <w:rFonts w:ascii="Times New Roman" w:hAnsi="Times New Roman"/>
                <w:b/>
                <w:bCs/>
                <w:sz w:val="24"/>
                <w:u w:val="single"/>
                <w:lang w:eastAsia="de-DE"/>
              </w:rPr>
            </w:pPr>
            <w:r w:rsidRPr="00661595">
              <w:rPr>
                <w:rFonts w:ascii="Times New Roman" w:hAnsi="Times New Roman"/>
                <w:b/>
                <w:bCs/>
                <w:sz w:val="24"/>
                <w:u w:val="single"/>
                <w:lang w:eastAsia="de-DE"/>
              </w:rPr>
              <w:t>Value of trading book exposures under internal model</w:t>
            </w:r>
            <w:r w:rsidR="00ED048B" w:rsidRPr="00661595">
              <w:rPr>
                <w:rFonts w:ascii="Times New Roman" w:hAnsi="Times New Roman"/>
                <w:b/>
                <w:bCs/>
                <w:sz w:val="24"/>
                <w:u w:val="single"/>
                <w:lang w:eastAsia="de-DE"/>
              </w:rPr>
              <w:t>s</w:t>
            </w:r>
          </w:p>
          <w:p w:rsidR="00BD5485" w:rsidRPr="00661595" w:rsidRDefault="00BD5485" w:rsidP="00BD5485">
            <w:pPr>
              <w:autoSpaceDE w:val="0"/>
              <w:autoSpaceDN w:val="0"/>
              <w:adjustRightInd w:val="0"/>
              <w:rPr>
                <w:rFonts w:ascii="Times New Roman" w:hAnsi="Times New Roman"/>
                <w:sz w:val="24"/>
              </w:rPr>
            </w:pPr>
            <w:r w:rsidRPr="00661595">
              <w:rPr>
                <w:rFonts w:ascii="Times New Roman" w:hAnsi="Times New Roman"/>
                <w:sz w:val="24"/>
              </w:rPr>
              <w:t xml:space="preserve">For relevant credit exposures </w:t>
            </w:r>
            <w:r w:rsidR="00A37A04" w:rsidRPr="00661595">
              <w:rPr>
                <w:rFonts w:ascii="Times New Roman" w:hAnsi="Times New Roman"/>
                <w:sz w:val="24"/>
              </w:rPr>
              <w:t xml:space="preserve">as referred to </w:t>
            </w:r>
            <w:r w:rsidRPr="00661595">
              <w:rPr>
                <w:rFonts w:ascii="Times New Roman" w:hAnsi="Times New Roman"/>
                <w:sz w:val="24"/>
              </w:rPr>
              <w:t xml:space="preserve">in </w:t>
            </w:r>
            <w:r w:rsidR="002B004B" w:rsidRPr="00661595">
              <w:rPr>
                <w:rFonts w:ascii="Times New Roman" w:hAnsi="Times New Roman"/>
                <w:sz w:val="24"/>
              </w:rPr>
              <w:t xml:space="preserve">point (b) of Article 140(4) CRD </w:t>
            </w:r>
            <w:r w:rsidR="00A779E9" w:rsidRPr="00661595">
              <w:rPr>
                <w:rFonts w:ascii="Times New Roman" w:hAnsi="Times New Roman"/>
                <w:sz w:val="24"/>
              </w:rPr>
              <w:t>subject to own funds requirements</w:t>
            </w:r>
            <w:r w:rsidR="00ED048B" w:rsidRPr="00661595">
              <w:rPr>
                <w:rFonts w:ascii="Times New Roman" w:hAnsi="Times New Roman"/>
                <w:sz w:val="24"/>
              </w:rPr>
              <w:t xml:space="preserve"> under</w:t>
            </w:r>
            <w:r w:rsidR="00A779E9" w:rsidRPr="00661595">
              <w:rPr>
                <w:rFonts w:ascii="Times New Roman" w:hAnsi="Times New Roman"/>
                <w:sz w:val="24"/>
              </w:rPr>
              <w:t xml:space="preserve"> </w:t>
            </w:r>
            <w:r w:rsidR="002B004B" w:rsidRPr="00661595">
              <w:rPr>
                <w:rFonts w:ascii="Times New Roman" w:hAnsi="Times New Roman"/>
                <w:sz w:val="24"/>
              </w:rPr>
              <w:t xml:space="preserve">Chapters 2 and 5 of Title IV of Part Three </w:t>
            </w:r>
            <w:r w:rsidRPr="00661595">
              <w:rPr>
                <w:rFonts w:ascii="Times New Roman" w:hAnsi="Times New Roman"/>
                <w:sz w:val="24"/>
              </w:rPr>
              <w:t>CRR, the sum of the following shall be reported:</w:t>
            </w:r>
          </w:p>
          <w:p w:rsidR="00BD5485" w:rsidRPr="00661595" w:rsidRDefault="00125707" w:rsidP="0023700C">
            <w:pPr>
              <w:autoSpaceDE w:val="0"/>
              <w:autoSpaceDN w:val="0"/>
              <w:adjustRightInd w:val="0"/>
              <w:ind w:left="357" w:hanging="357"/>
              <w:contextualSpacing/>
              <w:rPr>
                <w:rFonts w:ascii="Times New Roman" w:hAnsi="Times New Roman"/>
                <w:sz w:val="24"/>
              </w:rPr>
            </w:pPr>
            <w:r w:rsidRPr="00661595">
              <w:rPr>
                <w:rFonts w:ascii="Calibri" w:hAnsi="Calibri"/>
                <w:sz w:val="24"/>
              </w:rPr>
              <w:t>-</w:t>
            </w:r>
            <w:r w:rsidRPr="00661595">
              <w:rPr>
                <w:rFonts w:ascii="Calibri" w:hAnsi="Calibri"/>
                <w:sz w:val="24"/>
              </w:rPr>
              <w:tab/>
            </w:r>
            <w:r w:rsidR="00BD5485" w:rsidRPr="00661595">
              <w:rPr>
                <w:rFonts w:ascii="Times New Roman" w:hAnsi="Times New Roman"/>
                <w:sz w:val="24"/>
              </w:rPr>
              <w:t xml:space="preserve">Fair value of non-derivative positions, that represent relevant credit exposures as </w:t>
            </w:r>
            <w:r w:rsidR="00A37A04" w:rsidRPr="00661595">
              <w:rPr>
                <w:rFonts w:ascii="Times New Roman" w:hAnsi="Times New Roman"/>
                <w:sz w:val="24"/>
              </w:rPr>
              <w:t xml:space="preserve">referred to </w:t>
            </w:r>
            <w:r w:rsidR="00BD5485" w:rsidRPr="00661595">
              <w:rPr>
                <w:rFonts w:ascii="Times New Roman" w:hAnsi="Times New Roman"/>
                <w:sz w:val="24"/>
              </w:rPr>
              <w:t xml:space="preserve">in </w:t>
            </w:r>
            <w:r w:rsidR="002B004B" w:rsidRPr="00661595">
              <w:rPr>
                <w:rFonts w:ascii="Times New Roman" w:hAnsi="Times New Roman"/>
                <w:sz w:val="24"/>
              </w:rPr>
              <w:t xml:space="preserve">point (b) of </w:t>
            </w:r>
            <w:r w:rsidR="00BD5485" w:rsidRPr="00661595">
              <w:rPr>
                <w:rFonts w:ascii="Times New Roman" w:hAnsi="Times New Roman"/>
                <w:sz w:val="24"/>
              </w:rPr>
              <w:t>Article 140(4) CRD, determined in accordance with Article 104 CRR.</w:t>
            </w:r>
          </w:p>
          <w:p w:rsidR="00BD5485" w:rsidRPr="00661595" w:rsidRDefault="00125707" w:rsidP="00A37A04">
            <w:pPr>
              <w:autoSpaceDE w:val="0"/>
              <w:autoSpaceDN w:val="0"/>
              <w:adjustRightInd w:val="0"/>
              <w:ind w:left="357" w:hanging="357"/>
              <w:contextualSpacing/>
              <w:rPr>
                <w:rFonts w:ascii="Times New Roman" w:hAnsi="Times New Roman"/>
                <w:b/>
                <w:bCs/>
                <w:sz w:val="24"/>
                <w:u w:val="single"/>
                <w:lang w:eastAsia="de-DE"/>
              </w:rPr>
            </w:pPr>
            <w:r w:rsidRPr="00661595">
              <w:rPr>
                <w:rFonts w:ascii="Calibri" w:hAnsi="Calibri"/>
                <w:bCs/>
                <w:sz w:val="24"/>
                <w:lang w:eastAsia="de-DE"/>
              </w:rPr>
              <w:t>-</w:t>
            </w:r>
            <w:r w:rsidRPr="00661595">
              <w:rPr>
                <w:rFonts w:ascii="Calibri" w:hAnsi="Calibri"/>
                <w:bCs/>
                <w:sz w:val="24"/>
                <w:lang w:eastAsia="de-DE"/>
              </w:rPr>
              <w:tab/>
            </w:r>
            <w:r w:rsidR="00BD5485" w:rsidRPr="00661595">
              <w:rPr>
                <w:rFonts w:ascii="Times New Roman" w:hAnsi="Times New Roman"/>
                <w:sz w:val="24"/>
              </w:rPr>
              <w:t xml:space="preserve">Notional value of derivatives, that represent relevant credit exposures as </w:t>
            </w:r>
            <w:r w:rsidR="00A37A04" w:rsidRPr="00661595">
              <w:rPr>
                <w:rFonts w:ascii="Times New Roman" w:hAnsi="Times New Roman"/>
                <w:sz w:val="24"/>
              </w:rPr>
              <w:t xml:space="preserve">referred to </w:t>
            </w:r>
            <w:r w:rsidR="00BD5485" w:rsidRPr="00661595">
              <w:rPr>
                <w:rFonts w:ascii="Times New Roman" w:hAnsi="Times New Roman"/>
                <w:sz w:val="24"/>
              </w:rPr>
              <w:t xml:space="preserve">in </w:t>
            </w:r>
            <w:r w:rsidR="002B004B" w:rsidRPr="00661595">
              <w:rPr>
                <w:rFonts w:ascii="Times New Roman" w:hAnsi="Times New Roman"/>
                <w:sz w:val="24"/>
              </w:rPr>
              <w:t xml:space="preserve">point (b) of </w:t>
            </w:r>
            <w:r w:rsidR="00BD5485" w:rsidRPr="00661595">
              <w:rPr>
                <w:rFonts w:ascii="Times New Roman" w:hAnsi="Times New Roman"/>
                <w:sz w:val="24"/>
              </w:rPr>
              <w:t>Article 140(4) CRD.</w:t>
            </w:r>
          </w:p>
        </w:tc>
      </w:tr>
      <w:tr w:rsidR="00BD5485" w:rsidRPr="00661595" w:rsidTr="00672D2A">
        <w:tc>
          <w:tcPr>
            <w:tcW w:w="1697" w:type="dxa"/>
          </w:tcPr>
          <w:p w:rsidR="00BD5485" w:rsidRPr="00661595" w:rsidRDefault="008B6B86" w:rsidP="008B6B86">
            <w:pPr>
              <w:rPr>
                <w:rFonts w:ascii="Times New Roman" w:hAnsi="Times New Roman"/>
                <w:sz w:val="24"/>
              </w:rPr>
            </w:pPr>
            <w:r w:rsidRPr="00661595">
              <w:rPr>
                <w:rFonts w:ascii="Times New Roman" w:hAnsi="Times New Roman"/>
                <w:sz w:val="24"/>
              </w:rPr>
              <w:t>0</w:t>
            </w:r>
            <w:r w:rsidR="006E0E76" w:rsidRPr="00661595">
              <w:rPr>
                <w:rFonts w:ascii="Times New Roman" w:hAnsi="Times New Roman"/>
                <w:sz w:val="24"/>
              </w:rPr>
              <w:t>0</w:t>
            </w:r>
            <w:r w:rsidRPr="00661595">
              <w:rPr>
                <w:rFonts w:ascii="Times New Roman" w:hAnsi="Times New Roman"/>
                <w:sz w:val="24"/>
              </w:rPr>
              <w:t>55</w:t>
            </w:r>
          </w:p>
        </w:tc>
        <w:tc>
          <w:tcPr>
            <w:tcW w:w="8131" w:type="dxa"/>
          </w:tcPr>
          <w:p w:rsidR="00BD5485" w:rsidRPr="00661595" w:rsidRDefault="00BD5485" w:rsidP="00BD5485">
            <w:pPr>
              <w:rPr>
                <w:rFonts w:ascii="Times New Roman" w:hAnsi="Times New Roman"/>
                <w:b/>
                <w:bCs/>
                <w:sz w:val="24"/>
                <w:u w:val="single"/>
                <w:lang w:eastAsia="de-DE"/>
              </w:rPr>
            </w:pPr>
            <w:r w:rsidRPr="00661595">
              <w:rPr>
                <w:rFonts w:ascii="Times New Roman" w:hAnsi="Times New Roman"/>
                <w:b/>
                <w:bCs/>
                <w:sz w:val="24"/>
                <w:u w:val="single"/>
                <w:lang w:eastAsia="de-DE"/>
              </w:rPr>
              <w:t>Relevant credit exposures – Securitisation positions in the banking book</w:t>
            </w:r>
          </w:p>
          <w:p w:rsidR="00BD5485" w:rsidRPr="00661595" w:rsidRDefault="00C44421" w:rsidP="00A37A04">
            <w:pPr>
              <w:rPr>
                <w:rFonts w:ascii="Times New Roman" w:hAnsi="Times New Roman"/>
                <w:sz w:val="24"/>
              </w:rPr>
            </w:pPr>
            <w:r w:rsidRPr="00661595">
              <w:rPr>
                <w:rFonts w:ascii="Times New Roman" w:hAnsi="Times New Roman"/>
                <w:sz w:val="24"/>
              </w:rPr>
              <w:t xml:space="preserve">Exposure value </w:t>
            </w:r>
            <w:r w:rsidR="00A37A04" w:rsidRPr="00661595">
              <w:rPr>
                <w:rFonts w:ascii="Times New Roman" w:hAnsi="Times New Roman"/>
                <w:sz w:val="24"/>
              </w:rPr>
              <w:t>calculated</w:t>
            </w:r>
            <w:r w:rsidRPr="00661595">
              <w:rPr>
                <w:rFonts w:ascii="Times New Roman" w:hAnsi="Times New Roman"/>
                <w:sz w:val="24"/>
              </w:rPr>
              <w:t xml:space="preserve"> in accordance with Article 248 CRR for relevant</w:t>
            </w:r>
            <w:r w:rsidR="00BD5485" w:rsidRPr="00661595">
              <w:rPr>
                <w:rFonts w:ascii="Times New Roman" w:hAnsi="Times New Roman"/>
                <w:sz w:val="24"/>
              </w:rPr>
              <w:t xml:space="preserve"> credit exposures </w:t>
            </w:r>
            <w:r w:rsidR="00A37A04" w:rsidRPr="00661595">
              <w:rPr>
                <w:rFonts w:ascii="Times New Roman" w:hAnsi="Times New Roman"/>
                <w:sz w:val="24"/>
              </w:rPr>
              <w:t xml:space="preserve">as referred to </w:t>
            </w:r>
            <w:r w:rsidR="00BD5485" w:rsidRPr="00661595">
              <w:rPr>
                <w:rFonts w:ascii="Times New Roman" w:hAnsi="Times New Roman"/>
                <w:sz w:val="24"/>
              </w:rPr>
              <w:t xml:space="preserve">in </w:t>
            </w:r>
            <w:r w:rsidR="002B004B" w:rsidRPr="00661595">
              <w:rPr>
                <w:rFonts w:ascii="Times New Roman" w:hAnsi="Times New Roman"/>
                <w:sz w:val="24"/>
              </w:rPr>
              <w:t xml:space="preserve">point (c) of </w:t>
            </w:r>
            <w:r w:rsidR="00BD5485" w:rsidRPr="00661595">
              <w:rPr>
                <w:rFonts w:ascii="Times New Roman" w:hAnsi="Times New Roman"/>
                <w:sz w:val="24"/>
              </w:rPr>
              <w:t>Article 140(4) CRD.</w:t>
            </w:r>
          </w:p>
        </w:tc>
      </w:tr>
      <w:tr w:rsidR="00BD5485" w:rsidRPr="00661595" w:rsidTr="00672D2A">
        <w:tc>
          <w:tcPr>
            <w:tcW w:w="1697" w:type="dxa"/>
          </w:tcPr>
          <w:p w:rsidR="00BD5485" w:rsidRPr="00661595" w:rsidRDefault="00BD5485" w:rsidP="00133107">
            <w:pPr>
              <w:rPr>
                <w:rFonts w:ascii="Times New Roman" w:hAnsi="Times New Roman"/>
                <w:sz w:val="24"/>
              </w:rPr>
            </w:pPr>
            <w:r w:rsidRPr="00661595">
              <w:rPr>
                <w:rFonts w:ascii="Times New Roman" w:hAnsi="Times New Roman"/>
                <w:sz w:val="24"/>
              </w:rPr>
              <w:t>0</w:t>
            </w:r>
            <w:r w:rsidR="006E0E76" w:rsidRPr="00661595">
              <w:rPr>
                <w:rFonts w:ascii="Times New Roman" w:hAnsi="Times New Roman"/>
                <w:sz w:val="24"/>
              </w:rPr>
              <w:t>0</w:t>
            </w:r>
            <w:r w:rsidRPr="00661595">
              <w:rPr>
                <w:rFonts w:ascii="Times New Roman" w:hAnsi="Times New Roman"/>
                <w:sz w:val="24"/>
              </w:rPr>
              <w:t>70-</w:t>
            </w:r>
            <w:r w:rsidR="006E0E76" w:rsidRPr="00661595">
              <w:rPr>
                <w:rFonts w:ascii="Times New Roman" w:hAnsi="Times New Roman"/>
                <w:sz w:val="24"/>
              </w:rPr>
              <w:t>0</w:t>
            </w:r>
            <w:r w:rsidRPr="00661595">
              <w:rPr>
                <w:rFonts w:ascii="Times New Roman" w:hAnsi="Times New Roman"/>
                <w:sz w:val="24"/>
              </w:rPr>
              <w:t>110</w:t>
            </w:r>
          </w:p>
        </w:tc>
        <w:tc>
          <w:tcPr>
            <w:tcW w:w="8131" w:type="dxa"/>
          </w:tcPr>
          <w:p w:rsidR="00BD5485" w:rsidRPr="00661595" w:rsidRDefault="00BD5485" w:rsidP="00133107">
            <w:pPr>
              <w:rPr>
                <w:rFonts w:ascii="Times New Roman" w:hAnsi="Times New Roman"/>
                <w:b/>
                <w:bCs/>
                <w:sz w:val="24"/>
                <w:u w:val="single"/>
                <w:lang w:eastAsia="de-DE"/>
              </w:rPr>
            </w:pPr>
            <w:r w:rsidRPr="00661595">
              <w:rPr>
                <w:rFonts w:ascii="Times New Roman" w:hAnsi="Times New Roman"/>
                <w:b/>
                <w:bCs/>
                <w:sz w:val="24"/>
                <w:u w:val="single"/>
                <w:lang w:eastAsia="de-DE"/>
              </w:rPr>
              <w:t>Own funds requirements and weights</w:t>
            </w:r>
          </w:p>
        </w:tc>
      </w:tr>
      <w:tr w:rsidR="00BD5485" w:rsidRPr="00661595" w:rsidTr="00672D2A">
        <w:tc>
          <w:tcPr>
            <w:tcW w:w="1697" w:type="dxa"/>
          </w:tcPr>
          <w:p w:rsidR="00BD5485" w:rsidRPr="00661595" w:rsidRDefault="00BD5485" w:rsidP="00133107">
            <w:pPr>
              <w:rPr>
                <w:rFonts w:ascii="Times New Roman" w:hAnsi="Times New Roman"/>
                <w:sz w:val="24"/>
              </w:rPr>
            </w:pPr>
            <w:r w:rsidRPr="00661595">
              <w:rPr>
                <w:rFonts w:ascii="Times New Roman" w:hAnsi="Times New Roman"/>
                <w:sz w:val="24"/>
              </w:rPr>
              <w:t>0</w:t>
            </w:r>
            <w:r w:rsidR="006E0E76" w:rsidRPr="00661595">
              <w:rPr>
                <w:rFonts w:ascii="Times New Roman" w:hAnsi="Times New Roman"/>
                <w:sz w:val="24"/>
              </w:rPr>
              <w:t>0</w:t>
            </w:r>
            <w:r w:rsidRPr="00661595">
              <w:rPr>
                <w:rFonts w:ascii="Times New Roman" w:hAnsi="Times New Roman"/>
                <w:sz w:val="24"/>
              </w:rPr>
              <w:t>70</w:t>
            </w:r>
          </w:p>
        </w:tc>
        <w:tc>
          <w:tcPr>
            <w:tcW w:w="8131" w:type="dxa"/>
          </w:tcPr>
          <w:p w:rsidR="00BD5485" w:rsidRPr="00661595" w:rsidRDefault="00BD5485" w:rsidP="00BD5485">
            <w:pPr>
              <w:rPr>
                <w:rFonts w:ascii="Times New Roman" w:hAnsi="Times New Roman"/>
                <w:b/>
                <w:bCs/>
                <w:sz w:val="24"/>
                <w:u w:val="single"/>
                <w:lang w:eastAsia="de-DE"/>
              </w:rPr>
            </w:pPr>
            <w:r w:rsidRPr="00661595">
              <w:rPr>
                <w:rFonts w:ascii="Times New Roman" w:hAnsi="Times New Roman"/>
                <w:b/>
                <w:bCs/>
                <w:sz w:val="24"/>
                <w:u w:val="single"/>
                <w:lang w:eastAsia="de-DE"/>
              </w:rPr>
              <w:t>Total own funds requirements for CCB</w:t>
            </w:r>
          </w:p>
          <w:p w:rsidR="00BD5485" w:rsidRPr="00661595" w:rsidRDefault="00BD5485" w:rsidP="00BD5485">
            <w:pPr>
              <w:rPr>
                <w:rFonts w:ascii="Times New Roman" w:hAnsi="Times New Roman"/>
                <w:b/>
                <w:bCs/>
                <w:sz w:val="24"/>
                <w:u w:val="single"/>
                <w:lang w:eastAsia="de-DE"/>
              </w:rPr>
            </w:pPr>
            <w:r w:rsidRPr="00661595">
              <w:rPr>
                <w:rFonts w:ascii="Times New Roman" w:hAnsi="Times New Roman"/>
                <w:sz w:val="24"/>
              </w:rPr>
              <w:t xml:space="preserve">The sum of rows </w:t>
            </w:r>
            <w:r w:rsidR="006E0E76" w:rsidRPr="00661595">
              <w:rPr>
                <w:rFonts w:ascii="Times New Roman" w:hAnsi="Times New Roman"/>
                <w:sz w:val="24"/>
              </w:rPr>
              <w:t>0</w:t>
            </w:r>
            <w:r w:rsidRPr="00661595">
              <w:rPr>
                <w:rFonts w:ascii="Times New Roman" w:hAnsi="Times New Roman"/>
                <w:sz w:val="24"/>
              </w:rPr>
              <w:t xml:space="preserve">080, </w:t>
            </w:r>
            <w:r w:rsidR="006E0E76" w:rsidRPr="00661595">
              <w:rPr>
                <w:rFonts w:ascii="Times New Roman" w:hAnsi="Times New Roman"/>
                <w:sz w:val="24"/>
              </w:rPr>
              <w:t>0</w:t>
            </w:r>
            <w:r w:rsidRPr="00661595">
              <w:rPr>
                <w:rFonts w:ascii="Times New Roman" w:hAnsi="Times New Roman"/>
                <w:sz w:val="24"/>
              </w:rPr>
              <w:t xml:space="preserve">090 and </w:t>
            </w:r>
            <w:r w:rsidR="006E0E76" w:rsidRPr="00661595">
              <w:rPr>
                <w:rFonts w:ascii="Times New Roman" w:hAnsi="Times New Roman"/>
                <w:sz w:val="24"/>
              </w:rPr>
              <w:t>0</w:t>
            </w:r>
            <w:r w:rsidRPr="00661595">
              <w:rPr>
                <w:rFonts w:ascii="Times New Roman" w:hAnsi="Times New Roman"/>
                <w:sz w:val="24"/>
              </w:rPr>
              <w:t>100.</w:t>
            </w:r>
          </w:p>
        </w:tc>
      </w:tr>
      <w:tr w:rsidR="00BD5485" w:rsidRPr="00661595" w:rsidTr="00672D2A">
        <w:tc>
          <w:tcPr>
            <w:tcW w:w="1697" w:type="dxa"/>
          </w:tcPr>
          <w:p w:rsidR="00BD5485" w:rsidRPr="00661595" w:rsidRDefault="00BD5485" w:rsidP="00133107">
            <w:pPr>
              <w:rPr>
                <w:rFonts w:ascii="Times New Roman" w:hAnsi="Times New Roman"/>
                <w:sz w:val="24"/>
              </w:rPr>
            </w:pPr>
            <w:r w:rsidRPr="00661595">
              <w:rPr>
                <w:rFonts w:ascii="Times New Roman" w:hAnsi="Times New Roman"/>
                <w:sz w:val="24"/>
              </w:rPr>
              <w:t>0</w:t>
            </w:r>
            <w:r w:rsidR="006E0E76" w:rsidRPr="00661595">
              <w:rPr>
                <w:rFonts w:ascii="Times New Roman" w:hAnsi="Times New Roman"/>
                <w:sz w:val="24"/>
              </w:rPr>
              <w:t>0</w:t>
            </w:r>
            <w:r w:rsidRPr="00661595">
              <w:rPr>
                <w:rFonts w:ascii="Times New Roman" w:hAnsi="Times New Roman"/>
                <w:sz w:val="24"/>
              </w:rPr>
              <w:t>80</w:t>
            </w:r>
          </w:p>
        </w:tc>
        <w:tc>
          <w:tcPr>
            <w:tcW w:w="8131" w:type="dxa"/>
          </w:tcPr>
          <w:p w:rsidR="00BD5485" w:rsidRPr="00661595" w:rsidRDefault="00C211DC" w:rsidP="00BD5485">
            <w:pPr>
              <w:rPr>
                <w:rFonts w:ascii="Times New Roman" w:hAnsi="Times New Roman"/>
                <w:b/>
                <w:bCs/>
                <w:sz w:val="24"/>
                <w:u w:val="single"/>
                <w:lang w:eastAsia="de-DE"/>
              </w:rPr>
            </w:pPr>
            <w:r w:rsidRPr="00661595">
              <w:rPr>
                <w:rFonts w:ascii="Times New Roman" w:hAnsi="Times New Roman"/>
                <w:b/>
                <w:sz w:val="24"/>
                <w:u w:val="single"/>
              </w:rPr>
              <w:t>Own funds requirements</w:t>
            </w:r>
            <w:r w:rsidRPr="00661595">
              <w:rPr>
                <w:rFonts w:ascii="Times New Roman" w:hAnsi="Times New Roman"/>
                <w:b/>
                <w:bCs/>
                <w:sz w:val="24"/>
                <w:u w:val="single"/>
                <w:lang w:eastAsia="de-DE"/>
              </w:rPr>
              <w:t xml:space="preserve"> for r</w:t>
            </w:r>
            <w:r w:rsidR="00BD5485" w:rsidRPr="00661595">
              <w:rPr>
                <w:rFonts w:ascii="Times New Roman" w:hAnsi="Times New Roman"/>
                <w:b/>
                <w:bCs/>
                <w:sz w:val="24"/>
                <w:u w:val="single"/>
                <w:lang w:eastAsia="de-DE"/>
              </w:rPr>
              <w:t xml:space="preserve">elevant credit exposures – Credit risk </w:t>
            </w:r>
          </w:p>
          <w:p w:rsidR="00BD5485" w:rsidRPr="00661595" w:rsidRDefault="00BD5485" w:rsidP="00BD5485">
            <w:pPr>
              <w:autoSpaceDE w:val="0"/>
              <w:autoSpaceDN w:val="0"/>
              <w:adjustRightInd w:val="0"/>
              <w:rPr>
                <w:rFonts w:ascii="Times New Roman" w:hAnsi="Times New Roman"/>
                <w:sz w:val="24"/>
              </w:rPr>
            </w:pPr>
            <w:r w:rsidRPr="00661595">
              <w:rPr>
                <w:rFonts w:ascii="Times New Roman" w:hAnsi="Times New Roman"/>
                <w:sz w:val="24"/>
              </w:rPr>
              <w:t>Own funds requirements</w:t>
            </w:r>
            <w:r w:rsidR="00425F4C" w:rsidRPr="00661595">
              <w:rPr>
                <w:rFonts w:ascii="Times New Roman" w:hAnsi="Times New Roman"/>
                <w:sz w:val="24"/>
              </w:rPr>
              <w:t xml:space="preserve"> </w:t>
            </w:r>
            <w:r w:rsidR="00A37A04" w:rsidRPr="00661595">
              <w:rPr>
                <w:rFonts w:ascii="Times New Roman" w:hAnsi="Times New Roman"/>
                <w:sz w:val="24"/>
              </w:rPr>
              <w:t>calculated</w:t>
            </w:r>
            <w:r w:rsidRPr="00661595">
              <w:rPr>
                <w:rFonts w:ascii="Times New Roman" w:hAnsi="Times New Roman"/>
                <w:sz w:val="24"/>
              </w:rPr>
              <w:t xml:space="preserve"> in accordance with </w:t>
            </w:r>
            <w:r w:rsidR="00A37A04" w:rsidRPr="00661595">
              <w:rPr>
                <w:rFonts w:ascii="Times New Roman" w:hAnsi="Times New Roman"/>
                <w:sz w:val="24"/>
              </w:rPr>
              <w:t xml:space="preserve">Chapters 1 to 4 and Chapter 6 of Title II of </w:t>
            </w:r>
            <w:r w:rsidRPr="00661595">
              <w:rPr>
                <w:rFonts w:ascii="Times New Roman" w:hAnsi="Times New Roman"/>
                <w:sz w:val="24"/>
              </w:rPr>
              <w:t>Part Three CRR for relevant credit exposures</w:t>
            </w:r>
            <w:r w:rsidR="00A37A04" w:rsidRPr="00661595">
              <w:rPr>
                <w:rFonts w:ascii="Times New Roman" w:hAnsi="Times New Roman"/>
                <w:sz w:val="24"/>
              </w:rPr>
              <w:t xml:space="preserve"> as referred to </w:t>
            </w:r>
            <w:r w:rsidRPr="00661595">
              <w:rPr>
                <w:rFonts w:ascii="Times New Roman" w:hAnsi="Times New Roman"/>
                <w:sz w:val="24"/>
              </w:rPr>
              <w:t xml:space="preserve">in </w:t>
            </w:r>
            <w:r w:rsidR="002B004B" w:rsidRPr="00661595">
              <w:rPr>
                <w:rFonts w:ascii="Times New Roman" w:hAnsi="Times New Roman"/>
                <w:sz w:val="24"/>
              </w:rPr>
              <w:t xml:space="preserve">point (a) of </w:t>
            </w:r>
            <w:r w:rsidRPr="00661595">
              <w:rPr>
                <w:rFonts w:ascii="Times New Roman" w:hAnsi="Times New Roman"/>
                <w:sz w:val="24"/>
              </w:rPr>
              <w:t>Article 140(4) CRD, in the country in question.</w:t>
            </w:r>
          </w:p>
          <w:p w:rsidR="00BD5485" w:rsidRPr="00661595" w:rsidRDefault="00BD5485" w:rsidP="00BD5485">
            <w:pPr>
              <w:autoSpaceDE w:val="0"/>
              <w:autoSpaceDN w:val="0"/>
              <w:adjustRightInd w:val="0"/>
              <w:rPr>
                <w:rFonts w:ascii="Times New Roman" w:hAnsi="Times New Roman"/>
                <w:sz w:val="24"/>
              </w:rPr>
            </w:pPr>
            <w:r w:rsidRPr="00661595">
              <w:rPr>
                <w:rFonts w:ascii="Times New Roman" w:hAnsi="Times New Roman"/>
                <w:sz w:val="24"/>
              </w:rPr>
              <w:t xml:space="preserve">Own fund requirements for securitisation positions in the banking book shall be excluded from this row and reported in row </w:t>
            </w:r>
            <w:r w:rsidR="006E0E76" w:rsidRPr="00661595">
              <w:rPr>
                <w:rFonts w:ascii="Times New Roman" w:hAnsi="Times New Roman"/>
                <w:sz w:val="24"/>
              </w:rPr>
              <w:t>0</w:t>
            </w:r>
            <w:r w:rsidRPr="00661595">
              <w:rPr>
                <w:rFonts w:ascii="Times New Roman" w:hAnsi="Times New Roman"/>
                <w:sz w:val="24"/>
              </w:rPr>
              <w:t>100.</w:t>
            </w:r>
          </w:p>
          <w:p w:rsidR="00BD5485" w:rsidRPr="00661595" w:rsidRDefault="00BD5485" w:rsidP="002B004B">
            <w:pPr>
              <w:rPr>
                <w:rFonts w:ascii="Times New Roman" w:hAnsi="Times New Roman"/>
                <w:b/>
                <w:bCs/>
                <w:sz w:val="24"/>
                <w:u w:val="single"/>
                <w:lang w:eastAsia="de-DE"/>
              </w:rPr>
            </w:pPr>
            <w:r w:rsidRPr="00661595">
              <w:rPr>
                <w:rFonts w:ascii="Times New Roman" w:hAnsi="Times New Roman"/>
                <w:sz w:val="24"/>
              </w:rPr>
              <w:t xml:space="preserve">The own-funds requirements are 8% of the risk-weighted exposure amount determined </w:t>
            </w:r>
            <w:r w:rsidR="00BB22D4" w:rsidRPr="00661595">
              <w:rPr>
                <w:rFonts w:ascii="Times New Roman" w:hAnsi="Times New Roman"/>
                <w:sz w:val="24"/>
              </w:rPr>
              <w:t>in accordance with</w:t>
            </w:r>
            <w:r w:rsidRPr="00661595">
              <w:rPr>
                <w:rFonts w:ascii="Times New Roman" w:hAnsi="Times New Roman"/>
                <w:sz w:val="24"/>
              </w:rPr>
              <w:t xml:space="preserve"> </w:t>
            </w:r>
            <w:r w:rsidR="002B004B" w:rsidRPr="00661595">
              <w:rPr>
                <w:rFonts w:ascii="Times New Roman" w:hAnsi="Times New Roman"/>
                <w:sz w:val="24"/>
              </w:rPr>
              <w:t xml:space="preserve">Chapters 1 to 4 and Chapter 6 of Title II of </w:t>
            </w:r>
            <w:r w:rsidRPr="00661595">
              <w:rPr>
                <w:rFonts w:ascii="Times New Roman" w:hAnsi="Times New Roman"/>
                <w:sz w:val="24"/>
              </w:rPr>
              <w:t>Part Three</w:t>
            </w:r>
            <w:r w:rsidR="002B004B" w:rsidRPr="00661595">
              <w:rPr>
                <w:rFonts w:ascii="Times New Roman" w:hAnsi="Times New Roman"/>
                <w:sz w:val="24"/>
              </w:rPr>
              <w:t xml:space="preserve"> </w:t>
            </w:r>
            <w:r w:rsidR="00C7103D" w:rsidRPr="00661595">
              <w:rPr>
                <w:rFonts w:ascii="Times New Roman" w:hAnsi="Times New Roman"/>
                <w:sz w:val="24"/>
              </w:rPr>
              <w:t>CRR</w:t>
            </w:r>
            <w:r w:rsidRPr="00661595">
              <w:rPr>
                <w:rFonts w:ascii="Times New Roman" w:hAnsi="Times New Roman"/>
                <w:sz w:val="24"/>
              </w:rPr>
              <w:t>.</w:t>
            </w:r>
          </w:p>
        </w:tc>
      </w:tr>
      <w:tr w:rsidR="00BD5485" w:rsidRPr="00661595" w:rsidTr="00672D2A">
        <w:tc>
          <w:tcPr>
            <w:tcW w:w="1697" w:type="dxa"/>
          </w:tcPr>
          <w:p w:rsidR="00BD5485" w:rsidRPr="00661595" w:rsidRDefault="00BD5485" w:rsidP="00133107">
            <w:pPr>
              <w:rPr>
                <w:rFonts w:ascii="Times New Roman" w:hAnsi="Times New Roman"/>
                <w:sz w:val="24"/>
              </w:rPr>
            </w:pPr>
            <w:r w:rsidRPr="00661595">
              <w:rPr>
                <w:rFonts w:ascii="Times New Roman" w:hAnsi="Times New Roman"/>
                <w:sz w:val="24"/>
              </w:rPr>
              <w:t>0</w:t>
            </w:r>
            <w:r w:rsidR="006E0E76" w:rsidRPr="00661595">
              <w:rPr>
                <w:rFonts w:ascii="Times New Roman" w:hAnsi="Times New Roman"/>
                <w:sz w:val="24"/>
              </w:rPr>
              <w:t>0</w:t>
            </w:r>
            <w:r w:rsidRPr="00661595">
              <w:rPr>
                <w:rFonts w:ascii="Times New Roman" w:hAnsi="Times New Roman"/>
                <w:sz w:val="24"/>
              </w:rPr>
              <w:t>90</w:t>
            </w:r>
          </w:p>
        </w:tc>
        <w:tc>
          <w:tcPr>
            <w:tcW w:w="8131" w:type="dxa"/>
          </w:tcPr>
          <w:p w:rsidR="00BD5485" w:rsidRPr="00661595" w:rsidRDefault="00C211DC" w:rsidP="00BD5485">
            <w:pPr>
              <w:rPr>
                <w:rFonts w:ascii="Times New Roman" w:hAnsi="Times New Roman"/>
                <w:b/>
                <w:bCs/>
                <w:sz w:val="24"/>
                <w:u w:val="single"/>
                <w:lang w:eastAsia="de-DE"/>
              </w:rPr>
            </w:pPr>
            <w:r w:rsidRPr="00661595">
              <w:rPr>
                <w:rFonts w:ascii="Times New Roman" w:hAnsi="Times New Roman"/>
                <w:b/>
                <w:sz w:val="24"/>
                <w:u w:val="single"/>
              </w:rPr>
              <w:t>Own funds requirements</w:t>
            </w:r>
            <w:r w:rsidRPr="00661595">
              <w:rPr>
                <w:rFonts w:ascii="Times New Roman" w:hAnsi="Times New Roman"/>
                <w:b/>
                <w:bCs/>
                <w:sz w:val="24"/>
                <w:u w:val="single"/>
                <w:lang w:eastAsia="de-DE"/>
              </w:rPr>
              <w:t xml:space="preserve"> for r</w:t>
            </w:r>
            <w:r w:rsidR="00BD5485" w:rsidRPr="00661595">
              <w:rPr>
                <w:rFonts w:ascii="Times New Roman" w:hAnsi="Times New Roman"/>
                <w:b/>
                <w:bCs/>
                <w:sz w:val="24"/>
                <w:u w:val="single"/>
                <w:lang w:eastAsia="de-DE"/>
              </w:rPr>
              <w:t xml:space="preserve">elevant credit exposures – Market risk </w:t>
            </w:r>
          </w:p>
          <w:p w:rsidR="00BD5485" w:rsidRPr="00661595" w:rsidRDefault="00BD5485" w:rsidP="00BD5485">
            <w:pPr>
              <w:autoSpaceDE w:val="0"/>
              <w:autoSpaceDN w:val="0"/>
              <w:adjustRightInd w:val="0"/>
              <w:rPr>
                <w:rFonts w:ascii="Times New Roman" w:hAnsi="Times New Roman"/>
                <w:sz w:val="24"/>
              </w:rPr>
            </w:pPr>
            <w:r w:rsidRPr="00661595">
              <w:rPr>
                <w:rFonts w:ascii="Times New Roman" w:hAnsi="Times New Roman"/>
                <w:sz w:val="24"/>
              </w:rPr>
              <w:t xml:space="preserve">Own funds requirements </w:t>
            </w:r>
            <w:r w:rsidR="00A37A04" w:rsidRPr="00661595">
              <w:rPr>
                <w:rFonts w:ascii="Times New Roman" w:hAnsi="Times New Roman"/>
                <w:sz w:val="24"/>
              </w:rPr>
              <w:t>calculated</w:t>
            </w:r>
            <w:r w:rsidRPr="00661595">
              <w:rPr>
                <w:rFonts w:ascii="Times New Roman" w:hAnsi="Times New Roman"/>
                <w:sz w:val="24"/>
              </w:rPr>
              <w:t xml:space="preserve"> in accordance with </w:t>
            </w:r>
            <w:r w:rsidR="002B004B" w:rsidRPr="00661595">
              <w:rPr>
                <w:rFonts w:ascii="Times New Roman" w:hAnsi="Times New Roman"/>
                <w:sz w:val="24"/>
              </w:rPr>
              <w:t xml:space="preserve">Chapter 2 of Title IV of </w:t>
            </w:r>
            <w:r w:rsidRPr="00661595">
              <w:rPr>
                <w:rFonts w:ascii="Times New Roman" w:hAnsi="Times New Roman"/>
                <w:sz w:val="24"/>
              </w:rPr>
              <w:t>Part Three</w:t>
            </w:r>
            <w:r w:rsidR="002B004B" w:rsidRPr="00661595">
              <w:rPr>
                <w:rFonts w:ascii="Times New Roman" w:hAnsi="Times New Roman"/>
                <w:sz w:val="24"/>
              </w:rPr>
              <w:t xml:space="preserve"> </w:t>
            </w:r>
            <w:r w:rsidR="00C7103D" w:rsidRPr="00661595">
              <w:rPr>
                <w:rFonts w:ascii="Times New Roman" w:hAnsi="Times New Roman"/>
                <w:sz w:val="24"/>
              </w:rPr>
              <w:t>CRR</w:t>
            </w:r>
            <w:r w:rsidRPr="00661595">
              <w:rPr>
                <w:rFonts w:ascii="Times New Roman" w:hAnsi="Times New Roman"/>
                <w:sz w:val="24"/>
              </w:rPr>
              <w:t xml:space="preserve"> for specific risk, or in accordance with </w:t>
            </w:r>
            <w:r w:rsidR="002B004B" w:rsidRPr="00661595">
              <w:rPr>
                <w:rFonts w:ascii="Times New Roman" w:hAnsi="Times New Roman"/>
                <w:sz w:val="24"/>
              </w:rPr>
              <w:t xml:space="preserve">Chapter 5 of Title IV of </w:t>
            </w:r>
            <w:r w:rsidRPr="00661595">
              <w:rPr>
                <w:rFonts w:ascii="Times New Roman" w:hAnsi="Times New Roman"/>
                <w:sz w:val="24"/>
              </w:rPr>
              <w:t>Part Three</w:t>
            </w:r>
            <w:r w:rsidR="002B004B" w:rsidRPr="00661595">
              <w:rPr>
                <w:rFonts w:ascii="Times New Roman" w:hAnsi="Times New Roman"/>
                <w:sz w:val="24"/>
              </w:rPr>
              <w:t xml:space="preserve"> </w:t>
            </w:r>
            <w:r w:rsidR="00C7103D" w:rsidRPr="00661595">
              <w:rPr>
                <w:rFonts w:ascii="Times New Roman" w:hAnsi="Times New Roman"/>
                <w:sz w:val="24"/>
              </w:rPr>
              <w:t>CRR</w:t>
            </w:r>
            <w:r w:rsidRPr="00661595">
              <w:rPr>
                <w:rFonts w:ascii="Times New Roman" w:hAnsi="Times New Roman"/>
                <w:sz w:val="24"/>
              </w:rPr>
              <w:t xml:space="preserve"> for incremental default and migration risk for relevant credit exposures</w:t>
            </w:r>
            <w:r w:rsidR="00A37A04" w:rsidRPr="00661595">
              <w:rPr>
                <w:rFonts w:ascii="Times New Roman" w:hAnsi="Times New Roman"/>
                <w:sz w:val="24"/>
              </w:rPr>
              <w:t xml:space="preserve"> as refer</w:t>
            </w:r>
            <w:r w:rsidR="008F7C56" w:rsidRPr="00661595">
              <w:rPr>
                <w:rFonts w:ascii="Times New Roman" w:hAnsi="Times New Roman"/>
                <w:sz w:val="24"/>
              </w:rPr>
              <w:t>r</w:t>
            </w:r>
            <w:r w:rsidR="00A37A04" w:rsidRPr="00661595">
              <w:rPr>
                <w:rFonts w:ascii="Times New Roman" w:hAnsi="Times New Roman"/>
                <w:sz w:val="24"/>
              </w:rPr>
              <w:t>ed to in</w:t>
            </w:r>
            <w:r w:rsidRPr="00661595">
              <w:rPr>
                <w:rFonts w:ascii="Times New Roman" w:hAnsi="Times New Roman"/>
                <w:sz w:val="24"/>
              </w:rPr>
              <w:t xml:space="preserve"> </w:t>
            </w:r>
            <w:r w:rsidR="002B004B" w:rsidRPr="00661595">
              <w:rPr>
                <w:rFonts w:ascii="Times New Roman" w:hAnsi="Times New Roman"/>
                <w:sz w:val="24"/>
              </w:rPr>
              <w:t xml:space="preserve">point (b) of </w:t>
            </w:r>
            <w:r w:rsidRPr="00661595">
              <w:rPr>
                <w:rFonts w:ascii="Times New Roman" w:hAnsi="Times New Roman"/>
                <w:sz w:val="24"/>
              </w:rPr>
              <w:t xml:space="preserve">Article 140(4) CRD, in the country in question. </w:t>
            </w:r>
          </w:p>
          <w:p w:rsidR="00BD5485" w:rsidRPr="00661595" w:rsidRDefault="00BD5485" w:rsidP="00A37A04">
            <w:pPr>
              <w:autoSpaceDE w:val="0"/>
              <w:autoSpaceDN w:val="0"/>
              <w:adjustRightInd w:val="0"/>
              <w:rPr>
                <w:rFonts w:ascii="Times New Roman" w:hAnsi="Times New Roman"/>
                <w:b/>
                <w:bCs/>
                <w:sz w:val="24"/>
                <w:u w:val="single"/>
                <w:lang w:eastAsia="de-DE"/>
              </w:rPr>
            </w:pPr>
            <w:r w:rsidRPr="00661595">
              <w:rPr>
                <w:rFonts w:ascii="Times New Roman" w:hAnsi="Times New Roman"/>
                <w:sz w:val="24"/>
              </w:rPr>
              <w:t xml:space="preserve">The own funds requirements for relevant credit exposures under the market risk framework </w:t>
            </w:r>
            <w:r w:rsidR="00A37A04" w:rsidRPr="00661595">
              <w:rPr>
                <w:rFonts w:ascii="Times New Roman" w:hAnsi="Times New Roman"/>
                <w:sz w:val="24"/>
              </w:rPr>
              <w:t xml:space="preserve">shall </w:t>
            </w:r>
            <w:r w:rsidRPr="00661595">
              <w:rPr>
                <w:rFonts w:ascii="Times New Roman" w:hAnsi="Times New Roman"/>
                <w:sz w:val="24"/>
              </w:rPr>
              <w:t>include</w:t>
            </w:r>
            <w:r w:rsidR="00CF5466" w:rsidRPr="00661595">
              <w:rPr>
                <w:rFonts w:ascii="Times New Roman" w:hAnsi="Times New Roman"/>
                <w:sz w:val="24"/>
              </w:rPr>
              <w:t>,</w:t>
            </w:r>
            <w:r w:rsidRPr="00661595">
              <w:rPr>
                <w:rFonts w:ascii="Times New Roman" w:hAnsi="Times New Roman"/>
                <w:sz w:val="24"/>
              </w:rPr>
              <w:t xml:space="preserve"> among others</w:t>
            </w:r>
            <w:r w:rsidR="00CF5466" w:rsidRPr="00661595">
              <w:rPr>
                <w:rFonts w:ascii="Times New Roman" w:hAnsi="Times New Roman"/>
                <w:sz w:val="24"/>
              </w:rPr>
              <w:t>,</w:t>
            </w:r>
            <w:r w:rsidRPr="00661595">
              <w:rPr>
                <w:rFonts w:ascii="Times New Roman" w:hAnsi="Times New Roman"/>
                <w:sz w:val="24"/>
              </w:rPr>
              <w:t xml:space="preserve"> the own fund requirements for securitisation positions </w:t>
            </w:r>
            <w:r w:rsidR="00A37A04" w:rsidRPr="00661595">
              <w:rPr>
                <w:rFonts w:ascii="Times New Roman" w:hAnsi="Times New Roman"/>
                <w:sz w:val="24"/>
              </w:rPr>
              <w:t xml:space="preserve">calculated in accordance with Chapter 2 of Title IV of </w:t>
            </w:r>
            <w:r w:rsidRPr="00661595">
              <w:rPr>
                <w:rFonts w:ascii="Times New Roman" w:hAnsi="Times New Roman"/>
                <w:sz w:val="24"/>
              </w:rPr>
              <w:t>Part Three, CRR and the own funds requirements for exposures to Collective Investment Undertakings determined in accordance with Article 348 CRR.</w:t>
            </w:r>
          </w:p>
        </w:tc>
      </w:tr>
      <w:tr w:rsidR="00BD5485" w:rsidRPr="00661595" w:rsidTr="00672D2A">
        <w:tc>
          <w:tcPr>
            <w:tcW w:w="1697" w:type="dxa"/>
          </w:tcPr>
          <w:p w:rsidR="00BD5485" w:rsidRPr="00661595" w:rsidRDefault="006E0E76" w:rsidP="00133107">
            <w:pPr>
              <w:rPr>
                <w:rFonts w:ascii="Times New Roman" w:hAnsi="Times New Roman"/>
                <w:sz w:val="24"/>
              </w:rPr>
            </w:pPr>
            <w:r w:rsidRPr="00661595">
              <w:rPr>
                <w:rFonts w:ascii="Times New Roman" w:hAnsi="Times New Roman"/>
                <w:sz w:val="24"/>
              </w:rPr>
              <w:t>0</w:t>
            </w:r>
            <w:r w:rsidR="00BD5485" w:rsidRPr="00661595">
              <w:rPr>
                <w:rFonts w:ascii="Times New Roman" w:hAnsi="Times New Roman"/>
                <w:sz w:val="24"/>
              </w:rPr>
              <w:t>100</w:t>
            </w:r>
          </w:p>
        </w:tc>
        <w:tc>
          <w:tcPr>
            <w:tcW w:w="8131" w:type="dxa"/>
          </w:tcPr>
          <w:p w:rsidR="00BD5485" w:rsidRPr="00661595" w:rsidRDefault="00C211DC" w:rsidP="00BD5485">
            <w:pPr>
              <w:rPr>
                <w:rFonts w:ascii="Times New Roman" w:hAnsi="Times New Roman"/>
                <w:b/>
                <w:bCs/>
                <w:sz w:val="24"/>
                <w:u w:val="single"/>
                <w:lang w:eastAsia="de-DE"/>
              </w:rPr>
            </w:pPr>
            <w:r w:rsidRPr="00661595">
              <w:rPr>
                <w:rFonts w:ascii="Times New Roman" w:hAnsi="Times New Roman"/>
                <w:b/>
                <w:sz w:val="24"/>
                <w:u w:val="single"/>
              </w:rPr>
              <w:t>Own funds requirements</w:t>
            </w:r>
            <w:r w:rsidRPr="00661595">
              <w:rPr>
                <w:rFonts w:ascii="Times New Roman" w:hAnsi="Times New Roman"/>
                <w:b/>
                <w:bCs/>
                <w:sz w:val="24"/>
                <w:u w:val="single"/>
                <w:lang w:eastAsia="de-DE"/>
              </w:rPr>
              <w:t xml:space="preserve"> for r</w:t>
            </w:r>
            <w:r w:rsidR="00BD5485" w:rsidRPr="00661595">
              <w:rPr>
                <w:rFonts w:ascii="Times New Roman" w:hAnsi="Times New Roman"/>
                <w:b/>
                <w:bCs/>
                <w:sz w:val="24"/>
                <w:u w:val="single"/>
                <w:lang w:eastAsia="de-DE"/>
              </w:rPr>
              <w:t>elevant credit exposures – Securitisation positions in the banking book</w:t>
            </w:r>
          </w:p>
          <w:p w:rsidR="00BD5485" w:rsidRPr="00661595" w:rsidRDefault="00BD5485" w:rsidP="00BD5485">
            <w:pPr>
              <w:autoSpaceDE w:val="0"/>
              <w:autoSpaceDN w:val="0"/>
              <w:adjustRightInd w:val="0"/>
              <w:rPr>
                <w:rFonts w:ascii="Times New Roman" w:hAnsi="Times New Roman"/>
                <w:sz w:val="24"/>
              </w:rPr>
            </w:pPr>
            <w:r w:rsidRPr="00661595">
              <w:rPr>
                <w:rFonts w:ascii="Times New Roman" w:hAnsi="Times New Roman"/>
                <w:sz w:val="24"/>
              </w:rPr>
              <w:t>Own funds requirements</w:t>
            </w:r>
            <w:r w:rsidR="00A37A04" w:rsidRPr="00661595">
              <w:rPr>
                <w:rFonts w:ascii="Times New Roman" w:hAnsi="Times New Roman"/>
                <w:sz w:val="24"/>
              </w:rPr>
              <w:t xml:space="preserve"> calculated</w:t>
            </w:r>
            <w:r w:rsidRPr="00661595">
              <w:rPr>
                <w:rFonts w:ascii="Times New Roman" w:hAnsi="Times New Roman"/>
                <w:sz w:val="24"/>
              </w:rPr>
              <w:t xml:space="preserve"> in accordance with </w:t>
            </w:r>
            <w:r w:rsidR="00A37A04" w:rsidRPr="00661595">
              <w:rPr>
                <w:rFonts w:ascii="Times New Roman" w:hAnsi="Times New Roman"/>
                <w:sz w:val="24"/>
              </w:rPr>
              <w:t xml:space="preserve">Chapter 5 of Title II of </w:t>
            </w:r>
            <w:r w:rsidRPr="00661595">
              <w:rPr>
                <w:rFonts w:ascii="Times New Roman" w:hAnsi="Times New Roman"/>
                <w:sz w:val="24"/>
              </w:rPr>
              <w:t xml:space="preserve">Part Three CRR for relevant credit exposures </w:t>
            </w:r>
            <w:r w:rsidR="00A37A04" w:rsidRPr="00661595">
              <w:rPr>
                <w:rFonts w:ascii="Times New Roman" w:hAnsi="Times New Roman"/>
                <w:sz w:val="24"/>
              </w:rPr>
              <w:t xml:space="preserve">as referred to in </w:t>
            </w:r>
            <w:r w:rsidR="002B004B" w:rsidRPr="00661595">
              <w:rPr>
                <w:rFonts w:ascii="Times New Roman" w:hAnsi="Times New Roman"/>
                <w:sz w:val="24"/>
              </w:rPr>
              <w:t xml:space="preserve">point (c) of </w:t>
            </w:r>
            <w:r w:rsidRPr="00661595">
              <w:rPr>
                <w:rFonts w:ascii="Times New Roman" w:hAnsi="Times New Roman"/>
                <w:sz w:val="24"/>
              </w:rPr>
              <w:t>Article 140(4) CRD in the country in question.</w:t>
            </w:r>
          </w:p>
          <w:p w:rsidR="00BD5485" w:rsidRPr="00661595" w:rsidRDefault="00BD5485" w:rsidP="00A37A04">
            <w:pPr>
              <w:rPr>
                <w:rFonts w:ascii="Times New Roman" w:hAnsi="Times New Roman"/>
                <w:b/>
                <w:bCs/>
                <w:sz w:val="24"/>
                <w:u w:val="single"/>
                <w:lang w:eastAsia="de-DE"/>
              </w:rPr>
            </w:pPr>
            <w:r w:rsidRPr="00661595">
              <w:rPr>
                <w:rFonts w:ascii="Times New Roman" w:hAnsi="Times New Roman"/>
                <w:sz w:val="24"/>
              </w:rPr>
              <w:t xml:space="preserve">The own-funds requirements are 8% of the risk-weighted exposure amount </w:t>
            </w:r>
            <w:r w:rsidR="00A37A04" w:rsidRPr="00661595">
              <w:rPr>
                <w:rFonts w:ascii="Times New Roman" w:hAnsi="Times New Roman"/>
                <w:sz w:val="24"/>
              </w:rPr>
              <w:t xml:space="preserve">calculated </w:t>
            </w:r>
            <w:r w:rsidR="00BB22D4" w:rsidRPr="00661595">
              <w:rPr>
                <w:rFonts w:ascii="Times New Roman" w:hAnsi="Times New Roman"/>
                <w:sz w:val="24"/>
              </w:rPr>
              <w:t>in accordance with</w:t>
            </w:r>
            <w:r w:rsidRPr="00661595">
              <w:rPr>
                <w:rFonts w:ascii="Times New Roman" w:hAnsi="Times New Roman"/>
                <w:sz w:val="24"/>
              </w:rPr>
              <w:t xml:space="preserve"> </w:t>
            </w:r>
            <w:r w:rsidR="00A37A04" w:rsidRPr="00661595">
              <w:rPr>
                <w:rFonts w:ascii="Times New Roman" w:hAnsi="Times New Roman"/>
                <w:sz w:val="24"/>
              </w:rPr>
              <w:t xml:space="preserve">Chapter 5 of Title II of </w:t>
            </w:r>
            <w:r w:rsidRPr="00661595">
              <w:rPr>
                <w:rFonts w:ascii="Times New Roman" w:hAnsi="Times New Roman"/>
                <w:sz w:val="24"/>
              </w:rPr>
              <w:t>Part Three, CRR.</w:t>
            </w:r>
          </w:p>
        </w:tc>
      </w:tr>
      <w:tr w:rsidR="00BD5485" w:rsidRPr="00661595" w:rsidTr="00672D2A">
        <w:tc>
          <w:tcPr>
            <w:tcW w:w="1697" w:type="dxa"/>
          </w:tcPr>
          <w:p w:rsidR="00BD5485" w:rsidRPr="00661595" w:rsidRDefault="006E0E76" w:rsidP="00133107">
            <w:pPr>
              <w:rPr>
                <w:rFonts w:ascii="Times New Roman" w:hAnsi="Times New Roman"/>
                <w:sz w:val="24"/>
              </w:rPr>
            </w:pPr>
            <w:r w:rsidRPr="00661595">
              <w:rPr>
                <w:rFonts w:ascii="Times New Roman" w:hAnsi="Times New Roman"/>
                <w:sz w:val="24"/>
              </w:rPr>
              <w:t>0</w:t>
            </w:r>
            <w:r w:rsidR="00BD5485" w:rsidRPr="00661595">
              <w:rPr>
                <w:rFonts w:ascii="Times New Roman" w:hAnsi="Times New Roman"/>
                <w:sz w:val="24"/>
              </w:rPr>
              <w:t>110</w:t>
            </w:r>
          </w:p>
        </w:tc>
        <w:tc>
          <w:tcPr>
            <w:tcW w:w="8131" w:type="dxa"/>
          </w:tcPr>
          <w:p w:rsidR="00966663" w:rsidRPr="00661595" w:rsidRDefault="00966663" w:rsidP="00966663">
            <w:pPr>
              <w:rPr>
                <w:rFonts w:ascii="Times New Roman" w:hAnsi="Times New Roman"/>
                <w:b/>
                <w:bCs/>
                <w:sz w:val="24"/>
                <w:u w:val="single"/>
                <w:lang w:eastAsia="de-DE"/>
              </w:rPr>
            </w:pPr>
            <w:r w:rsidRPr="00661595">
              <w:rPr>
                <w:rFonts w:ascii="Times New Roman" w:hAnsi="Times New Roman"/>
                <w:b/>
                <w:bCs/>
                <w:sz w:val="24"/>
                <w:u w:val="single"/>
                <w:lang w:eastAsia="de-DE"/>
              </w:rPr>
              <w:t>Own funds requirements weights</w:t>
            </w:r>
          </w:p>
          <w:p w:rsidR="00966663" w:rsidRPr="00661595" w:rsidRDefault="00966663" w:rsidP="00966663">
            <w:pPr>
              <w:rPr>
                <w:rFonts w:ascii="Times New Roman" w:hAnsi="Times New Roman"/>
                <w:sz w:val="24"/>
              </w:rPr>
            </w:pPr>
            <w:r w:rsidRPr="00661595">
              <w:rPr>
                <w:rFonts w:ascii="Times New Roman" w:hAnsi="Times New Roman"/>
                <w:sz w:val="24"/>
              </w:rPr>
              <w:t xml:space="preserve">The weight applied to the countercyclical buffer rate in each country </w:t>
            </w:r>
            <w:r w:rsidR="00A37A04" w:rsidRPr="00661595">
              <w:rPr>
                <w:rFonts w:ascii="Times New Roman" w:hAnsi="Times New Roman"/>
                <w:sz w:val="24"/>
              </w:rPr>
              <w:t>shall be</w:t>
            </w:r>
            <w:r w:rsidRPr="00661595">
              <w:rPr>
                <w:rFonts w:ascii="Times New Roman" w:hAnsi="Times New Roman"/>
                <w:sz w:val="24"/>
              </w:rPr>
              <w:t xml:space="preserve"> calculated as a ratio of own fund requirements, determined as follows:</w:t>
            </w:r>
          </w:p>
          <w:p w:rsidR="00966663" w:rsidRPr="00661595" w:rsidRDefault="00966663" w:rsidP="00966663">
            <w:pPr>
              <w:rPr>
                <w:rFonts w:ascii="Times New Roman" w:hAnsi="Times New Roman"/>
                <w:sz w:val="24"/>
              </w:rPr>
            </w:pPr>
            <w:r w:rsidRPr="00661595">
              <w:rPr>
                <w:rFonts w:ascii="Times New Roman" w:hAnsi="Times New Roman"/>
                <w:sz w:val="24"/>
              </w:rPr>
              <w:t>1.</w:t>
            </w:r>
            <w:r w:rsidRPr="00661595">
              <w:rPr>
                <w:rFonts w:ascii="Times New Roman" w:hAnsi="Times New Roman"/>
                <w:sz w:val="24"/>
              </w:rPr>
              <w:tab/>
              <w:t>Numerator: The total own funds requirements that relate to the relevant credit exposures in the country in question [r</w:t>
            </w:r>
            <w:r w:rsidR="006E0E76" w:rsidRPr="00661595">
              <w:rPr>
                <w:rFonts w:ascii="Times New Roman" w:hAnsi="Times New Roman"/>
                <w:sz w:val="24"/>
              </w:rPr>
              <w:t>0</w:t>
            </w:r>
            <w:r w:rsidRPr="00661595">
              <w:rPr>
                <w:rFonts w:ascii="Times New Roman" w:hAnsi="Times New Roman"/>
                <w:sz w:val="24"/>
              </w:rPr>
              <w:t xml:space="preserve">070; </w:t>
            </w:r>
            <w:r w:rsidR="002305D2" w:rsidRPr="00661595">
              <w:rPr>
                <w:rFonts w:ascii="Times New Roman" w:hAnsi="Times New Roman"/>
                <w:sz w:val="24"/>
              </w:rPr>
              <w:t>c</w:t>
            </w:r>
            <w:r w:rsidR="006E0E76" w:rsidRPr="00661595">
              <w:rPr>
                <w:rFonts w:ascii="Times New Roman" w:hAnsi="Times New Roman"/>
                <w:sz w:val="24"/>
              </w:rPr>
              <w:t>0</w:t>
            </w:r>
            <w:r w:rsidR="002305D2" w:rsidRPr="00661595">
              <w:rPr>
                <w:rFonts w:ascii="Times New Roman" w:hAnsi="Times New Roman"/>
                <w:sz w:val="24"/>
              </w:rPr>
              <w:t>010</w:t>
            </w:r>
            <w:r w:rsidR="008F7C56" w:rsidRPr="00661595">
              <w:rPr>
                <w:rFonts w:ascii="Times New Roman" w:hAnsi="Times New Roman"/>
                <w:sz w:val="24"/>
              </w:rPr>
              <w:t>;</w:t>
            </w:r>
            <w:r w:rsidR="002305D2" w:rsidRPr="00661595">
              <w:rPr>
                <w:rFonts w:ascii="Times New Roman" w:hAnsi="Times New Roman"/>
                <w:sz w:val="24"/>
              </w:rPr>
              <w:t xml:space="preserve"> </w:t>
            </w:r>
            <w:r w:rsidRPr="00661595">
              <w:rPr>
                <w:rFonts w:ascii="Times New Roman" w:hAnsi="Times New Roman"/>
                <w:sz w:val="24"/>
              </w:rPr>
              <w:t>country</w:t>
            </w:r>
            <w:r w:rsidR="00DF30EB" w:rsidRPr="00661595">
              <w:rPr>
                <w:rFonts w:ascii="Times New Roman" w:hAnsi="Times New Roman"/>
                <w:sz w:val="24"/>
              </w:rPr>
              <w:t xml:space="preserve"> sheet</w:t>
            </w:r>
            <w:r w:rsidRPr="00661595">
              <w:rPr>
                <w:rFonts w:ascii="Times New Roman" w:hAnsi="Times New Roman"/>
                <w:sz w:val="24"/>
              </w:rPr>
              <w:t xml:space="preserve"> ], </w:t>
            </w:r>
          </w:p>
          <w:p w:rsidR="00BD5485" w:rsidRPr="00661595" w:rsidRDefault="00966663" w:rsidP="00CF5466">
            <w:pPr>
              <w:rPr>
                <w:rFonts w:ascii="Times New Roman" w:hAnsi="Times New Roman"/>
                <w:b/>
                <w:bCs/>
                <w:sz w:val="24"/>
                <w:u w:val="single"/>
                <w:lang w:eastAsia="de-DE"/>
              </w:rPr>
            </w:pPr>
            <w:r w:rsidRPr="00661595">
              <w:rPr>
                <w:rFonts w:ascii="Times New Roman" w:hAnsi="Times New Roman"/>
                <w:sz w:val="24"/>
              </w:rPr>
              <w:t>2.</w:t>
            </w:r>
            <w:r w:rsidRPr="00661595">
              <w:rPr>
                <w:rFonts w:ascii="Times New Roman" w:hAnsi="Times New Roman"/>
                <w:sz w:val="24"/>
              </w:rPr>
              <w:tab/>
              <w:t xml:space="preserve">Denominator: The total own funds requirements that relate to all credit exposures relevant for the calculation of the countercyclical buffer </w:t>
            </w:r>
            <w:r w:rsidR="00A37A04" w:rsidRPr="00661595">
              <w:rPr>
                <w:rFonts w:ascii="Times New Roman" w:hAnsi="Times New Roman"/>
                <w:sz w:val="24"/>
              </w:rPr>
              <w:t xml:space="preserve">as referred to in </w:t>
            </w:r>
            <w:r w:rsidRPr="00661595">
              <w:rPr>
                <w:rFonts w:ascii="Times New Roman" w:hAnsi="Times New Roman"/>
                <w:sz w:val="24"/>
              </w:rPr>
              <w:t xml:space="preserve">Article 140(4) CRD </w:t>
            </w:r>
            <w:r w:rsidR="00CF5466" w:rsidRPr="00661595">
              <w:rPr>
                <w:rFonts w:ascii="Times New Roman" w:hAnsi="Times New Roman"/>
                <w:sz w:val="24"/>
              </w:rPr>
              <w:t>[</w:t>
            </w:r>
            <w:r w:rsidRPr="00661595">
              <w:rPr>
                <w:rFonts w:ascii="Times New Roman" w:hAnsi="Times New Roman"/>
                <w:sz w:val="24"/>
              </w:rPr>
              <w:t>r</w:t>
            </w:r>
            <w:r w:rsidR="006E0E76" w:rsidRPr="00661595">
              <w:rPr>
                <w:rFonts w:ascii="Times New Roman" w:hAnsi="Times New Roman"/>
                <w:sz w:val="24"/>
              </w:rPr>
              <w:t>0</w:t>
            </w:r>
            <w:r w:rsidRPr="00661595">
              <w:rPr>
                <w:rFonts w:ascii="Times New Roman" w:hAnsi="Times New Roman"/>
                <w:sz w:val="24"/>
              </w:rPr>
              <w:t>070;</w:t>
            </w:r>
            <w:r w:rsidR="00417984" w:rsidRPr="00661595">
              <w:rPr>
                <w:rFonts w:ascii="Times New Roman" w:hAnsi="Times New Roman"/>
                <w:sz w:val="24"/>
              </w:rPr>
              <w:t xml:space="preserve"> </w:t>
            </w:r>
            <w:r w:rsidR="002305D2" w:rsidRPr="00661595">
              <w:rPr>
                <w:rFonts w:ascii="Times New Roman" w:hAnsi="Times New Roman"/>
                <w:sz w:val="24"/>
              </w:rPr>
              <w:t>c</w:t>
            </w:r>
            <w:r w:rsidR="006E0E76" w:rsidRPr="00661595">
              <w:rPr>
                <w:rFonts w:ascii="Times New Roman" w:hAnsi="Times New Roman"/>
                <w:sz w:val="24"/>
              </w:rPr>
              <w:t>0</w:t>
            </w:r>
            <w:r w:rsidR="002305D2" w:rsidRPr="00661595">
              <w:rPr>
                <w:rFonts w:ascii="Times New Roman" w:hAnsi="Times New Roman"/>
                <w:sz w:val="24"/>
              </w:rPr>
              <w:t>010</w:t>
            </w:r>
            <w:r w:rsidR="00DF30EB" w:rsidRPr="00661595">
              <w:rPr>
                <w:rFonts w:ascii="Times New Roman" w:hAnsi="Times New Roman"/>
                <w:sz w:val="24"/>
              </w:rPr>
              <w:t xml:space="preserve">; </w:t>
            </w:r>
            <w:r w:rsidRPr="00661595">
              <w:rPr>
                <w:rFonts w:ascii="Times New Roman" w:hAnsi="Times New Roman"/>
                <w:sz w:val="24"/>
              </w:rPr>
              <w:t>’Total’</w:t>
            </w:r>
            <w:r w:rsidR="00CF5466" w:rsidRPr="00661595">
              <w:rPr>
                <w:rFonts w:ascii="Times New Roman" w:hAnsi="Times New Roman"/>
                <w:sz w:val="24"/>
              </w:rPr>
              <w:t>]</w:t>
            </w:r>
            <w:r w:rsidRPr="00661595">
              <w:rPr>
                <w:rFonts w:ascii="Times New Roman" w:hAnsi="Times New Roman"/>
                <w:sz w:val="24"/>
              </w:rPr>
              <w:t>.</w:t>
            </w:r>
          </w:p>
          <w:p w:rsidR="003B00F4" w:rsidRPr="00661595" w:rsidRDefault="003B00F4" w:rsidP="003B00F4">
            <w:pPr>
              <w:rPr>
                <w:rFonts w:ascii="Times New Roman" w:hAnsi="Times New Roman"/>
                <w:b/>
                <w:bCs/>
                <w:sz w:val="24"/>
                <w:u w:val="single"/>
                <w:lang w:eastAsia="de-DE"/>
              </w:rPr>
            </w:pPr>
            <w:r w:rsidRPr="00661595">
              <w:rPr>
                <w:rFonts w:ascii="Times New Roman" w:hAnsi="Times New Roman"/>
                <w:sz w:val="24"/>
              </w:rPr>
              <w:t>Information on the Own fund requirements weights shall not be reported for the ‘Total’ of all countries.</w:t>
            </w:r>
          </w:p>
        </w:tc>
      </w:tr>
      <w:tr w:rsidR="00966663" w:rsidRPr="00661595" w:rsidTr="00672D2A">
        <w:tc>
          <w:tcPr>
            <w:tcW w:w="1697" w:type="dxa"/>
          </w:tcPr>
          <w:p w:rsidR="00966663" w:rsidRPr="00661595" w:rsidRDefault="006E0E76" w:rsidP="00133107">
            <w:pPr>
              <w:rPr>
                <w:rFonts w:ascii="Times New Roman" w:hAnsi="Times New Roman"/>
                <w:sz w:val="24"/>
              </w:rPr>
            </w:pPr>
            <w:r w:rsidRPr="00661595">
              <w:rPr>
                <w:rFonts w:ascii="Times New Roman" w:hAnsi="Times New Roman"/>
                <w:sz w:val="24"/>
              </w:rPr>
              <w:t>0</w:t>
            </w:r>
            <w:r w:rsidR="00966663" w:rsidRPr="00661595">
              <w:rPr>
                <w:rFonts w:ascii="Times New Roman" w:hAnsi="Times New Roman"/>
                <w:sz w:val="24"/>
              </w:rPr>
              <w:t>120-</w:t>
            </w:r>
            <w:r w:rsidRPr="00661595">
              <w:rPr>
                <w:rFonts w:ascii="Times New Roman" w:hAnsi="Times New Roman"/>
                <w:sz w:val="24"/>
              </w:rPr>
              <w:t>0</w:t>
            </w:r>
            <w:r w:rsidR="00966663" w:rsidRPr="00661595">
              <w:rPr>
                <w:rFonts w:ascii="Times New Roman" w:hAnsi="Times New Roman"/>
                <w:sz w:val="24"/>
              </w:rPr>
              <w:t>140</w:t>
            </w:r>
          </w:p>
        </w:tc>
        <w:tc>
          <w:tcPr>
            <w:tcW w:w="8131" w:type="dxa"/>
          </w:tcPr>
          <w:p w:rsidR="00966663" w:rsidRPr="00661595" w:rsidRDefault="00966663" w:rsidP="00133107">
            <w:pPr>
              <w:rPr>
                <w:rFonts w:ascii="Times New Roman" w:hAnsi="Times New Roman"/>
                <w:b/>
                <w:bCs/>
                <w:sz w:val="24"/>
                <w:u w:val="single"/>
                <w:lang w:eastAsia="de-DE"/>
              </w:rPr>
            </w:pPr>
            <w:r w:rsidRPr="00661595">
              <w:rPr>
                <w:rFonts w:ascii="Times New Roman" w:hAnsi="Times New Roman"/>
                <w:b/>
                <w:bCs/>
                <w:sz w:val="24"/>
                <w:u w:val="single"/>
                <w:lang w:eastAsia="de-DE"/>
              </w:rPr>
              <w:t>Countercyclical buffer rates</w:t>
            </w:r>
          </w:p>
        </w:tc>
      </w:tr>
      <w:tr w:rsidR="00966663" w:rsidRPr="00661595" w:rsidTr="00672D2A">
        <w:tc>
          <w:tcPr>
            <w:tcW w:w="1697" w:type="dxa"/>
          </w:tcPr>
          <w:p w:rsidR="00966663" w:rsidRPr="00661595" w:rsidRDefault="006E0E76" w:rsidP="00133107">
            <w:pPr>
              <w:rPr>
                <w:rFonts w:ascii="Times New Roman" w:hAnsi="Times New Roman"/>
                <w:sz w:val="24"/>
              </w:rPr>
            </w:pPr>
            <w:r w:rsidRPr="00661595">
              <w:rPr>
                <w:rFonts w:ascii="Times New Roman" w:hAnsi="Times New Roman"/>
                <w:sz w:val="24"/>
              </w:rPr>
              <w:t>0</w:t>
            </w:r>
            <w:r w:rsidR="00966663" w:rsidRPr="00661595">
              <w:rPr>
                <w:rFonts w:ascii="Times New Roman" w:hAnsi="Times New Roman"/>
                <w:sz w:val="24"/>
              </w:rPr>
              <w:t>120</w:t>
            </w:r>
          </w:p>
        </w:tc>
        <w:tc>
          <w:tcPr>
            <w:tcW w:w="8131" w:type="dxa"/>
          </w:tcPr>
          <w:p w:rsidR="00966663" w:rsidRPr="00661595" w:rsidRDefault="00966663" w:rsidP="00133107">
            <w:pPr>
              <w:rPr>
                <w:rFonts w:ascii="Times New Roman" w:hAnsi="Times New Roman"/>
                <w:b/>
                <w:bCs/>
                <w:sz w:val="24"/>
                <w:u w:val="single"/>
                <w:lang w:eastAsia="de-DE"/>
              </w:rPr>
            </w:pPr>
            <w:r w:rsidRPr="00661595">
              <w:rPr>
                <w:rFonts w:ascii="Times New Roman" w:hAnsi="Times New Roman"/>
                <w:b/>
                <w:bCs/>
                <w:sz w:val="24"/>
                <w:u w:val="single"/>
                <w:lang w:eastAsia="de-DE"/>
              </w:rPr>
              <w:t>Countercyclical capital buffer rate set by the Designated Authority</w:t>
            </w:r>
          </w:p>
          <w:p w:rsidR="00966663" w:rsidRPr="00661595" w:rsidRDefault="00966663" w:rsidP="00133107">
            <w:pPr>
              <w:autoSpaceDE w:val="0"/>
              <w:autoSpaceDN w:val="0"/>
              <w:adjustRightInd w:val="0"/>
              <w:rPr>
                <w:rFonts w:ascii="Times New Roman" w:hAnsi="Times New Roman"/>
                <w:sz w:val="24"/>
              </w:rPr>
            </w:pPr>
            <w:r w:rsidRPr="00661595">
              <w:rPr>
                <w:rFonts w:ascii="Times New Roman" w:hAnsi="Times New Roman"/>
                <w:sz w:val="24"/>
              </w:rPr>
              <w:t xml:space="preserve">Countercyclical capital buffer rate set </w:t>
            </w:r>
            <w:r w:rsidR="008B2119" w:rsidRPr="00661595">
              <w:rPr>
                <w:rFonts w:ascii="Times New Roman" w:hAnsi="Times New Roman"/>
                <w:sz w:val="24"/>
              </w:rPr>
              <w:t xml:space="preserve">for </w:t>
            </w:r>
            <w:r w:rsidRPr="00661595">
              <w:rPr>
                <w:rFonts w:ascii="Times New Roman" w:hAnsi="Times New Roman"/>
                <w:sz w:val="24"/>
              </w:rPr>
              <w:t xml:space="preserve">the country in question by the Designated Authority of that country in accordance with </w:t>
            </w:r>
            <w:r w:rsidR="00D47CD7" w:rsidRPr="00661595">
              <w:rPr>
                <w:rFonts w:ascii="Times New Roman" w:hAnsi="Times New Roman"/>
                <w:sz w:val="24"/>
              </w:rPr>
              <w:t>Article</w:t>
            </w:r>
            <w:r w:rsidR="00A37A04" w:rsidRPr="00661595">
              <w:rPr>
                <w:rFonts w:ascii="Times New Roman" w:hAnsi="Times New Roman"/>
                <w:sz w:val="24"/>
              </w:rPr>
              <w:t>s</w:t>
            </w:r>
            <w:r w:rsidR="00D47CD7" w:rsidRPr="00661595">
              <w:rPr>
                <w:rFonts w:ascii="Times New Roman" w:hAnsi="Times New Roman"/>
                <w:sz w:val="24"/>
              </w:rPr>
              <w:t xml:space="preserve"> 136, 137, 139, </w:t>
            </w:r>
            <w:r w:rsidR="00D21B29" w:rsidRPr="00661595">
              <w:rPr>
                <w:rFonts w:ascii="Times New Roman" w:hAnsi="Times New Roman"/>
                <w:sz w:val="24"/>
              </w:rPr>
              <w:t xml:space="preserve">points (a) and (c) of Article </w:t>
            </w:r>
            <w:r w:rsidR="00D47CD7" w:rsidRPr="00661595">
              <w:rPr>
                <w:rFonts w:ascii="Times New Roman" w:hAnsi="Times New Roman"/>
                <w:sz w:val="24"/>
              </w:rPr>
              <w:t xml:space="preserve">140(2) and </w:t>
            </w:r>
            <w:r w:rsidR="00D21B29" w:rsidRPr="00661595">
              <w:rPr>
                <w:rFonts w:ascii="Times New Roman" w:hAnsi="Times New Roman"/>
                <w:sz w:val="24"/>
              </w:rPr>
              <w:t xml:space="preserve">point (b) of Article </w:t>
            </w:r>
            <w:r w:rsidR="00D47CD7" w:rsidRPr="00661595">
              <w:rPr>
                <w:rFonts w:ascii="Times New Roman" w:hAnsi="Times New Roman"/>
                <w:sz w:val="24"/>
              </w:rPr>
              <w:t>140(3) CRD.</w:t>
            </w:r>
          </w:p>
          <w:p w:rsidR="00C4425F" w:rsidRPr="00661595" w:rsidRDefault="00966663" w:rsidP="00133107">
            <w:pPr>
              <w:autoSpaceDE w:val="0"/>
              <w:autoSpaceDN w:val="0"/>
              <w:adjustRightInd w:val="0"/>
              <w:rPr>
                <w:rFonts w:ascii="Times New Roman" w:hAnsi="Times New Roman"/>
                <w:sz w:val="24"/>
              </w:rPr>
            </w:pPr>
            <w:r w:rsidRPr="00661595">
              <w:rPr>
                <w:rFonts w:ascii="Times New Roman" w:hAnsi="Times New Roman"/>
                <w:sz w:val="24"/>
              </w:rPr>
              <w:t>This row</w:t>
            </w:r>
            <w:r w:rsidR="00AA7658" w:rsidRPr="00661595">
              <w:rPr>
                <w:rFonts w:ascii="Times New Roman" w:hAnsi="Times New Roman"/>
                <w:sz w:val="24"/>
              </w:rPr>
              <w:t xml:space="preserve"> shall </w:t>
            </w:r>
            <w:r w:rsidRPr="00661595">
              <w:rPr>
                <w:rFonts w:ascii="Times New Roman" w:hAnsi="Times New Roman"/>
                <w:sz w:val="24"/>
              </w:rPr>
              <w:t xml:space="preserve">be left empty when no countercyclical buffer rate was set </w:t>
            </w:r>
            <w:r w:rsidR="008B2119" w:rsidRPr="00661595">
              <w:rPr>
                <w:rFonts w:ascii="Times New Roman" w:hAnsi="Times New Roman"/>
                <w:sz w:val="24"/>
              </w:rPr>
              <w:t>for</w:t>
            </w:r>
            <w:r w:rsidRPr="00661595">
              <w:rPr>
                <w:rFonts w:ascii="Times New Roman" w:hAnsi="Times New Roman"/>
                <w:sz w:val="24"/>
              </w:rPr>
              <w:t xml:space="preserve"> the country in question by the Designated Authority of that country.</w:t>
            </w:r>
          </w:p>
          <w:p w:rsidR="00C4425F" w:rsidRPr="00661595" w:rsidRDefault="00966663" w:rsidP="00133107">
            <w:pPr>
              <w:autoSpaceDE w:val="0"/>
              <w:autoSpaceDN w:val="0"/>
              <w:adjustRightInd w:val="0"/>
              <w:rPr>
                <w:rFonts w:ascii="Times New Roman" w:hAnsi="Times New Roman"/>
                <w:sz w:val="24"/>
              </w:rPr>
            </w:pPr>
            <w:r w:rsidRPr="00661595">
              <w:rPr>
                <w:rFonts w:ascii="Times New Roman" w:hAnsi="Times New Roman"/>
                <w:sz w:val="24"/>
              </w:rPr>
              <w:t>Countercyclical capital buffer rates that were set by the Designated Authority but are not yet applicable in the country in question at the reporting reference date shall not be reported.</w:t>
            </w:r>
          </w:p>
          <w:p w:rsidR="00966663" w:rsidRPr="00661595" w:rsidRDefault="00966663" w:rsidP="000E6835">
            <w:pPr>
              <w:rPr>
                <w:rFonts w:ascii="Times New Roman" w:hAnsi="Times New Roman"/>
                <w:b/>
                <w:bCs/>
                <w:sz w:val="24"/>
                <w:u w:val="single"/>
                <w:lang w:eastAsia="de-DE"/>
              </w:rPr>
            </w:pPr>
            <w:r w:rsidRPr="00661595">
              <w:rPr>
                <w:rFonts w:ascii="Times New Roman" w:hAnsi="Times New Roman"/>
                <w:sz w:val="24"/>
              </w:rPr>
              <w:t xml:space="preserve">Information on the Countercyclical capital buffer rate set by the Designated Authority </w:t>
            </w:r>
            <w:r w:rsidR="000E6835" w:rsidRPr="00661595">
              <w:rPr>
                <w:rFonts w:ascii="Times New Roman" w:hAnsi="Times New Roman"/>
                <w:sz w:val="24"/>
              </w:rPr>
              <w:t>shall</w:t>
            </w:r>
            <w:r w:rsidRPr="00661595">
              <w:rPr>
                <w:rFonts w:ascii="Times New Roman" w:hAnsi="Times New Roman"/>
                <w:sz w:val="24"/>
              </w:rPr>
              <w:t xml:space="preserve"> not </w:t>
            </w:r>
            <w:r w:rsidR="000E6835" w:rsidRPr="00661595">
              <w:rPr>
                <w:rFonts w:ascii="Times New Roman" w:hAnsi="Times New Roman"/>
                <w:sz w:val="24"/>
              </w:rPr>
              <w:t xml:space="preserve">be reported for the ‘Total’ of all countries. </w:t>
            </w:r>
          </w:p>
        </w:tc>
      </w:tr>
      <w:tr w:rsidR="00966663" w:rsidRPr="00661595" w:rsidTr="00672D2A">
        <w:tc>
          <w:tcPr>
            <w:tcW w:w="1697" w:type="dxa"/>
          </w:tcPr>
          <w:p w:rsidR="00966663" w:rsidRPr="00661595" w:rsidRDefault="006E0E76" w:rsidP="00133107">
            <w:pPr>
              <w:rPr>
                <w:rFonts w:ascii="Times New Roman" w:hAnsi="Times New Roman"/>
                <w:sz w:val="24"/>
              </w:rPr>
            </w:pPr>
            <w:r w:rsidRPr="00661595">
              <w:rPr>
                <w:rFonts w:ascii="Times New Roman" w:hAnsi="Times New Roman"/>
                <w:sz w:val="24"/>
              </w:rPr>
              <w:t>0</w:t>
            </w:r>
            <w:r w:rsidR="00966663" w:rsidRPr="00661595">
              <w:rPr>
                <w:rFonts w:ascii="Times New Roman" w:hAnsi="Times New Roman"/>
                <w:sz w:val="24"/>
              </w:rPr>
              <w:t>130</w:t>
            </w:r>
          </w:p>
        </w:tc>
        <w:tc>
          <w:tcPr>
            <w:tcW w:w="8131" w:type="dxa"/>
          </w:tcPr>
          <w:p w:rsidR="00966663" w:rsidRPr="00661595" w:rsidRDefault="00966663" w:rsidP="00133107">
            <w:pPr>
              <w:rPr>
                <w:rFonts w:ascii="Times New Roman" w:hAnsi="Times New Roman"/>
                <w:b/>
                <w:bCs/>
                <w:sz w:val="24"/>
                <w:u w:val="single"/>
                <w:lang w:eastAsia="de-DE"/>
              </w:rPr>
            </w:pPr>
            <w:r w:rsidRPr="00661595">
              <w:rPr>
                <w:rFonts w:ascii="Times New Roman" w:hAnsi="Times New Roman"/>
                <w:b/>
                <w:bCs/>
                <w:sz w:val="24"/>
                <w:u w:val="single"/>
                <w:lang w:eastAsia="de-DE"/>
              </w:rPr>
              <w:t xml:space="preserve">Countercyclical capital buffer rate applicable </w:t>
            </w:r>
            <w:r w:rsidR="00D1786A" w:rsidRPr="00661595">
              <w:rPr>
                <w:rFonts w:ascii="Times New Roman" w:hAnsi="Times New Roman"/>
                <w:b/>
                <w:bCs/>
                <w:sz w:val="24"/>
                <w:u w:val="single"/>
                <w:lang w:eastAsia="de-DE"/>
              </w:rPr>
              <w:t>for</w:t>
            </w:r>
            <w:r w:rsidRPr="00661595">
              <w:rPr>
                <w:rFonts w:ascii="Times New Roman" w:hAnsi="Times New Roman"/>
                <w:b/>
                <w:bCs/>
                <w:sz w:val="24"/>
                <w:u w:val="single"/>
                <w:lang w:eastAsia="de-DE"/>
              </w:rPr>
              <w:t xml:space="preserve"> the country of the institution</w:t>
            </w:r>
          </w:p>
          <w:p w:rsidR="00C4425F" w:rsidRPr="00661595" w:rsidRDefault="00966663" w:rsidP="00133107">
            <w:pPr>
              <w:autoSpaceDE w:val="0"/>
              <w:autoSpaceDN w:val="0"/>
              <w:adjustRightInd w:val="0"/>
              <w:rPr>
                <w:rFonts w:ascii="Times New Roman" w:hAnsi="Times New Roman"/>
                <w:sz w:val="24"/>
              </w:rPr>
            </w:pPr>
            <w:r w:rsidRPr="00661595">
              <w:rPr>
                <w:rFonts w:ascii="Times New Roman" w:hAnsi="Times New Roman"/>
                <w:sz w:val="24"/>
              </w:rPr>
              <w:t xml:space="preserve">Countercyclical capital buffer rate applicable </w:t>
            </w:r>
            <w:r w:rsidR="008B2119" w:rsidRPr="00661595">
              <w:rPr>
                <w:rFonts w:ascii="Times New Roman" w:hAnsi="Times New Roman"/>
                <w:sz w:val="24"/>
              </w:rPr>
              <w:t xml:space="preserve">for the country in question which was set by the Designated Authority of the </w:t>
            </w:r>
            <w:r w:rsidRPr="00661595">
              <w:rPr>
                <w:rFonts w:ascii="Times New Roman" w:hAnsi="Times New Roman"/>
                <w:sz w:val="24"/>
              </w:rPr>
              <w:t>country</w:t>
            </w:r>
            <w:r w:rsidR="008B2119" w:rsidRPr="00661595">
              <w:rPr>
                <w:rFonts w:ascii="Times New Roman" w:hAnsi="Times New Roman"/>
                <w:sz w:val="24"/>
              </w:rPr>
              <w:t xml:space="preserve"> of residence</w:t>
            </w:r>
            <w:r w:rsidRPr="00661595">
              <w:rPr>
                <w:rFonts w:ascii="Times New Roman" w:hAnsi="Times New Roman"/>
                <w:sz w:val="24"/>
              </w:rPr>
              <w:t xml:space="preserve"> of the institution, in accordance with Article</w:t>
            </w:r>
            <w:r w:rsidR="00A37A04" w:rsidRPr="00661595">
              <w:rPr>
                <w:rFonts w:ascii="Times New Roman" w:hAnsi="Times New Roman"/>
                <w:sz w:val="24"/>
              </w:rPr>
              <w:t>s</w:t>
            </w:r>
            <w:r w:rsidRPr="00661595">
              <w:rPr>
                <w:rFonts w:ascii="Times New Roman" w:hAnsi="Times New Roman"/>
                <w:sz w:val="24"/>
              </w:rPr>
              <w:t xml:space="preserve"> 137, 138, 139 and </w:t>
            </w:r>
            <w:r w:rsidR="00D21B29" w:rsidRPr="00661595">
              <w:rPr>
                <w:rFonts w:ascii="Times New Roman" w:hAnsi="Times New Roman"/>
                <w:sz w:val="24"/>
              </w:rPr>
              <w:t>point (b) of</w:t>
            </w:r>
            <w:r w:rsidR="00D47CD7" w:rsidRPr="00661595">
              <w:rPr>
                <w:rFonts w:ascii="Times New Roman" w:hAnsi="Times New Roman"/>
                <w:sz w:val="24"/>
              </w:rPr>
              <w:t xml:space="preserve"> </w:t>
            </w:r>
            <w:r w:rsidR="00D21B29" w:rsidRPr="00661595">
              <w:rPr>
                <w:rFonts w:ascii="Times New Roman" w:hAnsi="Times New Roman"/>
                <w:sz w:val="24"/>
              </w:rPr>
              <w:t xml:space="preserve">Article </w:t>
            </w:r>
            <w:r w:rsidR="00D47CD7" w:rsidRPr="00661595">
              <w:rPr>
                <w:rFonts w:ascii="Times New Roman" w:hAnsi="Times New Roman"/>
                <w:sz w:val="24"/>
              </w:rPr>
              <w:t xml:space="preserve">140(2) and </w:t>
            </w:r>
            <w:r w:rsidR="00D21B29" w:rsidRPr="00661595">
              <w:rPr>
                <w:rFonts w:ascii="Times New Roman" w:hAnsi="Times New Roman"/>
                <w:sz w:val="24"/>
              </w:rPr>
              <w:t>point (a) of Article 140</w:t>
            </w:r>
            <w:r w:rsidR="00D47CD7" w:rsidRPr="00661595">
              <w:rPr>
                <w:rFonts w:ascii="Times New Roman" w:hAnsi="Times New Roman"/>
                <w:sz w:val="24"/>
              </w:rPr>
              <w:t>(3) CRD.</w:t>
            </w:r>
            <w:r w:rsidRPr="00661595">
              <w:rPr>
                <w:rFonts w:ascii="Times New Roman" w:hAnsi="Times New Roman"/>
                <w:sz w:val="24"/>
              </w:rPr>
              <w:t xml:space="preserve"> Countercyclical capital buffer rates that </w:t>
            </w:r>
            <w:r w:rsidR="008B2119" w:rsidRPr="00661595">
              <w:rPr>
                <w:rFonts w:ascii="Times New Roman" w:hAnsi="Times New Roman"/>
                <w:sz w:val="24"/>
              </w:rPr>
              <w:t>are</w:t>
            </w:r>
            <w:r w:rsidRPr="00661595">
              <w:rPr>
                <w:rFonts w:ascii="Times New Roman" w:hAnsi="Times New Roman"/>
                <w:sz w:val="24"/>
              </w:rPr>
              <w:t xml:space="preserve"> not yet applicable at the reporting reference date shall not be reported.</w:t>
            </w:r>
          </w:p>
          <w:p w:rsidR="00966663" w:rsidRPr="00661595" w:rsidRDefault="00966663" w:rsidP="00133107">
            <w:pPr>
              <w:rPr>
                <w:rFonts w:ascii="Times New Roman" w:hAnsi="Times New Roman"/>
                <w:b/>
                <w:bCs/>
                <w:sz w:val="24"/>
                <w:u w:val="single"/>
                <w:lang w:eastAsia="de-DE"/>
              </w:rPr>
            </w:pPr>
            <w:r w:rsidRPr="00661595">
              <w:rPr>
                <w:rFonts w:ascii="Times New Roman" w:hAnsi="Times New Roman"/>
                <w:sz w:val="24"/>
              </w:rPr>
              <w:t xml:space="preserve">Information on the Countercyclical capital buffer rate applicable in the country of the institution </w:t>
            </w:r>
            <w:r w:rsidR="000E6835" w:rsidRPr="00661595">
              <w:rPr>
                <w:rFonts w:ascii="Times New Roman" w:hAnsi="Times New Roman"/>
                <w:sz w:val="24"/>
              </w:rPr>
              <w:t>shall not be reported for the ‘Total’ of all countries</w:t>
            </w:r>
            <w:r w:rsidRPr="00661595">
              <w:rPr>
                <w:rFonts w:ascii="Times New Roman" w:hAnsi="Times New Roman"/>
                <w:sz w:val="24"/>
              </w:rPr>
              <w:t>.</w:t>
            </w:r>
          </w:p>
        </w:tc>
      </w:tr>
      <w:tr w:rsidR="00966663" w:rsidRPr="00661595" w:rsidTr="00672D2A">
        <w:tc>
          <w:tcPr>
            <w:tcW w:w="1697" w:type="dxa"/>
          </w:tcPr>
          <w:p w:rsidR="00966663" w:rsidRPr="00661595" w:rsidRDefault="006E0E76" w:rsidP="00133107">
            <w:pPr>
              <w:rPr>
                <w:rFonts w:ascii="Times New Roman" w:hAnsi="Times New Roman"/>
                <w:sz w:val="24"/>
              </w:rPr>
            </w:pPr>
            <w:r w:rsidRPr="00661595">
              <w:rPr>
                <w:rFonts w:ascii="Times New Roman" w:hAnsi="Times New Roman"/>
                <w:sz w:val="24"/>
              </w:rPr>
              <w:t>0</w:t>
            </w:r>
            <w:r w:rsidR="00966663" w:rsidRPr="00661595">
              <w:rPr>
                <w:rFonts w:ascii="Times New Roman" w:hAnsi="Times New Roman"/>
                <w:sz w:val="24"/>
              </w:rPr>
              <w:t>140</w:t>
            </w:r>
          </w:p>
        </w:tc>
        <w:tc>
          <w:tcPr>
            <w:tcW w:w="8131" w:type="dxa"/>
          </w:tcPr>
          <w:p w:rsidR="00966663" w:rsidRPr="00661595" w:rsidRDefault="00966663" w:rsidP="00133107">
            <w:pPr>
              <w:rPr>
                <w:rFonts w:ascii="Times New Roman" w:hAnsi="Times New Roman"/>
                <w:b/>
                <w:bCs/>
                <w:sz w:val="24"/>
                <w:u w:val="single"/>
                <w:lang w:eastAsia="de-DE"/>
              </w:rPr>
            </w:pPr>
            <w:r w:rsidRPr="00661595">
              <w:rPr>
                <w:rFonts w:ascii="Times New Roman" w:hAnsi="Times New Roman"/>
                <w:b/>
                <w:bCs/>
                <w:sz w:val="24"/>
                <w:u w:val="single"/>
                <w:lang w:eastAsia="de-DE"/>
              </w:rPr>
              <w:t xml:space="preserve">Institution-specific countercyclical capital buffer rate </w:t>
            </w:r>
          </w:p>
          <w:p w:rsidR="00C4425F" w:rsidRPr="00661595" w:rsidRDefault="00966663" w:rsidP="00133107">
            <w:pPr>
              <w:autoSpaceDE w:val="0"/>
              <w:autoSpaceDN w:val="0"/>
              <w:adjustRightInd w:val="0"/>
              <w:rPr>
                <w:rFonts w:ascii="Times New Roman" w:hAnsi="Times New Roman"/>
                <w:sz w:val="24"/>
              </w:rPr>
            </w:pPr>
            <w:r w:rsidRPr="00661595">
              <w:rPr>
                <w:rFonts w:ascii="Times New Roman" w:hAnsi="Times New Roman"/>
                <w:sz w:val="24"/>
              </w:rPr>
              <w:t xml:space="preserve">Institution-specific countercyclical capital buffer rate, </w:t>
            </w:r>
            <w:r w:rsidR="00A37A04" w:rsidRPr="00661595">
              <w:rPr>
                <w:rFonts w:ascii="Times New Roman" w:hAnsi="Times New Roman"/>
                <w:sz w:val="24"/>
              </w:rPr>
              <w:t xml:space="preserve">calculated </w:t>
            </w:r>
            <w:r w:rsidRPr="00661595">
              <w:rPr>
                <w:rFonts w:ascii="Times New Roman" w:hAnsi="Times New Roman"/>
                <w:sz w:val="24"/>
              </w:rPr>
              <w:t xml:space="preserve">in accordance with Article 140(1) CRD. </w:t>
            </w:r>
          </w:p>
          <w:p w:rsidR="00C4425F" w:rsidRPr="00661595" w:rsidRDefault="00966663" w:rsidP="00133107">
            <w:pPr>
              <w:autoSpaceDE w:val="0"/>
              <w:autoSpaceDN w:val="0"/>
              <w:adjustRightInd w:val="0"/>
              <w:rPr>
                <w:rFonts w:ascii="Times New Roman" w:hAnsi="Times New Roman"/>
                <w:sz w:val="24"/>
              </w:rPr>
            </w:pPr>
            <w:r w:rsidRPr="00661595">
              <w:rPr>
                <w:rFonts w:ascii="Times New Roman" w:hAnsi="Times New Roman"/>
                <w:sz w:val="24"/>
              </w:rPr>
              <w:t xml:space="preserve">The institution-specific countercyclical capital buffer rate </w:t>
            </w:r>
            <w:r w:rsidR="00A37A04" w:rsidRPr="00661595">
              <w:rPr>
                <w:rFonts w:ascii="Times New Roman" w:hAnsi="Times New Roman"/>
                <w:sz w:val="24"/>
              </w:rPr>
              <w:t>shall be</w:t>
            </w:r>
            <w:r w:rsidRPr="00661595">
              <w:rPr>
                <w:rFonts w:ascii="Times New Roman" w:hAnsi="Times New Roman"/>
                <w:sz w:val="24"/>
              </w:rPr>
              <w:t xml:space="preserve"> calculated as the weighted average of the countercyclical buffer rates that apply in the jurisdictions where the relevant credit exposures of the institution are located or are applied for the purposes of Article 140 by virtue of </w:t>
            </w:r>
            <w:r w:rsidR="00A37A04" w:rsidRPr="00661595">
              <w:rPr>
                <w:rFonts w:ascii="Times New Roman" w:hAnsi="Times New Roman"/>
                <w:sz w:val="24"/>
              </w:rPr>
              <w:t xml:space="preserve">paragraphs 2 or 3 of </w:t>
            </w:r>
            <w:r w:rsidRPr="00661595">
              <w:rPr>
                <w:rFonts w:ascii="Times New Roman" w:hAnsi="Times New Roman"/>
                <w:sz w:val="24"/>
              </w:rPr>
              <w:t xml:space="preserve">Article 139 CRD. The relevant countercyclical buffer rate </w:t>
            </w:r>
            <w:r w:rsidR="00A37A04" w:rsidRPr="00661595">
              <w:rPr>
                <w:rFonts w:ascii="Times New Roman" w:hAnsi="Times New Roman"/>
                <w:sz w:val="24"/>
              </w:rPr>
              <w:t>shall</w:t>
            </w:r>
            <w:r w:rsidRPr="00661595">
              <w:rPr>
                <w:rFonts w:ascii="Times New Roman" w:hAnsi="Times New Roman"/>
                <w:sz w:val="24"/>
              </w:rPr>
              <w:t xml:space="preserve"> reported in [r</w:t>
            </w:r>
            <w:r w:rsidR="006E0E76" w:rsidRPr="00661595">
              <w:rPr>
                <w:rFonts w:ascii="Times New Roman" w:hAnsi="Times New Roman"/>
                <w:sz w:val="24"/>
              </w:rPr>
              <w:t>0</w:t>
            </w:r>
            <w:r w:rsidRPr="00661595">
              <w:rPr>
                <w:rFonts w:ascii="Times New Roman" w:hAnsi="Times New Roman"/>
                <w:sz w:val="24"/>
              </w:rPr>
              <w:t>120; c</w:t>
            </w:r>
            <w:r w:rsidR="006E0E76" w:rsidRPr="00661595">
              <w:rPr>
                <w:rFonts w:ascii="Times New Roman" w:hAnsi="Times New Roman"/>
                <w:sz w:val="24"/>
              </w:rPr>
              <w:t>0</w:t>
            </w:r>
            <w:r w:rsidRPr="00661595">
              <w:rPr>
                <w:rFonts w:ascii="Times New Roman" w:hAnsi="Times New Roman"/>
                <w:sz w:val="24"/>
              </w:rPr>
              <w:t>020; country sheet], or [r</w:t>
            </w:r>
            <w:r w:rsidR="006E0E76" w:rsidRPr="00661595">
              <w:rPr>
                <w:rFonts w:ascii="Times New Roman" w:hAnsi="Times New Roman"/>
                <w:sz w:val="24"/>
              </w:rPr>
              <w:t>0</w:t>
            </w:r>
            <w:r w:rsidRPr="00661595">
              <w:rPr>
                <w:rFonts w:ascii="Times New Roman" w:hAnsi="Times New Roman"/>
                <w:sz w:val="24"/>
              </w:rPr>
              <w:t>130; c</w:t>
            </w:r>
            <w:r w:rsidR="006E0E76" w:rsidRPr="00661595">
              <w:rPr>
                <w:rFonts w:ascii="Times New Roman" w:hAnsi="Times New Roman"/>
                <w:sz w:val="24"/>
              </w:rPr>
              <w:t>0</w:t>
            </w:r>
            <w:r w:rsidRPr="00661595">
              <w:rPr>
                <w:rFonts w:ascii="Times New Roman" w:hAnsi="Times New Roman"/>
                <w:sz w:val="24"/>
              </w:rPr>
              <w:t>020; country sheet]</w:t>
            </w:r>
            <w:r w:rsidR="00A37A04" w:rsidRPr="00661595">
              <w:rPr>
                <w:rFonts w:ascii="Times New Roman" w:hAnsi="Times New Roman"/>
                <w:sz w:val="24"/>
              </w:rPr>
              <w:t>,</w:t>
            </w:r>
            <w:r w:rsidRPr="00661595">
              <w:rPr>
                <w:rFonts w:ascii="Times New Roman" w:hAnsi="Times New Roman"/>
                <w:sz w:val="24"/>
              </w:rPr>
              <w:t xml:space="preserve"> as applicable.</w:t>
            </w:r>
          </w:p>
          <w:p w:rsidR="00C4425F" w:rsidRPr="00661595" w:rsidRDefault="00966663" w:rsidP="00133107">
            <w:pPr>
              <w:autoSpaceDE w:val="0"/>
              <w:autoSpaceDN w:val="0"/>
              <w:adjustRightInd w:val="0"/>
              <w:rPr>
                <w:rFonts w:ascii="Times New Roman" w:hAnsi="Times New Roman"/>
                <w:b/>
                <w:strike/>
                <w:sz w:val="24"/>
              </w:rPr>
            </w:pPr>
            <w:r w:rsidRPr="00661595">
              <w:rPr>
                <w:rFonts w:ascii="Times New Roman" w:hAnsi="Times New Roman"/>
                <w:sz w:val="24"/>
              </w:rPr>
              <w:t xml:space="preserve">The weight applied to the countercyclical buffer rate in each country </w:t>
            </w:r>
            <w:r w:rsidR="00A37A04" w:rsidRPr="00661595">
              <w:rPr>
                <w:rFonts w:ascii="Times New Roman" w:hAnsi="Times New Roman"/>
                <w:sz w:val="24"/>
              </w:rPr>
              <w:t>shall be</w:t>
            </w:r>
            <w:r w:rsidRPr="00661595">
              <w:rPr>
                <w:rFonts w:ascii="Times New Roman" w:hAnsi="Times New Roman"/>
                <w:sz w:val="24"/>
              </w:rPr>
              <w:t xml:space="preserve"> the share of </w:t>
            </w:r>
            <w:r w:rsidR="00356773" w:rsidRPr="00661595">
              <w:rPr>
                <w:rFonts w:ascii="Times New Roman" w:hAnsi="Times New Roman"/>
                <w:sz w:val="24"/>
              </w:rPr>
              <w:t xml:space="preserve">own </w:t>
            </w:r>
            <w:r w:rsidRPr="00661595">
              <w:rPr>
                <w:rFonts w:ascii="Times New Roman" w:hAnsi="Times New Roman"/>
                <w:sz w:val="24"/>
              </w:rPr>
              <w:t xml:space="preserve">funds requirements in total own funds requirements, and </w:t>
            </w:r>
            <w:r w:rsidR="00A37A04" w:rsidRPr="00661595">
              <w:rPr>
                <w:rFonts w:ascii="Times New Roman" w:hAnsi="Times New Roman"/>
                <w:sz w:val="24"/>
              </w:rPr>
              <w:t>shall be</w:t>
            </w:r>
            <w:r w:rsidRPr="00661595">
              <w:rPr>
                <w:rFonts w:ascii="Times New Roman" w:hAnsi="Times New Roman"/>
                <w:sz w:val="24"/>
              </w:rPr>
              <w:t xml:space="preserve"> reported in [r</w:t>
            </w:r>
            <w:r w:rsidR="006E0E76" w:rsidRPr="00661595">
              <w:rPr>
                <w:rFonts w:ascii="Times New Roman" w:hAnsi="Times New Roman"/>
                <w:sz w:val="24"/>
              </w:rPr>
              <w:t>0</w:t>
            </w:r>
            <w:r w:rsidRPr="00661595">
              <w:rPr>
                <w:rFonts w:ascii="Times New Roman" w:hAnsi="Times New Roman"/>
                <w:sz w:val="24"/>
              </w:rPr>
              <w:t>110; c</w:t>
            </w:r>
            <w:r w:rsidR="006E0E76" w:rsidRPr="00661595">
              <w:rPr>
                <w:rFonts w:ascii="Times New Roman" w:hAnsi="Times New Roman"/>
                <w:sz w:val="24"/>
              </w:rPr>
              <w:t>0</w:t>
            </w:r>
            <w:r w:rsidRPr="00661595">
              <w:rPr>
                <w:rFonts w:ascii="Times New Roman" w:hAnsi="Times New Roman"/>
                <w:sz w:val="24"/>
              </w:rPr>
              <w:t>0</w:t>
            </w:r>
            <w:r w:rsidR="00356773" w:rsidRPr="00661595">
              <w:rPr>
                <w:rFonts w:ascii="Times New Roman" w:hAnsi="Times New Roman"/>
                <w:sz w:val="24"/>
              </w:rPr>
              <w:t>2</w:t>
            </w:r>
            <w:r w:rsidRPr="00661595">
              <w:rPr>
                <w:rFonts w:ascii="Times New Roman" w:hAnsi="Times New Roman"/>
                <w:sz w:val="24"/>
              </w:rPr>
              <w:t xml:space="preserve">0; country sheet]. </w:t>
            </w:r>
          </w:p>
          <w:p w:rsidR="00966663" w:rsidRPr="00661595" w:rsidRDefault="00966663" w:rsidP="00B816A3">
            <w:pPr>
              <w:rPr>
                <w:rFonts w:ascii="Times New Roman" w:hAnsi="Times New Roman"/>
                <w:b/>
                <w:bCs/>
                <w:sz w:val="24"/>
                <w:u w:val="single"/>
                <w:lang w:eastAsia="de-DE"/>
              </w:rPr>
            </w:pPr>
            <w:r w:rsidRPr="00661595">
              <w:rPr>
                <w:rFonts w:ascii="Times New Roman" w:hAnsi="Times New Roman"/>
                <w:sz w:val="24"/>
              </w:rPr>
              <w:t xml:space="preserve">Information on the </w:t>
            </w:r>
            <w:r w:rsidR="00EC0B74" w:rsidRPr="00661595">
              <w:rPr>
                <w:rFonts w:ascii="Times New Roman" w:hAnsi="Times New Roman"/>
                <w:sz w:val="24"/>
              </w:rPr>
              <w:t>i</w:t>
            </w:r>
            <w:r w:rsidRPr="00661595">
              <w:rPr>
                <w:rFonts w:ascii="Times New Roman" w:hAnsi="Times New Roman"/>
                <w:sz w:val="24"/>
              </w:rPr>
              <w:t xml:space="preserve">nstitution-specific countercyclical capital buffer rate </w:t>
            </w:r>
            <w:r w:rsidR="00B816A3" w:rsidRPr="00661595">
              <w:rPr>
                <w:rFonts w:ascii="Times New Roman" w:hAnsi="Times New Roman"/>
                <w:sz w:val="24"/>
              </w:rPr>
              <w:t>shall only be reported for the ‘Total’ of all countries and not for each country separately</w:t>
            </w:r>
            <w:r w:rsidRPr="00661595">
              <w:rPr>
                <w:rFonts w:ascii="Times New Roman" w:hAnsi="Times New Roman"/>
                <w:sz w:val="24"/>
              </w:rPr>
              <w:t>.</w:t>
            </w:r>
          </w:p>
        </w:tc>
      </w:tr>
      <w:tr w:rsidR="006B1A77" w:rsidRPr="00661595" w:rsidTr="00672D2A">
        <w:tc>
          <w:tcPr>
            <w:tcW w:w="1697" w:type="dxa"/>
          </w:tcPr>
          <w:p w:rsidR="006B1A77" w:rsidRPr="00661595" w:rsidRDefault="006E0E76" w:rsidP="00FC0B81">
            <w:pPr>
              <w:rPr>
                <w:rFonts w:ascii="Times New Roman" w:hAnsi="Times New Roman"/>
                <w:sz w:val="24"/>
              </w:rPr>
            </w:pPr>
            <w:r w:rsidRPr="00661595">
              <w:rPr>
                <w:rFonts w:ascii="Times New Roman" w:hAnsi="Times New Roman"/>
                <w:sz w:val="24"/>
              </w:rPr>
              <w:t>0</w:t>
            </w:r>
            <w:r w:rsidR="006B1A77" w:rsidRPr="00661595">
              <w:rPr>
                <w:rFonts w:ascii="Times New Roman" w:hAnsi="Times New Roman"/>
                <w:sz w:val="24"/>
              </w:rPr>
              <w:t xml:space="preserve">150 - </w:t>
            </w:r>
            <w:r w:rsidRPr="00661595">
              <w:rPr>
                <w:rFonts w:ascii="Times New Roman" w:hAnsi="Times New Roman"/>
                <w:sz w:val="24"/>
              </w:rPr>
              <w:t>0</w:t>
            </w:r>
            <w:r w:rsidR="006B1A77" w:rsidRPr="00661595">
              <w:rPr>
                <w:rFonts w:ascii="Times New Roman" w:hAnsi="Times New Roman"/>
                <w:sz w:val="24"/>
              </w:rPr>
              <w:t>1</w:t>
            </w:r>
            <w:r w:rsidR="00FC0B81" w:rsidRPr="00661595">
              <w:rPr>
                <w:rFonts w:ascii="Times New Roman" w:hAnsi="Times New Roman"/>
                <w:sz w:val="24"/>
              </w:rPr>
              <w:t>6</w:t>
            </w:r>
            <w:r w:rsidR="006B1A77" w:rsidRPr="00661595">
              <w:rPr>
                <w:rFonts w:ascii="Times New Roman" w:hAnsi="Times New Roman"/>
                <w:sz w:val="24"/>
              </w:rPr>
              <w:t>0</w:t>
            </w:r>
          </w:p>
        </w:tc>
        <w:tc>
          <w:tcPr>
            <w:tcW w:w="8131" w:type="dxa"/>
          </w:tcPr>
          <w:p w:rsidR="006B1A77" w:rsidRPr="00661595" w:rsidRDefault="006B1A77" w:rsidP="00133107">
            <w:pPr>
              <w:rPr>
                <w:rFonts w:ascii="Times New Roman" w:hAnsi="Times New Roman"/>
                <w:b/>
                <w:bCs/>
                <w:sz w:val="24"/>
                <w:u w:val="single"/>
                <w:lang w:eastAsia="de-DE"/>
              </w:rPr>
            </w:pPr>
            <w:r w:rsidRPr="00661595">
              <w:rPr>
                <w:rFonts w:ascii="Times New Roman" w:hAnsi="Times New Roman"/>
                <w:b/>
                <w:bCs/>
                <w:sz w:val="24"/>
                <w:u w:val="single"/>
                <w:lang w:eastAsia="de-DE"/>
              </w:rPr>
              <w:t>Use of the 2% threshold</w:t>
            </w:r>
          </w:p>
        </w:tc>
      </w:tr>
      <w:tr w:rsidR="00966663" w:rsidRPr="00661595" w:rsidTr="00672D2A">
        <w:tc>
          <w:tcPr>
            <w:tcW w:w="1697" w:type="dxa"/>
          </w:tcPr>
          <w:p w:rsidR="00966663" w:rsidRPr="00661595" w:rsidRDefault="006E0E76" w:rsidP="00133107">
            <w:pPr>
              <w:rPr>
                <w:rFonts w:ascii="Times New Roman" w:hAnsi="Times New Roman"/>
                <w:sz w:val="24"/>
              </w:rPr>
            </w:pPr>
            <w:r w:rsidRPr="00661595">
              <w:rPr>
                <w:rFonts w:ascii="Times New Roman" w:hAnsi="Times New Roman"/>
                <w:sz w:val="24"/>
              </w:rPr>
              <w:t>0</w:t>
            </w:r>
            <w:r w:rsidR="00966663" w:rsidRPr="00661595">
              <w:rPr>
                <w:rFonts w:ascii="Times New Roman" w:hAnsi="Times New Roman"/>
                <w:sz w:val="24"/>
              </w:rPr>
              <w:t>150</w:t>
            </w:r>
          </w:p>
        </w:tc>
        <w:tc>
          <w:tcPr>
            <w:tcW w:w="8131" w:type="dxa"/>
          </w:tcPr>
          <w:p w:rsidR="006A3A82" w:rsidRPr="00661595" w:rsidRDefault="00FC0B81" w:rsidP="006A3A82">
            <w:pPr>
              <w:autoSpaceDE w:val="0"/>
              <w:autoSpaceDN w:val="0"/>
              <w:adjustRightInd w:val="0"/>
              <w:rPr>
                <w:rFonts w:ascii="Times New Roman" w:hAnsi="Times New Roman"/>
                <w:sz w:val="24"/>
              </w:rPr>
            </w:pPr>
            <w:r w:rsidRPr="00661595">
              <w:rPr>
                <w:rFonts w:ascii="Times New Roman" w:hAnsi="Times New Roman"/>
                <w:b/>
                <w:bCs/>
                <w:sz w:val="24"/>
                <w:u w:val="single"/>
                <w:lang w:eastAsia="de-DE"/>
              </w:rPr>
              <w:t>Use of 2 % threshold for general credit exposure</w:t>
            </w:r>
            <w:r w:rsidR="006A3A82" w:rsidRPr="00661595">
              <w:rPr>
                <w:rFonts w:ascii="Times New Roman" w:hAnsi="Times New Roman"/>
                <w:sz w:val="24"/>
              </w:rPr>
              <w:t xml:space="preserve"> </w:t>
            </w:r>
          </w:p>
          <w:p w:rsidR="006A3A82" w:rsidRPr="00661595" w:rsidRDefault="006A3A82" w:rsidP="006A3A82">
            <w:pPr>
              <w:autoSpaceDE w:val="0"/>
              <w:autoSpaceDN w:val="0"/>
              <w:adjustRightInd w:val="0"/>
              <w:rPr>
                <w:rFonts w:ascii="Times New Roman" w:hAnsi="Times New Roman"/>
                <w:sz w:val="24"/>
              </w:rPr>
            </w:pPr>
            <w:r w:rsidRPr="00661595">
              <w:rPr>
                <w:rFonts w:ascii="Times New Roman" w:hAnsi="Times New Roman"/>
                <w:sz w:val="24"/>
              </w:rPr>
              <w:t xml:space="preserve">In accordance with </w:t>
            </w:r>
            <w:r w:rsidR="001E0C80" w:rsidRPr="00661595">
              <w:rPr>
                <w:rFonts w:ascii="Times New Roman" w:hAnsi="Times New Roman"/>
                <w:sz w:val="24"/>
              </w:rPr>
              <w:t xml:space="preserve">point (b) of </w:t>
            </w:r>
            <w:r w:rsidRPr="00661595">
              <w:rPr>
                <w:rFonts w:ascii="Times New Roman" w:hAnsi="Times New Roman"/>
                <w:sz w:val="24"/>
              </w:rPr>
              <w:t xml:space="preserve">Article 2(5) of Commission Delegated Regulation (EU) No 1152/2014, foreign general credit risk exposures, </w:t>
            </w:r>
            <w:r w:rsidR="00A37A04" w:rsidRPr="00661595">
              <w:rPr>
                <w:rFonts w:ascii="Times New Roman" w:hAnsi="Times New Roman"/>
                <w:sz w:val="24"/>
              </w:rPr>
              <w:t xml:space="preserve">the </w:t>
            </w:r>
            <w:r w:rsidRPr="00661595">
              <w:rPr>
                <w:rFonts w:ascii="Times New Roman" w:hAnsi="Times New Roman"/>
                <w:sz w:val="24"/>
              </w:rPr>
              <w:t xml:space="preserve">aggregate </w:t>
            </w:r>
            <w:r w:rsidR="00A37A04" w:rsidRPr="00661595">
              <w:rPr>
                <w:rFonts w:ascii="Times New Roman" w:hAnsi="Times New Roman"/>
                <w:sz w:val="24"/>
              </w:rPr>
              <w:t xml:space="preserve">of which </w:t>
            </w:r>
            <w:r w:rsidRPr="00661595">
              <w:rPr>
                <w:rFonts w:ascii="Times New Roman" w:hAnsi="Times New Roman"/>
                <w:sz w:val="24"/>
              </w:rPr>
              <w:t xml:space="preserve">does not exceed 2% of the aggregate of the general credit, trading book and securitisation exposures of that institution, may be allocated to the institutions’ home member state. The aggregate of the general credit, trading book and securitisation exposures </w:t>
            </w:r>
            <w:r w:rsidR="00A37A04" w:rsidRPr="00661595">
              <w:rPr>
                <w:rFonts w:ascii="Times New Roman" w:hAnsi="Times New Roman"/>
                <w:sz w:val="24"/>
              </w:rPr>
              <w:t>shall be</w:t>
            </w:r>
            <w:r w:rsidRPr="00661595">
              <w:rPr>
                <w:rFonts w:ascii="Times New Roman" w:hAnsi="Times New Roman"/>
                <w:sz w:val="24"/>
              </w:rPr>
              <w:t xml:space="preserve"> calculated by excluding the general credit exposures located in accordance with </w:t>
            </w:r>
            <w:r w:rsidR="00705025" w:rsidRPr="00661595">
              <w:rPr>
                <w:rFonts w:ascii="Times New Roman" w:hAnsi="Times New Roman"/>
                <w:sz w:val="24"/>
              </w:rPr>
              <w:t xml:space="preserve">point (a) of </w:t>
            </w:r>
            <w:r w:rsidRPr="00661595">
              <w:rPr>
                <w:rFonts w:ascii="Times New Roman" w:hAnsi="Times New Roman"/>
                <w:sz w:val="24"/>
              </w:rPr>
              <w:t>Article 2(5) and Article 2(4) of Commission Delegated Regulation (EU) No 1152/2014.</w:t>
            </w:r>
          </w:p>
          <w:p w:rsidR="00966663" w:rsidRPr="00661595" w:rsidRDefault="006A3A82" w:rsidP="006A3A82">
            <w:pPr>
              <w:autoSpaceDE w:val="0"/>
              <w:autoSpaceDN w:val="0"/>
              <w:adjustRightInd w:val="0"/>
              <w:rPr>
                <w:rFonts w:ascii="Times New Roman" w:hAnsi="Times New Roman"/>
                <w:sz w:val="24"/>
              </w:rPr>
            </w:pPr>
            <w:r w:rsidRPr="00661595">
              <w:rPr>
                <w:rFonts w:ascii="Times New Roman" w:hAnsi="Times New Roman"/>
                <w:sz w:val="24"/>
              </w:rPr>
              <w:t xml:space="preserve">If the institution makes use of this derogation, it shall indicate ‘y’ in the </w:t>
            </w:r>
            <w:r w:rsidR="00133396" w:rsidRPr="00661595">
              <w:rPr>
                <w:rFonts w:ascii="Times New Roman" w:hAnsi="Times New Roman"/>
                <w:sz w:val="24"/>
              </w:rPr>
              <w:t xml:space="preserve">template </w:t>
            </w:r>
            <w:r w:rsidRPr="00661595">
              <w:rPr>
                <w:rFonts w:ascii="Times New Roman" w:hAnsi="Times New Roman"/>
                <w:sz w:val="24"/>
              </w:rPr>
              <w:t>for the jurisdiction corresponding to its home Member State</w:t>
            </w:r>
            <w:r w:rsidR="003B00F4" w:rsidRPr="00661595">
              <w:rPr>
                <w:rFonts w:ascii="Times New Roman" w:hAnsi="Times New Roman"/>
                <w:sz w:val="24"/>
              </w:rPr>
              <w:t xml:space="preserve"> and </w:t>
            </w:r>
            <w:r w:rsidR="00D1786A" w:rsidRPr="00661595">
              <w:rPr>
                <w:rFonts w:ascii="Times New Roman" w:hAnsi="Times New Roman"/>
                <w:sz w:val="24"/>
              </w:rPr>
              <w:t xml:space="preserve">for the </w:t>
            </w:r>
            <w:r w:rsidR="003B00F4" w:rsidRPr="00661595">
              <w:rPr>
                <w:rFonts w:ascii="Times New Roman" w:hAnsi="Times New Roman"/>
                <w:sz w:val="24"/>
              </w:rPr>
              <w:t>‘Total’</w:t>
            </w:r>
            <w:r w:rsidR="00FD457C" w:rsidRPr="00661595">
              <w:rPr>
                <w:rFonts w:ascii="Times New Roman" w:hAnsi="Times New Roman"/>
                <w:sz w:val="24"/>
              </w:rPr>
              <w:t xml:space="preserve"> of all countries</w:t>
            </w:r>
            <w:r w:rsidRPr="00661595">
              <w:rPr>
                <w:rFonts w:ascii="Times New Roman" w:hAnsi="Times New Roman"/>
                <w:sz w:val="24"/>
              </w:rPr>
              <w:t>.</w:t>
            </w:r>
          </w:p>
          <w:p w:rsidR="006A3A82" w:rsidRPr="00661595" w:rsidRDefault="006A3A82" w:rsidP="006A3A82">
            <w:pPr>
              <w:autoSpaceDE w:val="0"/>
              <w:autoSpaceDN w:val="0"/>
              <w:adjustRightInd w:val="0"/>
              <w:rPr>
                <w:rFonts w:ascii="Times New Roman" w:hAnsi="Times New Roman"/>
                <w:sz w:val="24"/>
              </w:rPr>
            </w:pPr>
            <w:r w:rsidRPr="00661595">
              <w:rPr>
                <w:rFonts w:ascii="Times New Roman" w:hAnsi="Times New Roman"/>
                <w:sz w:val="24"/>
              </w:rPr>
              <w:t>If an institution does not make use of this derogation, it shall indicate ‘n’ in the respective cell.</w:t>
            </w:r>
          </w:p>
        </w:tc>
      </w:tr>
      <w:tr w:rsidR="00966663" w:rsidRPr="00661595" w:rsidTr="00672D2A">
        <w:tc>
          <w:tcPr>
            <w:tcW w:w="1697" w:type="dxa"/>
          </w:tcPr>
          <w:p w:rsidR="00966663" w:rsidRPr="00661595" w:rsidRDefault="006E0E76" w:rsidP="00133107">
            <w:pPr>
              <w:rPr>
                <w:rFonts w:ascii="Times New Roman" w:hAnsi="Times New Roman"/>
                <w:sz w:val="24"/>
              </w:rPr>
            </w:pPr>
            <w:r w:rsidRPr="00661595">
              <w:rPr>
                <w:rFonts w:ascii="Times New Roman" w:hAnsi="Times New Roman"/>
                <w:sz w:val="24"/>
              </w:rPr>
              <w:t>0</w:t>
            </w:r>
            <w:r w:rsidR="00966663" w:rsidRPr="00661595">
              <w:rPr>
                <w:rFonts w:ascii="Times New Roman" w:hAnsi="Times New Roman"/>
                <w:sz w:val="24"/>
              </w:rPr>
              <w:t>160</w:t>
            </w:r>
          </w:p>
        </w:tc>
        <w:tc>
          <w:tcPr>
            <w:tcW w:w="8131" w:type="dxa"/>
          </w:tcPr>
          <w:p w:rsidR="00535A98" w:rsidRPr="00661595" w:rsidRDefault="00FC0B81" w:rsidP="006A3A82">
            <w:pPr>
              <w:autoSpaceDE w:val="0"/>
              <w:autoSpaceDN w:val="0"/>
              <w:adjustRightInd w:val="0"/>
              <w:rPr>
                <w:rFonts w:ascii="Times New Roman" w:hAnsi="Times New Roman"/>
                <w:sz w:val="24"/>
              </w:rPr>
            </w:pPr>
            <w:r w:rsidRPr="00661595">
              <w:rPr>
                <w:rFonts w:ascii="Times New Roman" w:hAnsi="Times New Roman"/>
                <w:b/>
                <w:bCs/>
                <w:sz w:val="24"/>
                <w:u w:val="single"/>
                <w:lang w:eastAsia="de-DE"/>
              </w:rPr>
              <w:t>Use of 2 % threshold for trading book exposure</w:t>
            </w:r>
          </w:p>
          <w:p w:rsidR="006A3A82" w:rsidRPr="00661595" w:rsidRDefault="006A3A82" w:rsidP="006A3A82">
            <w:pPr>
              <w:autoSpaceDE w:val="0"/>
              <w:autoSpaceDN w:val="0"/>
              <w:adjustRightInd w:val="0"/>
              <w:rPr>
                <w:rFonts w:ascii="Times New Roman" w:hAnsi="Times New Roman"/>
                <w:sz w:val="24"/>
              </w:rPr>
            </w:pPr>
            <w:r w:rsidRPr="00661595">
              <w:rPr>
                <w:rFonts w:ascii="Times New Roman" w:hAnsi="Times New Roman"/>
                <w:sz w:val="24"/>
              </w:rPr>
              <w:t>In accordance with Article 3(3) of Commission Delegated Regulation (EU) No</w:t>
            </w:r>
            <w:r w:rsidR="002C4D74" w:rsidRPr="00661595">
              <w:rPr>
                <w:rFonts w:ascii="Times New Roman" w:hAnsi="Times New Roman"/>
                <w:sz w:val="24"/>
              </w:rPr>
              <w:t> </w:t>
            </w:r>
            <w:r w:rsidRPr="00661595">
              <w:rPr>
                <w:rFonts w:ascii="Times New Roman" w:hAnsi="Times New Roman"/>
                <w:sz w:val="24"/>
              </w:rPr>
              <w:t>1152/2014, institutions may allocate trading book exposures to their home Member State</w:t>
            </w:r>
            <w:r w:rsidR="002C4D74" w:rsidRPr="00661595">
              <w:rPr>
                <w:rFonts w:ascii="Times New Roman" w:hAnsi="Times New Roman"/>
                <w:sz w:val="24"/>
              </w:rPr>
              <w:t xml:space="preserve"> where</w:t>
            </w:r>
            <w:r w:rsidRPr="00661595">
              <w:rPr>
                <w:rFonts w:ascii="Times New Roman" w:hAnsi="Times New Roman"/>
                <w:sz w:val="24"/>
              </w:rPr>
              <w:t xml:space="preserve"> the total trading book exposures do not exceed 2% of their total general credit, trading book and securitisation exposures.</w:t>
            </w:r>
          </w:p>
          <w:p w:rsidR="006A3A82" w:rsidRPr="00661595" w:rsidRDefault="006A3A82" w:rsidP="006A3A82">
            <w:pPr>
              <w:rPr>
                <w:rFonts w:ascii="Times New Roman" w:hAnsi="Times New Roman"/>
                <w:sz w:val="24"/>
              </w:rPr>
            </w:pPr>
            <w:r w:rsidRPr="00661595">
              <w:rPr>
                <w:rFonts w:ascii="Times New Roman" w:hAnsi="Times New Roman"/>
                <w:sz w:val="24"/>
              </w:rPr>
              <w:t xml:space="preserve">If the institution makes use of this derogation, it shall indicate ‘y’ in the </w:t>
            </w:r>
            <w:r w:rsidR="00133396" w:rsidRPr="00661595">
              <w:rPr>
                <w:rFonts w:ascii="Times New Roman" w:hAnsi="Times New Roman"/>
                <w:sz w:val="24"/>
              </w:rPr>
              <w:t xml:space="preserve">template </w:t>
            </w:r>
            <w:r w:rsidRPr="00661595">
              <w:rPr>
                <w:rFonts w:ascii="Times New Roman" w:hAnsi="Times New Roman"/>
                <w:sz w:val="24"/>
              </w:rPr>
              <w:t>for the jurisdiction corresponding to its home Member State</w:t>
            </w:r>
            <w:r w:rsidR="003B00F4" w:rsidRPr="00661595">
              <w:rPr>
                <w:rFonts w:ascii="Times New Roman" w:hAnsi="Times New Roman"/>
                <w:sz w:val="24"/>
              </w:rPr>
              <w:t xml:space="preserve"> and </w:t>
            </w:r>
            <w:r w:rsidR="00D1786A" w:rsidRPr="00661595">
              <w:rPr>
                <w:rFonts w:ascii="Times New Roman" w:hAnsi="Times New Roman"/>
                <w:sz w:val="24"/>
              </w:rPr>
              <w:t xml:space="preserve">for the </w:t>
            </w:r>
            <w:r w:rsidR="003B00F4" w:rsidRPr="00661595">
              <w:rPr>
                <w:rFonts w:ascii="Times New Roman" w:hAnsi="Times New Roman"/>
                <w:sz w:val="24"/>
              </w:rPr>
              <w:t>‘Total’</w:t>
            </w:r>
            <w:r w:rsidR="00FD457C" w:rsidRPr="00661595">
              <w:rPr>
                <w:rFonts w:ascii="Times New Roman" w:hAnsi="Times New Roman"/>
                <w:sz w:val="24"/>
              </w:rPr>
              <w:t xml:space="preserve"> of all countries</w:t>
            </w:r>
            <w:r w:rsidRPr="00661595">
              <w:rPr>
                <w:rFonts w:ascii="Times New Roman" w:hAnsi="Times New Roman"/>
                <w:sz w:val="24"/>
              </w:rPr>
              <w:t>.</w:t>
            </w:r>
          </w:p>
          <w:p w:rsidR="00966663" w:rsidRPr="00661595" w:rsidRDefault="006A3A82" w:rsidP="006A3A82">
            <w:pPr>
              <w:rPr>
                <w:rFonts w:ascii="Times New Roman" w:hAnsi="Times New Roman"/>
                <w:b/>
                <w:bCs/>
                <w:sz w:val="24"/>
                <w:u w:val="single"/>
                <w:lang w:eastAsia="de-DE"/>
              </w:rPr>
            </w:pPr>
            <w:r w:rsidRPr="00661595">
              <w:rPr>
                <w:rFonts w:ascii="Times New Roman" w:hAnsi="Times New Roman"/>
                <w:sz w:val="24"/>
              </w:rPr>
              <w:t>If an institution does not make use of this derogation, it shall indicate ‘n’ in the respective cell.</w:t>
            </w:r>
          </w:p>
        </w:tc>
      </w:tr>
    </w:tbl>
    <w:p w:rsidR="004357B9" w:rsidRPr="00661595" w:rsidRDefault="004357B9">
      <w:pPr>
        <w:spacing w:before="0" w:after="0"/>
        <w:jc w:val="left"/>
        <w:rPr>
          <w:rFonts w:ascii="Times New Roman" w:hAnsi="Times New Roman"/>
          <w:bCs/>
          <w:sz w:val="24"/>
          <w:lang w:eastAsia="de-DE"/>
        </w:rPr>
      </w:pPr>
    </w:p>
    <w:p w:rsidR="00C61FF5"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382" w:name="_Toc295829919"/>
      <w:bookmarkStart w:id="383" w:name="_Toc310415031"/>
      <w:bookmarkStart w:id="384" w:name="_Toc360188369"/>
      <w:bookmarkStart w:id="385" w:name="_Toc473560920"/>
      <w:bookmarkStart w:id="386" w:name="_Toc57831577"/>
      <w:r w:rsidRPr="00661595">
        <w:rPr>
          <w:rFonts w:ascii="Times New Roman" w:hAnsi="Times New Roman" w:cs="Times New Roman"/>
          <w:sz w:val="24"/>
          <w:u w:val="none"/>
          <w:lang w:val="en-GB"/>
        </w:rPr>
        <w:t>3.5.</w:t>
      </w:r>
      <w:r w:rsidRPr="00661595">
        <w:rPr>
          <w:rFonts w:ascii="Times New Roman" w:hAnsi="Times New Roman" w:cs="Times New Roman"/>
          <w:sz w:val="24"/>
          <w:u w:val="none"/>
          <w:lang w:val="en-GB"/>
        </w:rPr>
        <w:tab/>
      </w:r>
      <w:r w:rsidR="009769DE" w:rsidRPr="00661595">
        <w:rPr>
          <w:rFonts w:ascii="Times New Roman" w:hAnsi="Times New Roman" w:cs="Times New Roman"/>
          <w:sz w:val="24"/>
          <w:lang w:val="en-GB"/>
        </w:rPr>
        <w:t xml:space="preserve">C 10.01 and C 10.02 </w:t>
      </w:r>
      <w:r w:rsidR="00C61FF5" w:rsidRPr="00661595">
        <w:rPr>
          <w:rFonts w:ascii="Times New Roman" w:hAnsi="Times New Roman" w:cs="Times New Roman"/>
          <w:sz w:val="24"/>
          <w:lang w:val="en-GB"/>
        </w:rPr>
        <w:t>– Equity exposures under the internal ratings based approach</w:t>
      </w:r>
      <w:bookmarkEnd w:id="382"/>
      <w:bookmarkEnd w:id="383"/>
      <w:bookmarkEnd w:id="384"/>
      <w:r w:rsidR="009769DE" w:rsidRPr="00661595">
        <w:rPr>
          <w:rFonts w:ascii="Times New Roman" w:hAnsi="Times New Roman" w:cs="Times New Roman"/>
          <w:sz w:val="24"/>
          <w:lang w:val="en-GB"/>
        </w:rPr>
        <w:t xml:space="preserve"> (CR EQU IRB 1 and CR EQU IRB 2)</w:t>
      </w:r>
      <w:bookmarkEnd w:id="385"/>
      <w:bookmarkEnd w:id="386"/>
    </w:p>
    <w:p w:rsidR="00C61FF5"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387" w:name="_Toc239157382"/>
      <w:bookmarkStart w:id="388" w:name="_Toc295829920"/>
      <w:bookmarkStart w:id="389" w:name="_Toc310415032"/>
      <w:bookmarkStart w:id="390" w:name="_Toc360188370"/>
      <w:bookmarkStart w:id="391" w:name="_Toc473560921"/>
      <w:bookmarkStart w:id="392" w:name="_Toc57831578"/>
      <w:r w:rsidRPr="00661595">
        <w:rPr>
          <w:rFonts w:ascii="Times New Roman" w:hAnsi="Times New Roman" w:cs="Times New Roman"/>
          <w:sz w:val="24"/>
          <w:u w:val="none"/>
          <w:lang w:val="en-GB"/>
        </w:rPr>
        <w:t>3.5.1.</w:t>
      </w:r>
      <w:r w:rsidRPr="00661595">
        <w:rPr>
          <w:rFonts w:ascii="Times New Roman" w:hAnsi="Times New Roman" w:cs="Times New Roman"/>
          <w:sz w:val="24"/>
          <w:u w:val="none"/>
          <w:lang w:val="en-GB"/>
        </w:rPr>
        <w:tab/>
      </w:r>
      <w:r w:rsidR="00C61FF5" w:rsidRPr="00661595">
        <w:rPr>
          <w:rFonts w:ascii="Times New Roman" w:hAnsi="Times New Roman" w:cs="Times New Roman"/>
          <w:sz w:val="24"/>
          <w:lang w:val="en-GB"/>
        </w:rPr>
        <w:t>General remarks</w:t>
      </w:r>
      <w:bookmarkEnd w:id="387"/>
      <w:bookmarkEnd w:id="388"/>
      <w:bookmarkEnd w:id="389"/>
      <w:bookmarkEnd w:id="390"/>
      <w:bookmarkEnd w:id="391"/>
      <w:bookmarkEnd w:id="392"/>
    </w:p>
    <w:p w:rsidR="00C61FF5" w:rsidRPr="00661595" w:rsidRDefault="00D11E4C" w:rsidP="00487A02">
      <w:pPr>
        <w:pStyle w:val="InstructionsText2"/>
        <w:numPr>
          <w:ilvl w:val="0"/>
          <w:numId w:val="0"/>
        </w:numPr>
        <w:ind w:left="1353" w:hanging="360"/>
      </w:pPr>
      <w:fldSimple w:instr=" seq paragraphs ">
        <w:r w:rsidR="00771068">
          <w:rPr>
            <w:noProof/>
          </w:rPr>
          <w:t>92</w:t>
        </w:r>
      </w:fldSimple>
      <w:r w:rsidR="00125707" w:rsidRPr="00661595">
        <w:t>.</w:t>
      </w:r>
      <w:r w:rsidR="00125707" w:rsidRPr="00661595">
        <w:tab/>
      </w:r>
      <w:r w:rsidR="00C61FF5" w:rsidRPr="00661595">
        <w:t xml:space="preserve">The CR EQU IRB template consists of two </w:t>
      </w:r>
      <w:r w:rsidR="00480A69" w:rsidRPr="00661595">
        <w:t>template</w:t>
      </w:r>
      <w:r w:rsidR="00C61FF5" w:rsidRPr="00661595">
        <w:t>s: CR EQU IRB 1 provides a general overview of IRB exposures of the equity exposure class and the different methods to calculate total risk exposure amounts. CR EQU IRB 2 provides a breakdown of total exposures assigned to obligor grades in the context of the PD/LGD approach. “CR EQU IRB” refers to both “CR EQU IRB 1” and “CR EQU IRB 2” templates, as applicable, in the following instructions.</w:t>
      </w:r>
    </w:p>
    <w:p w:rsidR="00C61FF5" w:rsidRPr="00661595" w:rsidRDefault="00D11E4C" w:rsidP="00487A02">
      <w:pPr>
        <w:pStyle w:val="InstructionsText2"/>
        <w:numPr>
          <w:ilvl w:val="0"/>
          <w:numId w:val="0"/>
        </w:numPr>
        <w:ind w:left="1353" w:hanging="360"/>
      </w:pPr>
      <w:fldSimple w:instr=" seq paragraphs ">
        <w:r w:rsidR="00771068">
          <w:rPr>
            <w:noProof/>
          </w:rPr>
          <w:t>93</w:t>
        </w:r>
      </w:fldSimple>
      <w:r w:rsidR="00125707" w:rsidRPr="00661595">
        <w:t>.</w:t>
      </w:r>
      <w:r w:rsidR="00125707" w:rsidRPr="00661595">
        <w:tab/>
      </w:r>
      <w:r w:rsidR="00C61FF5" w:rsidRPr="00661595">
        <w:t>The CR EQU IRB template provides information on the calculation of risk weighted exposure amounts for credit risk (</w:t>
      </w:r>
      <w:r w:rsidR="00705025" w:rsidRPr="00661595">
        <w:t xml:space="preserve">point (a) of </w:t>
      </w:r>
      <w:r w:rsidR="00C61FF5" w:rsidRPr="00661595">
        <w:t xml:space="preserve">Article 92(3) </w:t>
      </w:r>
      <w:r w:rsidR="00C7103D" w:rsidRPr="00661595">
        <w:t>CRR</w:t>
      </w:r>
      <w:r w:rsidR="00C61FF5" w:rsidRPr="00661595">
        <w:t xml:space="preserve">) </w:t>
      </w:r>
      <w:r w:rsidR="00BB22D4" w:rsidRPr="00661595">
        <w:t>in accordance with</w:t>
      </w:r>
      <w:r w:rsidR="00C61FF5" w:rsidRPr="00661595">
        <w:t xml:space="preserve"> </w:t>
      </w:r>
      <w:r w:rsidR="00A16FFF" w:rsidRPr="00661595">
        <w:t xml:space="preserve">Chapter 3 of Title II of </w:t>
      </w:r>
      <w:r w:rsidR="00C61FF5" w:rsidRPr="00661595">
        <w:t xml:space="preserve">Part Three </w:t>
      </w:r>
      <w:r w:rsidR="00C7103D" w:rsidRPr="00661595">
        <w:t>CRR</w:t>
      </w:r>
      <w:r w:rsidR="00C61FF5" w:rsidRPr="00661595">
        <w:t xml:space="preserve"> for equity exposures </w:t>
      </w:r>
      <w:r w:rsidR="002C4D74" w:rsidRPr="00661595">
        <w:t xml:space="preserve">as </w:t>
      </w:r>
      <w:r w:rsidR="00C61FF5" w:rsidRPr="00661595">
        <w:t xml:space="preserve">referred to in </w:t>
      </w:r>
      <w:r w:rsidR="00705025" w:rsidRPr="00661595">
        <w:t xml:space="preserve">point (e) of </w:t>
      </w:r>
      <w:r w:rsidR="00C61FF5" w:rsidRPr="00661595">
        <w:t xml:space="preserve">Article 147(2) </w:t>
      </w:r>
      <w:r w:rsidR="00C7103D" w:rsidRPr="00661595">
        <w:t>CRR</w:t>
      </w:r>
      <w:r w:rsidR="00C61FF5" w:rsidRPr="00661595">
        <w:t>.</w:t>
      </w:r>
    </w:p>
    <w:p w:rsidR="00C61FF5" w:rsidRPr="00661595" w:rsidRDefault="00D11E4C" w:rsidP="00487A02">
      <w:pPr>
        <w:pStyle w:val="InstructionsText2"/>
        <w:numPr>
          <w:ilvl w:val="0"/>
          <w:numId w:val="0"/>
        </w:numPr>
        <w:ind w:left="1353" w:hanging="360"/>
      </w:pPr>
      <w:fldSimple w:instr=" seq paragraphs ">
        <w:r w:rsidR="00771068">
          <w:rPr>
            <w:noProof/>
          </w:rPr>
          <w:t>94</w:t>
        </w:r>
      </w:fldSimple>
      <w:r w:rsidR="00125707" w:rsidRPr="00661595">
        <w:t>.</w:t>
      </w:r>
      <w:r w:rsidR="00125707" w:rsidRPr="00661595">
        <w:tab/>
      </w:r>
      <w:r w:rsidR="00BB22D4" w:rsidRPr="00661595">
        <w:t>In accordance with</w:t>
      </w:r>
      <w:r w:rsidR="00C61FF5" w:rsidRPr="00661595">
        <w:t xml:space="preserve"> Article 147(6) </w:t>
      </w:r>
      <w:r w:rsidR="00C7103D" w:rsidRPr="00661595">
        <w:t>CRR</w:t>
      </w:r>
      <w:r w:rsidR="00C61FF5" w:rsidRPr="00661595">
        <w:t>, the following exposures shall be assigned to the</w:t>
      </w:r>
      <w:r w:rsidR="00730040" w:rsidRPr="00661595">
        <w:t xml:space="preserve"> </w:t>
      </w:r>
      <w:r w:rsidR="00C61FF5" w:rsidRPr="00661595">
        <w:t>equity exposure class:</w:t>
      </w:r>
    </w:p>
    <w:p w:rsidR="00C61FF5" w:rsidRPr="00661595" w:rsidRDefault="00125707" w:rsidP="00487A02">
      <w:pPr>
        <w:pStyle w:val="InstructionsText2"/>
        <w:numPr>
          <w:ilvl w:val="0"/>
          <w:numId w:val="0"/>
        </w:numPr>
        <w:ind w:left="1353" w:hanging="360"/>
      </w:pPr>
      <w:r w:rsidRPr="00661595">
        <w:t>(a)</w:t>
      </w:r>
      <w:r w:rsidRPr="00661595">
        <w:tab/>
      </w:r>
      <w:r w:rsidR="00C61FF5" w:rsidRPr="00661595">
        <w:t>non-debt exposures conveying a subordinated, residual claim on the assets or income of the issuer;</w:t>
      </w:r>
    </w:p>
    <w:p w:rsidR="00C61FF5" w:rsidRPr="00661595" w:rsidRDefault="00125707" w:rsidP="00487A02">
      <w:pPr>
        <w:pStyle w:val="InstructionsText2"/>
        <w:numPr>
          <w:ilvl w:val="0"/>
          <w:numId w:val="0"/>
        </w:numPr>
        <w:ind w:left="1353" w:hanging="360"/>
      </w:pPr>
      <w:r w:rsidRPr="00661595">
        <w:t>(b)</w:t>
      </w:r>
      <w:r w:rsidRPr="00661595">
        <w:tab/>
      </w:r>
      <w:r w:rsidR="00C61FF5" w:rsidRPr="00661595">
        <w:t>debt exposures and other securities, partnerships, derivatives, or other vehicles, the economic substance of which is similar to the exposures specified in point (a).</w:t>
      </w:r>
    </w:p>
    <w:p w:rsidR="00C61FF5" w:rsidRPr="00661595" w:rsidRDefault="00D11E4C" w:rsidP="00487A02">
      <w:pPr>
        <w:pStyle w:val="InstructionsText2"/>
        <w:numPr>
          <w:ilvl w:val="0"/>
          <w:numId w:val="0"/>
        </w:numPr>
        <w:ind w:left="1353" w:hanging="360"/>
      </w:pPr>
      <w:fldSimple w:instr=" seq paragraphs ">
        <w:r w:rsidR="00771068">
          <w:rPr>
            <w:noProof/>
          </w:rPr>
          <w:t>95</w:t>
        </w:r>
      </w:fldSimple>
      <w:r w:rsidR="00125707" w:rsidRPr="00661595">
        <w:t>.</w:t>
      </w:r>
      <w:r w:rsidR="00125707" w:rsidRPr="00661595">
        <w:tab/>
      </w:r>
      <w:r w:rsidR="00C61FF5" w:rsidRPr="00661595">
        <w:t xml:space="preserve">Collective investment undertakings treated </w:t>
      </w:r>
      <w:r w:rsidR="00BB22D4" w:rsidRPr="00661595">
        <w:t>in accordance with</w:t>
      </w:r>
      <w:r w:rsidR="00C61FF5" w:rsidRPr="00661595">
        <w:t xml:space="preserve"> the simple risk weight approach as referred to in Article 152 </w:t>
      </w:r>
      <w:r w:rsidR="00C7103D" w:rsidRPr="00661595">
        <w:t>CRR</w:t>
      </w:r>
      <w:r w:rsidR="00C61FF5" w:rsidRPr="00661595">
        <w:t xml:space="preserve"> shall also be reported in the CR EQU IRB template.</w:t>
      </w:r>
    </w:p>
    <w:p w:rsidR="00C61FF5" w:rsidRPr="00661595" w:rsidRDefault="00D11E4C" w:rsidP="00487A02">
      <w:pPr>
        <w:pStyle w:val="InstructionsText2"/>
        <w:numPr>
          <w:ilvl w:val="0"/>
          <w:numId w:val="0"/>
        </w:numPr>
        <w:ind w:left="1353" w:hanging="360"/>
      </w:pPr>
      <w:fldSimple w:instr=" seq paragraphs ">
        <w:r w:rsidR="00771068">
          <w:rPr>
            <w:noProof/>
          </w:rPr>
          <w:t>96</w:t>
        </w:r>
      </w:fldSimple>
      <w:r w:rsidR="00125707" w:rsidRPr="00661595">
        <w:t>.</w:t>
      </w:r>
      <w:r w:rsidR="00125707" w:rsidRPr="00661595">
        <w:tab/>
      </w:r>
      <w:r w:rsidR="00C61FF5" w:rsidRPr="00661595">
        <w:t xml:space="preserve">In accordance with Article 151(1) </w:t>
      </w:r>
      <w:r w:rsidR="00C7103D" w:rsidRPr="00661595">
        <w:t>CRR</w:t>
      </w:r>
      <w:r w:rsidR="00C61FF5" w:rsidRPr="00661595">
        <w:t xml:space="preserve">, institutions shall provide the CR EQU IRB template when applying one of the three approaches referred to in Article 155 </w:t>
      </w:r>
      <w:r w:rsidR="00C7103D" w:rsidRPr="00661595">
        <w:t>CRR</w:t>
      </w:r>
      <w:r w:rsidR="00C61FF5" w:rsidRPr="00661595">
        <w:t xml:space="preserve">: </w:t>
      </w:r>
    </w:p>
    <w:p w:rsidR="00C61FF5" w:rsidRPr="00661595" w:rsidRDefault="00C61FF5" w:rsidP="00487A02">
      <w:pPr>
        <w:pStyle w:val="InstructionsText"/>
      </w:pPr>
      <w:r w:rsidRPr="00661595">
        <w:t>- the Simple Risk Weight approach</w:t>
      </w:r>
      <w:r w:rsidR="002C4D74" w:rsidRPr="00661595">
        <w:t>;</w:t>
      </w:r>
    </w:p>
    <w:p w:rsidR="00C61FF5" w:rsidRPr="00661595" w:rsidRDefault="00C61FF5" w:rsidP="00487A02">
      <w:pPr>
        <w:pStyle w:val="InstructionsText"/>
      </w:pPr>
      <w:r w:rsidRPr="00661595">
        <w:t>- the PD/LGD approach</w:t>
      </w:r>
      <w:r w:rsidR="002C4D74" w:rsidRPr="00661595">
        <w:t>;</w:t>
      </w:r>
    </w:p>
    <w:p w:rsidR="00C61FF5" w:rsidRPr="00661595" w:rsidRDefault="00C61FF5" w:rsidP="00487A02">
      <w:pPr>
        <w:pStyle w:val="InstructionsText"/>
      </w:pPr>
      <w:r w:rsidRPr="00661595">
        <w:t>- the Internal Models approach.</w:t>
      </w:r>
    </w:p>
    <w:p w:rsidR="00C61FF5" w:rsidRPr="00661595" w:rsidRDefault="00C61FF5" w:rsidP="00487A02">
      <w:pPr>
        <w:pStyle w:val="InstructionsText"/>
        <w:ind w:left="1353"/>
      </w:pPr>
      <w:r w:rsidRPr="00661595">
        <w:t xml:space="preserve">Moreover, institutions applying the </w:t>
      </w:r>
      <w:r w:rsidR="008241B9" w:rsidRPr="00661595">
        <w:t xml:space="preserve">IRB </w:t>
      </w:r>
      <w:r w:rsidR="009A4399" w:rsidRPr="00661595">
        <w:t xml:space="preserve">approach </w:t>
      </w:r>
      <w:r w:rsidRPr="00661595">
        <w:t>shall also report in the CR EQU IRB template risk</w:t>
      </w:r>
      <w:r w:rsidR="00D82B60" w:rsidRPr="00661595">
        <w:t>-</w:t>
      </w:r>
      <w:r w:rsidRPr="00661595">
        <w:t>weighted exposure amounts for those equity exposures which attract a fixed risk</w:t>
      </w:r>
      <w:r w:rsidR="00D82B60" w:rsidRPr="00661595">
        <w:t>-</w:t>
      </w:r>
      <w:r w:rsidRPr="00661595">
        <w:t xml:space="preserve">weight treatment (without however being explicitly treated </w:t>
      </w:r>
      <w:r w:rsidR="00BB22D4" w:rsidRPr="00661595">
        <w:t>in accordance with</w:t>
      </w:r>
      <w:r w:rsidRPr="00661595">
        <w:t xml:space="preserve"> the Simple Risk Weight approach or the (temporary or permanent) partial use of the </w:t>
      </w:r>
      <w:r w:rsidR="00CA21CA" w:rsidRPr="00661595">
        <w:t xml:space="preserve">Standardised </w:t>
      </w:r>
      <w:r w:rsidR="009A4399" w:rsidRPr="00661595">
        <w:t xml:space="preserve">approach </w:t>
      </w:r>
      <w:r w:rsidR="007745EB" w:rsidRPr="00661595">
        <w:t xml:space="preserve">for credit risk), </w:t>
      </w:r>
      <w:r w:rsidRPr="00661595">
        <w:t>e.g. equity exposures attracting a risk</w:t>
      </w:r>
      <w:r w:rsidR="00D82B60" w:rsidRPr="00661595">
        <w:t>-</w:t>
      </w:r>
      <w:r w:rsidRPr="00661595">
        <w:t xml:space="preserve">weight of 250% in accordance with Article 48(4) </w:t>
      </w:r>
      <w:r w:rsidR="00C7103D" w:rsidRPr="00661595">
        <w:t>CRR</w:t>
      </w:r>
      <w:r w:rsidRPr="00661595">
        <w:t>, respectively a risk</w:t>
      </w:r>
      <w:r w:rsidR="00D82B60" w:rsidRPr="00661595">
        <w:t>-</w:t>
      </w:r>
      <w:r w:rsidRPr="00661595">
        <w:t xml:space="preserve">weight of 370% in accordance with Article 471(2) </w:t>
      </w:r>
      <w:r w:rsidR="00C7103D" w:rsidRPr="00661595">
        <w:t>CRR</w:t>
      </w:r>
      <w:r w:rsidRPr="00661595">
        <w:t>.</w:t>
      </w:r>
    </w:p>
    <w:p w:rsidR="00C61FF5" w:rsidRPr="00661595" w:rsidRDefault="00D11E4C" w:rsidP="00487A02">
      <w:pPr>
        <w:pStyle w:val="InstructionsText2"/>
        <w:numPr>
          <w:ilvl w:val="0"/>
          <w:numId w:val="0"/>
        </w:numPr>
        <w:ind w:left="1353" w:hanging="360"/>
      </w:pPr>
      <w:fldSimple w:instr=" seq paragraphs ">
        <w:r w:rsidR="00771068">
          <w:rPr>
            <w:noProof/>
          </w:rPr>
          <w:t>97</w:t>
        </w:r>
      </w:fldSimple>
      <w:r w:rsidR="00125707" w:rsidRPr="00661595">
        <w:t>.</w:t>
      </w:r>
      <w:r w:rsidR="00125707" w:rsidRPr="00661595">
        <w:tab/>
      </w:r>
      <w:r w:rsidR="00C61FF5" w:rsidRPr="00661595">
        <w:t>The following equity claims shall not be reported in the CR EQU IRB template:</w:t>
      </w:r>
    </w:p>
    <w:p w:rsidR="00C61FF5" w:rsidRPr="00661595" w:rsidRDefault="00C61FF5" w:rsidP="00487A02">
      <w:pPr>
        <w:pStyle w:val="InstructionsText"/>
        <w:ind w:left="1353"/>
      </w:pPr>
      <w:r w:rsidRPr="00661595">
        <w:t xml:space="preserve">- Equity exposures in the trading book (where institutions are not exempted from calculating own funds requirements for trading book positions </w:t>
      </w:r>
      <w:r w:rsidR="002C4D74" w:rsidRPr="00661595">
        <w:t>(</w:t>
      </w:r>
      <w:r w:rsidRPr="00661595">
        <w:t xml:space="preserve">Article 94 </w:t>
      </w:r>
      <w:r w:rsidR="00C7103D" w:rsidRPr="00661595">
        <w:t>CRR</w:t>
      </w:r>
      <w:r w:rsidR="002C4D74" w:rsidRPr="00661595">
        <w:t>)</w:t>
      </w:r>
      <w:r w:rsidRPr="00661595">
        <w:t xml:space="preserve">). </w:t>
      </w:r>
    </w:p>
    <w:p w:rsidR="00C61FF5" w:rsidRPr="00661595" w:rsidRDefault="00C61FF5" w:rsidP="00487A02">
      <w:pPr>
        <w:pStyle w:val="InstructionsText"/>
        <w:ind w:left="1353"/>
      </w:pPr>
      <w:r w:rsidRPr="00661595">
        <w:t xml:space="preserve">- Equity exposures subject to the partial use of the </w:t>
      </w:r>
      <w:r w:rsidR="00CA21CA" w:rsidRPr="00661595">
        <w:t xml:space="preserve">Standardised </w:t>
      </w:r>
      <w:r w:rsidR="009A4399" w:rsidRPr="00661595">
        <w:t xml:space="preserve">approach </w:t>
      </w:r>
      <w:r w:rsidRPr="00661595">
        <w:t xml:space="preserve">(Article 150 </w:t>
      </w:r>
      <w:r w:rsidR="00C7103D" w:rsidRPr="00661595">
        <w:t>CRR</w:t>
      </w:r>
      <w:r w:rsidRPr="00661595">
        <w:t>), including:</w:t>
      </w:r>
    </w:p>
    <w:p w:rsidR="00C61FF5" w:rsidRPr="00661595" w:rsidRDefault="00C61FF5" w:rsidP="00487A02">
      <w:pPr>
        <w:pStyle w:val="InstructionsText"/>
        <w:ind w:left="1353"/>
      </w:pPr>
      <w:r w:rsidRPr="00661595">
        <w:t xml:space="preserve">- </w:t>
      </w:r>
      <w:r w:rsidR="002C4D74" w:rsidRPr="00661595">
        <w:t>E</w:t>
      </w:r>
      <w:r w:rsidRPr="00661595">
        <w:t xml:space="preserve">quity exposures </w:t>
      </w:r>
      <w:r w:rsidR="002C4D74" w:rsidRPr="00661595">
        <w:t>grandfathered</w:t>
      </w:r>
      <w:r w:rsidR="002C4D74" w:rsidRPr="00661595" w:rsidDel="00BB22D4">
        <w:t xml:space="preserve"> </w:t>
      </w:r>
      <w:r w:rsidR="00BB22D4" w:rsidRPr="00661595">
        <w:t>in accordance with</w:t>
      </w:r>
      <w:r w:rsidRPr="00661595">
        <w:t xml:space="preserve"> Article 495(1) </w:t>
      </w:r>
      <w:r w:rsidR="00C7103D" w:rsidRPr="00661595">
        <w:t>CRR</w:t>
      </w:r>
      <w:r w:rsidR="002C4D74" w:rsidRPr="00661595">
        <w:t>;</w:t>
      </w:r>
    </w:p>
    <w:p w:rsidR="00C61FF5" w:rsidRPr="00661595" w:rsidRDefault="00C61FF5" w:rsidP="00487A02">
      <w:pPr>
        <w:pStyle w:val="InstructionsText"/>
        <w:ind w:left="1353"/>
      </w:pPr>
      <w:r w:rsidRPr="00661595">
        <w:t xml:space="preserve">- Equity exposures to entities </w:t>
      </w:r>
      <w:r w:rsidR="002C4D74" w:rsidRPr="00661595">
        <w:t xml:space="preserve">the </w:t>
      </w:r>
      <w:r w:rsidRPr="00661595">
        <w:t xml:space="preserve">credit obligations </w:t>
      </w:r>
      <w:r w:rsidR="002C4D74" w:rsidRPr="00661595">
        <w:t xml:space="preserve">of which </w:t>
      </w:r>
      <w:r w:rsidRPr="00661595">
        <w:t xml:space="preserve">are assigned a 0% risk weight under the Standardised </w:t>
      </w:r>
      <w:r w:rsidR="009A4399" w:rsidRPr="00661595">
        <w:t>approach</w:t>
      </w:r>
      <w:r w:rsidRPr="00661595">
        <w:t>, including those publicly sponsored entities where a 0% risk weight can be applied (</w:t>
      </w:r>
      <w:r w:rsidR="00705025" w:rsidRPr="00661595">
        <w:t xml:space="preserve">point (g) of </w:t>
      </w:r>
      <w:r w:rsidRPr="00661595">
        <w:t xml:space="preserve">Article 150(1) </w:t>
      </w:r>
      <w:r w:rsidR="00C7103D" w:rsidRPr="00661595">
        <w:t>CRR</w:t>
      </w:r>
      <w:r w:rsidRPr="00661595">
        <w:t>),</w:t>
      </w:r>
    </w:p>
    <w:p w:rsidR="00C61FF5" w:rsidRPr="00661595" w:rsidRDefault="00C61FF5" w:rsidP="00487A02">
      <w:pPr>
        <w:pStyle w:val="InstructionsText"/>
        <w:ind w:left="1353"/>
      </w:pPr>
      <w:r w:rsidRPr="00661595">
        <w:t>- Equity exposures incurred under legislated programmes to promote specified sectors of the economy that provide significant subsidies for the investment to the institution and involve some form of government oversight and restrictions on the equity investments (</w:t>
      </w:r>
      <w:r w:rsidR="00705025" w:rsidRPr="00661595">
        <w:t xml:space="preserve">point (h) of </w:t>
      </w:r>
      <w:r w:rsidRPr="00661595">
        <w:t xml:space="preserve">Article 150(1) </w:t>
      </w:r>
      <w:r w:rsidR="00C7103D" w:rsidRPr="00661595">
        <w:t>CRR</w:t>
      </w:r>
      <w:r w:rsidRPr="00661595">
        <w:t>)</w:t>
      </w:r>
      <w:r w:rsidR="005C14B0" w:rsidRPr="00661595">
        <w:t>,</w:t>
      </w:r>
    </w:p>
    <w:p w:rsidR="00C61FF5" w:rsidRPr="00661595" w:rsidRDefault="00C61FF5" w:rsidP="00487A02">
      <w:pPr>
        <w:pStyle w:val="InstructionsText"/>
        <w:ind w:left="1353"/>
      </w:pPr>
      <w:r w:rsidRPr="00661595">
        <w:t xml:space="preserve">- Equity exposures to ancillary services undertakings </w:t>
      </w:r>
      <w:r w:rsidR="002C4D74" w:rsidRPr="00661595">
        <w:t xml:space="preserve">the </w:t>
      </w:r>
      <w:r w:rsidRPr="00661595">
        <w:t xml:space="preserve">risk weighted exposure amounts </w:t>
      </w:r>
      <w:r w:rsidR="002C4D74" w:rsidRPr="00661595">
        <w:t xml:space="preserve">of which </w:t>
      </w:r>
      <w:r w:rsidRPr="00661595">
        <w:t xml:space="preserve">may be calculated </w:t>
      </w:r>
      <w:r w:rsidR="00BB22D4" w:rsidRPr="00661595">
        <w:t>in accordance with</w:t>
      </w:r>
      <w:r w:rsidRPr="00661595">
        <w:t xml:space="preserve"> the treatment of “other non</w:t>
      </w:r>
      <w:r w:rsidR="00151B44" w:rsidRPr="00661595">
        <w:t xml:space="preserve"> </w:t>
      </w:r>
      <w:r w:rsidRPr="00661595">
        <w:t xml:space="preserve">credit-obligation assets” (Article 155(1) </w:t>
      </w:r>
      <w:r w:rsidR="00C7103D" w:rsidRPr="00661595">
        <w:t>CRR</w:t>
      </w:r>
      <w:r w:rsidRPr="00661595">
        <w:t>)</w:t>
      </w:r>
      <w:r w:rsidR="005C14B0" w:rsidRPr="00661595">
        <w:t>,</w:t>
      </w:r>
    </w:p>
    <w:p w:rsidR="00C61FF5" w:rsidRPr="00661595" w:rsidRDefault="00C61FF5" w:rsidP="00487A02">
      <w:pPr>
        <w:pStyle w:val="InstructionsText"/>
        <w:ind w:left="1353"/>
      </w:pPr>
      <w:r w:rsidRPr="00661595">
        <w:t xml:space="preserve">- Equity claims deducted from own funds in accordance with Articles 46 and 48 </w:t>
      </w:r>
      <w:r w:rsidR="00C7103D" w:rsidRPr="00661595">
        <w:t>CRR</w:t>
      </w:r>
      <w:r w:rsidRPr="00661595">
        <w:t>.</w:t>
      </w:r>
    </w:p>
    <w:p w:rsidR="00C61FF5" w:rsidRPr="00661595" w:rsidRDefault="00C61FF5" w:rsidP="00487A02">
      <w:pPr>
        <w:pStyle w:val="InstructionsText"/>
        <w:ind w:left="1353"/>
      </w:pPr>
    </w:p>
    <w:p w:rsidR="00C61FF5"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393" w:name="_Toc295829921"/>
      <w:bookmarkStart w:id="394" w:name="_Toc310415033"/>
      <w:bookmarkStart w:id="395" w:name="_Toc360188371"/>
      <w:bookmarkStart w:id="396" w:name="_Toc473560922"/>
      <w:bookmarkStart w:id="397" w:name="_Toc57831579"/>
      <w:r w:rsidRPr="00661595">
        <w:rPr>
          <w:rFonts w:ascii="Times New Roman" w:hAnsi="Times New Roman" w:cs="Times New Roman"/>
          <w:sz w:val="24"/>
          <w:u w:val="none"/>
          <w:lang w:val="en-GB"/>
        </w:rPr>
        <w:t>3.5.2.</w:t>
      </w:r>
      <w:r w:rsidRPr="00661595">
        <w:rPr>
          <w:rFonts w:ascii="Times New Roman" w:hAnsi="Times New Roman" w:cs="Times New Roman"/>
          <w:sz w:val="24"/>
          <w:u w:val="none"/>
          <w:lang w:val="en-GB"/>
        </w:rPr>
        <w:tab/>
      </w:r>
      <w:r w:rsidR="00C61FF5" w:rsidRPr="00661595">
        <w:rPr>
          <w:rFonts w:ascii="Times New Roman" w:hAnsi="Times New Roman" w:cs="Times New Roman"/>
          <w:sz w:val="24"/>
          <w:lang w:val="en-GB"/>
        </w:rPr>
        <w:t>Instructions concerning specific positions</w:t>
      </w:r>
      <w:bookmarkEnd w:id="393"/>
      <w:bookmarkEnd w:id="394"/>
      <w:r w:rsidR="00633DEB" w:rsidRPr="00661595">
        <w:rPr>
          <w:rFonts w:ascii="Times New Roman" w:hAnsi="Times New Roman" w:cs="Times New Roman"/>
          <w:sz w:val="24"/>
          <w:lang w:val="en-GB"/>
        </w:rPr>
        <w:t xml:space="preserve"> (applicable to both CR EQU IRB 1 and CR EQU IRB 2)</w:t>
      </w:r>
      <w:bookmarkEnd w:id="395"/>
      <w:bookmarkEnd w:id="396"/>
      <w:bookmarkEnd w:id="397"/>
    </w:p>
    <w:tbl>
      <w:tblPr>
        <w:tblW w:w="0" w:type="auto"/>
        <w:tblLook w:val="01E0" w:firstRow="1" w:lastRow="1" w:firstColumn="1" w:lastColumn="1" w:noHBand="0" w:noVBand="0"/>
      </w:tblPr>
      <w:tblGrid>
        <w:gridCol w:w="852"/>
        <w:gridCol w:w="8004"/>
      </w:tblGrid>
      <w:tr w:rsidR="00C61FF5" w:rsidRPr="00661595" w:rsidTr="00672D2A">
        <w:tc>
          <w:tcPr>
            <w:tcW w:w="8856" w:type="dxa"/>
            <w:gridSpan w:val="2"/>
            <w:tcBorders>
              <w:top w:val="single" w:sz="4" w:space="0" w:color="auto"/>
              <w:left w:val="single" w:sz="4" w:space="0" w:color="auto"/>
              <w:bottom w:val="single" w:sz="4" w:space="0" w:color="auto"/>
              <w:right w:val="single" w:sz="4" w:space="0" w:color="auto"/>
            </w:tcBorders>
            <w:shd w:val="clear" w:color="auto" w:fill="BFBFBF"/>
          </w:tcPr>
          <w:p w:rsidR="00745369" w:rsidRPr="00661595" w:rsidRDefault="00C61FF5" w:rsidP="00EA0BAB">
            <w:pPr>
              <w:spacing w:beforeLines="60" w:before="144" w:afterLines="60" w:after="144"/>
              <w:rPr>
                <w:rStyle w:val="InstructionsTabelleText"/>
                <w:rFonts w:ascii="Times New Roman" w:hAnsi="Times New Roman"/>
                <w:b/>
                <w:sz w:val="24"/>
              </w:rPr>
            </w:pPr>
            <w:r w:rsidRPr="00661595">
              <w:rPr>
                <w:rStyle w:val="InstructionsTabelleText"/>
                <w:rFonts w:ascii="Times New Roman" w:hAnsi="Times New Roman"/>
                <w:b/>
                <w:sz w:val="24"/>
              </w:rPr>
              <w:t>Columns</w:t>
            </w:r>
          </w:p>
        </w:tc>
      </w:tr>
      <w:tr w:rsidR="003F05A0" w:rsidRPr="00661595" w:rsidTr="00672D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 w:type="dxa"/>
          </w:tcPr>
          <w:p w:rsidR="003F05A0" w:rsidRPr="00661595" w:rsidRDefault="003F05A0" w:rsidP="00EA0BAB">
            <w:pPr>
              <w:spacing w:beforeLines="60" w:before="144" w:afterLines="60" w:after="144"/>
              <w:rPr>
                <w:rStyle w:val="InstructionsTabelleText"/>
                <w:rFonts w:ascii="Times New Roman" w:hAnsi="Times New Roman"/>
                <w:sz w:val="24"/>
              </w:rPr>
            </w:pPr>
            <w:r w:rsidRPr="00661595">
              <w:rPr>
                <w:rStyle w:val="InstructionsTabelleText"/>
                <w:rFonts w:ascii="Times New Roman" w:hAnsi="Times New Roman"/>
                <w:sz w:val="24"/>
              </w:rPr>
              <w:t>00</w:t>
            </w:r>
            <w:r w:rsidR="006E0E76" w:rsidRPr="00661595">
              <w:rPr>
                <w:rStyle w:val="InstructionsTabelleText"/>
                <w:rFonts w:ascii="Times New Roman" w:hAnsi="Times New Roman"/>
                <w:sz w:val="24"/>
              </w:rPr>
              <w:t>0</w:t>
            </w:r>
            <w:r w:rsidRPr="00661595">
              <w:rPr>
                <w:rStyle w:val="InstructionsTabelleText"/>
                <w:rFonts w:ascii="Times New Roman" w:hAnsi="Times New Roman"/>
                <w:sz w:val="24"/>
              </w:rPr>
              <w:t>5</w:t>
            </w:r>
          </w:p>
        </w:tc>
        <w:tc>
          <w:tcPr>
            <w:tcW w:w="8004" w:type="dxa"/>
          </w:tcPr>
          <w:p w:rsidR="003F05A0" w:rsidRPr="00661595" w:rsidRDefault="003F05A0" w:rsidP="00450A2E">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OBLIGOR GRADE</w:t>
            </w:r>
            <w:r w:rsidR="00104A65" w:rsidRPr="00661595">
              <w:rPr>
                <w:rStyle w:val="InstructionsTabelleberschrift"/>
                <w:rFonts w:ascii="Times New Roman" w:hAnsi="Times New Roman"/>
                <w:sz w:val="24"/>
              </w:rPr>
              <w:t xml:space="preserve"> (ROW IDENTIFIER)</w:t>
            </w:r>
          </w:p>
          <w:p w:rsidR="003F05A0" w:rsidRPr="00661595" w:rsidRDefault="003F05A0" w:rsidP="00133396">
            <w:pPr>
              <w:spacing w:beforeLines="60" w:before="144" w:afterLines="60" w:after="144"/>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 xml:space="preserve">The obligor grade </w:t>
            </w:r>
            <w:r w:rsidR="002C4D74" w:rsidRPr="00661595">
              <w:rPr>
                <w:rStyle w:val="InstructionsTabelleberschrift"/>
                <w:rFonts w:ascii="Times New Roman" w:hAnsi="Times New Roman"/>
                <w:b w:val="0"/>
                <w:sz w:val="24"/>
                <w:u w:val="none"/>
              </w:rPr>
              <w:t>shall be</w:t>
            </w:r>
            <w:r w:rsidRPr="00661595">
              <w:rPr>
                <w:rStyle w:val="InstructionsTabelleberschrift"/>
                <w:rFonts w:ascii="Times New Roman" w:hAnsi="Times New Roman"/>
                <w:b w:val="0"/>
                <w:sz w:val="24"/>
                <w:u w:val="none"/>
              </w:rPr>
              <w:t xml:space="preserve"> a row identifier and shall be unique for each row in the </w:t>
            </w:r>
            <w:r w:rsidR="00133396" w:rsidRPr="00661595">
              <w:rPr>
                <w:rStyle w:val="InstructionsTabelleberschrift"/>
                <w:rFonts w:ascii="Times New Roman" w:hAnsi="Times New Roman"/>
                <w:b w:val="0"/>
                <w:sz w:val="24"/>
                <w:u w:val="none"/>
              </w:rPr>
              <w:t>template</w:t>
            </w:r>
            <w:r w:rsidRPr="00661595">
              <w:rPr>
                <w:rStyle w:val="InstructionsTabelleberschrift"/>
                <w:rFonts w:ascii="Times New Roman" w:hAnsi="Times New Roman"/>
                <w:b w:val="0"/>
                <w:sz w:val="24"/>
                <w:u w:val="none"/>
              </w:rPr>
              <w:t>.</w:t>
            </w:r>
            <w:r w:rsidR="001959EF" w:rsidRPr="00661595">
              <w:rPr>
                <w:rStyle w:val="InstructionsTabelleberschrift"/>
                <w:rFonts w:ascii="Times New Roman" w:hAnsi="Times New Roman"/>
                <w:b w:val="0"/>
                <w:sz w:val="24"/>
                <w:u w:val="none"/>
              </w:rPr>
              <w:t xml:space="preserve"> </w:t>
            </w:r>
            <w:r w:rsidR="001959EF" w:rsidRPr="00661595">
              <w:rPr>
                <w:rFonts w:ascii="Times New Roman" w:hAnsi="Times New Roman"/>
                <w:sz w:val="24"/>
              </w:rPr>
              <w:t>It shall follow the numerical order 1, 2, 3</w:t>
            </w:r>
            <w:r w:rsidR="001C7F2A" w:rsidRPr="00661595">
              <w:rPr>
                <w:rFonts w:ascii="Times New Roman" w:hAnsi="Times New Roman"/>
                <w:sz w:val="24"/>
              </w:rPr>
              <w:t>,</w:t>
            </w:r>
            <w:r w:rsidR="001959EF" w:rsidRPr="00661595">
              <w:rPr>
                <w:rFonts w:ascii="Times New Roman" w:hAnsi="Times New Roman"/>
                <w:sz w:val="24"/>
              </w:rPr>
              <w:t xml:space="preserve"> etc.</w:t>
            </w:r>
          </w:p>
        </w:tc>
      </w:tr>
      <w:tr w:rsidR="00C61FF5" w:rsidRPr="00661595" w:rsidTr="00672D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 w:type="dxa"/>
          </w:tcPr>
          <w:p w:rsidR="00745369" w:rsidRPr="00661595" w:rsidRDefault="00C61FF5" w:rsidP="00EA0BAB">
            <w:pPr>
              <w:spacing w:beforeLines="60" w:before="144" w:afterLines="60" w:after="144"/>
              <w:rPr>
                <w:rStyle w:val="InstructionsTabelleText"/>
                <w:rFonts w:ascii="Times New Roman" w:hAnsi="Times New Roman"/>
                <w:sz w:val="24"/>
              </w:rPr>
            </w:pPr>
            <w:r w:rsidRPr="00661595">
              <w:rPr>
                <w:rStyle w:val="InstructionsTabelleText"/>
                <w:rFonts w:ascii="Times New Roman" w:hAnsi="Times New Roman"/>
                <w:sz w:val="24"/>
              </w:rPr>
              <w:t>0</w:t>
            </w:r>
            <w:r w:rsidR="006E0E76" w:rsidRPr="00661595">
              <w:rPr>
                <w:rStyle w:val="InstructionsTabelleText"/>
                <w:rFonts w:ascii="Times New Roman" w:hAnsi="Times New Roman"/>
                <w:sz w:val="24"/>
              </w:rPr>
              <w:t>0</w:t>
            </w:r>
            <w:r w:rsidRPr="00661595">
              <w:rPr>
                <w:rStyle w:val="InstructionsTabelleText"/>
                <w:rFonts w:ascii="Times New Roman" w:hAnsi="Times New Roman"/>
                <w:sz w:val="24"/>
              </w:rPr>
              <w:t>10</w:t>
            </w:r>
          </w:p>
        </w:tc>
        <w:tc>
          <w:tcPr>
            <w:tcW w:w="8004" w:type="dxa"/>
          </w:tcPr>
          <w:p w:rsidR="00745369" w:rsidRPr="00661595" w:rsidRDefault="00C61FF5" w:rsidP="00450A2E">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 xml:space="preserve">INTERNAL RATING </w:t>
            </w:r>
            <w:r w:rsidR="009A4399" w:rsidRPr="00661595">
              <w:rPr>
                <w:rStyle w:val="InstructionsTabelleberschrift"/>
                <w:rFonts w:ascii="Times New Roman" w:hAnsi="Times New Roman"/>
                <w:sz w:val="24"/>
              </w:rPr>
              <w:t xml:space="preserve">SCALE </w:t>
            </w:r>
          </w:p>
          <w:p w:rsidR="00745369" w:rsidRPr="00661595" w:rsidRDefault="00C61FF5" w:rsidP="00450A2E">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PD ASSIGNED TO THE OBLIGOR GRADE (%)</w:t>
            </w:r>
          </w:p>
          <w:p w:rsidR="00745369" w:rsidRPr="00661595" w:rsidRDefault="00C61FF5" w:rsidP="00450A2E">
            <w:pPr>
              <w:spacing w:beforeLines="60" w:before="144" w:afterLines="60" w:after="144"/>
              <w:rPr>
                <w:rStyle w:val="InstructionsTabelleText"/>
                <w:rFonts w:ascii="Times New Roman" w:hAnsi="Times New Roman"/>
                <w:sz w:val="24"/>
              </w:rPr>
            </w:pPr>
            <w:r w:rsidRPr="00661595">
              <w:rPr>
                <w:rStyle w:val="InstructionsTabelleText"/>
                <w:rFonts w:ascii="Times New Roman" w:hAnsi="Times New Roman"/>
                <w:sz w:val="24"/>
              </w:rPr>
              <w:t xml:space="preserve">Institutions applying the PD/LGD approach </w:t>
            </w:r>
            <w:r w:rsidR="002C4D74" w:rsidRPr="00661595">
              <w:rPr>
                <w:rStyle w:val="InstructionsTabelleText"/>
                <w:rFonts w:ascii="Times New Roman" w:hAnsi="Times New Roman"/>
                <w:sz w:val="24"/>
              </w:rPr>
              <w:t xml:space="preserve">shall </w:t>
            </w:r>
            <w:r w:rsidRPr="00661595">
              <w:rPr>
                <w:rStyle w:val="InstructionsTabelleText"/>
                <w:rFonts w:ascii="Times New Roman" w:hAnsi="Times New Roman"/>
                <w:sz w:val="24"/>
              </w:rPr>
              <w:t>report in column 0</w:t>
            </w:r>
            <w:r w:rsidR="006E0E76" w:rsidRPr="00661595">
              <w:rPr>
                <w:rStyle w:val="InstructionsTabelleText"/>
                <w:rFonts w:ascii="Times New Roman" w:hAnsi="Times New Roman"/>
                <w:sz w:val="24"/>
              </w:rPr>
              <w:t>0</w:t>
            </w:r>
            <w:r w:rsidRPr="00661595">
              <w:rPr>
                <w:rStyle w:val="InstructionsTabelleText"/>
                <w:rFonts w:ascii="Times New Roman" w:hAnsi="Times New Roman"/>
                <w:sz w:val="24"/>
              </w:rPr>
              <w:t xml:space="preserve">10 the probability of default (PD) calculated in accordance with Article 165(1) </w:t>
            </w:r>
            <w:r w:rsidR="00C7103D" w:rsidRPr="00661595">
              <w:rPr>
                <w:rStyle w:val="InstructionsTabelleText"/>
                <w:rFonts w:ascii="Times New Roman" w:hAnsi="Times New Roman"/>
                <w:sz w:val="24"/>
              </w:rPr>
              <w:t>CRR</w:t>
            </w:r>
            <w:r w:rsidRPr="00661595">
              <w:rPr>
                <w:rStyle w:val="InstructionsTabelleText"/>
                <w:rFonts w:ascii="Times New Roman" w:hAnsi="Times New Roman"/>
                <w:sz w:val="24"/>
              </w:rPr>
              <w:t>.</w:t>
            </w:r>
          </w:p>
          <w:p w:rsidR="00745369" w:rsidRPr="00661595" w:rsidRDefault="00C61FF5" w:rsidP="00450A2E">
            <w:pPr>
              <w:spacing w:beforeLines="60" w:before="144" w:afterLines="60" w:after="144"/>
              <w:rPr>
                <w:rStyle w:val="InstructionsTabelleText"/>
                <w:rFonts w:ascii="Times New Roman" w:hAnsi="Times New Roman"/>
                <w:sz w:val="24"/>
              </w:rPr>
            </w:pPr>
            <w:r w:rsidRPr="00661595">
              <w:rPr>
                <w:rStyle w:val="InstructionsTabelleText"/>
                <w:rFonts w:ascii="Times New Roman" w:hAnsi="Times New Roman"/>
                <w:sz w:val="24"/>
              </w:rPr>
              <w:t xml:space="preserve">The PD assigned to the obligor grade or pool to be reported shall be in line with the minimum requirements laid down in </w:t>
            </w:r>
            <w:r w:rsidR="002C4D74" w:rsidRPr="00661595">
              <w:rPr>
                <w:rStyle w:val="InstructionsTabelleText"/>
                <w:rFonts w:ascii="Times New Roman" w:hAnsi="Times New Roman"/>
                <w:sz w:val="24"/>
              </w:rPr>
              <w:t xml:space="preserve">Section 6 of </w:t>
            </w:r>
            <w:r w:rsidR="00D021AF" w:rsidRPr="00661595">
              <w:rPr>
                <w:rStyle w:val="InstructionsTabelleText"/>
                <w:rFonts w:ascii="Times New Roman" w:hAnsi="Times New Roman"/>
                <w:sz w:val="24"/>
              </w:rPr>
              <w:t xml:space="preserve">Chapter 3 of Title II of </w:t>
            </w:r>
            <w:r w:rsidRPr="00661595">
              <w:rPr>
                <w:rStyle w:val="InstructionsTabelleText"/>
                <w:rFonts w:ascii="Times New Roman" w:hAnsi="Times New Roman"/>
                <w:sz w:val="24"/>
              </w:rPr>
              <w:t xml:space="preserve">Part Three </w:t>
            </w:r>
            <w:r w:rsidR="00C7103D" w:rsidRPr="00661595">
              <w:rPr>
                <w:rStyle w:val="InstructionsTabelleText"/>
                <w:rFonts w:ascii="Times New Roman" w:hAnsi="Times New Roman"/>
                <w:sz w:val="24"/>
              </w:rPr>
              <w:t>CRR</w:t>
            </w:r>
            <w:r w:rsidRPr="00661595">
              <w:rPr>
                <w:rStyle w:val="InstructionsTabelleText"/>
                <w:rFonts w:ascii="Times New Roman" w:hAnsi="Times New Roman"/>
                <w:sz w:val="24"/>
              </w:rPr>
              <w:t xml:space="preserve">. For each individual grade or pool, the PD assigned to that specific obligor grade or pool shall be reported. All reported risk parameters shall be derived from the risk parameters used in the internal </w:t>
            </w:r>
            <w:r w:rsidR="009A4399" w:rsidRPr="00661595">
              <w:rPr>
                <w:rStyle w:val="InstructionsTabelleText"/>
                <w:rFonts w:ascii="Times New Roman" w:hAnsi="Times New Roman"/>
                <w:sz w:val="24"/>
              </w:rPr>
              <w:t>rating scale</w:t>
            </w:r>
            <w:r w:rsidRPr="00661595">
              <w:rPr>
                <w:rStyle w:val="InstructionsTabelleText"/>
                <w:rFonts w:ascii="Times New Roman" w:hAnsi="Times New Roman"/>
                <w:sz w:val="24"/>
              </w:rPr>
              <w:t xml:space="preserve"> approved by the respective competent authority.</w:t>
            </w:r>
          </w:p>
          <w:p w:rsidR="00745369" w:rsidRPr="00661595" w:rsidRDefault="00C61FF5" w:rsidP="00450A2E">
            <w:pPr>
              <w:spacing w:beforeLines="60" w:before="144" w:afterLines="60" w:after="144"/>
              <w:rPr>
                <w:rStyle w:val="InstructionsTabelleText"/>
                <w:rFonts w:ascii="Times New Roman" w:hAnsi="Times New Roman"/>
                <w:sz w:val="24"/>
              </w:rPr>
            </w:pPr>
            <w:r w:rsidRPr="00661595">
              <w:rPr>
                <w:rStyle w:val="InstructionsTabelleText"/>
                <w:rFonts w:ascii="Times New Roman" w:hAnsi="Times New Roman"/>
                <w:sz w:val="24"/>
              </w:rPr>
              <w:t>For figures corresponding to an aggregation of obligor grades or pools (e.g. “total exposures”)</w:t>
            </w:r>
            <w:r w:rsidR="00D021AF" w:rsidRPr="00661595">
              <w:rPr>
                <w:rStyle w:val="InstructionsTabelleText"/>
                <w:rFonts w:ascii="Times New Roman" w:hAnsi="Times New Roman"/>
                <w:sz w:val="24"/>
              </w:rPr>
              <w:t>,</w:t>
            </w:r>
            <w:r w:rsidRPr="00661595">
              <w:rPr>
                <w:rStyle w:val="InstructionsTabelleText"/>
                <w:rFonts w:ascii="Times New Roman" w:hAnsi="Times New Roman"/>
                <w:sz w:val="24"/>
              </w:rPr>
              <w:t xml:space="preserve"> the exposure weighted average of the PDs assigned to the obligor grades or pools included in the aggregation shall be provided. All exposures, including defaulted exposures</w:t>
            </w:r>
            <w:r w:rsidR="00D021AF" w:rsidRPr="00661595">
              <w:rPr>
                <w:rStyle w:val="InstructionsTabelleText"/>
                <w:rFonts w:ascii="Times New Roman" w:hAnsi="Times New Roman"/>
                <w:sz w:val="24"/>
              </w:rPr>
              <w:t>,</w:t>
            </w:r>
            <w:r w:rsidRPr="00661595">
              <w:rPr>
                <w:rStyle w:val="InstructionsTabelleText"/>
                <w:rFonts w:ascii="Times New Roman" w:hAnsi="Times New Roman"/>
                <w:sz w:val="24"/>
              </w:rPr>
              <w:t xml:space="preserve"> are to be considered for the purpose of the calculation of the exposure weighted average PD. For the calculation of the exposure-weighted average PD, the exposure value taking into account unfunded credit protection (column 0</w:t>
            </w:r>
            <w:r w:rsidR="006E0E76" w:rsidRPr="00661595">
              <w:rPr>
                <w:rStyle w:val="InstructionsTabelleText"/>
                <w:rFonts w:ascii="Times New Roman" w:hAnsi="Times New Roman"/>
                <w:sz w:val="24"/>
              </w:rPr>
              <w:t>0</w:t>
            </w:r>
            <w:r w:rsidRPr="00661595">
              <w:rPr>
                <w:rStyle w:val="InstructionsTabelleText"/>
                <w:rFonts w:ascii="Times New Roman" w:hAnsi="Times New Roman"/>
                <w:sz w:val="24"/>
              </w:rPr>
              <w:t xml:space="preserve">60) shall be used for weighting purposes. </w:t>
            </w:r>
          </w:p>
        </w:tc>
      </w:tr>
      <w:tr w:rsidR="00C61FF5" w:rsidRPr="00661595" w:rsidTr="00672D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 w:type="dxa"/>
          </w:tcPr>
          <w:p w:rsidR="00745369" w:rsidRPr="00661595" w:rsidRDefault="00C61FF5" w:rsidP="00EA0BAB">
            <w:pPr>
              <w:spacing w:beforeLines="60" w:before="144" w:afterLines="60" w:after="144"/>
              <w:rPr>
                <w:rStyle w:val="InstructionsTabelleText"/>
                <w:rFonts w:ascii="Times New Roman" w:hAnsi="Times New Roman"/>
                <w:sz w:val="24"/>
              </w:rPr>
            </w:pPr>
            <w:r w:rsidRPr="00661595">
              <w:rPr>
                <w:rStyle w:val="InstructionsTabelleText"/>
                <w:rFonts w:ascii="Times New Roman" w:hAnsi="Times New Roman"/>
                <w:sz w:val="24"/>
              </w:rPr>
              <w:t>0</w:t>
            </w:r>
            <w:r w:rsidR="006E0E76" w:rsidRPr="00661595">
              <w:rPr>
                <w:rStyle w:val="InstructionsTabelleText"/>
                <w:rFonts w:ascii="Times New Roman" w:hAnsi="Times New Roman"/>
                <w:sz w:val="24"/>
              </w:rPr>
              <w:t>0</w:t>
            </w:r>
            <w:r w:rsidRPr="00661595">
              <w:rPr>
                <w:rStyle w:val="InstructionsTabelleText"/>
                <w:rFonts w:ascii="Times New Roman" w:hAnsi="Times New Roman"/>
                <w:sz w:val="24"/>
              </w:rPr>
              <w:t>20</w:t>
            </w:r>
          </w:p>
        </w:tc>
        <w:tc>
          <w:tcPr>
            <w:tcW w:w="8004" w:type="dxa"/>
          </w:tcPr>
          <w:p w:rsidR="00745369" w:rsidRPr="00661595" w:rsidRDefault="00C61FF5" w:rsidP="00450A2E">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ORIGINAL EXPOSURE PRE</w:t>
            </w:r>
            <w:r w:rsidR="007574C3" w:rsidRPr="00661595">
              <w:rPr>
                <w:rStyle w:val="InstructionsTabelleberschrift"/>
                <w:rFonts w:ascii="Times New Roman" w:hAnsi="Times New Roman"/>
                <w:sz w:val="24"/>
              </w:rPr>
              <w:t>-</w:t>
            </w:r>
            <w:r w:rsidRPr="00661595">
              <w:rPr>
                <w:rStyle w:val="InstructionsTabelleberschrift"/>
                <w:rFonts w:ascii="Times New Roman" w:hAnsi="Times New Roman"/>
                <w:sz w:val="24"/>
              </w:rPr>
              <w:t>CONVERSION FACTORS</w:t>
            </w:r>
          </w:p>
          <w:p w:rsidR="00C61FF5" w:rsidRPr="00661595" w:rsidRDefault="00C61FF5" w:rsidP="00C61FF5">
            <w:pPr>
              <w:autoSpaceDE w:val="0"/>
              <w:autoSpaceDN w:val="0"/>
              <w:adjustRightInd w:val="0"/>
              <w:spacing w:before="0" w:after="0"/>
              <w:rPr>
                <w:rStyle w:val="InstructionsTabelleText"/>
                <w:rFonts w:ascii="Times New Roman" w:hAnsi="Times New Roman"/>
                <w:sz w:val="24"/>
              </w:rPr>
            </w:pPr>
            <w:r w:rsidRPr="00661595">
              <w:rPr>
                <w:rStyle w:val="InstructionsTabelleText"/>
                <w:rFonts w:ascii="Times New Roman" w:hAnsi="Times New Roman"/>
                <w:sz w:val="24"/>
              </w:rPr>
              <w:t>Institutions report in column 0</w:t>
            </w:r>
            <w:r w:rsidR="006E0E76" w:rsidRPr="00661595">
              <w:rPr>
                <w:rStyle w:val="InstructionsTabelleText"/>
                <w:rFonts w:ascii="Times New Roman" w:hAnsi="Times New Roman"/>
                <w:sz w:val="24"/>
              </w:rPr>
              <w:t>0</w:t>
            </w:r>
            <w:r w:rsidRPr="00661595">
              <w:rPr>
                <w:rStyle w:val="InstructionsTabelleText"/>
                <w:rFonts w:ascii="Times New Roman" w:hAnsi="Times New Roman"/>
                <w:sz w:val="24"/>
              </w:rPr>
              <w:t>20 the original exposure value (pre</w:t>
            </w:r>
            <w:r w:rsidR="007574C3" w:rsidRPr="00661595">
              <w:rPr>
                <w:rStyle w:val="InstructionsTabelleText"/>
                <w:rFonts w:ascii="Times New Roman" w:hAnsi="Times New Roman"/>
                <w:sz w:val="24"/>
              </w:rPr>
              <w:t>-</w:t>
            </w:r>
            <w:r w:rsidRPr="00661595">
              <w:rPr>
                <w:rStyle w:val="InstructionsTabelleText"/>
                <w:rFonts w:ascii="Times New Roman" w:hAnsi="Times New Roman"/>
                <w:sz w:val="24"/>
              </w:rPr>
              <w:t xml:space="preserve">conversion factors). </w:t>
            </w:r>
            <w:r w:rsidR="00BB22D4" w:rsidRPr="00661595">
              <w:rPr>
                <w:rStyle w:val="InstructionsTabelleText"/>
                <w:rFonts w:ascii="Times New Roman" w:hAnsi="Times New Roman"/>
                <w:sz w:val="24"/>
              </w:rPr>
              <w:t>In accordance with</w:t>
            </w:r>
            <w:r w:rsidRPr="00661595">
              <w:rPr>
                <w:rStyle w:val="InstructionsTabelleText"/>
                <w:rFonts w:ascii="Times New Roman" w:hAnsi="Times New Roman"/>
                <w:sz w:val="24"/>
              </w:rPr>
              <w:t xml:space="preserve"> Article 167 </w:t>
            </w:r>
            <w:r w:rsidR="00C7103D" w:rsidRPr="00661595">
              <w:rPr>
                <w:rStyle w:val="InstructionsTabelleText"/>
                <w:rFonts w:ascii="Times New Roman" w:hAnsi="Times New Roman"/>
                <w:sz w:val="24"/>
              </w:rPr>
              <w:t>CRR</w:t>
            </w:r>
            <w:r w:rsidRPr="00661595">
              <w:rPr>
                <w:rStyle w:val="InstructionsTabelleText"/>
                <w:rFonts w:ascii="Times New Roman" w:hAnsi="Times New Roman"/>
                <w:sz w:val="24"/>
              </w:rPr>
              <w:t xml:space="preserve">, the exposure value for equity exposures shall be the accounting value remaining after specific credit risk adjustments. The </w:t>
            </w:r>
            <w:r w:rsidRPr="00661595">
              <w:rPr>
                <w:rFonts w:ascii="Times New Roman" w:hAnsi="Times New Roman"/>
                <w:sz w:val="24"/>
              </w:rPr>
              <w:t>exposure value of off-balance sheet equity exposures shall be its nominal value after specific credit risk adjustments.</w:t>
            </w:r>
          </w:p>
          <w:p w:rsidR="00745369" w:rsidRPr="00661595" w:rsidRDefault="00C61FF5" w:rsidP="00EA0BAB">
            <w:pPr>
              <w:spacing w:beforeLines="60" w:before="144" w:afterLines="60" w:after="144"/>
              <w:rPr>
                <w:rStyle w:val="InstructionsTabelleText"/>
                <w:rFonts w:ascii="Times New Roman" w:hAnsi="Times New Roman"/>
                <w:sz w:val="24"/>
              </w:rPr>
            </w:pPr>
            <w:r w:rsidRPr="00661595">
              <w:rPr>
                <w:rStyle w:val="InstructionsTabelleText"/>
                <w:rFonts w:ascii="Times New Roman" w:hAnsi="Times New Roman"/>
                <w:sz w:val="24"/>
              </w:rPr>
              <w:t xml:space="preserve">Institutions </w:t>
            </w:r>
            <w:r w:rsidR="00D021AF" w:rsidRPr="00661595">
              <w:rPr>
                <w:rStyle w:val="InstructionsTabelleText"/>
                <w:rFonts w:ascii="Times New Roman" w:hAnsi="Times New Roman"/>
                <w:sz w:val="24"/>
              </w:rPr>
              <w:t xml:space="preserve">shall </w:t>
            </w:r>
            <w:r w:rsidRPr="00661595">
              <w:rPr>
                <w:rStyle w:val="InstructionsTabelleText"/>
                <w:rFonts w:ascii="Times New Roman" w:hAnsi="Times New Roman"/>
                <w:sz w:val="24"/>
              </w:rPr>
              <w:t>also include in column 0</w:t>
            </w:r>
            <w:r w:rsidR="006E0E76" w:rsidRPr="00661595">
              <w:rPr>
                <w:rStyle w:val="InstructionsTabelleText"/>
                <w:rFonts w:ascii="Times New Roman" w:hAnsi="Times New Roman"/>
                <w:sz w:val="24"/>
              </w:rPr>
              <w:t>0</w:t>
            </w:r>
            <w:r w:rsidRPr="00661595">
              <w:rPr>
                <w:rStyle w:val="InstructionsTabelleText"/>
                <w:rFonts w:ascii="Times New Roman" w:hAnsi="Times New Roman"/>
                <w:sz w:val="24"/>
              </w:rPr>
              <w:t xml:space="preserve">20 </w:t>
            </w:r>
            <w:r w:rsidR="00D021AF" w:rsidRPr="00661595">
              <w:rPr>
                <w:rStyle w:val="InstructionsTabelleText"/>
                <w:rFonts w:ascii="Times New Roman" w:hAnsi="Times New Roman"/>
                <w:sz w:val="24"/>
              </w:rPr>
              <w:t xml:space="preserve">the </w:t>
            </w:r>
            <w:r w:rsidRPr="00661595">
              <w:rPr>
                <w:rStyle w:val="InstructionsTabelleText"/>
                <w:rFonts w:ascii="Times New Roman" w:hAnsi="Times New Roman"/>
                <w:sz w:val="24"/>
              </w:rPr>
              <w:t xml:space="preserve">off balance sheet items referred to in Annex I </w:t>
            </w:r>
            <w:r w:rsidR="00C7103D" w:rsidRPr="00661595">
              <w:rPr>
                <w:rStyle w:val="InstructionsTabelleText"/>
                <w:rFonts w:ascii="Times New Roman" w:hAnsi="Times New Roman"/>
                <w:sz w:val="24"/>
              </w:rPr>
              <w:t>CRR</w:t>
            </w:r>
            <w:r w:rsidRPr="00661595">
              <w:rPr>
                <w:rStyle w:val="InstructionsTabelleText"/>
                <w:rFonts w:ascii="Times New Roman" w:hAnsi="Times New Roman"/>
                <w:sz w:val="24"/>
              </w:rPr>
              <w:t xml:space="preserve"> assigned to the equity exposure class (e.g. “the unpaid portion of partly-paid shares”).</w:t>
            </w:r>
          </w:p>
          <w:p w:rsidR="00745369" w:rsidRPr="00661595" w:rsidRDefault="00C61FF5" w:rsidP="00A16FFF">
            <w:pPr>
              <w:spacing w:beforeLines="60" w:before="144" w:afterLines="60" w:after="144"/>
              <w:rPr>
                <w:rStyle w:val="InstructionsTabelleText"/>
                <w:rFonts w:ascii="Times New Roman" w:hAnsi="Times New Roman"/>
                <w:sz w:val="24"/>
              </w:rPr>
            </w:pPr>
            <w:r w:rsidRPr="00661595">
              <w:rPr>
                <w:rStyle w:val="InstructionsTabelleText"/>
                <w:rFonts w:ascii="Times New Roman" w:hAnsi="Times New Roman"/>
                <w:sz w:val="24"/>
              </w:rPr>
              <w:t xml:space="preserve">Institutions applying the </w:t>
            </w:r>
            <w:r w:rsidRPr="00661595">
              <w:rPr>
                <w:rStyle w:val="InstructionsTabelleText"/>
                <w:rFonts w:ascii="Times New Roman" w:hAnsi="Times New Roman"/>
                <w:sz w:val="24"/>
                <w:lang w:eastAsia="de-DE"/>
              </w:rPr>
              <w:t>Simple Risk Weight approach or the PD/LGD approach (as referred to in Article 165(1)</w:t>
            </w:r>
            <w:r w:rsidR="001A627D" w:rsidRPr="00661595">
              <w:rPr>
                <w:rStyle w:val="InstructionsTabelleText"/>
                <w:rFonts w:ascii="Times New Roman" w:hAnsi="Times New Roman"/>
                <w:sz w:val="24"/>
                <w:lang w:eastAsia="de-DE"/>
              </w:rPr>
              <w:t xml:space="preserve"> CRR</w:t>
            </w:r>
            <w:r w:rsidR="00D021AF" w:rsidRPr="00661595">
              <w:rPr>
                <w:rStyle w:val="InstructionsTabelleText"/>
                <w:rFonts w:ascii="Times New Roman" w:hAnsi="Times New Roman"/>
                <w:sz w:val="24"/>
                <w:lang w:eastAsia="de-DE"/>
              </w:rPr>
              <w:t>)</w:t>
            </w:r>
            <w:r w:rsidRPr="00661595">
              <w:rPr>
                <w:rStyle w:val="InstructionsTabelleText"/>
                <w:rFonts w:ascii="Times New Roman" w:hAnsi="Times New Roman"/>
                <w:sz w:val="24"/>
                <w:lang w:eastAsia="de-DE"/>
              </w:rPr>
              <w:t xml:space="preserve"> </w:t>
            </w:r>
            <w:r w:rsidR="00D021AF" w:rsidRPr="00661595">
              <w:rPr>
                <w:rStyle w:val="InstructionsTabelleText"/>
                <w:rFonts w:ascii="Times New Roman" w:hAnsi="Times New Roman"/>
                <w:sz w:val="24"/>
                <w:lang w:eastAsia="de-DE"/>
              </w:rPr>
              <w:t xml:space="preserve">shall </w:t>
            </w:r>
            <w:r w:rsidRPr="00661595">
              <w:rPr>
                <w:rStyle w:val="InstructionsTabelleText"/>
                <w:rFonts w:ascii="Times New Roman" w:hAnsi="Times New Roman"/>
                <w:sz w:val="24"/>
                <w:lang w:eastAsia="de-DE"/>
              </w:rPr>
              <w:t xml:space="preserve">also </w:t>
            </w:r>
            <w:r w:rsidR="00A16FFF" w:rsidRPr="00661595">
              <w:rPr>
                <w:rStyle w:val="InstructionsTabelleText"/>
                <w:rFonts w:ascii="Times New Roman" w:hAnsi="Times New Roman"/>
                <w:sz w:val="24"/>
                <w:lang w:eastAsia="de-DE"/>
              </w:rPr>
              <w:t xml:space="preserve">take into account </w:t>
            </w:r>
            <w:r w:rsidRPr="00661595">
              <w:rPr>
                <w:rStyle w:val="InstructionsTabelleText"/>
                <w:rFonts w:ascii="Times New Roman" w:hAnsi="Times New Roman"/>
                <w:sz w:val="24"/>
                <w:lang w:eastAsia="de-DE"/>
              </w:rPr>
              <w:t xml:space="preserve">the offsetting referred to in </w:t>
            </w:r>
            <w:r w:rsidR="00D021AF" w:rsidRPr="00661595">
              <w:rPr>
                <w:rStyle w:val="InstructionsTabelleText"/>
                <w:rFonts w:ascii="Times New Roman" w:hAnsi="Times New Roman"/>
                <w:sz w:val="24"/>
                <w:lang w:eastAsia="de-DE"/>
              </w:rPr>
              <w:t xml:space="preserve">the second subparagraph of </w:t>
            </w:r>
            <w:r w:rsidRPr="00661595">
              <w:rPr>
                <w:rStyle w:val="InstructionsTabelleText"/>
                <w:rFonts w:ascii="Times New Roman" w:hAnsi="Times New Roman"/>
                <w:sz w:val="24"/>
                <w:lang w:eastAsia="de-DE"/>
              </w:rPr>
              <w:t xml:space="preserve">Article 155(2) </w:t>
            </w:r>
            <w:r w:rsidR="00C7103D" w:rsidRPr="00661595">
              <w:rPr>
                <w:rStyle w:val="InstructionsTabelleText"/>
                <w:rFonts w:ascii="Times New Roman" w:hAnsi="Times New Roman"/>
                <w:sz w:val="24"/>
                <w:lang w:eastAsia="de-DE"/>
              </w:rPr>
              <w:t>CRR</w:t>
            </w:r>
            <w:r w:rsidRPr="00661595">
              <w:rPr>
                <w:rStyle w:val="InstructionsTabelleText"/>
                <w:rFonts w:ascii="Times New Roman" w:hAnsi="Times New Roman"/>
                <w:sz w:val="24"/>
                <w:lang w:eastAsia="de-DE"/>
              </w:rPr>
              <w:t xml:space="preserve">. </w:t>
            </w:r>
          </w:p>
        </w:tc>
      </w:tr>
      <w:tr w:rsidR="00C61FF5" w:rsidRPr="00661595" w:rsidTr="00672D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 w:type="dxa"/>
          </w:tcPr>
          <w:p w:rsidR="00745369" w:rsidRPr="00661595" w:rsidRDefault="00C61FF5" w:rsidP="00EA0BAB">
            <w:pPr>
              <w:spacing w:beforeLines="60" w:before="144" w:afterLines="60" w:after="144"/>
              <w:rPr>
                <w:rStyle w:val="InstructionsTabelleText"/>
                <w:rFonts w:ascii="Times New Roman" w:hAnsi="Times New Roman"/>
                <w:sz w:val="24"/>
              </w:rPr>
            </w:pPr>
            <w:r w:rsidRPr="00661595">
              <w:rPr>
                <w:rStyle w:val="InstructionsTabelleText"/>
                <w:rFonts w:ascii="Times New Roman" w:hAnsi="Times New Roman"/>
                <w:sz w:val="24"/>
              </w:rPr>
              <w:t>0</w:t>
            </w:r>
            <w:r w:rsidR="006E0E76" w:rsidRPr="00661595">
              <w:rPr>
                <w:rStyle w:val="InstructionsTabelleText"/>
                <w:rFonts w:ascii="Times New Roman" w:hAnsi="Times New Roman"/>
                <w:sz w:val="24"/>
              </w:rPr>
              <w:t>0</w:t>
            </w:r>
            <w:r w:rsidRPr="00661595">
              <w:rPr>
                <w:rStyle w:val="InstructionsTabelleText"/>
                <w:rFonts w:ascii="Times New Roman" w:hAnsi="Times New Roman"/>
                <w:sz w:val="24"/>
              </w:rPr>
              <w:t>30-0</w:t>
            </w:r>
            <w:r w:rsidR="006E0E76" w:rsidRPr="00661595">
              <w:rPr>
                <w:rStyle w:val="InstructionsTabelleText"/>
                <w:rFonts w:ascii="Times New Roman" w:hAnsi="Times New Roman"/>
                <w:sz w:val="24"/>
              </w:rPr>
              <w:t>0</w:t>
            </w:r>
            <w:r w:rsidRPr="00661595">
              <w:rPr>
                <w:rStyle w:val="InstructionsTabelleText"/>
                <w:rFonts w:ascii="Times New Roman" w:hAnsi="Times New Roman"/>
                <w:sz w:val="24"/>
              </w:rPr>
              <w:t>40</w:t>
            </w:r>
          </w:p>
        </w:tc>
        <w:tc>
          <w:tcPr>
            <w:tcW w:w="8004" w:type="dxa"/>
          </w:tcPr>
          <w:p w:rsidR="00745369" w:rsidRPr="00661595" w:rsidRDefault="00C61FF5" w:rsidP="00450A2E">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CREDIT RISK MITIGATION (CRM) TECHNIQUES WITH SUBSTITUTION EFFECTS ON THE EXPOSURE</w:t>
            </w:r>
          </w:p>
          <w:p w:rsidR="00745369" w:rsidRPr="00661595" w:rsidRDefault="00C61FF5" w:rsidP="00450A2E">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UNFUNDED CREDIT PROTECTION</w:t>
            </w:r>
          </w:p>
          <w:p w:rsidR="00745369" w:rsidRPr="00661595" w:rsidRDefault="00C61FF5" w:rsidP="00450A2E">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GUARANTEES</w:t>
            </w:r>
          </w:p>
          <w:p w:rsidR="00745369" w:rsidRPr="00661595" w:rsidRDefault="00C61FF5" w:rsidP="00450A2E">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CREDIT DERIVATIVES</w:t>
            </w:r>
          </w:p>
          <w:p w:rsidR="00745369" w:rsidRPr="00661595" w:rsidRDefault="00C61FF5" w:rsidP="001A627D">
            <w:pPr>
              <w:spacing w:beforeLines="60" w:before="144" w:afterLines="60" w:after="144"/>
              <w:rPr>
                <w:rStyle w:val="InstructionsTabelleText"/>
                <w:rFonts w:ascii="Times New Roman" w:hAnsi="Times New Roman"/>
                <w:sz w:val="24"/>
                <w:lang w:eastAsia="de-DE"/>
              </w:rPr>
            </w:pPr>
            <w:r w:rsidRPr="00661595">
              <w:rPr>
                <w:rStyle w:val="InstructionsTabelleText"/>
                <w:rFonts w:ascii="Times New Roman" w:hAnsi="Times New Roman"/>
                <w:sz w:val="24"/>
              </w:rPr>
              <w:t>Irrespective of the approach adopted for the calculation of risk weighted exposure amounts for equity exposures, institutions may recogni</w:t>
            </w:r>
            <w:r w:rsidR="00C7103D" w:rsidRPr="00661595">
              <w:rPr>
                <w:rStyle w:val="InstructionsTabelleText"/>
                <w:rFonts w:ascii="Times New Roman" w:hAnsi="Times New Roman"/>
                <w:sz w:val="24"/>
              </w:rPr>
              <w:t>s</w:t>
            </w:r>
            <w:r w:rsidRPr="00661595">
              <w:rPr>
                <w:rStyle w:val="InstructionsTabelleText"/>
                <w:rFonts w:ascii="Times New Roman" w:hAnsi="Times New Roman"/>
                <w:sz w:val="24"/>
              </w:rPr>
              <w:t>e unfunded credit protection obtained on equity exposures (</w:t>
            </w:r>
            <w:r w:rsidR="00D021AF" w:rsidRPr="00661595">
              <w:rPr>
                <w:rStyle w:val="InstructionsTabelleText"/>
                <w:rFonts w:ascii="Times New Roman" w:hAnsi="Times New Roman"/>
                <w:sz w:val="24"/>
              </w:rPr>
              <w:t xml:space="preserve">Paragraphs 2, 3 and 4 of </w:t>
            </w:r>
            <w:r w:rsidRPr="00661595">
              <w:rPr>
                <w:rStyle w:val="InstructionsTabelleText"/>
                <w:rFonts w:ascii="Times New Roman" w:hAnsi="Times New Roman"/>
                <w:sz w:val="24"/>
                <w:lang w:eastAsia="de-DE"/>
              </w:rPr>
              <w:t xml:space="preserve">Article 155 </w:t>
            </w:r>
            <w:r w:rsidR="00C7103D" w:rsidRPr="00661595">
              <w:rPr>
                <w:rStyle w:val="InstructionsTabelleText"/>
                <w:rFonts w:ascii="Times New Roman" w:hAnsi="Times New Roman"/>
                <w:sz w:val="24"/>
                <w:lang w:eastAsia="de-DE"/>
              </w:rPr>
              <w:t>CRR</w:t>
            </w:r>
            <w:r w:rsidRPr="00661595">
              <w:rPr>
                <w:rStyle w:val="InstructionsTabelleText"/>
                <w:rFonts w:ascii="Times New Roman" w:hAnsi="Times New Roman"/>
                <w:sz w:val="24"/>
                <w:lang w:eastAsia="de-DE"/>
              </w:rPr>
              <w:t xml:space="preserve">). Institutions applying the Simple Risk Weight approach or the PD/LGD approach </w:t>
            </w:r>
            <w:r w:rsidR="00D021AF" w:rsidRPr="00661595">
              <w:rPr>
                <w:rStyle w:val="InstructionsTabelleText"/>
                <w:rFonts w:ascii="Times New Roman" w:hAnsi="Times New Roman"/>
                <w:sz w:val="24"/>
                <w:lang w:eastAsia="de-DE"/>
              </w:rPr>
              <w:t xml:space="preserve">shall </w:t>
            </w:r>
            <w:r w:rsidRPr="00661595">
              <w:rPr>
                <w:rStyle w:val="InstructionsTabelleText"/>
                <w:rFonts w:ascii="Times New Roman" w:hAnsi="Times New Roman"/>
                <w:sz w:val="24"/>
                <w:lang w:eastAsia="de-DE"/>
              </w:rPr>
              <w:t>report in columns 0</w:t>
            </w:r>
            <w:r w:rsidR="006E0E76" w:rsidRPr="00661595">
              <w:rPr>
                <w:rStyle w:val="InstructionsTabelleText"/>
                <w:rFonts w:ascii="Times New Roman" w:hAnsi="Times New Roman"/>
                <w:sz w:val="24"/>
                <w:lang w:eastAsia="de-DE"/>
              </w:rPr>
              <w:t>0</w:t>
            </w:r>
            <w:r w:rsidRPr="00661595">
              <w:rPr>
                <w:rStyle w:val="InstructionsTabelleText"/>
                <w:rFonts w:ascii="Times New Roman" w:hAnsi="Times New Roman"/>
                <w:sz w:val="24"/>
                <w:lang w:eastAsia="de-DE"/>
              </w:rPr>
              <w:t>30 and 0</w:t>
            </w:r>
            <w:r w:rsidR="006E0E76" w:rsidRPr="00661595">
              <w:rPr>
                <w:rStyle w:val="InstructionsTabelleText"/>
                <w:rFonts w:ascii="Times New Roman" w:hAnsi="Times New Roman"/>
                <w:sz w:val="24"/>
                <w:lang w:eastAsia="de-DE"/>
              </w:rPr>
              <w:t>0</w:t>
            </w:r>
            <w:r w:rsidRPr="00661595">
              <w:rPr>
                <w:rStyle w:val="InstructionsTabelleText"/>
                <w:rFonts w:ascii="Times New Roman" w:hAnsi="Times New Roman"/>
                <w:sz w:val="24"/>
                <w:lang w:eastAsia="de-DE"/>
              </w:rPr>
              <w:t>40 the amount of unfunded credit protection under the form of guarantees (column 0</w:t>
            </w:r>
            <w:r w:rsidR="006E0E76" w:rsidRPr="00661595">
              <w:rPr>
                <w:rStyle w:val="InstructionsTabelleText"/>
                <w:rFonts w:ascii="Times New Roman" w:hAnsi="Times New Roman"/>
                <w:sz w:val="24"/>
                <w:lang w:eastAsia="de-DE"/>
              </w:rPr>
              <w:t>0</w:t>
            </w:r>
            <w:r w:rsidRPr="00661595">
              <w:rPr>
                <w:rStyle w:val="InstructionsTabelleText"/>
                <w:rFonts w:ascii="Times New Roman" w:hAnsi="Times New Roman"/>
                <w:sz w:val="24"/>
                <w:lang w:eastAsia="de-DE"/>
              </w:rPr>
              <w:t>30) or credit derivatives (column 0</w:t>
            </w:r>
            <w:r w:rsidR="006E0E76" w:rsidRPr="00661595">
              <w:rPr>
                <w:rStyle w:val="InstructionsTabelleText"/>
                <w:rFonts w:ascii="Times New Roman" w:hAnsi="Times New Roman"/>
                <w:sz w:val="24"/>
                <w:lang w:eastAsia="de-DE"/>
              </w:rPr>
              <w:t>0</w:t>
            </w:r>
            <w:r w:rsidRPr="00661595">
              <w:rPr>
                <w:rStyle w:val="InstructionsTabelleText"/>
                <w:rFonts w:ascii="Times New Roman" w:hAnsi="Times New Roman"/>
                <w:sz w:val="24"/>
                <w:lang w:eastAsia="de-DE"/>
              </w:rPr>
              <w:t xml:space="preserve">40) recognised in accordance with the methods set out in </w:t>
            </w:r>
            <w:r w:rsidR="00D021AF" w:rsidRPr="00661595">
              <w:rPr>
                <w:rStyle w:val="InstructionsTabelleText"/>
                <w:rFonts w:ascii="Times New Roman" w:hAnsi="Times New Roman"/>
                <w:sz w:val="24"/>
                <w:lang w:eastAsia="de-DE"/>
              </w:rPr>
              <w:t xml:space="preserve">Chapter 4 of Title II of </w:t>
            </w:r>
            <w:r w:rsidRPr="00661595">
              <w:rPr>
                <w:rStyle w:val="InstructionsTabelleText"/>
                <w:rFonts w:ascii="Times New Roman" w:hAnsi="Times New Roman"/>
                <w:sz w:val="24"/>
                <w:lang w:eastAsia="de-DE"/>
              </w:rPr>
              <w:t xml:space="preserve">Part Three </w:t>
            </w:r>
            <w:r w:rsidR="00C7103D" w:rsidRPr="00661595">
              <w:rPr>
                <w:rStyle w:val="InstructionsTabelleText"/>
                <w:rFonts w:ascii="Times New Roman" w:hAnsi="Times New Roman"/>
                <w:sz w:val="24"/>
                <w:lang w:eastAsia="de-DE"/>
              </w:rPr>
              <w:t>CRR</w:t>
            </w:r>
            <w:r w:rsidRPr="00661595">
              <w:rPr>
                <w:rStyle w:val="InstructionsTabelleText"/>
                <w:rFonts w:ascii="Times New Roman" w:hAnsi="Times New Roman"/>
                <w:sz w:val="24"/>
                <w:lang w:eastAsia="de-DE"/>
              </w:rPr>
              <w:t>.</w:t>
            </w:r>
          </w:p>
        </w:tc>
      </w:tr>
      <w:tr w:rsidR="00C61FF5" w:rsidRPr="00661595" w:rsidTr="00672D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 w:type="dxa"/>
          </w:tcPr>
          <w:p w:rsidR="00745369" w:rsidRPr="00661595" w:rsidRDefault="00C61FF5" w:rsidP="00EA0BAB">
            <w:pPr>
              <w:spacing w:beforeLines="60" w:before="144" w:afterLines="60" w:after="144"/>
              <w:rPr>
                <w:rStyle w:val="InstructionsTabelleText"/>
                <w:rFonts w:ascii="Times New Roman" w:hAnsi="Times New Roman"/>
                <w:sz w:val="24"/>
              </w:rPr>
            </w:pPr>
            <w:r w:rsidRPr="00661595">
              <w:rPr>
                <w:rStyle w:val="InstructionsTabelleText"/>
                <w:rFonts w:ascii="Times New Roman" w:hAnsi="Times New Roman"/>
                <w:sz w:val="24"/>
              </w:rPr>
              <w:t>0</w:t>
            </w:r>
            <w:r w:rsidR="006E0E76" w:rsidRPr="00661595">
              <w:rPr>
                <w:rStyle w:val="InstructionsTabelleText"/>
                <w:rFonts w:ascii="Times New Roman" w:hAnsi="Times New Roman"/>
                <w:sz w:val="24"/>
              </w:rPr>
              <w:t>0</w:t>
            </w:r>
            <w:r w:rsidRPr="00661595">
              <w:rPr>
                <w:rStyle w:val="InstructionsTabelleText"/>
                <w:rFonts w:ascii="Times New Roman" w:hAnsi="Times New Roman"/>
                <w:sz w:val="24"/>
              </w:rPr>
              <w:t>50</w:t>
            </w:r>
          </w:p>
        </w:tc>
        <w:tc>
          <w:tcPr>
            <w:tcW w:w="8004" w:type="dxa"/>
          </w:tcPr>
          <w:p w:rsidR="00745369" w:rsidRPr="00661595" w:rsidRDefault="00C61FF5" w:rsidP="00450A2E">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CREDIT RISK MITIGATION (CRM) TECHNIQUES WITH SUBSTITUTION EFFECTS ON THE EXPOSURE</w:t>
            </w:r>
          </w:p>
          <w:p w:rsidR="00745369" w:rsidRPr="00661595" w:rsidRDefault="00C61FF5" w:rsidP="00450A2E">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SUBSTITUTION OF THE EXPOSURE DUE TO CRM</w:t>
            </w:r>
          </w:p>
          <w:p w:rsidR="00745369" w:rsidRPr="00661595" w:rsidRDefault="00C61FF5" w:rsidP="00450A2E">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 TOTAL OUTFLOWS</w:t>
            </w:r>
          </w:p>
          <w:p w:rsidR="00745369" w:rsidRPr="00661595" w:rsidRDefault="00C61FF5" w:rsidP="00D021AF">
            <w:pPr>
              <w:spacing w:beforeLines="60" w:before="144" w:afterLines="60" w:after="144"/>
              <w:rPr>
                <w:rStyle w:val="InstructionsTabelleText"/>
                <w:rFonts w:ascii="Times New Roman" w:hAnsi="Times New Roman"/>
                <w:sz w:val="24"/>
              </w:rPr>
            </w:pPr>
            <w:r w:rsidRPr="00661595">
              <w:rPr>
                <w:rStyle w:val="InstructionsTabelleText"/>
                <w:rFonts w:ascii="Times New Roman" w:hAnsi="Times New Roman"/>
                <w:sz w:val="24"/>
              </w:rPr>
              <w:t xml:space="preserve">Institutions </w:t>
            </w:r>
            <w:r w:rsidR="00D021AF" w:rsidRPr="00661595">
              <w:rPr>
                <w:rStyle w:val="InstructionsTabelleText"/>
                <w:rFonts w:ascii="Times New Roman" w:hAnsi="Times New Roman"/>
                <w:sz w:val="24"/>
              </w:rPr>
              <w:t xml:space="preserve">shall </w:t>
            </w:r>
            <w:r w:rsidRPr="00661595">
              <w:rPr>
                <w:rStyle w:val="InstructionsTabelleText"/>
                <w:rFonts w:ascii="Times New Roman" w:hAnsi="Times New Roman"/>
                <w:sz w:val="24"/>
              </w:rPr>
              <w:t>report in column 0</w:t>
            </w:r>
            <w:r w:rsidR="006E0E76" w:rsidRPr="00661595">
              <w:rPr>
                <w:rStyle w:val="InstructionsTabelleText"/>
                <w:rFonts w:ascii="Times New Roman" w:hAnsi="Times New Roman"/>
                <w:sz w:val="24"/>
              </w:rPr>
              <w:t>0</w:t>
            </w:r>
            <w:r w:rsidRPr="00661595">
              <w:rPr>
                <w:rStyle w:val="InstructionsTabelleText"/>
                <w:rFonts w:ascii="Times New Roman" w:hAnsi="Times New Roman"/>
                <w:sz w:val="24"/>
              </w:rPr>
              <w:t>50 the part of the original exposure pre</w:t>
            </w:r>
            <w:r w:rsidR="007574C3" w:rsidRPr="00661595">
              <w:rPr>
                <w:rStyle w:val="InstructionsTabelleText"/>
                <w:rFonts w:ascii="Times New Roman" w:hAnsi="Times New Roman"/>
                <w:sz w:val="24"/>
              </w:rPr>
              <w:t>-</w:t>
            </w:r>
            <w:r w:rsidRPr="00661595">
              <w:rPr>
                <w:rStyle w:val="InstructionsTabelleText"/>
                <w:rFonts w:ascii="Times New Roman" w:hAnsi="Times New Roman"/>
                <w:sz w:val="24"/>
              </w:rPr>
              <w:t>conversion factors covered by unfunded credit protection</w:t>
            </w:r>
            <w:r w:rsidRPr="00661595">
              <w:rPr>
                <w:rStyle w:val="InstructionsTabelleText"/>
                <w:rFonts w:ascii="Times New Roman" w:hAnsi="Times New Roman"/>
                <w:sz w:val="24"/>
                <w:lang w:eastAsia="de-DE"/>
              </w:rPr>
              <w:t xml:space="preserve"> recognised in accordance with the methods set out in </w:t>
            </w:r>
            <w:r w:rsidR="00D021AF" w:rsidRPr="00661595">
              <w:rPr>
                <w:rStyle w:val="InstructionsTabelleText"/>
                <w:rFonts w:ascii="Times New Roman" w:hAnsi="Times New Roman"/>
                <w:sz w:val="24"/>
                <w:lang w:eastAsia="de-DE"/>
              </w:rPr>
              <w:t xml:space="preserve">Chapter 4 of Title II of </w:t>
            </w:r>
            <w:r w:rsidRPr="00661595">
              <w:rPr>
                <w:rStyle w:val="InstructionsTabelleText"/>
                <w:rFonts w:ascii="Times New Roman" w:hAnsi="Times New Roman"/>
                <w:sz w:val="24"/>
                <w:lang w:eastAsia="de-DE"/>
              </w:rPr>
              <w:t xml:space="preserve">Part Three </w:t>
            </w:r>
            <w:r w:rsidR="00C7103D" w:rsidRPr="00661595">
              <w:rPr>
                <w:rStyle w:val="InstructionsTabelleText"/>
                <w:rFonts w:ascii="Times New Roman" w:hAnsi="Times New Roman"/>
                <w:sz w:val="24"/>
                <w:lang w:eastAsia="de-DE"/>
              </w:rPr>
              <w:t>CRR</w:t>
            </w:r>
            <w:r w:rsidRPr="00661595">
              <w:rPr>
                <w:rStyle w:val="InstructionsTabelleText"/>
                <w:rFonts w:ascii="Times New Roman" w:hAnsi="Times New Roman"/>
                <w:sz w:val="24"/>
                <w:lang w:eastAsia="de-DE"/>
              </w:rPr>
              <w:t>.</w:t>
            </w:r>
          </w:p>
        </w:tc>
      </w:tr>
      <w:tr w:rsidR="00C61FF5" w:rsidRPr="00661595" w:rsidTr="00672D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 w:type="dxa"/>
          </w:tcPr>
          <w:p w:rsidR="00745369" w:rsidRPr="00661595" w:rsidRDefault="00C61FF5" w:rsidP="00450A2E">
            <w:pPr>
              <w:spacing w:beforeLines="60" w:before="144" w:afterLines="60" w:after="144"/>
              <w:rPr>
                <w:rStyle w:val="InstructionsTabelleText"/>
                <w:rFonts w:ascii="Times New Roman" w:hAnsi="Times New Roman"/>
                <w:sz w:val="24"/>
              </w:rPr>
            </w:pPr>
            <w:r w:rsidRPr="00661595">
              <w:rPr>
                <w:rStyle w:val="InstructionsTabelleText"/>
                <w:rFonts w:ascii="Times New Roman" w:hAnsi="Times New Roman"/>
                <w:sz w:val="24"/>
              </w:rPr>
              <w:t>0</w:t>
            </w:r>
            <w:r w:rsidR="006E0E76" w:rsidRPr="00661595">
              <w:rPr>
                <w:rStyle w:val="InstructionsTabelleText"/>
                <w:rFonts w:ascii="Times New Roman" w:hAnsi="Times New Roman"/>
                <w:sz w:val="24"/>
              </w:rPr>
              <w:t>0</w:t>
            </w:r>
            <w:r w:rsidRPr="00661595">
              <w:rPr>
                <w:rStyle w:val="InstructionsTabelleText"/>
                <w:rFonts w:ascii="Times New Roman" w:hAnsi="Times New Roman"/>
                <w:sz w:val="24"/>
              </w:rPr>
              <w:t>60</w:t>
            </w:r>
          </w:p>
        </w:tc>
        <w:tc>
          <w:tcPr>
            <w:tcW w:w="8004" w:type="dxa"/>
          </w:tcPr>
          <w:p w:rsidR="00745369" w:rsidRPr="00661595" w:rsidRDefault="00C61FF5" w:rsidP="00450A2E">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EXPOSURE VALUE</w:t>
            </w:r>
          </w:p>
          <w:p w:rsidR="00745369" w:rsidRPr="00661595" w:rsidRDefault="00C61FF5" w:rsidP="00450A2E">
            <w:pPr>
              <w:spacing w:beforeLines="60" w:before="144" w:afterLines="60" w:after="144"/>
              <w:rPr>
                <w:rStyle w:val="InstructionsTabelleText"/>
                <w:rFonts w:ascii="Times New Roman" w:hAnsi="Times New Roman"/>
                <w:sz w:val="24"/>
              </w:rPr>
            </w:pPr>
            <w:r w:rsidRPr="00661595">
              <w:rPr>
                <w:rStyle w:val="InstructionsTabelleText"/>
                <w:rFonts w:ascii="Times New Roman" w:hAnsi="Times New Roman"/>
                <w:sz w:val="24"/>
              </w:rPr>
              <w:t xml:space="preserve">Institutions </w:t>
            </w:r>
            <w:r w:rsidRPr="00661595">
              <w:rPr>
                <w:rStyle w:val="InstructionsTabelleText"/>
                <w:rFonts w:ascii="Times New Roman" w:hAnsi="Times New Roman"/>
                <w:sz w:val="24"/>
                <w:lang w:eastAsia="de-DE"/>
              </w:rPr>
              <w:t>applying the Simple Risk Weight approach or the PD/LGD approach</w:t>
            </w:r>
            <w:r w:rsidRPr="00661595">
              <w:rPr>
                <w:rStyle w:val="InstructionsTabelleText"/>
                <w:rFonts w:ascii="Times New Roman" w:hAnsi="Times New Roman"/>
                <w:sz w:val="24"/>
              </w:rPr>
              <w:t xml:space="preserve"> </w:t>
            </w:r>
            <w:r w:rsidR="00D021AF" w:rsidRPr="00661595">
              <w:rPr>
                <w:rStyle w:val="InstructionsTabelleText"/>
                <w:rFonts w:ascii="Times New Roman" w:hAnsi="Times New Roman"/>
                <w:sz w:val="24"/>
              </w:rPr>
              <w:t xml:space="preserve">shall </w:t>
            </w:r>
            <w:r w:rsidRPr="00661595">
              <w:rPr>
                <w:rStyle w:val="InstructionsTabelleText"/>
                <w:rFonts w:ascii="Times New Roman" w:hAnsi="Times New Roman"/>
                <w:sz w:val="24"/>
              </w:rPr>
              <w:t>report in column 0</w:t>
            </w:r>
            <w:r w:rsidR="006E0E76" w:rsidRPr="00661595">
              <w:rPr>
                <w:rStyle w:val="InstructionsTabelleText"/>
                <w:rFonts w:ascii="Times New Roman" w:hAnsi="Times New Roman"/>
                <w:sz w:val="24"/>
              </w:rPr>
              <w:t>0</w:t>
            </w:r>
            <w:r w:rsidRPr="00661595">
              <w:rPr>
                <w:rStyle w:val="InstructionsTabelleText"/>
                <w:rFonts w:ascii="Times New Roman" w:hAnsi="Times New Roman"/>
                <w:sz w:val="24"/>
              </w:rPr>
              <w:t>60 the exposure value</w:t>
            </w:r>
            <w:r w:rsidR="00D021AF" w:rsidRPr="00661595">
              <w:rPr>
                <w:rStyle w:val="InstructionsTabelleText"/>
                <w:rFonts w:ascii="Times New Roman" w:hAnsi="Times New Roman"/>
                <w:sz w:val="24"/>
              </w:rPr>
              <w:t>,</w:t>
            </w:r>
            <w:r w:rsidRPr="00661595">
              <w:rPr>
                <w:rStyle w:val="InstructionsTabelleText"/>
                <w:rFonts w:ascii="Times New Roman" w:hAnsi="Times New Roman"/>
                <w:sz w:val="24"/>
              </w:rPr>
              <w:t xml:space="preserve"> taking into account substitution effects stemming from unfunded credit protection (</w:t>
            </w:r>
            <w:r w:rsidR="00D021AF" w:rsidRPr="00661595">
              <w:rPr>
                <w:rStyle w:val="InstructionsTabelleText"/>
                <w:rFonts w:ascii="Times New Roman" w:hAnsi="Times New Roman"/>
                <w:sz w:val="24"/>
              </w:rPr>
              <w:t xml:space="preserve">Paragraphs 2 and 3 of </w:t>
            </w:r>
            <w:r w:rsidRPr="00661595">
              <w:rPr>
                <w:rStyle w:val="InstructionsTabelleText"/>
                <w:rFonts w:ascii="Times New Roman" w:hAnsi="Times New Roman"/>
                <w:sz w:val="24"/>
              </w:rPr>
              <w:t>Article 155</w:t>
            </w:r>
            <w:r w:rsidR="00D021AF" w:rsidRPr="00661595">
              <w:rPr>
                <w:rStyle w:val="InstructionsTabelleText"/>
                <w:rFonts w:ascii="Times New Roman" w:hAnsi="Times New Roman"/>
                <w:sz w:val="24"/>
              </w:rPr>
              <w:t xml:space="preserve"> and</w:t>
            </w:r>
            <w:r w:rsidRPr="00661595">
              <w:rPr>
                <w:rStyle w:val="InstructionsTabelleText"/>
                <w:rFonts w:ascii="Times New Roman" w:hAnsi="Times New Roman"/>
                <w:sz w:val="24"/>
              </w:rPr>
              <w:t xml:space="preserve"> Article 167 </w:t>
            </w:r>
            <w:r w:rsidR="00C7103D" w:rsidRPr="00661595">
              <w:rPr>
                <w:rStyle w:val="InstructionsTabelleText"/>
                <w:rFonts w:ascii="Times New Roman" w:hAnsi="Times New Roman"/>
                <w:sz w:val="24"/>
              </w:rPr>
              <w:t>CRR</w:t>
            </w:r>
            <w:r w:rsidRPr="00661595">
              <w:rPr>
                <w:rStyle w:val="InstructionsTabelleText"/>
                <w:rFonts w:ascii="Times New Roman" w:hAnsi="Times New Roman"/>
                <w:sz w:val="24"/>
              </w:rPr>
              <w:t>).</w:t>
            </w:r>
          </w:p>
          <w:p w:rsidR="00745369" w:rsidRPr="00661595" w:rsidRDefault="00A16FFF" w:rsidP="00450A2E">
            <w:pPr>
              <w:spacing w:beforeLines="60" w:before="144" w:afterLines="60" w:after="144"/>
              <w:rPr>
                <w:rStyle w:val="InstructionsTabelleText"/>
                <w:rFonts w:ascii="Times New Roman" w:hAnsi="Times New Roman"/>
                <w:sz w:val="24"/>
              </w:rPr>
            </w:pPr>
            <w:r w:rsidRPr="00661595">
              <w:rPr>
                <w:rStyle w:val="InstructionsTabelleText"/>
                <w:rFonts w:ascii="Times New Roman" w:hAnsi="Times New Roman"/>
                <w:sz w:val="24"/>
              </w:rPr>
              <w:t>I</w:t>
            </w:r>
            <w:r w:rsidR="00C61FF5" w:rsidRPr="00661595">
              <w:rPr>
                <w:rStyle w:val="InstructionsTabelleText"/>
                <w:rFonts w:ascii="Times New Roman" w:hAnsi="Times New Roman"/>
                <w:sz w:val="24"/>
              </w:rPr>
              <w:t xml:space="preserve">n the case of equity off-balance sheet exposures, the exposure value shall be the nominal value after specific credit risk adjustments (Article 167 </w:t>
            </w:r>
            <w:r w:rsidR="00C7103D" w:rsidRPr="00661595">
              <w:rPr>
                <w:rStyle w:val="InstructionsTabelleText"/>
                <w:rFonts w:ascii="Times New Roman" w:hAnsi="Times New Roman"/>
                <w:sz w:val="24"/>
              </w:rPr>
              <w:t>CRR</w:t>
            </w:r>
            <w:r w:rsidR="00C61FF5" w:rsidRPr="00661595">
              <w:rPr>
                <w:rStyle w:val="InstructionsTabelleText"/>
                <w:rFonts w:ascii="Times New Roman" w:hAnsi="Times New Roman"/>
                <w:sz w:val="24"/>
              </w:rPr>
              <w:t>).</w:t>
            </w:r>
          </w:p>
        </w:tc>
      </w:tr>
      <w:tr w:rsidR="0027034D" w:rsidRPr="00661595" w:rsidTr="00672D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 w:type="dxa"/>
          </w:tcPr>
          <w:p w:rsidR="0027034D" w:rsidRPr="00661595" w:rsidRDefault="0027034D" w:rsidP="0027034D">
            <w:pPr>
              <w:spacing w:beforeLines="60" w:before="144" w:afterLines="60" w:after="144"/>
              <w:rPr>
                <w:rStyle w:val="InstructionsTabelleText"/>
                <w:rFonts w:ascii="Times New Roman" w:hAnsi="Times New Roman"/>
                <w:sz w:val="24"/>
              </w:rPr>
            </w:pPr>
            <w:r w:rsidRPr="00661595">
              <w:rPr>
                <w:rStyle w:val="InstructionsTabelleText"/>
                <w:rFonts w:ascii="Times New Roman" w:hAnsi="Times New Roman"/>
                <w:sz w:val="24"/>
                <w:lang w:eastAsia="en-GB" w:bidi="ne-NP"/>
              </w:rPr>
              <w:t>0</w:t>
            </w:r>
            <w:r w:rsidR="006E0E76" w:rsidRPr="00661595">
              <w:rPr>
                <w:rStyle w:val="InstructionsTabelleText"/>
                <w:rFonts w:ascii="Times New Roman" w:hAnsi="Times New Roman"/>
                <w:sz w:val="24"/>
                <w:lang w:eastAsia="en-GB" w:bidi="ne-NP"/>
              </w:rPr>
              <w:t>0</w:t>
            </w:r>
            <w:r w:rsidRPr="00661595">
              <w:rPr>
                <w:rStyle w:val="InstructionsTabelleText"/>
                <w:rFonts w:ascii="Times New Roman" w:hAnsi="Times New Roman"/>
                <w:sz w:val="24"/>
                <w:lang w:eastAsia="en-GB" w:bidi="ne-NP"/>
              </w:rPr>
              <w:t>61</w:t>
            </w:r>
          </w:p>
        </w:tc>
        <w:tc>
          <w:tcPr>
            <w:tcW w:w="8004" w:type="dxa"/>
          </w:tcPr>
          <w:p w:rsidR="0027034D" w:rsidRPr="00661595" w:rsidRDefault="0027034D" w:rsidP="0027034D">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lang w:eastAsia="en-GB" w:bidi="ne-NP"/>
              </w:rPr>
              <w:t>OF WHICH: OFF BALANCE SHEET ITEMS</w:t>
            </w:r>
          </w:p>
          <w:p w:rsidR="0027034D" w:rsidRPr="00661595" w:rsidRDefault="0027034D" w:rsidP="0027034D">
            <w:pPr>
              <w:spacing w:beforeLines="60" w:before="144" w:afterLines="60" w:after="144"/>
              <w:rPr>
                <w:rStyle w:val="InstructionsTabelleberschrift"/>
                <w:rFonts w:ascii="Times New Roman" w:hAnsi="Times New Roman"/>
                <w:b w:val="0"/>
                <w:sz w:val="24"/>
              </w:rPr>
            </w:pPr>
            <w:r w:rsidRPr="006418A0">
              <w:rPr>
                <w:rStyle w:val="InstructionsTabelleberschrift"/>
                <w:rFonts w:ascii="Times New Roman" w:hAnsi="Times New Roman"/>
                <w:b w:val="0"/>
                <w:sz w:val="24"/>
                <w:u w:val="none"/>
                <w:lang w:eastAsia="en-GB" w:bidi="ne-NP"/>
              </w:rPr>
              <w:t>See CR-SA instructions</w:t>
            </w:r>
            <w:r w:rsidRPr="00661595">
              <w:rPr>
                <w:rStyle w:val="InstructionsTabelleberschrift"/>
                <w:rFonts w:ascii="Times New Roman" w:hAnsi="Times New Roman"/>
                <w:b w:val="0"/>
                <w:sz w:val="24"/>
                <w:lang w:eastAsia="en-GB" w:bidi="ne-NP"/>
              </w:rPr>
              <w:t xml:space="preserve"> </w:t>
            </w:r>
          </w:p>
        </w:tc>
      </w:tr>
      <w:tr w:rsidR="00C61FF5" w:rsidRPr="00661595" w:rsidTr="00672D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 w:type="dxa"/>
          </w:tcPr>
          <w:p w:rsidR="00745369" w:rsidRPr="00661595" w:rsidRDefault="00C61FF5" w:rsidP="00450A2E">
            <w:pPr>
              <w:spacing w:beforeLines="60" w:before="144" w:afterLines="60" w:after="144"/>
              <w:rPr>
                <w:rStyle w:val="InstructionsTabelleText"/>
                <w:rFonts w:ascii="Times New Roman" w:hAnsi="Times New Roman"/>
                <w:sz w:val="24"/>
              </w:rPr>
            </w:pPr>
            <w:r w:rsidRPr="00661595">
              <w:rPr>
                <w:rStyle w:val="InstructionsTabelleText"/>
                <w:rFonts w:ascii="Times New Roman" w:hAnsi="Times New Roman"/>
                <w:sz w:val="24"/>
              </w:rPr>
              <w:t>0</w:t>
            </w:r>
            <w:r w:rsidR="006E0E76" w:rsidRPr="00661595">
              <w:rPr>
                <w:rStyle w:val="InstructionsTabelleText"/>
                <w:rFonts w:ascii="Times New Roman" w:hAnsi="Times New Roman"/>
                <w:sz w:val="24"/>
              </w:rPr>
              <w:t>0</w:t>
            </w:r>
            <w:r w:rsidRPr="00661595">
              <w:rPr>
                <w:rStyle w:val="InstructionsTabelleText"/>
                <w:rFonts w:ascii="Times New Roman" w:hAnsi="Times New Roman"/>
                <w:sz w:val="24"/>
              </w:rPr>
              <w:t>70</w:t>
            </w:r>
          </w:p>
        </w:tc>
        <w:tc>
          <w:tcPr>
            <w:tcW w:w="8004" w:type="dxa"/>
          </w:tcPr>
          <w:p w:rsidR="00745369" w:rsidRPr="00661595" w:rsidRDefault="00C61FF5" w:rsidP="00450A2E">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EXPOSURE WEIGHTED AVERAGE LGD (%)</w:t>
            </w:r>
          </w:p>
          <w:p w:rsidR="001A627D" w:rsidRPr="00661595" w:rsidRDefault="00C61FF5" w:rsidP="001A627D">
            <w:pPr>
              <w:spacing w:beforeLines="60" w:before="144" w:afterLines="60" w:after="144"/>
              <w:rPr>
                <w:rStyle w:val="InstructionsTabelleText"/>
                <w:rFonts w:ascii="Times New Roman" w:hAnsi="Times New Roman"/>
                <w:sz w:val="24"/>
              </w:rPr>
            </w:pPr>
            <w:r w:rsidRPr="00661595">
              <w:rPr>
                <w:rStyle w:val="InstructionsTabelleText"/>
                <w:rFonts w:ascii="Times New Roman" w:hAnsi="Times New Roman"/>
                <w:sz w:val="24"/>
              </w:rPr>
              <w:t xml:space="preserve">Institutions applying the PD/LGD approach </w:t>
            </w:r>
            <w:r w:rsidR="00D021AF" w:rsidRPr="00661595">
              <w:rPr>
                <w:rStyle w:val="InstructionsTabelleText"/>
                <w:rFonts w:ascii="Times New Roman" w:hAnsi="Times New Roman"/>
                <w:sz w:val="24"/>
              </w:rPr>
              <w:t xml:space="preserve">shall </w:t>
            </w:r>
            <w:r w:rsidRPr="00661595">
              <w:rPr>
                <w:rStyle w:val="InstructionsTabelleText"/>
                <w:rFonts w:ascii="Times New Roman" w:hAnsi="Times New Roman"/>
                <w:sz w:val="24"/>
              </w:rPr>
              <w:t>report the exposure weighted average of the LGDs assigned to the obligor grades or pools included in the aggregation</w:t>
            </w:r>
          </w:p>
          <w:p w:rsidR="001A627D" w:rsidRPr="00661595" w:rsidRDefault="00C61FF5" w:rsidP="001A627D">
            <w:pPr>
              <w:spacing w:beforeLines="60" w:before="144" w:afterLines="60" w:after="144"/>
              <w:rPr>
                <w:rStyle w:val="InstructionsTabelleText"/>
                <w:rFonts w:ascii="Times New Roman" w:hAnsi="Times New Roman"/>
                <w:sz w:val="24"/>
              </w:rPr>
            </w:pPr>
            <w:r w:rsidRPr="00661595">
              <w:rPr>
                <w:rStyle w:val="InstructionsTabelleText"/>
                <w:rFonts w:ascii="Times New Roman" w:hAnsi="Times New Roman"/>
                <w:sz w:val="24"/>
              </w:rPr>
              <w:t>The exposure value taking into account unfunded credit protection (column 0</w:t>
            </w:r>
            <w:r w:rsidR="006E0E76" w:rsidRPr="00661595">
              <w:rPr>
                <w:rStyle w:val="InstructionsTabelleText"/>
                <w:rFonts w:ascii="Times New Roman" w:hAnsi="Times New Roman"/>
                <w:sz w:val="24"/>
              </w:rPr>
              <w:t>0</w:t>
            </w:r>
            <w:r w:rsidRPr="00661595">
              <w:rPr>
                <w:rStyle w:val="InstructionsTabelleText"/>
                <w:rFonts w:ascii="Times New Roman" w:hAnsi="Times New Roman"/>
                <w:sz w:val="24"/>
              </w:rPr>
              <w:t xml:space="preserve">60) shall be used for the calculation of the exposure-weighted average LGD. </w:t>
            </w:r>
          </w:p>
          <w:p w:rsidR="00745369" w:rsidRPr="00661595" w:rsidRDefault="00C61FF5" w:rsidP="001A627D">
            <w:pPr>
              <w:spacing w:beforeLines="60" w:before="144" w:afterLines="60" w:after="144"/>
              <w:rPr>
                <w:rStyle w:val="InstructionsTabelleText"/>
                <w:rFonts w:ascii="Times New Roman" w:hAnsi="Times New Roman"/>
                <w:sz w:val="24"/>
              </w:rPr>
            </w:pPr>
            <w:r w:rsidRPr="00661595">
              <w:rPr>
                <w:rStyle w:val="InstructionsTabelleText"/>
                <w:rFonts w:ascii="Times New Roman" w:hAnsi="Times New Roman"/>
                <w:sz w:val="24"/>
              </w:rPr>
              <w:t xml:space="preserve">Institutions shall take into account Article 165(2) </w:t>
            </w:r>
            <w:r w:rsidR="00C7103D" w:rsidRPr="00661595">
              <w:rPr>
                <w:rStyle w:val="InstructionsTabelleText"/>
                <w:rFonts w:ascii="Times New Roman" w:hAnsi="Times New Roman"/>
                <w:sz w:val="24"/>
              </w:rPr>
              <w:t>CRR</w:t>
            </w:r>
            <w:r w:rsidRPr="00661595">
              <w:rPr>
                <w:rStyle w:val="InstructionsTabelleText"/>
                <w:rFonts w:ascii="Times New Roman" w:hAnsi="Times New Roman"/>
                <w:sz w:val="24"/>
              </w:rPr>
              <w:t>.</w:t>
            </w:r>
          </w:p>
        </w:tc>
      </w:tr>
      <w:tr w:rsidR="00C61FF5" w:rsidRPr="00661595" w:rsidTr="00672D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 w:type="dxa"/>
          </w:tcPr>
          <w:p w:rsidR="00745369" w:rsidRPr="00661595" w:rsidRDefault="00C61FF5" w:rsidP="00450A2E">
            <w:pPr>
              <w:spacing w:beforeLines="60" w:before="144" w:afterLines="60" w:after="144"/>
              <w:rPr>
                <w:rStyle w:val="InstructionsTabelleText"/>
                <w:rFonts w:ascii="Times New Roman" w:hAnsi="Times New Roman"/>
                <w:sz w:val="24"/>
              </w:rPr>
            </w:pPr>
            <w:r w:rsidRPr="00661595">
              <w:rPr>
                <w:rStyle w:val="InstructionsTabelleText"/>
                <w:rFonts w:ascii="Times New Roman" w:hAnsi="Times New Roman"/>
                <w:sz w:val="24"/>
              </w:rPr>
              <w:t>0</w:t>
            </w:r>
            <w:r w:rsidR="006E0E76" w:rsidRPr="00661595">
              <w:rPr>
                <w:rStyle w:val="InstructionsTabelleText"/>
                <w:rFonts w:ascii="Times New Roman" w:hAnsi="Times New Roman"/>
                <w:sz w:val="24"/>
              </w:rPr>
              <w:t>0</w:t>
            </w:r>
            <w:r w:rsidRPr="00661595">
              <w:rPr>
                <w:rStyle w:val="InstructionsTabelleText"/>
                <w:rFonts w:ascii="Times New Roman" w:hAnsi="Times New Roman"/>
                <w:sz w:val="24"/>
              </w:rPr>
              <w:t>80</w:t>
            </w:r>
          </w:p>
        </w:tc>
        <w:tc>
          <w:tcPr>
            <w:tcW w:w="8004" w:type="dxa"/>
          </w:tcPr>
          <w:p w:rsidR="00745369" w:rsidRPr="00661595" w:rsidRDefault="00C61FF5" w:rsidP="00450A2E">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RISK WEIGHTED EXPOSURE AMOUNT</w:t>
            </w:r>
          </w:p>
          <w:p w:rsidR="00745369" w:rsidRPr="00661595" w:rsidRDefault="00C61FF5" w:rsidP="00450A2E">
            <w:pPr>
              <w:spacing w:beforeLines="60" w:before="144" w:afterLines="60" w:after="144"/>
              <w:rPr>
                <w:rStyle w:val="InstructionsTabelleText"/>
                <w:rFonts w:ascii="Times New Roman" w:hAnsi="Times New Roman"/>
                <w:sz w:val="24"/>
              </w:rPr>
            </w:pPr>
            <w:r w:rsidRPr="00661595">
              <w:rPr>
                <w:rStyle w:val="InstructionsTabelleText"/>
                <w:rFonts w:ascii="Times New Roman" w:hAnsi="Times New Roman"/>
                <w:sz w:val="24"/>
              </w:rPr>
              <w:t xml:space="preserve">Institutions </w:t>
            </w:r>
            <w:r w:rsidR="00D021AF" w:rsidRPr="00661595">
              <w:rPr>
                <w:rStyle w:val="InstructionsTabelleText"/>
                <w:rFonts w:ascii="Times New Roman" w:hAnsi="Times New Roman"/>
                <w:sz w:val="24"/>
              </w:rPr>
              <w:t xml:space="preserve">shall </w:t>
            </w:r>
            <w:r w:rsidRPr="00661595">
              <w:rPr>
                <w:rStyle w:val="InstructionsTabelleText"/>
                <w:rFonts w:ascii="Times New Roman" w:hAnsi="Times New Roman"/>
                <w:sz w:val="24"/>
              </w:rPr>
              <w:t xml:space="preserve">report risk-weighted exposure amounts for equity exposures calculated in accordance with Article 155 </w:t>
            </w:r>
            <w:r w:rsidR="00C7103D" w:rsidRPr="00661595">
              <w:rPr>
                <w:rStyle w:val="InstructionsTabelleText"/>
                <w:rFonts w:ascii="Times New Roman" w:hAnsi="Times New Roman"/>
                <w:sz w:val="24"/>
              </w:rPr>
              <w:t>CRR</w:t>
            </w:r>
            <w:r w:rsidRPr="00661595">
              <w:rPr>
                <w:rStyle w:val="InstructionsTabelleText"/>
                <w:rFonts w:ascii="Times New Roman" w:hAnsi="Times New Roman"/>
                <w:sz w:val="24"/>
                <w:lang w:eastAsia="de-DE"/>
              </w:rPr>
              <w:t>.</w:t>
            </w:r>
          </w:p>
          <w:p w:rsidR="00745369" w:rsidRPr="00661595" w:rsidRDefault="00D021AF" w:rsidP="00450A2E">
            <w:pPr>
              <w:spacing w:beforeLines="60" w:before="144" w:afterLines="60" w:after="144"/>
              <w:rPr>
                <w:rStyle w:val="InstructionsTabelleText"/>
                <w:rFonts w:ascii="Times New Roman" w:hAnsi="Times New Roman"/>
                <w:sz w:val="24"/>
                <w:lang w:eastAsia="de-DE"/>
              </w:rPr>
            </w:pPr>
            <w:r w:rsidRPr="00661595">
              <w:rPr>
                <w:rStyle w:val="InstructionsTabelleText"/>
                <w:rFonts w:ascii="Times New Roman" w:hAnsi="Times New Roman"/>
                <w:sz w:val="24"/>
                <w:lang w:eastAsia="de-DE"/>
              </w:rPr>
              <w:t>W</w:t>
            </w:r>
            <w:r w:rsidR="00C61FF5" w:rsidRPr="00661595">
              <w:rPr>
                <w:rStyle w:val="InstructionsTabelleText"/>
                <w:rFonts w:ascii="Times New Roman" w:hAnsi="Times New Roman"/>
                <w:sz w:val="24"/>
                <w:lang w:eastAsia="de-DE"/>
              </w:rPr>
              <w:t xml:space="preserve">here institutions applying the PD/LGD approach do not have sufficient information to use the definition of default set out in Article 178 </w:t>
            </w:r>
            <w:r w:rsidR="00C7103D" w:rsidRPr="00661595">
              <w:rPr>
                <w:rStyle w:val="InstructionsTabelleText"/>
                <w:rFonts w:ascii="Times New Roman" w:hAnsi="Times New Roman"/>
                <w:sz w:val="24"/>
                <w:lang w:eastAsia="de-DE"/>
              </w:rPr>
              <w:t>CRR</w:t>
            </w:r>
            <w:r w:rsidR="00C61FF5" w:rsidRPr="00661595">
              <w:rPr>
                <w:rStyle w:val="InstructionsTabelleText"/>
                <w:rFonts w:ascii="Times New Roman" w:hAnsi="Times New Roman"/>
                <w:sz w:val="24"/>
                <w:lang w:eastAsia="de-DE"/>
              </w:rPr>
              <w:t>, a scaling factor of 1</w:t>
            </w:r>
            <w:r w:rsidR="00021A05" w:rsidRPr="00661595">
              <w:rPr>
                <w:rStyle w:val="InstructionsTabelleText"/>
                <w:rFonts w:ascii="Times New Roman" w:hAnsi="Times New Roman"/>
                <w:sz w:val="24"/>
                <w:lang w:eastAsia="de-DE"/>
              </w:rPr>
              <w:t>,</w:t>
            </w:r>
            <w:r w:rsidR="00C61FF5" w:rsidRPr="00661595">
              <w:rPr>
                <w:rStyle w:val="InstructionsTabelleText"/>
                <w:rFonts w:ascii="Times New Roman" w:hAnsi="Times New Roman"/>
                <w:sz w:val="24"/>
                <w:lang w:eastAsia="de-DE"/>
              </w:rPr>
              <w:t xml:space="preserve">5 shall be assigned to the risk weights when calculating risk weighted exposure amounts (Article 155(3) </w:t>
            </w:r>
            <w:r w:rsidR="00C7103D" w:rsidRPr="00661595">
              <w:rPr>
                <w:rStyle w:val="InstructionsTabelleText"/>
                <w:rFonts w:ascii="Times New Roman" w:hAnsi="Times New Roman"/>
                <w:sz w:val="24"/>
                <w:lang w:eastAsia="de-DE"/>
              </w:rPr>
              <w:t>CRR</w:t>
            </w:r>
            <w:r w:rsidR="00C61FF5" w:rsidRPr="00661595">
              <w:rPr>
                <w:rStyle w:val="InstructionsTabelleText"/>
                <w:rFonts w:ascii="Times New Roman" w:hAnsi="Times New Roman"/>
                <w:sz w:val="24"/>
                <w:lang w:eastAsia="de-DE"/>
              </w:rPr>
              <w:t xml:space="preserve">). </w:t>
            </w:r>
          </w:p>
          <w:p w:rsidR="00745369" w:rsidRPr="00661595" w:rsidRDefault="00C61FF5" w:rsidP="00450A2E">
            <w:pPr>
              <w:spacing w:beforeLines="60" w:before="144" w:afterLines="60" w:after="144"/>
              <w:rPr>
                <w:rStyle w:val="InstructionsTabelleText"/>
                <w:rFonts w:ascii="Times New Roman" w:hAnsi="Times New Roman"/>
                <w:sz w:val="24"/>
              </w:rPr>
            </w:pPr>
            <w:r w:rsidRPr="00661595">
              <w:rPr>
                <w:rStyle w:val="InstructionsTabelleText"/>
                <w:rFonts w:ascii="Times New Roman" w:hAnsi="Times New Roman"/>
                <w:sz w:val="24"/>
                <w:lang w:eastAsia="de-DE"/>
              </w:rPr>
              <w:t xml:space="preserve">With regard to the input parameter M (Maturity) to the risk-weight function, </w:t>
            </w:r>
            <w:r w:rsidRPr="00661595">
              <w:rPr>
                <w:rStyle w:val="InstructionsTabelleText"/>
                <w:rFonts w:ascii="Times New Roman" w:hAnsi="Times New Roman"/>
                <w:sz w:val="24"/>
              </w:rPr>
              <w:t xml:space="preserve">the maturity assigned to equity exposures equals 5 years (Article 165(3) </w:t>
            </w:r>
            <w:r w:rsidR="00C7103D" w:rsidRPr="00661595">
              <w:rPr>
                <w:rStyle w:val="InstructionsTabelleText"/>
                <w:rFonts w:ascii="Times New Roman" w:hAnsi="Times New Roman"/>
                <w:sz w:val="24"/>
              </w:rPr>
              <w:t>CRR</w:t>
            </w:r>
            <w:r w:rsidRPr="00661595">
              <w:rPr>
                <w:rStyle w:val="InstructionsTabelleText"/>
                <w:rFonts w:ascii="Times New Roman" w:hAnsi="Times New Roman"/>
                <w:sz w:val="24"/>
              </w:rPr>
              <w:t>).</w:t>
            </w:r>
          </w:p>
        </w:tc>
      </w:tr>
      <w:tr w:rsidR="00C61FF5" w:rsidRPr="00661595" w:rsidTr="00672D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 w:type="dxa"/>
          </w:tcPr>
          <w:p w:rsidR="00745369" w:rsidRPr="00661595" w:rsidRDefault="00C61FF5" w:rsidP="00450A2E">
            <w:pPr>
              <w:spacing w:beforeLines="60" w:before="144" w:afterLines="60" w:after="144"/>
              <w:rPr>
                <w:rStyle w:val="InstructionsTabelleText"/>
                <w:rFonts w:ascii="Times New Roman" w:hAnsi="Times New Roman"/>
                <w:sz w:val="24"/>
              </w:rPr>
            </w:pPr>
            <w:r w:rsidRPr="00661595">
              <w:rPr>
                <w:rStyle w:val="InstructionsTabelleText"/>
                <w:rFonts w:ascii="Times New Roman" w:hAnsi="Times New Roman"/>
                <w:sz w:val="24"/>
              </w:rPr>
              <w:t>0</w:t>
            </w:r>
            <w:r w:rsidR="006E0E76" w:rsidRPr="00661595">
              <w:rPr>
                <w:rStyle w:val="InstructionsTabelleText"/>
                <w:rFonts w:ascii="Times New Roman" w:hAnsi="Times New Roman"/>
                <w:sz w:val="24"/>
              </w:rPr>
              <w:t>0</w:t>
            </w:r>
            <w:r w:rsidRPr="00661595">
              <w:rPr>
                <w:rStyle w:val="InstructionsTabelleText"/>
                <w:rFonts w:ascii="Times New Roman" w:hAnsi="Times New Roman"/>
                <w:sz w:val="24"/>
              </w:rPr>
              <w:t>90</w:t>
            </w:r>
          </w:p>
        </w:tc>
        <w:tc>
          <w:tcPr>
            <w:tcW w:w="8004" w:type="dxa"/>
          </w:tcPr>
          <w:p w:rsidR="00745369" w:rsidRPr="00661595" w:rsidRDefault="00C61FF5" w:rsidP="00450A2E">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MEMORANDUM ITEM: EXPECTED LOSS AMOUNT</w:t>
            </w:r>
          </w:p>
          <w:p w:rsidR="00745369" w:rsidRPr="00661595" w:rsidRDefault="00C61FF5" w:rsidP="00021A05">
            <w:pPr>
              <w:spacing w:beforeLines="60" w:before="144" w:afterLines="60" w:after="144"/>
              <w:rPr>
                <w:rStyle w:val="InstructionsTabelleText"/>
                <w:rFonts w:ascii="Times New Roman" w:hAnsi="Times New Roman"/>
                <w:sz w:val="24"/>
              </w:rPr>
            </w:pPr>
            <w:r w:rsidRPr="00661595">
              <w:rPr>
                <w:rStyle w:val="InstructionsTabelleText"/>
                <w:rFonts w:ascii="Times New Roman" w:hAnsi="Times New Roman"/>
                <w:sz w:val="24"/>
              </w:rPr>
              <w:t xml:space="preserve">Institutions </w:t>
            </w:r>
            <w:r w:rsidR="00021A05" w:rsidRPr="00661595">
              <w:rPr>
                <w:rStyle w:val="InstructionsTabelleText"/>
                <w:rFonts w:ascii="Times New Roman" w:hAnsi="Times New Roman"/>
                <w:sz w:val="24"/>
              </w:rPr>
              <w:t xml:space="preserve">shall </w:t>
            </w:r>
            <w:r w:rsidRPr="00661595">
              <w:rPr>
                <w:rStyle w:val="InstructionsTabelleText"/>
                <w:rFonts w:ascii="Times New Roman" w:hAnsi="Times New Roman"/>
                <w:sz w:val="24"/>
              </w:rPr>
              <w:t>report in column 0</w:t>
            </w:r>
            <w:r w:rsidR="006E0E76" w:rsidRPr="00661595">
              <w:rPr>
                <w:rStyle w:val="InstructionsTabelleText"/>
                <w:rFonts w:ascii="Times New Roman" w:hAnsi="Times New Roman"/>
                <w:sz w:val="24"/>
              </w:rPr>
              <w:t>0</w:t>
            </w:r>
            <w:r w:rsidRPr="00661595">
              <w:rPr>
                <w:rStyle w:val="InstructionsTabelleText"/>
                <w:rFonts w:ascii="Times New Roman" w:hAnsi="Times New Roman"/>
                <w:sz w:val="24"/>
              </w:rPr>
              <w:t xml:space="preserve">90 the expected loss amount for equity exposures </w:t>
            </w:r>
            <w:r w:rsidRPr="00661595">
              <w:rPr>
                <w:rStyle w:val="InstructionsTabelleText"/>
                <w:rFonts w:ascii="Times New Roman" w:hAnsi="Times New Roman"/>
                <w:sz w:val="24"/>
                <w:lang w:eastAsia="de-DE"/>
              </w:rPr>
              <w:t xml:space="preserve">calculated in accordance with </w:t>
            </w:r>
            <w:r w:rsidR="00021A05" w:rsidRPr="00661595">
              <w:rPr>
                <w:rStyle w:val="InstructionsTabelleText"/>
                <w:rFonts w:ascii="Times New Roman" w:hAnsi="Times New Roman"/>
                <w:sz w:val="24"/>
                <w:lang w:eastAsia="de-DE"/>
              </w:rPr>
              <w:t xml:space="preserve">paragraphs 4, 7, 8 and 9 of </w:t>
            </w:r>
            <w:r w:rsidRPr="00661595">
              <w:rPr>
                <w:rStyle w:val="InstructionsTabelleText"/>
                <w:rFonts w:ascii="Times New Roman" w:hAnsi="Times New Roman"/>
                <w:sz w:val="24"/>
              </w:rPr>
              <w:t xml:space="preserve">Article 158 </w:t>
            </w:r>
            <w:r w:rsidR="00C7103D" w:rsidRPr="00661595">
              <w:rPr>
                <w:rStyle w:val="InstructionsTabelleText"/>
                <w:rFonts w:ascii="Times New Roman" w:hAnsi="Times New Roman"/>
                <w:sz w:val="24"/>
              </w:rPr>
              <w:t>CRR</w:t>
            </w:r>
            <w:r w:rsidRPr="00661595">
              <w:rPr>
                <w:rStyle w:val="InstructionsTabelleText"/>
                <w:rFonts w:ascii="Times New Roman" w:hAnsi="Times New Roman"/>
                <w:sz w:val="24"/>
              </w:rPr>
              <w:t xml:space="preserve">. </w:t>
            </w:r>
          </w:p>
        </w:tc>
      </w:tr>
    </w:tbl>
    <w:p w:rsidR="00745369" w:rsidRPr="00661595" w:rsidRDefault="00745369" w:rsidP="00487A02">
      <w:pPr>
        <w:pStyle w:val="InstructionsText"/>
      </w:pPr>
    </w:p>
    <w:p w:rsidR="00C61FF5" w:rsidRPr="00661595" w:rsidRDefault="00D11E4C" w:rsidP="00487A02">
      <w:pPr>
        <w:pStyle w:val="InstructionsText2"/>
        <w:numPr>
          <w:ilvl w:val="0"/>
          <w:numId w:val="0"/>
        </w:numPr>
        <w:ind w:left="1353" w:hanging="360"/>
      </w:pPr>
      <w:fldSimple w:instr=" seq paragraphs ">
        <w:r w:rsidR="00771068">
          <w:rPr>
            <w:noProof/>
          </w:rPr>
          <w:t>98</w:t>
        </w:r>
      </w:fldSimple>
      <w:r w:rsidR="00125707" w:rsidRPr="00661595">
        <w:t>.</w:t>
      </w:r>
      <w:r w:rsidR="00125707" w:rsidRPr="00661595">
        <w:tab/>
      </w:r>
      <w:r w:rsidR="00C61FF5" w:rsidRPr="00661595">
        <w:t xml:space="preserve">In accordance with Article 155 </w:t>
      </w:r>
      <w:r w:rsidR="00C7103D" w:rsidRPr="00661595">
        <w:t>CRR</w:t>
      </w:r>
      <w:r w:rsidR="00C61FF5" w:rsidRPr="00661595">
        <w:t>, institutions may employ different approaches (Simple Risk Weight approach, PD/LGD approach or Internal Models approach) to different portfolios when they use these different approaches internally. Institutions shall also report in the CR EQU IRB 1 template risk</w:t>
      </w:r>
      <w:r w:rsidR="00D82B60" w:rsidRPr="00661595">
        <w:t>-</w:t>
      </w:r>
      <w:r w:rsidR="00C61FF5" w:rsidRPr="00661595">
        <w:t>weighted exposure amounts for those equity exposures which attract a fixed risk</w:t>
      </w:r>
      <w:r w:rsidR="00D82B60" w:rsidRPr="00661595">
        <w:t>-</w:t>
      </w:r>
      <w:r w:rsidR="00C61FF5" w:rsidRPr="00661595">
        <w:t xml:space="preserve">weight treatment (without however being explicitly treated </w:t>
      </w:r>
      <w:r w:rsidR="00BB22D4" w:rsidRPr="00661595">
        <w:t>in accordance with</w:t>
      </w:r>
      <w:r w:rsidR="00C61FF5" w:rsidRPr="00661595">
        <w:t xml:space="preserve"> the Simple Risk Weight approach or the (temporary or permanent) partial use of the credit risk </w:t>
      </w:r>
      <w:r w:rsidR="00CA21CA" w:rsidRPr="00661595">
        <w:t xml:space="preserve">Standardised </w:t>
      </w:r>
      <w:r w:rsidR="009A4399" w:rsidRPr="00661595">
        <w:t>approach</w:t>
      </w:r>
      <w:r w:rsidR="00C61FF5" w:rsidRPr="00661595">
        <w:t>).</w:t>
      </w:r>
    </w:p>
    <w:tbl>
      <w:tblPr>
        <w:tblW w:w="9524" w:type="dxa"/>
        <w:tblLook w:val="01E0" w:firstRow="1" w:lastRow="1" w:firstColumn="1" w:lastColumn="1" w:noHBand="0" w:noVBand="0"/>
      </w:tblPr>
      <w:tblGrid>
        <w:gridCol w:w="1608"/>
        <w:gridCol w:w="7916"/>
      </w:tblGrid>
      <w:tr w:rsidR="00C61FF5" w:rsidRPr="00661595" w:rsidTr="00672D2A">
        <w:tc>
          <w:tcPr>
            <w:tcW w:w="9524" w:type="dxa"/>
            <w:gridSpan w:val="2"/>
            <w:tcBorders>
              <w:top w:val="single" w:sz="4" w:space="0" w:color="auto"/>
              <w:left w:val="single" w:sz="4" w:space="0" w:color="auto"/>
              <w:bottom w:val="single" w:sz="4" w:space="0" w:color="auto"/>
              <w:right w:val="single" w:sz="4" w:space="0" w:color="auto"/>
            </w:tcBorders>
            <w:shd w:val="clear" w:color="auto" w:fill="A6A6A6"/>
          </w:tcPr>
          <w:p w:rsidR="00745369" w:rsidRPr="00661595" w:rsidRDefault="00C61FF5" w:rsidP="00EA0BAB">
            <w:pPr>
              <w:spacing w:beforeLines="60" w:before="144" w:afterLines="60" w:after="144"/>
              <w:rPr>
                <w:rStyle w:val="InstructionsTabelleText"/>
                <w:rFonts w:ascii="Times New Roman" w:hAnsi="Times New Roman"/>
                <w:b/>
                <w:sz w:val="24"/>
              </w:rPr>
            </w:pPr>
            <w:r w:rsidRPr="00661595">
              <w:rPr>
                <w:rStyle w:val="InstructionsTabelleText"/>
                <w:rFonts w:ascii="Times New Roman" w:hAnsi="Times New Roman"/>
                <w:b/>
                <w:sz w:val="24"/>
              </w:rPr>
              <w:t>Rows</w:t>
            </w:r>
          </w:p>
        </w:tc>
      </w:tr>
      <w:tr w:rsidR="00C61FF5" w:rsidRPr="00661595" w:rsidTr="00672D2A">
        <w:tc>
          <w:tcPr>
            <w:tcW w:w="1608" w:type="dxa"/>
            <w:tcBorders>
              <w:top w:val="single" w:sz="4" w:space="0" w:color="auto"/>
              <w:left w:val="single" w:sz="4" w:space="0" w:color="auto"/>
              <w:bottom w:val="single" w:sz="4" w:space="0" w:color="auto"/>
              <w:right w:val="single" w:sz="4" w:space="0" w:color="auto"/>
            </w:tcBorders>
          </w:tcPr>
          <w:p w:rsidR="00745369" w:rsidRPr="00661595" w:rsidRDefault="00C61FF5" w:rsidP="00EA0BAB">
            <w:pPr>
              <w:spacing w:beforeLines="60" w:before="144" w:afterLines="60" w:after="144"/>
              <w:rPr>
                <w:rStyle w:val="InstructionsTabelleText"/>
                <w:rFonts w:ascii="Times New Roman" w:hAnsi="Times New Roman"/>
                <w:sz w:val="24"/>
              </w:rPr>
            </w:pPr>
            <w:r w:rsidRPr="00661595">
              <w:rPr>
                <w:rStyle w:val="InstructionsTabelleText"/>
                <w:rFonts w:ascii="Times New Roman" w:hAnsi="Times New Roman"/>
                <w:sz w:val="24"/>
              </w:rPr>
              <w:t>CR EQU IRB 1 - row 0</w:t>
            </w:r>
            <w:r w:rsidR="006E0E76" w:rsidRPr="00661595">
              <w:rPr>
                <w:rStyle w:val="InstructionsTabelleText"/>
                <w:rFonts w:ascii="Times New Roman" w:hAnsi="Times New Roman"/>
                <w:sz w:val="24"/>
              </w:rPr>
              <w:t>0</w:t>
            </w:r>
            <w:r w:rsidRPr="00661595">
              <w:rPr>
                <w:rStyle w:val="InstructionsTabelleText"/>
                <w:rFonts w:ascii="Times New Roman" w:hAnsi="Times New Roman"/>
                <w:sz w:val="24"/>
              </w:rPr>
              <w:t>20,</w:t>
            </w:r>
          </w:p>
          <w:p w:rsidR="00745369" w:rsidRPr="00661595" w:rsidRDefault="00745369" w:rsidP="00450A2E">
            <w:pPr>
              <w:spacing w:beforeLines="60" w:before="144" w:afterLines="60" w:after="144"/>
              <w:rPr>
                <w:rStyle w:val="InstructionsTabelleText"/>
                <w:rFonts w:ascii="Times New Roman" w:hAnsi="Times New Roman"/>
                <w:sz w:val="24"/>
              </w:rPr>
            </w:pPr>
          </w:p>
        </w:tc>
        <w:tc>
          <w:tcPr>
            <w:tcW w:w="7916" w:type="dxa"/>
            <w:tcBorders>
              <w:top w:val="single" w:sz="4" w:space="0" w:color="auto"/>
              <w:left w:val="single" w:sz="4" w:space="0" w:color="auto"/>
              <w:bottom w:val="single" w:sz="4" w:space="0" w:color="auto"/>
              <w:right w:val="single" w:sz="4" w:space="0" w:color="auto"/>
            </w:tcBorders>
          </w:tcPr>
          <w:p w:rsidR="00745369" w:rsidRPr="00661595" w:rsidRDefault="00C61FF5" w:rsidP="00450A2E">
            <w:pPr>
              <w:keepNext/>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 xml:space="preserve">PD/LGD APRROACH: TOTAL </w:t>
            </w:r>
          </w:p>
          <w:p w:rsidR="00745369" w:rsidRPr="00661595" w:rsidRDefault="00C61FF5" w:rsidP="00AA7658">
            <w:pPr>
              <w:keepNext/>
              <w:spacing w:beforeLines="60" w:before="144" w:afterLines="60" w:after="144"/>
              <w:rPr>
                <w:rStyle w:val="InstructionsTabelleText"/>
                <w:rFonts w:ascii="Times New Roman" w:hAnsi="Times New Roman"/>
                <w:sz w:val="24"/>
              </w:rPr>
            </w:pPr>
            <w:r w:rsidRPr="00661595">
              <w:rPr>
                <w:rStyle w:val="InstructionsTabelleText"/>
                <w:rFonts w:ascii="Times New Roman" w:hAnsi="Times New Roman"/>
                <w:sz w:val="24"/>
              </w:rPr>
              <w:t xml:space="preserve">Institutions applying the </w:t>
            </w:r>
            <w:r w:rsidRPr="00661595">
              <w:rPr>
                <w:rStyle w:val="InstructionsTabelleText"/>
                <w:rFonts w:ascii="Times New Roman" w:hAnsi="Times New Roman"/>
                <w:sz w:val="24"/>
                <w:lang w:eastAsia="de-DE"/>
              </w:rPr>
              <w:t xml:space="preserve">PD/LGD approach (Article 155(3) </w:t>
            </w:r>
            <w:r w:rsidR="00C7103D" w:rsidRPr="00661595">
              <w:rPr>
                <w:rStyle w:val="InstructionsTabelleText"/>
                <w:rFonts w:ascii="Times New Roman" w:hAnsi="Times New Roman"/>
                <w:sz w:val="24"/>
                <w:lang w:eastAsia="de-DE"/>
              </w:rPr>
              <w:t>CRR</w:t>
            </w:r>
            <w:r w:rsidRPr="00661595">
              <w:rPr>
                <w:rStyle w:val="InstructionsTabelleText"/>
                <w:rFonts w:ascii="Times New Roman" w:hAnsi="Times New Roman"/>
                <w:sz w:val="24"/>
                <w:lang w:eastAsia="de-DE"/>
              </w:rPr>
              <w:t>)</w:t>
            </w:r>
            <w:r w:rsidR="00AA7658" w:rsidRPr="00661595">
              <w:rPr>
                <w:rStyle w:val="InstructionsTabelleText"/>
                <w:rFonts w:ascii="Times New Roman" w:hAnsi="Times New Roman"/>
                <w:sz w:val="24"/>
                <w:lang w:eastAsia="de-DE"/>
              </w:rPr>
              <w:t xml:space="preserve"> shall </w:t>
            </w:r>
            <w:r w:rsidRPr="00661595">
              <w:rPr>
                <w:rStyle w:val="InstructionsTabelleText"/>
                <w:rFonts w:ascii="Times New Roman" w:hAnsi="Times New Roman"/>
                <w:sz w:val="24"/>
              </w:rPr>
              <w:t>report the</w:t>
            </w:r>
            <w:r w:rsidR="00AA7658" w:rsidRPr="00661595">
              <w:rPr>
                <w:rStyle w:val="InstructionsTabelleText"/>
                <w:rFonts w:ascii="Times New Roman" w:hAnsi="Times New Roman"/>
                <w:sz w:val="24"/>
              </w:rPr>
              <w:t xml:space="preserve"> required </w:t>
            </w:r>
            <w:r w:rsidRPr="00661595">
              <w:rPr>
                <w:rStyle w:val="InstructionsTabelleText"/>
                <w:rFonts w:ascii="Times New Roman" w:hAnsi="Times New Roman"/>
                <w:sz w:val="24"/>
              </w:rPr>
              <w:t xml:space="preserve">information in row </w:t>
            </w:r>
            <w:r w:rsidR="006E0E76" w:rsidRPr="00661595">
              <w:rPr>
                <w:rStyle w:val="InstructionsTabelleText"/>
                <w:rFonts w:ascii="Times New Roman" w:hAnsi="Times New Roman"/>
                <w:sz w:val="24"/>
              </w:rPr>
              <w:t>0</w:t>
            </w:r>
            <w:r w:rsidRPr="00661595">
              <w:rPr>
                <w:rStyle w:val="InstructionsTabelleText"/>
                <w:rFonts w:ascii="Times New Roman" w:hAnsi="Times New Roman"/>
                <w:sz w:val="24"/>
              </w:rPr>
              <w:t>020 of the CR EQU IRB 1 template.</w:t>
            </w:r>
          </w:p>
        </w:tc>
      </w:tr>
      <w:tr w:rsidR="00C61FF5" w:rsidRPr="00661595" w:rsidTr="00672D2A">
        <w:tc>
          <w:tcPr>
            <w:tcW w:w="1608" w:type="dxa"/>
            <w:tcBorders>
              <w:top w:val="single" w:sz="4" w:space="0" w:color="auto"/>
              <w:left w:val="single" w:sz="4" w:space="0" w:color="auto"/>
              <w:bottom w:val="single" w:sz="4" w:space="0" w:color="auto"/>
              <w:right w:val="single" w:sz="4" w:space="0" w:color="auto"/>
            </w:tcBorders>
          </w:tcPr>
          <w:p w:rsidR="00745369" w:rsidRPr="00661595" w:rsidRDefault="00C61FF5" w:rsidP="00EA0BAB">
            <w:pPr>
              <w:spacing w:beforeLines="60" w:before="144" w:afterLines="60" w:after="144"/>
              <w:rPr>
                <w:rStyle w:val="InstructionsTabelleText"/>
                <w:rFonts w:ascii="Times New Roman" w:hAnsi="Times New Roman"/>
                <w:sz w:val="24"/>
              </w:rPr>
            </w:pPr>
            <w:r w:rsidRPr="00661595">
              <w:rPr>
                <w:rStyle w:val="InstructionsTabelleText"/>
                <w:rFonts w:ascii="Times New Roman" w:hAnsi="Times New Roman"/>
                <w:sz w:val="24"/>
              </w:rPr>
              <w:t>CR EQU IRB 1 - rows 0</w:t>
            </w:r>
            <w:r w:rsidR="006E0E76" w:rsidRPr="00661595">
              <w:rPr>
                <w:rStyle w:val="InstructionsTabelleText"/>
                <w:rFonts w:ascii="Times New Roman" w:hAnsi="Times New Roman"/>
                <w:sz w:val="24"/>
              </w:rPr>
              <w:t>0</w:t>
            </w:r>
            <w:r w:rsidRPr="00661595">
              <w:rPr>
                <w:rStyle w:val="InstructionsTabelleText"/>
                <w:rFonts w:ascii="Times New Roman" w:hAnsi="Times New Roman"/>
                <w:sz w:val="24"/>
              </w:rPr>
              <w:t>50- 0</w:t>
            </w:r>
            <w:r w:rsidR="006E0E76" w:rsidRPr="00661595">
              <w:rPr>
                <w:rStyle w:val="InstructionsTabelleText"/>
                <w:rFonts w:ascii="Times New Roman" w:hAnsi="Times New Roman"/>
                <w:sz w:val="24"/>
              </w:rPr>
              <w:t>0</w:t>
            </w:r>
            <w:r w:rsidRPr="00661595">
              <w:rPr>
                <w:rStyle w:val="InstructionsTabelleText"/>
                <w:rFonts w:ascii="Times New Roman" w:hAnsi="Times New Roman"/>
                <w:sz w:val="24"/>
              </w:rPr>
              <w:t>90</w:t>
            </w:r>
          </w:p>
        </w:tc>
        <w:tc>
          <w:tcPr>
            <w:tcW w:w="7916" w:type="dxa"/>
            <w:tcBorders>
              <w:top w:val="single" w:sz="4" w:space="0" w:color="auto"/>
              <w:left w:val="single" w:sz="4" w:space="0" w:color="auto"/>
              <w:bottom w:val="single" w:sz="4" w:space="0" w:color="auto"/>
              <w:right w:val="single" w:sz="4" w:space="0" w:color="auto"/>
            </w:tcBorders>
          </w:tcPr>
          <w:p w:rsidR="00C61FF5" w:rsidRPr="00661595" w:rsidRDefault="00C61FF5" w:rsidP="00C61FF5">
            <w:pPr>
              <w:rPr>
                <w:rStyle w:val="InstructionsTabelleText"/>
                <w:rFonts w:ascii="Times New Roman" w:hAnsi="Times New Roman"/>
                <w:b/>
                <w:sz w:val="24"/>
                <w:u w:val="single"/>
              </w:rPr>
            </w:pPr>
            <w:r w:rsidRPr="00661595">
              <w:rPr>
                <w:rStyle w:val="InstructionsTabelleText"/>
                <w:rFonts w:ascii="Times New Roman" w:hAnsi="Times New Roman"/>
                <w:b/>
                <w:sz w:val="24"/>
                <w:u w:val="single"/>
              </w:rPr>
              <w:t>SIMPLE RISK WEIGHT APPROACH: TOTAL</w:t>
            </w:r>
          </w:p>
          <w:p w:rsidR="00C61FF5" w:rsidRPr="00661595" w:rsidRDefault="00C61FF5" w:rsidP="00C61FF5">
            <w:pPr>
              <w:rPr>
                <w:rStyle w:val="InstructionsTabelleText"/>
                <w:rFonts w:ascii="Times New Roman" w:hAnsi="Times New Roman"/>
                <w:b/>
                <w:sz w:val="24"/>
                <w:u w:val="single"/>
              </w:rPr>
            </w:pPr>
            <w:r w:rsidRPr="00661595">
              <w:rPr>
                <w:rStyle w:val="InstructionsTabelleText"/>
                <w:rFonts w:ascii="Times New Roman" w:hAnsi="Times New Roman"/>
                <w:b/>
                <w:sz w:val="24"/>
                <w:u w:val="single"/>
              </w:rPr>
              <w:t>BREAKDOWN OF TOTAL EXPOSURES UNDER THE SIMPLE RISK WEIGHT AP</w:t>
            </w:r>
            <w:r w:rsidR="00021A05" w:rsidRPr="00661595">
              <w:rPr>
                <w:rStyle w:val="InstructionsTabelleText"/>
                <w:rFonts w:ascii="Times New Roman" w:hAnsi="Times New Roman"/>
                <w:b/>
                <w:sz w:val="24"/>
                <w:u w:val="single"/>
              </w:rPr>
              <w:t>P</w:t>
            </w:r>
            <w:r w:rsidRPr="00661595">
              <w:rPr>
                <w:rStyle w:val="InstructionsTabelleText"/>
                <w:rFonts w:ascii="Times New Roman" w:hAnsi="Times New Roman"/>
                <w:b/>
                <w:sz w:val="24"/>
                <w:u w:val="single"/>
              </w:rPr>
              <w:t>ROACH BY RISK WEIGHTS:</w:t>
            </w:r>
          </w:p>
          <w:p w:rsidR="00745369" w:rsidRPr="00661595" w:rsidRDefault="00C61FF5" w:rsidP="00FD239F">
            <w:pPr>
              <w:keepNext/>
              <w:spacing w:beforeLines="60" w:before="144" w:afterLines="60" w:after="144"/>
              <w:rPr>
                <w:rStyle w:val="InstructionsTabelleText"/>
                <w:rFonts w:ascii="Times New Roman" w:hAnsi="Times New Roman"/>
                <w:sz w:val="24"/>
              </w:rPr>
            </w:pPr>
            <w:r w:rsidRPr="00661595">
              <w:rPr>
                <w:rStyle w:val="InstructionsTabelleText"/>
                <w:rFonts w:ascii="Times New Roman" w:hAnsi="Times New Roman"/>
                <w:sz w:val="24"/>
              </w:rPr>
              <w:t xml:space="preserve">Institutions applying the Simple Risk Weight approach (Article 155(2) </w:t>
            </w:r>
            <w:r w:rsidR="00C7103D" w:rsidRPr="00661595">
              <w:rPr>
                <w:rStyle w:val="InstructionsTabelleText"/>
                <w:rFonts w:ascii="Times New Roman" w:hAnsi="Times New Roman"/>
                <w:sz w:val="24"/>
              </w:rPr>
              <w:t>CRR</w:t>
            </w:r>
            <w:r w:rsidRPr="00661595">
              <w:rPr>
                <w:rStyle w:val="InstructionsTabelleText"/>
                <w:rFonts w:ascii="Times New Roman" w:hAnsi="Times New Roman"/>
                <w:sz w:val="24"/>
              </w:rPr>
              <w:t>)</w:t>
            </w:r>
            <w:r w:rsidR="00AA7658" w:rsidRPr="00661595">
              <w:rPr>
                <w:rStyle w:val="InstructionsTabelleText"/>
                <w:rFonts w:ascii="Times New Roman" w:hAnsi="Times New Roman"/>
                <w:sz w:val="24"/>
              </w:rPr>
              <w:t xml:space="preserve"> shall </w:t>
            </w:r>
            <w:r w:rsidRPr="00661595">
              <w:rPr>
                <w:rStyle w:val="InstructionsTabelleText"/>
                <w:rFonts w:ascii="Times New Roman" w:hAnsi="Times New Roman"/>
                <w:sz w:val="24"/>
              </w:rPr>
              <w:t>report the</w:t>
            </w:r>
            <w:r w:rsidR="00AA7658" w:rsidRPr="00661595">
              <w:rPr>
                <w:rStyle w:val="InstructionsTabelleText"/>
                <w:rFonts w:ascii="Times New Roman" w:hAnsi="Times New Roman"/>
                <w:sz w:val="24"/>
              </w:rPr>
              <w:t xml:space="preserve"> required </w:t>
            </w:r>
            <w:r w:rsidRPr="00661595">
              <w:rPr>
                <w:rStyle w:val="InstructionsTabelleText"/>
                <w:rFonts w:ascii="Times New Roman" w:hAnsi="Times New Roman"/>
                <w:sz w:val="24"/>
              </w:rPr>
              <w:t xml:space="preserve">information </w:t>
            </w:r>
            <w:r w:rsidR="00BB22D4" w:rsidRPr="00661595">
              <w:rPr>
                <w:rStyle w:val="InstructionsTabelleText"/>
                <w:rFonts w:ascii="Times New Roman" w:hAnsi="Times New Roman"/>
                <w:sz w:val="24"/>
              </w:rPr>
              <w:t>in accordance with</w:t>
            </w:r>
            <w:r w:rsidRPr="00661595">
              <w:rPr>
                <w:rStyle w:val="InstructionsTabelleText"/>
                <w:rFonts w:ascii="Times New Roman" w:hAnsi="Times New Roman"/>
                <w:sz w:val="24"/>
              </w:rPr>
              <w:t xml:space="preserve"> the characteristics of the underlying exposures in rows 0</w:t>
            </w:r>
            <w:r w:rsidR="006E0E76" w:rsidRPr="00661595">
              <w:rPr>
                <w:rStyle w:val="InstructionsTabelleText"/>
                <w:rFonts w:ascii="Times New Roman" w:hAnsi="Times New Roman"/>
                <w:sz w:val="24"/>
              </w:rPr>
              <w:t>0</w:t>
            </w:r>
            <w:r w:rsidRPr="00661595">
              <w:rPr>
                <w:rStyle w:val="InstructionsTabelleText"/>
                <w:rFonts w:ascii="Times New Roman" w:hAnsi="Times New Roman"/>
                <w:sz w:val="24"/>
              </w:rPr>
              <w:t>50 to 0</w:t>
            </w:r>
            <w:r w:rsidR="006E0E76" w:rsidRPr="00661595">
              <w:rPr>
                <w:rStyle w:val="InstructionsTabelleText"/>
                <w:rFonts w:ascii="Times New Roman" w:hAnsi="Times New Roman"/>
                <w:sz w:val="24"/>
              </w:rPr>
              <w:t>0</w:t>
            </w:r>
            <w:r w:rsidRPr="00661595">
              <w:rPr>
                <w:rStyle w:val="InstructionsTabelleText"/>
                <w:rFonts w:ascii="Times New Roman" w:hAnsi="Times New Roman"/>
                <w:sz w:val="24"/>
              </w:rPr>
              <w:t>90.</w:t>
            </w:r>
          </w:p>
        </w:tc>
      </w:tr>
      <w:tr w:rsidR="00C61FF5" w:rsidRPr="00661595" w:rsidTr="00672D2A">
        <w:tc>
          <w:tcPr>
            <w:tcW w:w="1608" w:type="dxa"/>
            <w:tcBorders>
              <w:top w:val="single" w:sz="4" w:space="0" w:color="auto"/>
              <w:left w:val="single" w:sz="4" w:space="0" w:color="auto"/>
              <w:bottom w:val="single" w:sz="4" w:space="0" w:color="auto"/>
              <w:right w:val="single" w:sz="4" w:space="0" w:color="auto"/>
            </w:tcBorders>
          </w:tcPr>
          <w:p w:rsidR="00745369" w:rsidRPr="00661595" w:rsidRDefault="00C61FF5" w:rsidP="00EA0BAB">
            <w:pPr>
              <w:spacing w:beforeLines="60" w:before="144" w:afterLines="60" w:after="144"/>
              <w:rPr>
                <w:rStyle w:val="InstructionsTabelleText"/>
                <w:rFonts w:ascii="Times New Roman" w:hAnsi="Times New Roman"/>
                <w:sz w:val="24"/>
              </w:rPr>
            </w:pPr>
            <w:r w:rsidRPr="00661595">
              <w:rPr>
                <w:rStyle w:val="InstructionsTabelleText"/>
                <w:rFonts w:ascii="Times New Roman" w:hAnsi="Times New Roman"/>
                <w:sz w:val="24"/>
              </w:rPr>
              <w:t xml:space="preserve">CR EQU IRB 1 - row </w:t>
            </w:r>
            <w:r w:rsidR="006E0E76" w:rsidRPr="00661595">
              <w:rPr>
                <w:rStyle w:val="InstructionsTabelleText"/>
                <w:rFonts w:ascii="Times New Roman" w:hAnsi="Times New Roman"/>
                <w:sz w:val="24"/>
              </w:rPr>
              <w:t>0</w:t>
            </w:r>
            <w:r w:rsidRPr="00661595">
              <w:rPr>
                <w:rStyle w:val="InstructionsTabelleText"/>
                <w:rFonts w:ascii="Times New Roman" w:hAnsi="Times New Roman"/>
                <w:sz w:val="24"/>
              </w:rPr>
              <w:t>100</w:t>
            </w:r>
          </w:p>
        </w:tc>
        <w:tc>
          <w:tcPr>
            <w:tcW w:w="7916" w:type="dxa"/>
            <w:tcBorders>
              <w:top w:val="single" w:sz="4" w:space="0" w:color="auto"/>
              <w:left w:val="single" w:sz="4" w:space="0" w:color="auto"/>
              <w:bottom w:val="single" w:sz="4" w:space="0" w:color="auto"/>
              <w:right w:val="single" w:sz="4" w:space="0" w:color="auto"/>
            </w:tcBorders>
          </w:tcPr>
          <w:p w:rsidR="00C61FF5" w:rsidRPr="00661595" w:rsidRDefault="00C61FF5" w:rsidP="00C61FF5">
            <w:pPr>
              <w:rPr>
                <w:rStyle w:val="InstructionsTabelleberschrift"/>
                <w:rFonts w:ascii="Times New Roman" w:hAnsi="Times New Roman"/>
                <w:sz w:val="24"/>
              </w:rPr>
            </w:pPr>
            <w:r w:rsidRPr="00661595">
              <w:rPr>
                <w:rStyle w:val="InstructionsTabelleberschrift"/>
                <w:rFonts w:ascii="Times New Roman" w:hAnsi="Times New Roman"/>
                <w:sz w:val="24"/>
              </w:rPr>
              <w:t>INTERNAL MODELS APPROACH</w:t>
            </w:r>
          </w:p>
          <w:p w:rsidR="00C61FF5" w:rsidRPr="00661595" w:rsidRDefault="00C61FF5" w:rsidP="00487A02">
            <w:pPr>
              <w:pStyle w:val="InstructionsText"/>
              <w:rPr>
                <w:rStyle w:val="FormatvorlageInstructionsTabelleText"/>
                <w:rFonts w:ascii="Times New Roman" w:hAnsi="Times New Roman"/>
                <w:bCs w:val="0"/>
                <w:sz w:val="24"/>
                <w:lang w:eastAsia="en-US"/>
              </w:rPr>
            </w:pPr>
            <w:r w:rsidRPr="00661595">
              <w:rPr>
                <w:rStyle w:val="FormatvorlageInstructionsTabelleText"/>
                <w:rFonts w:ascii="Times New Roman" w:hAnsi="Times New Roman"/>
                <w:sz w:val="24"/>
              </w:rPr>
              <w:t xml:space="preserve">Institutions applying the Internal Models approach (Article 155(4) </w:t>
            </w:r>
            <w:r w:rsidR="00C7103D" w:rsidRPr="00661595">
              <w:rPr>
                <w:rStyle w:val="FormatvorlageInstructionsTabelleText"/>
                <w:rFonts w:ascii="Times New Roman" w:hAnsi="Times New Roman"/>
                <w:sz w:val="24"/>
              </w:rPr>
              <w:t>CRR</w:t>
            </w:r>
            <w:r w:rsidRPr="00661595">
              <w:rPr>
                <w:rStyle w:val="FormatvorlageInstructionsTabelleText"/>
                <w:rFonts w:ascii="Times New Roman" w:hAnsi="Times New Roman"/>
                <w:sz w:val="24"/>
              </w:rPr>
              <w:t>)</w:t>
            </w:r>
            <w:r w:rsidR="00AA7658" w:rsidRPr="00661595">
              <w:rPr>
                <w:rStyle w:val="FormatvorlageInstructionsTabelleText"/>
                <w:rFonts w:ascii="Times New Roman" w:hAnsi="Times New Roman"/>
                <w:sz w:val="24"/>
              </w:rPr>
              <w:t xml:space="preserve"> shall </w:t>
            </w:r>
            <w:r w:rsidRPr="00661595">
              <w:rPr>
                <w:rStyle w:val="FormatvorlageInstructionsTabelleText"/>
                <w:rFonts w:ascii="Times New Roman" w:hAnsi="Times New Roman"/>
                <w:sz w:val="24"/>
              </w:rPr>
              <w:t>report the</w:t>
            </w:r>
            <w:r w:rsidR="00AA7658" w:rsidRPr="00661595">
              <w:rPr>
                <w:rStyle w:val="FormatvorlageInstructionsTabelleText"/>
                <w:rFonts w:ascii="Times New Roman" w:hAnsi="Times New Roman"/>
                <w:sz w:val="24"/>
              </w:rPr>
              <w:t xml:space="preserve"> required </w:t>
            </w:r>
            <w:r w:rsidRPr="00661595">
              <w:rPr>
                <w:rStyle w:val="FormatvorlageInstructionsTabelleText"/>
                <w:rFonts w:ascii="Times New Roman" w:hAnsi="Times New Roman"/>
                <w:sz w:val="24"/>
              </w:rPr>
              <w:t xml:space="preserve">information in row </w:t>
            </w:r>
            <w:r w:rsidR="006E0E76" w:rsidRPr="00661595">
              <w:rPr>
                <w:rStyle w:val="FormatvorlageInstructionsTabelleText"/>
                <w:rFonts w:ascii="Times New Roman" w:hAnsi="Times New Roman"/>
                <w:sz w:val="24"/>
              </w:rPr>
              <w:t>0</w:t>
            </w:r>
            <w:r w:rsidRPr="00661595">
              <w:rPr>
                <w:rStyle w:val="FormatvorlageInstructionsTabelleText"/>
                <w:rFonts w:ascii="Times New Roman" w:hAnsi="Times New Roman"/>
                <w:sz w:val="24"/>
              </w:rPr>
              <w:t>100.</w:t>
            </w:r>
          </w:p>
        </w:tc>
      </w:tr>
      <w:tr w:rsidR="00C61FF5" w:rsidRPr="00661595" w:rsidTr="00672D2A">
        <w:tc>
          <w:tcPr>
            <w:tcW w:w="1608" w:type="dxa"/>
            <w:tcBorders>
              <w:top w:val="single" w:sz="4" w:space="0" w:color="auto"/>
              <w:left w:val="single" w:sz="4" w:space="0" w:color="auto"/>
              <w:bottom w:val="single" w:sz="4" w:space="0" w:color="auto"/>
              <w:right w:val="single" w:sz="4" w:space="0" w:color="auto"/>
            </w:tcBorders>
          </w:tcPr>
          <w:p w:rsidR="00745369" w:rsidRPr="00661595" w:rsidRDefault="00C61FF5" w:rsidP="00EA0BAB">
            <w:pPr>
              <w:spacing w:beforeLines="60" w:before="144" w:afterLines="60" w:after="144"/>
              <w:rPr>
                <w:rStyle w:val="InstructionsTabelleText"/>
                <w:rFonts w:ascii="Times New Roman" w:hAnsi="Times New Roman"/>
                <w:bCs/>
                <w:sz w:val="24"/>
                <w:lang w:eastAsia="de-DE"/>
              </w:rPr>
            </w:pPr>
            <w:r w:rsidRPr="00661595">
              <w:rPr>
                <w:rStyle w:val="InstructionsTabelleText"/>
                <w:rFonts w:ascii="Times New Roman" w:hAnsi="Times New Roman"/>
                <w:sz w:val="24"/>
              </w:rPr>
              <w:t xml:space="preserve">CR EQU IRB 1 - row </w:t>
            </w:r>
            <w:r w:rsidR="006E0E76" w:rsidRPr="00661595">
              <w:rPr>
                <w:rStyle w:val="InstructionsTabelleText"/>
                <w:rFonts w:ascii="Times New Roman" w:hAnsi="Times New Roman"/>
                <w:sz w:val="24"/>
              </w:rPr>
              <w:t>0</w:t>
            </w:r>
            <w:r w:rsidRPr="00661595">
              <w:rPr>
                <w:rStyle w:val="InstructionsTabelleText"/>
                <w:rFonts w:ascii="Times New Roman" w:hAnsi="Times New Roman"/>
                <w:sz w:val="24"/>
              </w:rPr>
              <w:t>110</w:t>
            </w:r>
          </w:p>
        </w:tc>
        <w:tc>
          <w:tcPr>
            <w:tcW w:w="7916" w:type="dxa"/>
            <w:tcBorders>
              <w:top w:val="single" w:sz="4" w:space="0" w:color="auto"/>
              <w:left w:val="single" w:sz="4" w:space="0" w:color="auto"/>
              <w:bottom w:val="single" w:sz="4" w:space="0" w:color="auto"/>
              <w:right w:val="single" w:sz="4" w:space="0" w:color="auto"/>
            </w:tcBorders>
          </w:tcPr>
          <w:p w:rsidR="00C61FF5" w:rsidRPr="00661595" w:rsidRDefault="00C61FF5" w:rsidP="00C61FF5">
            <w:pPr>
              <w:rPr>
                <w:rStyle w:val="InstructionsTabelleberschrift"/>
                <w:rFonts w:ascii="Times New Roman" w:hAnsi="Times New Roman"/>
                <w:sz w:val="24"/>
              </w:rPr>
            </w:pPr>
            <w:r w:rsidRPr="00661595">
              <w:rPr>
                <w:rStyle w:val="InstructionsTabelleberschrift"/>
                <w:rFonts w:ascii="Times New Roman" w:hAnsi="Times New Roman"/>
                <w:sz w:val="24"/>
              </w:rPr>
              <w:t>EQUITY EXPOSURES SUBJECT TO RISK WEIGHTS</w:t>
            </w:r>
          </w:p>
          <w:p w:rsidR="00C61FF5" w:rsidRPr="00661595" w:rsidRDefault="00C61FF5" w:rsidP="00C61FF5">
            <w:pPr>
              <w:rPr>
                <w:rFonts w:ascii="Times New Roman" w:hAnsi="Times New Roman"/>
                <w:sz w:val="24"/>
              </w:rPr>
            </w:pPr>
            <w:r w:rsidRPr="00661595">
              <w:rPr>
                <w:rFonts w:ascii="Times New Roman" w:hAnsi="Times New Roman"/>
                <w:sz w:val="24"/>
              </w:rPr>
              <w:t xml:space="preserve">Institutions applying the </w:t>
            </w:r>
            <w:r w:rsidR="008241B9" w:rsidRPr="00661595">
              <w:rPr>
                <w:rFonts w:ascii="Times New Roman" w:hAnsi="Times New Roman"/>
                <w:sz w:val="24"/>
              </w:rPr>
              <w:t>IRB Approach</w:t>
            </w:r>
            <w:r w:rsidRPr="00661595">
              <w:rPr>
                <w:rFonts w:ascii="Times New Roman" w:hAnsi="Times New Roman"/>
                <w:sz w:val="24"/>
              </w:rPr>
              <w:t xml:space="preserve"> shall report </w:t>
            </w:r>
            <w:r w:rsidR="001B5499" w:rsidRPr="00661595">
              <w:rPr>
                <w:rFonts w:ascii="Times New Roman" w:hAnsi="Times New Roman"/>
                <w:sz w:val="24"/>
              </w:rPr>
              <w:t>risk weighted</w:t>
            </w:r>
            <w:r w:rsidRPr="00661595">
              <w:rPr>
                <w:rFonts w:ascii="Times New Roman" w:hAnsi="Times New Roman"/>
                <w:sz w:val="24"/>
              </w:rPr>
              <w:t xml:space="preserve"> exposure amounts for those equity exposures which attract a fixed </w:t>
            </w:r>
            <w:r w:rsidR="001B5499" w:rsidRPr="00661595">
              <w:rPr>
                <w:rFonts w:ascii="Times New Roman" w:hAnsi="Times New Roman"/>
                <w:sz w:val="24"/>
              </w:rPr>
              <w:t>risk weight</w:t>
            </w:r>
            <w:r w:rsidRPr="00661595">
              <w:rPr>
                <w:rFonts w:ascii="Times New Roman" w:hAnsi="Times New Roman"/>
                <w:sz w:val="24"/>
              </w:rPr>
              <w:t xml:space="preserve"> </w:t>
            </w:r>
            <w:r w:rsidR="001B5499" w:rsidRPr="00661595">
              <w:rPr>
                <w:rFonts w:ascii="Times New Roman" w:hAnsi="Times New Roman"/>
                <w:sz w:val="24"/>
              </w:rPr>
              <w:t>treatment</w:t>
            </w:r>
            <w:r w:rsidRPr="00661595">
              <w:rPr>
                <w:rFonts w:ascii="Times New Roman" w:hAnsi="Times New Roman"/>
                <w:sz w:val="24"/>
              </w:rPr>
              <w:t xml:space="preserve"> (without however being explicitly treated </w:t>
            </w:r>
            <w:r w:rsidR="00BB22D4" w:rsidRPr="00661595">
              <w:rPr>
                <w:rFonts w:ascii="Times New Roman" w:hAnsi="Times New Roman"/>
                <w:sz w:val="24"/>
              </w:rPr>
              <w:t>in accordance with</w:t>
            </w:r>
            <w:r w:rsidRPr="00661595">
              <w:rPr>
                <w:rFonts w:ascii="Times New Roman" w:hAnsi="Times New Roman"/>
                <w:sz w:val="24"/>
              </w:rPr>
              <w:t xml:space="preserve"> the Simple Risk Weight approach or the (temporary or permanent) partial use of the credit risk </w:t>
            </w:r>
            <w:r w:rsidR="00CA21CA" w:rsidRPr="00661595">
              <w:rPr>
                <w:rFonts w:ascii="Times New Roman" w:hAnsi="Times New Roman"/>
                <w:sz w:val="24"/>
              </w:rPr>
              <w:t xml:space="preserve">Standardised </w:t>
            </w:r>
            <w:r w:rsidR="009A4399" w:rsidRPr="00661595">
              <w:rPr>
                <w:rFonts w:ascii="Times New Roman" w:hAnsi="Times New Roman"/>
                <w:sz w:val="24"/>
              </w:rPr>
              <w:t>approach</w:t>
            </w:r>
            <w:r w:rsidRPr="00661595">
              <w:rPr>
                <w:rFonts w:ascii="Times New Roman" w:hAnsi="Times New Roman"/>
                <w:sz w:val="24"/>
              </w:rPr>
              <w:t>). As an example</w:t>
            </w:r>
            <w:r w:rsidR="00021A05" w:rsidRPr="00661595">
              <w:rPr>
                <w:rFonts w:ascii="Times New Roman" w:hAnsi="Times New Roman"/>
                <w:sz w:val="24"/>
              </w:rPr>
              <w:t>:</w:t>
            </w:r>
          </w:p>
          <w:p w:rsidR="00C61FF5" w:rsidRPr="00661595" w:rsidRDefault="00C61FF5" w:rsidP="00C61FF5">
            <w:pPr>
              <w:rPr>
                <w:rStyle w:val="FormatvorlageInstructionsTabelleText"/>
                <w:rFonts w:ascii="Times New Roman" w:hAnsi="Times New Roman"/>
                <w:sz w:val="24"/>
              </w:rPr>
            </w:pPr>
            <w:r w:rsidRPr="00661595">
              <w:rPr>
                <w:rFonts w:ascii="Times New Roman" w:hAnsi="Times New Roman"/>
                <w:sz w:val="24"/>
              </w:rPr>
              <w:t>-</w:t>
            </w:r>
            <w:r w:rsidRPr="00661595">
              <w:rPr>
                <w:rStyle w:val="FormatvorlageInstructionsTabelleText"/>
                <w:rFonts w:ascii="Times New Roman" w:hAnsi="Times New Roman"/>
                <w:sz w:val="24"/>
              </w:rPr>
              <w:t xml:space="preserve"> the risk weighted exposure amount of equity positions in financial sector entities treated in accordance with Article 48(4) </w:t>
            </w:r>
            <w:r w:rsidR="00C7103D" w:rsidRPr="00661595">
              <w:rPr>
                <w:rStyle w:val="FormatvorlageInstructionsTabelleText"/>
                <w:rFonts w:ascii="Times New Roman" w:hAnsi="Times New Roman"/>
                <w:sz w:val="24"/>
              </w:rPr>
              <w:t>CRR</w:t>
            </w:r>
            <w:r w:rsidRPr="00661595">
              <w:rPr>
                <w:rStyle w:val="FormatvorlageInstructionsTabelleText"/>
                <w:rFonts w:ascii="Times New Roman" w:hAnsi="Times New Roman"/>
                <w:sz w:val="24"/>
              </w:rPr>
              <w:t>, as well as</w:t>
            </w:r>
          </w:p>
          <w:p w:rsidR="00C61FF5" w:rsidRPr="00661595" w:rsidRDefault="00C61FF5" w:rsidP="00C61FF5">
            <w:pPr>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 equity positions risk-weighted with 370% in accordance with Article 471(2) CRR shall be reported in row </w:t>
            </w:r>
            <w:r w:rsidR="006E0E76" w:rsidRPr="00661595">
              <w:rPr>
                <w:rStyle w:val="FormatvorlageInstructionsTabelleText"/>
                <w:rFonts w:ascii="Times New Roman" w:hAnsi="Times New Roman"/>
                <w:sz w:val="24"/>
              </w:rPr>
              <w:t>0</w:t>
            </w:r>
            <w:r w:rsidRPr="00661595">
              <w:rPr>
                <w:rStyle w:val="FormatvorlageInstructionsTabelleText"/>
                <w:rFonts w:ascii="Times New Roman" w:hAnsi="Times New Roman"/>
                <w:sz w:val="24"/>
              </w:rPr>
              <w:t>110.</w:t>
            </w:r>
          </w:p>
        </w:tc>
      </w:tr>
      <w:tr w:rsidR="00C61FF5" w:rsidRPr="00661595" w:rsidTr="00672D2A">
        <w:tc>
          <w:tcPr>
            <w:tcW w:w="1608" w:type="dxa"/>
            <w:tcBorders>
              <w:top w:val="single" w:sz="4" w:space="0" w:color="auto"/>
              <w:left w:val="single" w:sz="4" w:space="0" w:color="auto"/>
              <w:bottom w:val="single" w:sz="4" w:space="0" w:color="auto"/>
              <w:right w:val="single" w:sz="4" w:space="0" w:color="auto"/>
            </w:tcBorders>
          </w:tcPr>
          <w:p w:rsidR="00C61FF5" w:rsidRPr="00661595" w:rsidRDefault="00C61FF5" w:rsidP="00C61FF5">
            <w:pPr>
              <w:rPr>
                <w:rStyle w:val="InstructionsTabelleText"/>
                <w:rFonts w:ascii="Times New Roman" w:hAnsi="Times New Roman"/>
                <w:sz w:val="24"/>
              </w:rPr>
            </w:pPr>
            <w:r w:rsidRPr="00661595">
              <w:rPr>
                <w:rStyle w:val="InstructionsTabelleText"/>
                <w:rFonts w:ascii="Times New Roman" w:hAnsi="Times New Roman"/>
                <w:sz w:val="24"/>
              </w:rPr>
              <w:t>CR EQU IRB 2</w:t>
            </w:r>
          </w:p>
          <w:p w:rsidR="00745369" w:rsidRPr="00661595" w:rsidRDefault="00745369" w:rsidP="00EA0BAB">
            <w:pPr>
              <w:spacing w:beforeLines="60" w:before="144" w:afterLines="60" w:after="144"/>
              <w:rPr>
                <w:rStyle w:val="InstructionsTabelleText"/>
                <w:rFonts w:ascii="Times New Roman" w:hAnsi="Times New Roman"/>
                <w:sz w:val="24"/>
              </w:rPr>
            </w:pPr>
          </w:p>
        </w:tc>
        <w:tc>
          <w:tcPr>
            <w:tcW w:w="7916" w:type="dxa"/>
            <w:tcBorders>
              <w:top w:val="single" w:sz="4" w:space="0" w:color="auto"/>
              <w:left w:val="single" w:sz="4" w:space="0" w:color="auto"/>
              <w:bottom w:val="single" w:sz="4" w:space="0" w:color="auto"/>
              <w:right w:val="single" w:sz="4" w:space="0" w:color="auto"/>
            </w:tcBorders>
          </w:tcPr>
          <w:p w:rsidR="00745369" w:rsidRPr="00661595" w:rsidRDefault="00C61FF5" w:rsidP="00450A2E">
            <w:pPr>
              <w:keepNext/>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BREAKDOWN OF TOTAL EXPOSURES UNDER THE PD/LGD APRROACH BY OBLIGOR GRADES:</w:t>
            </w:r>
          </w:p>
          <w:p w:rsidR="00745369" w:rsidRPr="00661595" w:rsidRDefault="00C61FF5" w:rsidP="00450A2E">
            <w:pPr>
              <w:keepNext/>
              <w:spacing w:beforeLines="60" w:before="144" w:afterLines="60" w:after="144"/>
              <w:rPr>
                <w:rStyle w:val="InstructionsTabelleText"/>
                <w:rFonts w:ascii="Times New Roman" w:hAnsi="Times New Roman"/>
                <w:sz w:val="24"/>
              </w:rPr>
            </w:pPr>
            <w:r w:rsidRPr="00661595">
              <w:rPr>
                <w:rStyle w:val="InstructionsTabelleText"/>
                <w:rFonts w:ascii="Times New Roman" w:hAnsi="Times New Roman"/>
                <w:sz w:val="24"/>
              </w:rPr>
              <w:t xml:space="preserve">Institutions applying the </w:t>
            </w:r>
            <w:r w:rsidRPr="00661595">
              <w:rPr>
                <w:rStyle w:val="InstructionsTabelleText"/>
                <w:rFonts w:ascii="Times New Roman" w:hAnsi="Times New Roman"/>
                <w:sz w:val="24"/>
                <w:lang w:eastAsia="de-DE"/>
              </w:rPr>
              <w:t xml:space="preserve">PD/LGD approach (Article 155(3) </w:t>
            </w:r>
            <w:r w:rsidR="00C7103D" w:rsidRPr="00661595">
              <w:rPr>
                <w:rStyle w:val="InstructionsTabelleText"/>
                <w:rFonts w:ascii="Times New Roman" w:hAnsi="Times New Roman"/>
                <w:sz w:val="24"/>
                <w:lang w:eastAsia="de-DE"/>
              </w:rPr>
              <w:t>CRR</w:t>
            </w:r>
            <w:r w:rsidRPr="00661595">
              <w:rPr>
                <w:rStyle w:val="InstructionsTabelleText"/>
                <w:rFonts w:ascii="Times New Roman" w:hAnsi="Times New Roman"/>
                <w:sz w:val="24"/>
                <w:lang w:eastAsia="de-DE"/>
              </w:rPr>
              <w:t>)</w:t>
            </w:r>
            <w:r w:rsidR="00AA7658" w:rsidRPr="00661595">
              <w:rPr>
                <w:rStyle w:val="InstructionsTabelleText"/>
                <w:rFonts w:ascii="Times New Roman" w:hAnsi="Times New Roman"/>
                <w:sz w:val="24"/>
                <w:lang w:eastAsia="de-DE"/>
              </w:rPr>
              <w:t xml:space="preserve"> shall </w:t>
            </w:r>
            <w:r w:rsidRPr="00661595">
              <w:rPr>
                <w:rStyle w:val="InstructionsTabelleText"/>
                <w:rFonts w:ascii="Times New Roman" w:hAnsi="Times New Roman"/>
                <w:sz w:val="24"/>
              </w:rPr>
              <w:t>report the</w:t>
            </w:r>
            <w:r w:rsidR="00AA7658" w:rsidRPr="00661595">
              <w:rPr>
                <w:rStyle w:val="InstructionsTabelleText"/>
                <w:rFonts w:ascii="Times New Roman" w:hAnsi="Times New Roman"/>
                <w:sz w:val="24"/>
              </w:rPr>
              <w:t xml:space="preserve"> required </w:t>
            </w:r>
            <w:r w:rsidRPr="00661595">
              <w:rPr>
                <w:rStyle w:val="InstructionsTabelleText"/>
                <w:rFonts w:ascii="Times New Roman" w:hAnsi="Times New Roman"/>
                <w:sz w:val="24"/>
              </w:rPr>
              <w:t>information in the CR EQU IRB 2 template.</w:t>
            </w:r>
          </w:p>
          <w:p w:rsidR="00C61FF5" w:rsidRPr="00661595" w:rsidRDefault="00D021AF" w:rsidP="00C61FF5">
            <w:pPr>
              <w:rPr>
                <w:rStyle w:val="InstructionsTabelleberschrift"/>
                <w:rFonts w:ascii="Times New Roman" w:hAnsi="Times New Roman"/>
                <w:b w:val="0"/>
                <w:bCs w:val="0"/>
                <w:sz w:val="24"/>
                <w:u w:val="none"/>
              </w:rPr>
            </w:pPr>
            <w:r w:rsidRPr="00661595">
              <w:rPr>
                <w:rStyle w:val="InstructionsTabelleText"/>
                <w:rFonts w:ascii="Times New Roman" w:hAnsi="Times New Roman"/>
                <w:sz w:val="24"/>
              </w:rPr>
              <w:t>I</w:t>
            </w:r>
            <w:r w:rsidR="00C61FF5" w:rsidRPr="00661595">
              <w:rPr>
                <w:rStyle w:val="InstructionsTabelleText"/>
                <w:rFonts w:ascii="Times New Roman" w:hAnsi="Times New Roman"/>
                <w:sz w:val="24"/>
              </w:rPr>
              <w:t xml:space="preserve">nstitutions using the </w:t>
            </w:r>
            <w:r w:rsidR="00C61FF5" w:rsidRPr="00661595">
              <w:rPr>
                <w:rStyle w:val="InstructionsTabelleText"/>
                <w:rFonts w:ascii="Times New Roman" w:hAnsi="Times New Roman"/>
                <w:sz w:val="24"/>
                <w:lang w:eastAsia="de-DE"/>
              </w:rPr>
              <w:t xml:space="preserve">PD/LGD approach </w:t>
            </w:r>
            <w:r w:rsidRPr="00661595">
              <w:rPr>
                <w:rStyle w:val="InstructionsTabelleText"/>
                <w:rFonts w:ascii="Times New Roman" w:hAnsi="Times New Roman"/>
                <w:sz w:val="24"/>
                <w:lang w:eastAsia="de-DE"/>
              </w:rPr>
              <w:t xml:space="preserve">that </w:t>
            </w:r>
            <w:r w:rsidR="00C61FF5" w:rsidRPr="00661595">
              <w:rPr>
                <w:rStyle w:val="InstructionsTabelleText"/>
                <w:rFonts w:ascii="Times New Roman" w:hAnsi="Times New Roman"/>
                <w:sz w:val="24"/>
              </w:rPr>
              <w:t xml:space="preserve">apply a unique </w:t>
            </w:r>
            <w:r w:rsidR="009A4399" w:rsidRPr="00661595">
              <w:rPr>
                <w:rStyle w:val="InstructionsTabelleText"/>
                <w:rFonts w:ascii="Times New Roman" w:hAnsi="Times New Roman"/>
                <w:sz w:val="24"/>
              </w:rPr>
              <w:t>rating scale</w:t>
            </w:r>
            <w:r w:rsidR="00C61FF5" w:rsidRPr="00661595">
              <w:rPr>
                <w:rStyle w:val="InstructionsTabelleText"/>
                <w:rFonts w:ascii="Times New Roman" w:hAnsi="Times New Roman"/>
                <w:sz w:val="24"/>
              </w:rPr>
              <w:t xml:space="preserve"> or </w:t>
            </w:r>
            <w:r w:rsidRPr="00661595">
              <w:rPr>
                <w:rStyle w:val="InstructionsTabelleText"/>
                <w:rFonts w:ascii="Times New Roman" w:hAnsi="Times New Roman"/>
                <w:sz w:val="24"/>
              </w:rPr>
              <w:t xml:space="preserve">that </w:t>
            </w:r>
            <w:r w:rsidR="00C61FF5" w:rsidRPr="00661595">
              <w:rPr>
                <w:rStyle w:val="InstructionsTabelleText"/>
                <w:rFonts w:ascii="Times New Roman" w:hAnsi="Times New Roman"/>
                <w:sz w:val="24"/>
              </w:rPr>
              <w:t xml:space="preserve">are able to report </w:t>
            </w:r>
            <w:r w:rsidR="00BB22D4" w:rsidRPr="00661595">
              <w:rPr>
                <w:rStyle w:val="InstructionsTabelleText"/>
                <w:rFonts w:ascii="Times New Roman" w:hAnsi="Times New Roman"/>
                <w:sz w:val="24"/>
              </w:rPr>
              <w:t>in accordance with</w:t>
            </w:r>
            <w:r w:rsidR="00C61FF5" w:rsidRPr="00661595">
              <w:rPr>
                <w:rStyle w:val="InstructionsTabelleText"/>
                <w:rFonts w:ascii="Times New Roman" w:hAnsi="Times New Roman"/>
                <w:sz w:val="24"/>
              </w:rPr>
              <w:t xml:space="preserve"> an internal master scale </w:t>
            </w:r>
            <w:r w:rsidRPr="00661595">
              <w:rPr>
                <w:rStyle w:val="InstructionsTabelleText"/>
                <w:rFonts w:ascii="Times New Roman" w:hAnsi="Times New Roman"/>
                <w:sz w:val="24"/>
              </w:rPr>
              <w:t xml:space="preserve">shall </w:t>
            </w:r>
            <w:r w:rsidR="00C61FF5" w:rsidRPr="00661595">
              <w:rPr>
                <w:rStyle w:val="InstructionsTabelleText"/>
                <w:rFonts w:ascii="Times New Roman" w:hAnsi="Times New Roman"/>
                <w:sz w:val="24"/>
              </w:rPr>
              <w:t xml:space="preserve">report in CR EQU IRB 2 the rating grades or pools associated to this unique </w:t>
            </w:r>
            <w:r w:rsidR="009A4399" w:rsidRPr="00661595">
              <w:rPr>
                <w:rStyle w:val="InstructionsTabelleText"/>
                <w:rFonts w:ascii="Times New Roman" w:hAnsi="Times New Roman"/>
                <w:sz w:val="24"/>
              </w:rPr>
              <w:t>rating scale</w:t>
            </w:r>
            <w:r w:rsidR="00C61FF5" w:rsidRPr="00661595">
              <w:rPr>
                <w:rStyle w:val="InstructionsTabelleText"/>
                <w:rFonts w:ascii="Times New Roman" w:hAnsi="Times New Roman"/>
                <w:sz w:val="24"/>
              </w:rPr>
              <w:t>/master</w:t>
            </w:r>
            <w:r w:rsidRPr="00661595">
              <w:rPr>
                <w:rStyle w:val="InstructionsTabelleText"/>
                <w:rFonts w:ascii="Times New Roman" w:hAnsi="Times New Roman"/>
                <w:sz w:val="24"/>
              </w:rPr>
              <w:t xml:space="preserve"> </w:t>
            </w:r>
            <w:r w:rsidR="00C61FF5" w:rsidRPr="00661595">
              <w:rPr>
                <w:rStyle w:val="InstructionsTabelleText"/>
                <w:rFonts w:ascii="Times New Roman" w:hAnsi="Times New Roman"/>
                <w:sz w:val="24"/>
              </w:rPr>
              <w:t xml:space="preserve">scale. In any other case, the different </w:t>
            </w:r>
            <w:r w:rsidR="009A4399" w:rsidRPr="00661595">
              <w:rPr>
                <w:rStyle w:val="InstructionsTabelleText"/>
                <w:rFonts w:ascii="Times New Roman" w:hAnsi="Times New Roman"/>
                <w:sz w:val="24"/>
              </w:rPr>
              <w:t>rating scale</w:t>
            </w:r>
            <w:r w:rsidR="00C61FF5" w:rsidRPr="00661595">
              <w:rPr>
                <w:rStyle w:val="InstructionsTabelleText"/>
                <w:rFonts w:ascii="Times New Roman" w:hAnsi="Times New Roman"/>
                <w:sz w:val="24"/>
              </w:rPr>
              <w:t xml:space="preserve">s shall be merged and ordered </w:t>
            </w:r>
            <w:r w:rsidR="00BB22D4" w:rsidRPr="00661595">
              <w:rPr>
                <w:rStyle w:val="InstructionsTabelleText"/>
                <w:rFonts w:ascii="Times New Roman" w:hAnsi="Times New Roman"/>
                <w:sz w:val="24"/>
              </w:rPr>
              <w:t>in accordance with</w:t>
            </w:r>
            <w:r w:rsidR="00C61FF5" w:rsidRPr="00661595">
              <w:rPr>
                <w:rStyle w:val="InstructionsTabelleText"/>
                <w:rFonts w:ascii="Times New Roman" w:hAnsi="Times New Roman"/>
                <w:sz w:val="24"/>
              </w:rPr>
              <w:t xml:space="preserve"> the following criteria: Obligor grades or pools of the different </w:t>
            </w:r>
            <w:r w:rsidR="009A4399" w:rsidRPr="00661595">
              <w:rPr>
                <w:rStyle w:val="InstructionsTabelleText"/>
                <w:rFonts w:ascii="Times New Roman" w:hAnsi="Times New Roman"/>
                <w:sz w:val="24"/>
              </w:rPr>
              <w:t>rating scale</w:t>
            </w:r>
            <w:r w:rsidR="00C61FF5" w:rsidRPr="00661595">
              <w:rPr>
                <w:rStyle w:val="InstructionsTabelleText"/>
                <w:rFonts w:ascii="Times New Roman" w:hAnsi="Times New Roman"/>
                <w:sz w:val="24"/>
              </w:rPr>
              <w:t>s shall be pooled together and ordered from the lower PD assigned to each obligor grade or pool to the higher.</w:t>
            </w:r>
          </w:p>
        </w:tc>
      </w:tr>
    </w:tbl>
    <w:p w:rsidR="00633DEB" w:rsidRPr="00661595" w:rsidRDefault="00633DEB">
      <w:pPr>
        <w:spacing w:before="0" w:after="0"/>
        <w:jc w:val="left"/>
        <w:rPr>
          <w:rStyle w:val="InstructionsTabelleText"/>
          <w:rFonts w:ascii="Times New Roman" w:hAnsi="Times New Roman"/>
          <w:sz w:val="24"/>
        </w:rPr>
      </w:pPr>
    </w:p>
    <w:p w:rsidR="00612780"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398" w:name="_Toc310415035"/>
      <w:bookmarkStart w:id="399" w:name="_Toc360188372"/>
      <w:bookmarkStart w:id="400" w:name="_Toc473560923"/>
      <w:bookmarkStart w:id="401" w:name="_Toc57831580"/>
      <w:r w:rsidRPr="00661595">
        <w:rPr>
          <w:rFonts w:ascii="Times New Roman" w:hAnsi="Times New Roman" w:cs="Times New Roman"/>
          <w:sz w:val="24"/>
          <w:u w:val="none"/>
          <w:lang w:val="en-GB"/>
        </w:rPr>
        <w:t>3.6.</w:t>
      </w:r>
      <w:r w:rsidRPr="00661595">
        <w:rPr>
          <w:rFonts w:ascii="Times New Roman" w:hAnsi="Times New Roman" w:cs="Times New Roman"/>
          <w:sz w:val="24"/>
          <w:u w:val="none"/>
          <w:lang w:val="en-GB"/>
        </w:rPr>
        <w:tab/>
      </w:r>
      <w:r w:rsidR="009769DE" w:rsidRPr="00661595">
        <w:rPr>
          <w:rFonts w:ascii="Times New Roman" w:hAnsi="Times New Roman" w:cs="Times New Roman"/>
          <w:sz w:val="24"/>
          <w:lang w:val="en-GB"/>
        </w:rPr>
        <w:t xml:space="preserve">C 11.00 </w:t>
      </w:r>
      <w:r w:rsidR="00612780" w:rsidRPr="00661595">
        <w:rPr>
          <w:rFonts w:ascii="Times New Roman" w:hAnsi="Times New Roman" w:cs="Times New Roman"/>
          <w:sz w:val="24"/>
          <w:lang w:val="en-GB"/>
        </w:rPr>
        <w:t>– Settlement/Delivery Risk</w:t>
      </w:r>
      <w:bookmarkEnd w:id="398"/>
      <w:bookmarkEnd w:id="399"/>
      <w:r w:rsidR="00612780" w:rsidRPr="00661595">
        <w:rPr>
          <w:rFonts w:ascii="Times New Roman" w:hAnsi="Times New Roman" w:cs="Times New Roman"/>
          <w:sz w:val="24"/>
          <w:lang w:val="en-GB"/>
        </w:rPr>
        <w:t xml:space="preserve"> </w:t>
      </w:r>
      <w:r w:rsidR="009769DE" w:rsidRPr="00661595">
        <w:rPr>
          <w:rFonts w:ascii="Times New Roman" w:hAnsi="Times New Roman" w:cs="Times New Roman"/>
          <w:sz w:val="24"/>
          <w:lang w:val="en-GB"/>
        </w:rPr>
        <w:t>(CR SETT)</w:t>
      </w:r>
      <w:bookmarkEnd w:id="400"/>
      <w:bookmarkEnd w:id="401"/>
    </w:p>
    <w:p w:rsidR="00612780"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402" w:name="_Toc262568045"/>
      <w:bookmarkStart w:id="403" w:name="_Toc295829924"/>
      <w:bookmarkStart w:id="404" w:name="_Toc310415036"/>
      <w:bookmarkStart w:id="405" w:name="_Toc360188373"/>
      <w:bookmarkStart w:id="406" w:name="_Toc473560924"/>
      <w:bookmarkStart w:id="407" w:name="_Toc57831581"/>
      <w:r w:rsidRPr="00661595">
        <w:rPr>
          <w:rFonts w:ascii="Times New Roman" w:hAnsi="Times New Roman" w:cs="Times New Roman"/>
          <w:sz w:val="24"/>
          <w:u w:val="none"/>
          <w:lang w:val="en-GB"/>
        </w:rPr>
        <w:t>3.6.1.</w:t>
      </w:r>
      <w:r w:rsidRPr="00661595">
        <w:rPr>
          <w:rFonts w:ascii="Times New Roman" w:hAnsi="Times New Roman" w:cs="Times New Roman"/>
          <w:sz w:val="24"/>
          <w:u w:val="none"/>
          <w:lang w:val="en-GB"/>
        </w:rPr>
        <w:tab/>
      </w:r>
      <w:r w:rsidR="00612780" w:rsidRPr="00661595">
        <w:rPr>
          <w:rFonts w:ascii="Times New Roman" w:hAnsi="Times New Roman" w:cs="Times New Roman"/>
          <w:sz w:val="24"/>
          <w:lang w:val="en-GB"/>
        </w:rPr>
        <w:t>General remarks</w:t>
      </w:r>
      <w:bookmarkEnd w:id="402"/>
      <w:bookmarkEnd w:id="403"/>
      <w:bookmarkEnd w:id="404"/>
      <w:bookmarkEnd w:id="405"/>
      <w:bookmarkEnd w:id="406"/>
      <w:bookmarkEnd w:id="407"/>
    </w:p>
    <w:p w:rsidR="00612780" w:rsidRPr="00661595" w:rsidRDefault="00D11E4C" w:rsidP="00487A02">
      <w:pPr>
        <w:pStyle w:val="InstructionsText2"/>
        <w:numPr>
          <w:ilvl w:val="0"/>
          <w:numId w:val="0"/>
        </w:numPr>
        <w:ind w:left="1353" w:hanging="360"/>
      </w:pPr>
      <w:fldSimple w:instr=" seq paragraphs ">
        <w:r w:rsidR="00771068">
          <w:rPr>
            <w:noProof/>
          </w:rPr>
          <w:t>99</w:t>
        </w:r>
      </w:fldSimple>
      <w:r w:rsidR="00125707" w:rsidRPr="00661595">
        <w:t>.</w:t>
      </w:r>
      <w:r w:rsidR="00125707" w:rsidRPr="00661595">
        <w:tab/>
      </w:r>
      <w:r w:rsidR="00612780" w:rsidRPr="00661595">
        <w:t xml:space="preserve">This template requests information on both trading and non-trading book transactions which are unsettled after their due delivery dates, and their corresponding own funds requirements for settlement risk </w:t>
      </w:r>
      <w:r w:rsidR="00D021AF" w:rsidRPr="00661595">
        <w:t xml:space="preserve">as referred to </w:t>
      </w:r>
      <w:r w:rsidR="00BB22D4" w:rsidRPr="00661595">
        <w:t xml:space="preserve">in </w:t>
      </w:r>
      <w:r w:rsidR="00133396" w:rsidRPr="00661595">
        <w:t>point (c)</w:t>
      </w:r>
      <w:r w:rsidR="00242134" w:rsidRPr="00661595">
        <w:t>(ii)</w:t>
      </w:r>
      <w:r w:rsidR="00133396" w:rsidRPr="00661595">
        <w:t xml:space="preserve"> of Article </w:t>
      </w:r>
      <w:r w:rsidR="00612780" w:rsidRPr="00661595">
        <w:t xml:space="preserve">92(3) and </w:t>
      </w:r>
      <w:r w:rsidR="00133396" w:rsidRPr="00661595">
        <w:t xml:space="preserve">Article </w:t>
      </w:r>
      <w:r w:rsidR="00612780" w:rsidRPr="00661595">
        <w:t xml:space="preserve">378 </w:t>
      </w:r>
      <w:r w:rsidR="00C7103D" w:rsidRPr="00661595">
        <w:t>CRR</w:t>
      </w:r>
      <w:r w:rsidR="00612780" w:rsidRPr="00661595">
        <w:t xml:space="preserve">. </w:t>
      </w:r>
    </w:p>
    <w:p w:rsidR="00612780" w:rsidRPr="00661595" w:rsidRDefault="00D11E4C" w:rsidP="00487A02">
      <w:pPr>
        <w:pStyle w:val="InstructionsText2"/>
        <w:numPr>
          <w:ilvl w:val="0"/>
          <w:numId w:val="0"/>
        </w:numPr>
        <w:ind w:left="1353" w:hanging="360"/>
      </w:pPr>
      <w:fldSimple w:instr=" seq paragraphs ">
        <w:r w:rsidR="00771068">
          <w:rPr>
            <w:noProof/>
          </w:rPr>
          <w:t>100</w:t>
        </w:r>
      </w:fldSimple>
      <w:r w:rsidR="00125707" w:rsidRPr="00661595">
        <w:t>.</w:t>
      </w:r>
      <w:r w:rsidR="00125707" w:rsidRPr="00661595">
        <w:tab/>
      </w:r>
      <w:r w:rsidR="00612780" w:rsidRPr="00661595">
        <w:t xml:space="preserve">Institutions </w:t>
      </w:r>
      <w:r w:rsidR="00133396" w:rsidRPr="00661595">
        <w:t xml:space="preserve">shall </w:t>
      </w:r>
      <w:r w:rsidR="00612780" w:rsidRPr="00661595">
        <w:t xml:space="preserve">report in the CR SETT template information on the settlement/delivery risk in connection with debt instruments, equities, foreign currencies and commodities held in their trading or non-trading book. </w:t>
      </w:r>
    </w:p>
    <w:p w:rsidR="00612780" w:rsidRPr="00661595" w:rsidRDefault="00D11E4C" w:rsidP="00487A02">
      <w:pPr>
        <w:pStyle w:val="InstructionsText2"/>
        <w:numPr>
          <w:ilvl w:val="0"/>
          <w:numId w:val="0"/>
        </w:numPr>
        <w:ind w:left="1353" w:hanging="360"/>
      </w:pPr>
      <w:fldSimple w:instr=" seq paragraphs ">
        <w:r w:rsidR="00771068">
          <w:rPr>
            <w:noProof/>
          </w:rPr>
          <w:t>101</w:t>
        </w:r>
      </w:fldSimple>
      <w:r w:rsidR="00125707" w:rsidRPr="00661595">
        <w:t>.</w:t>
      </w:r>
      <w:r w:rsidR="00125707" w:rsidRPr="00661595">
        <w:tab/>
      </w:r>
      <w:r w:rsidR="00BB22D4" w:rsidRPr="00661595">
        <w:t>In accordance with</w:t>
      </w:r>
      <w:r w:rsidR="00612780" w:rsidRPr="00661595">
        <w:t xml:space="preserve"> Article 378 </w:t>
      </w:r>
      <w:r w:rsidR="00C7103D" w:rsidRPr="00661595">
        <w:t>CRR</w:t>
      </w:r>
      <w:r w:rsidR="00612780" w:rsidRPr="00661595">
        <w:t xml:space="preserve">, repurchase transactions, securities or commodities lending and securities or commodities borrowing in connection with debt instruments, equities, foreign currencies and commodities are not subject to </w:t>
      </w:r>
      <w:r w:rsidR="00A16FFF" w:rsidRPr="00661595">
        <w:t xml:space="preserve">own funds requirements for </w:t>
      </w:r>
      <w:r w:rsidR="00612780" w:rsidRPr="00661595">
        <w:t xml:space="preserve">settlement/delivery risk. Note however that, derivatives and long settlement transactions unsettled after their due delivery dates </w:t>
      </w:r>
      <w:r w:rsidR="006C4A8F" w:rsidRPr="00661595">
        <w:t>shall</w:t>
      </w:r>
      <w:r w:rsidR="00612780" w:rsidRPr="00661595">
        <w:t xml:space="preserve"> nevertheless </w:t>
      </w:r>
      <w:r w:rsidR="006C4A8F" w:rsidRPr="00661595">
        <w:t xml:space="preserve">be </w:t>
      </w:r>
      <w:r w:rsidR="00612780" w:rsidRPr="00661595">
        <w:t xml:space="preserve">subject to own funds requirements for settlement/delivery risk as determined in Article 378 </w:t>
      </w:r>
      <w:r w:rsidR="00C7103D" w:rsidRPr="00661595">
        <w:t>CRR</w:t>
      </w:r>
      <w:r w:rsidR="00612780" w:rsidRPr="00661595">
        <w:t>.</w:t>
      </w:r>
    </w:p>
    <w:p w:rsidR="00612780" w:rsidRPr="00661595" w:rsidRDefault="00D11E4C" w:rsidP="00487A02">
      <w:pPr>
        <w:pStyle w:val="InstructionsText2"/>
        <w:numPr>
          <w:ilvl w:val="0"/>
          <w:numId w:val="0"/>
        </w:numPr>
        <w:ind w:left="1353" w:hanging="360"/>
      </w:pPr>
      <w:fldSimple w:instr=" seq paragraphs ">
        <w:r w:rsidR="00771068">
          <w:rPr>
            <w:noProof/>
          </w:rPr>
          <w:t>102</w:t>
        </w:r>
      </w:fldSimple>
      <w:r w:rsidR="00125707" w:rsidRPr="00661595">
        <w:t>.</w:t>
      </w:r>
      <w:r w:rsidR="00125707" w:rsidRPr="00661595">
        <w:tab/>
      </w:r>
      <w:r w:rsidR="00612780" w:rsidRPr="00661595">
        <w:t xml:space="preserve">In case of unsettled transactions after the due delivery date, institutions </w:t>
      </w:r>
      <w:r w:rsidR="00133396" w:rsidRPr="00661595">
        <w:t xml:space="preserve">shall </w:t>
      </w:r>
      <w:r w:rsidR="00612780" w:rsidRPr="00661595">
        <w:t>calculate the price difference to which they are exposed. Th</w:t>
      </w:r>
      <w:r w:rsidR="00D021AF" w:rsidRPr="00661595">
        <w:t>at</w:t>
      </w:r>
      <w:r w:rsidR="00612780" w:rsidRPr="00661595">
        <w:t xml:space="preserve"> is the difference between the agreed settlement price for the debt instrument, equity, foreign currency or commodity in question and its current market value, where the difference could involve a loss for the institution. </w:t>
      </w:r>
    </w:p>
    <w:p w:rsidR="00612780" w:rsidRPr="00661595" w:rsidRDefault="00D11E4C" w:rsidP="00487A02">
      <w:pPr>
        <w:pStyle w:val="InstructionsText2"/>
        <w:numPr>
          <w:ilvl w:val="0"/>
          <w:numId w:val="0"/>
        </w:numPr>
        <w:ind w:left="1353" w:hanging="360"/>
      </w:pPr>
      <w:fldSimple w:instr=" seq paragraphs ">
        <w:r w:rsidR="00771068">
          <w:rPr>
            <w:noProof/>
          </w:rPr>
          <w:t>103</w:t>
        </w:r>
      </w:fldSimple>
      <w:r w:rsidR="00125707" w:rsidRPr="00661595">
        <w:t>.</w:t>
      </w:r>
      <w:r w:rsidR="00125707" w:rsidRPr="00661595">
        <w:tab/>
      </w:r>
      <w:r w:rsidR="00612780" w:rsidRPr="00661595">
        <w:t xml:space="preserve">Institutions </w:t>
      </w:r>
      <w:r w:rsidR="00133396" w:rsidRPr="00661595">
        <w:t xml:space="preserve">shall </w:t>
      </w:r>
      <w:r w:rsidR="00612780" w:rsidRPr="00661595">
        <w:t>multiply th</w:t>
      </w:r>
      <w:r w:rsidR="00D021AF" w:rsidRPr="00661595">
        <w:t>at</w:t>
      </w:r>
      <w:r w:rsidR="00612780" w:rsidRPr="00661595">
        <w:t xml:space="preserve"> difference by the appropriate factor of Table 1 of Article 378 </w:t>
      </w:r>
      <w:r w:rsidR="00C7103D" w:rsidRPr="00661595">
        <w:t>CRR</w:t>
      </w:r>
      <w:r w:rsidR="00612780" w:rsidRPr="00661595">
        <w:t xml:space="preserve"> to determine the corresponding own funds requirements.</w:t>
      </w:r>
    </w:p>
    <w:p w:rsidR="00612780" w:rsidRPr="00661595" w:rsidRDefault="00D11E4C" w:rsidP="00487A02">
      <w:pPr>
        <w:pStyle w:val="InstructionsText2"/>
        <w:numPr>
          <w:ilvl w:val="0"/>
          <w:numId w:val="0"/>
        </w:numPr>
        <w:ind w:left="1353" w:hanging="360"/>
      </w:pPr>
      <w:fldSimple w:instr=" seq paragraphs ">
        <w:r w:rsidR="00771068">
          <w:rPr>
            <w:noProof/>
          </w:rPr>
          <w:t>104</w:t>
        </w:r>
      </w:fldSimple>
      <w:r w:rsidR="00125707" w:rsidRPr="00661595">
        <w:t>.</w:t>
      </w:r>
      <w:r w:rsidR="00125707" w:rsidRPr="00661595">
        <w:tab/>
      </w:r>
      <w:r w:rsidR="00BB22D4" w:rsidRPr="00661595">
        <w:t>In accordance with</w:t>
      </w:r>
      <w:r w:rsidR="00612780" w:rsidRPr="00661595">
        <w:t xml:space="preserve"> </w:t>
      </w:r>
      <w:r w:rsidR="00D021AF" w:rsidRPr="00661595">
        <w:t xml:space="preserve">point (b) of </w:t>
      </w:r>
      <w:r w:rsidR="00612780" w:rsidRPr="00661595">
        <w:t>Article 92(4)</w:t>
      </w:r>
      <w:r w:rsidR="00D021AF" w:rsidRPr="00661595">
        <w:t xml:space="preserve"> CRR</w:t>
      </w:r>
      <w:r w:rsidR="00612780" w:rsidRPr="00661595">
        <w:t>, the own funds requirements for settlement/delivery risk shall be multiplied by 12</w:t>
      </w:r>
      <w:r w:rsidR="00D021AF" w:rsidRPr="00661595">
        <w:t>,</w:t>
      </w:r>
      <w:r w:rsidR="00612780" w:rsidRPr="00661595">
        <w:t>5 to calculate the risk exposure amount.</w:t>
      </w:r>
    </w:p>
    <w:p w:rsidR="00612780" w:rsidRPr="00661595" w:rsidRDefault="00D11E4C" w:rsidP="00487A02">
      <w:pPr>
        <w:pStyle w:val="InstructionsText2"/>
        <w:numPr>
          <w:ilvl w:val="0"/>
          <w:numId w:val="0"/>
        </w:numPr>
        <w:ind w:left="1353" w:hanging="360"/>
      </w:pPr>
      <w:fldSimple w:instr=" seq paragraphs ">
        <w:r w:rsidR="00771068">
          <w:rPr>
            <w:noProof/>
          </w:rPr>
          <w:t>105</w:t>
        </w:r>
      </w:fldSimple>
      <w:r w:rsidR="00125707" w:rsidRPr="00661595">
        <w:t>.</w:t>
      </w:r>
      <w:r w:rsidR="00125707" w:rsidRPr="00661595">
        <w:tab/>
      </w:r>
      <w:r w:rsidR="00612780" w:rsidRPr="00661595">
        <w:t xml:space="preserve">Note that own funds requirements for free deliveries as laid down in Article 379 </w:t>
      </w:r>
      <w:r w:rsidR="00C7103D" w:rsidRPr="00661595">
        <w:t>CRR</w:t>
      </w:r>
      <w:r w:rsidR="00612780" w:rsidRPr="00661595">
        <w:t xml:space="preserve"> are not within the scope of the CR SETT template</w:t>
      </w:r>
      <w:r w:rsidR="00D021AF" w:rsidRPr="00661595">
        <w:t>.</w:t>
      </w:r>
      <w:r w:rsidR="00612780" w:rsidRPr="00661595">
        <w:t xml:space="preserve"> </w:t>
      </w:r>
      <w:r w:rsidR="00D021AF" w:rsidRPr="00661595">
        <w:t xml:space="preserve">Those own funds requirements </w:t>
      </w:r>
      <w:r w:rsidR="00612780" w:rsidRPr="00661595">
        <w:t xml:space="preserve"> shall be reported in the credit risk templates (CR SA, CR IRB).</w:t>
      </w:r>
    </w:p>
    <w:p w:rsidR="00612780"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408" w:name="_Toc310415037"/>
      <w:bookmarkStart w:id="409" w:name="_Toc360188374"/>
      <w:bookmarkStart w:id="410" w:name="_Toc473560925"/>
      <w:bookmarkStart w:id="411" w:name="_Toc57831582"/>
      <w:r w:rsidRPr="00661595">
        <w:rPr>
          <w:rFonts w:ascii="Times New Roman" w:hAnsi="Times New Roman" w:cs="Times New Roman"/>
          <w:sz w:val="24"/>
          <w:u w:val="none"/>
          <w:lang w:val="en-GB"/>
        </w:rPr>
        <w:t>3.6.2.</w:t>
      </w:r>
      <w:r w:rsidRPr="00661595">
        <w:rPr>
          <w:rFonts w:ascii="Times New Roman" w:hAnsi="Times New Roman" w:cs="Times New Roman"/>
          <w:sz w:val="24"/>
          <w:u w:val="none"/>
          <w:lang w:val="en-GB"/>
        </w:rPr>
        <w:tab/>
      </w:r>
      <w:r w:rsidR="00612780" w:rsidRPr="00661595">
        <w:rPr>
          <w:rFonts w:ascii="Times New Roman" w:hAnsi="Times New Roman" w:cs="Times New Roman"/>
          <w:sz w:val="24"/>
          <w:lang w:val="en-GB"/>
        </w:rPr>
        <w:t>Instructions concerning specific positions</w:t>
      </w:r>
      <w:bookmarkEnd w:id="408"/>
      <w:bookmarkEnd w:id="409"/>
      <w:bookmarkEnd w:id="410"/>
      <w:bookmarkEnd w:id="4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
        <w:gridCol w:w="8004"/>
      </w:tblGrid>
      <w:tr w:rsidR="00612780" w:rsidRPr="00661595" w:rsidTr="00672D2A">
        <w:tc>
          <w:tcPr>
            <w:tcW w:w="8856" w:type="dxa"/>
            <w:gridSpan w:val="2"/>
            <w:shd w:val="clear" w:color="auto" w:fill="CCCCCC"/>
          </w:tcPr>
          <w:p w:rsidR="00745369" w:rsidRPr="00661595" w:rsidRDefault="00612780" w:rsidP="00EA0BAB">
            <w:pPr>
              <w:spacing w:beforeLines="60" w:before="144" w:afterLines="60" w:after="144"/>
              <w:rPr>
                <w:rFonts w:ascii="Times New Roman" w:hAnsi="Times New Roman"/>
                <w:b/>
                <w:sz w:val="24"/>
              </w:rPr>
            </w:pPr>
            <w:r w:rsidRPr="00661595">
              <w:rPr>
                <w:rFonts w:ascii="Times New Roman" w:hAnsi="Times New Roman"/>
                <w:b/>
                <w:sz w:val="24"/>
              </w:rPr>
              <w:t>Columns</w:t>
            </w:r>
          </w:p>
        </w:tc>
      </w:tr>
      <w:tr w:rsidR="00612780" w:rsidRPr="00661595" w:rsidTr="00672D2A">
        <w:tc>
          <w:tcPr>
            <w:tcW w:w="852" w:type="dxa"/>
          </w:tcPr>
          <w:p w:rsidR="00745369" w:rsidRPr="00661595" w:rsidRDefault="00612780" w:rsidP="00EA0BAB">
            <w:pPr>
              <w:spacing w:beforeLines="60" w:before="144" w:afterLines="60" w:after="144"/>
              <w:rPr>
                <w:rFonts w:ascii="Times New Roman" w:hAnsi="Times New Roman"/>
                <w:sz w:val="24"/>
              </w:rPr>
            </w:pPr>
            <w:r w:rsidRPr="00661595">
              <w:rPr>
                <w:rFonts w:ascii="Times New Roman" w:hAnsi="Times New Roman"/>
                <w:sz w:val="24"/>
              </w:rPr>
              <w:t>0</w:t>
            </w:r>
            <w:r w:rsidR="006E0E76" w:rsidRPr="00661595">
              <w:rPr>
                <w:rFonts w:ascii="Times New Roman" w:hAnsi="Times New Roman"/>
                <w:sz w:val="24"/>
              </w:rPr>
              <w:t>0</w:t>
            </w:r>
            <w:r w:rsidRPr="00661595">
              <w:rPr>
                <w:rFonts w:ascii="Times New Roman" w:hAnsi="Times New Roman"/>
                <w:sz w:val="24"/>
              </w:rPr>
              <w:t>10</w:t>
            </w:r>
          </w:p>
        </w:tc>
        <w:tc>
          <w:tcPr>
            <w:tcW w:w="8004" w:type="dxa"/>
          </w:tcPr>
          <w:p w:rsidR="00745369" w:rsidRPr="00661595" w:rsidRDefault="00612780" w:rsidP="00450A2E">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UNSETTLED TRANSACTIONS AT SETTLEMENT PRICE</w:t>
            </w:r>
          </w:p>
          <w:p w:rsidR="00745369" w:rsidRPr="00661595" w:rsidRDefault="00A16FFF" w:rsidP="00450A2E">
            <w:pPr>
              <w:spacing w:beforeLines="60" w:before="144" w:afterLines="60" w:after="144"/>
              <w:rPr>
                <w:rFonts w:ascii="Times New Roman" w:hAnsi="Times New Roman"/>
                <w:sz w:val="24"/>
              </w:rPr>
            </w:pPr>
            <w:r w:rsidRPr="00661595">
              <w:rPr>
                <w:rFonts w:ascii="Times New Roman" w:hAnsi="Times New Roman"/>
                <w:sz w:val="24"/>
              </w:rPr>
              <w:t>I</w:t>
            </w:r>
            <w:r w:rsidR="00612780" w:rsidRPr="00661595">
              <w:rPr>
                <w:rFonts w:ascii="Times New Roman" w:hAnsi="Times New Roman"/>
                <w:sz w:val="24"/>
              </w:rPr>
              <w:t xml:space="preserve">nstitutions </w:t>
            </w:r>
            <w:r w:rsidR="00D021AF" w:rsidRPr="00661595">
              <w:rPr>
                <w:rFonts w:ascii="Times New Roman" w:hAnsi="Times New Roman"/>
                <w:sz w:val="24"/>
              </w:rPr>
              <w:t xml:space="preserve">shall </w:t>
            </w:r>
            <w:r w:rsidR="00612780" w:rsidRPr="00661595">
              <w:rPr>
                <w:rFonts w:ascii="Times New Roman" w:hAnsi="Times New Roman"/>
                <w:sz w:val="24"/>
              </w:rPr>
              <w:t>report the unsettled transactions after their due delivery date at the respective agreed settlement prices</w:t>
            </w:r>
            <w:r w:rsidRPr="00661595">
              <w:rPr>
                <w:rFonts w:ascii="Times New Roman" w:hAnsi="Times New Roman"/>
                <w:sz w:val="24"/>
              </w:rPr>
              <w:t xml:space="preserve"> as referred to in Article 378 CRR</w:t>
            </w:r>
            <w:r w:rsidR="00612780" w:rsidRPr="00661595">
              <w:rPr>
                <w:rFonts w:ascii="Times New Roman" w:hAnsi="Times New Roman"/>
                <w:sz w:val="24"/>
              </w:rPr>
              <w:t xml:space="preserve">. </w:t>
            </w:r>
          </w:p>
          <w:p w:rsidR="00745369" w:rsidRPr="00661595" w:rsidRDefault="00612780" w:rsidP="00302C3F">
            <w:pPr>
              <w:spacing w:beforeLines="60" w:before="144" w:afterLines="60" w:after="144"/>
              <w:rPr>
                <w:rFonts w:ascii="Times New Roman" w:hAnsi="Times New Roman"/>
                <w:sz w:val="24"/>
              </w:rPr>
            </w:pPr>
            <w:r w:rsidRPr="00661595">
              <w:rPr>
                <w:rFonts w:ascii="Times New Roman" w:hAnsi="Times New Roman"/>
                <w:sz w:val="24"/>
              </w:rPr>
              <w:t xml:space="preserve">All unsettled transactions </w:t>
            </w:r>
            <w:r w:rsidR="00C93697" w:rsidRPr="00661595">
              <w:rPr>
                <w:rFonts w:ascii="Times New Roman" w:hAnsi="Times New Roman"/>
                <w:sz w:val="24"/>
              </w:rPr>
              <w:t>shall</w:t>
            </w:r>
            <w:r w:rsidRPr="00661595">
              <w:rPr>
                <w:rFonts w:ascii="Times New Roman" w:hAnsi="Times New Roman"/>
                <w:sz w:val="24"/>
              </w:rPr>
              <w:t xml:space="preserve"> be included in this column, irrespective of whether or not they are at a gain or at a loss after the due settlement date.</w:t>
            </w:r>
          </w:p>
        </w:tc>
      </w:tr>
      <w:tr w:rsidR="00612780" w:rsidRPr="00661595" w:rsidTr="00672D2A">
        <w:tc>
          <w:tcPr>
            <w:tcW w:w="852" w:type="dxa"/>
          </w:tcPr>
          <w:p w:rsidR="00745369" w:rsidRPr="00661595" w:rsidRDefault="00612780" w:rsidP="00EA0BAB">
            <w:pPr>
              <w:spacing w:beforeLines="60" w:before="144" w:afterLines="60" w:after="144"/>
              <w:rPr>
                <w:rFonts w:ascii="Times New Roman" w:hAnsi="Times New Roman"/>
                <w:sz w:val="24"/>
              </w:rPr>
            </w:pPr>
            <w:r w:rsidRPr="00661595">
              <w:rPr>
                <w:rFonts w:ascii="Times New Roman" w:hAnsi="Times New Roman"/>
                <w:sz w:val="24"/>
              </w:rPr>
              <w:t>0</w:t>
            </w:r>
            <w:r w:rsidR="006E0E76" w:rsidRPr="00661595">
              <w:rPr>
                <w:rFonts w:ascii="Times New Roman" w:hAnsi="Times New Roman"/>
                <w:sz w:val="24"/>
              </w:rPr>
              <w:t>0</w:t>
            </w:r>
            <w:r w:rsidRPr="00661595">
              <w:rPr>
                <w:rFonts w:ascii="Times New Roman" w:hAnsi="Times New Roman"/>
                <w:sz w:val="24"/>
              </w:rPr>
              <w:t>20</w:t>
            </w:r>
          </w:p>
        </w:tc>
        <w:tc>
          <w:tcPr>
            <w:tcW w:w="8004" w:type="dxa"/>
          </w:tcPr>
          <w:p w:rsidR="00745369" w:rsidRPr="00661595" w:rsidRDefault="00612780" w:rsidP="00450A2E">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PRICE DIFFERENCE EXPOSURE DUE TO UNSETTLED TRANSACTIONS</w:t>
            </w:r>
          </w:p>
          <w:p w:rsidR="00745369" w:rsidRPr="00661595" w:rsidRDefault="00A16FFF" w:rsidP="00450A2E">
            <w:pPr>
              <w:spacing w:beforeLines="60" w:before="144" w:afterLines="60" w:after="144"/>
              <w:rPr>
                <w:rFonts w:ascii="Times New Roman" w:hAnsi="Times New Roman"/>
                <w:sz w:val="24"/>
              </w:rPr>
            </w:pPr>
            <w:r w:rsidRPr="00661595">
              <w:rPr>
                <w:rFonts w:ascii="Times New Roman" w:hAnsi="Times New Roman"/>
                <w:sz w:val="24"/>
              </w:rPr>
              <w:t>I</w:t>
            </w:r>
            <w:r w:rsidR="00612780" w:rsidRPr="00661595">
              <w:rPr>
                <w:rFonts w:ascii="Times New Roman" w:hAnsi="Times New Roman"/>
                <w:sz w:val="24"/>
              </w:rPr>
              <w:t xml:space="preserve">nstitutions </w:t>
            </w:r>
            <w:r w:rsidR="00D021AF" w:rsidRPr="00661595">
              <w:rPr>
                <w:rFonts w:ascii="Times New Roman" w:hAnsi="Times New Roman"/>
                <w:sz w:val="24"/>
              </w:rPr>
              <w:t xml:space="preserve">shall </w:t>
            </w:r>
            <w:r w:rsidR="00612780" w:rsidRPr="00661595">
              <w:rPr>
                <w:rFonts w:ascii="Times New Roman" w:hAnsi="Times New Roman"/>
                <w:sz w:val="24"/>
              </w:rPr>
              <w:t>report the price difference between the agreed settlement price and its current market value for the debt instrument, equity, foreign currency or commodity in question, where the difference could involve a loss for the institution</w:t>
            </w:r>
            <w:r w:rsidR="00302C3F" w:rsidRPr="00661595">
              <w:rPr>
                <w:rFonts w:ascii="Times New Roman" w:hAnsi="Times New Roman"/>
                <w:sz w:val="24"/>
              </w:rPr>
              <w:t>,</w:t>
            </w:r>
            <w:r w:rsidRPr="00661595">
              <w:rPr>
                <w:rFonts w:ascii="Times New Roman" w:hAnsi="Times New Roman"/>
                <w:sz w:val="24"/>
              </w:rPr>
              <w:t xml:space="preserve"> as referred to in Article 378 CRR</w:t>
            </w:r>
            <w:r w:rsidR="00612780" w:rsidRPr="00661595">
              <w:rPr>
                <w:rFonts w:ascii="Times New Roman" w:hAnsi="Times New Roman"/>
                <w:sz w:val="24"/>
              </w:rPr>
              <w:t xml:space="preserve">. </w:t>
            </w:r>
          </w:p>
          <w:p w:rsidR="00745369" w:rsidRPr="00661595" w:rsidRDefault="00612780" w:rsidP="00302C3F">
            <w:pPr>
              <w:spacing w:beforeLines="60" w:before="144" w:afterLines="60" w:after="144"/>
              <w:rPr>
                <w:rFonts w:ascii="Times New Roman" w:hAnsi="Times New Roman"/>
                <w:sz w:val="24"/>
              </w:rPr>
            </w:pPr>
            <w:r w:rsidRPr="00661595">
              <w:rPr>
                <w:rFonts w:ascii="Times New Roman" w:hAnsi="Times New Roman"/>
                <w:sz w:val="24"/>
              </w:rPr>
              <w:t xml:space="preserve">Only unsettled transactions at a loss after the due settlement date </w:t>
            </w:r>
            <w:r w:rsidR="00C93697" w:rsidRPr="00661595">
              <w:rPr>
                <w:rFonts w:ascii="Times New Roman" w:hAnsi="Times New Roman"/>
                <w:sz w:val="24"/>
              </w:rPr>
              <w:t>shall</w:t>
            </w:r>
            <w:r w:rsidRPr="00661595">
              <w:rPr>
                <w:rFonts w:ascii="Times New Roman" w:hAnsi="Times New Roman"/>
                <w:sz w:val="24"/>
              </w:rPr>
              <w:t xml:space="preserve"> be reported in </w:t>
            </w:r>
            <w:r w:rsidR="00302C3F" w:rsidRPr="00661595">
              <w:rPr>
                <w:rFonts w:ascii="Times New Roman" w:hAnsi="Times New Roman"/>
                <w:sz w:val="24"/>
              </w:rPr>
              <w:t xml:space="preserve">this </w:t>
            </w:r>
            <w:r w:rsidRPr="00661595">
              <w:rPr>
                <w:rFonts w:ascii="Times New Roman" w:hAnsi="Times New Roman"/>
                <w:sz w:val="24"/>
              </w:rPr>
              <w:t>column</w:t>
            </w:r>
            <w:r w:rsidR="00D021AF" w:rsidRPr="00661595">
              <w:rPr>
                <w:rFonts w:ascii="Times New Roman" w:hAnsi="Times New Roman"/>
                <w:sz w:val="24"/>
              </w:rPr>
              <w:t>.</w:t>
            </w:r>
          </w:p>
        </w:tc>
      </w:tr>
      <w:tr w:rsidR="00612780" w:rsidRPr="00661595" w:rsidTr="00672D2A">
        <w:tc>
          <w:tcPr>
            <w:tcW w:w="852" w:type="dxa"/>
          </w:tcPr>
          <w:p w:rsidR="00745369" w:rsidRPr="00661595" w:rsidRDefault="00612780" w:rsidP="00EA0BAB">
            <w:pPr>
              <w:spacing w:beforeLines="60" w:before="144" w:afterLines="60" w:after="144"/>
              <w:rPr>
                <w:rFonts w:ascii="Times New Roman" w:hAnsi="Times New Roman"/>
                <w:sz w:val="24"/>
              </w:rPr>
            </w:pPr>
            <w:r w:rsidRPr="00661595">
              <w:rPr>
                <w:rFonts w:ascii="Times New Roman" w:hAnsi="Times New Roman"/>
                <w:sz w:val="24"/>
              </w:rPr>
              <w:t>0</w:t>
            </w:r>
            <w:r w:rsidR="006E0E76" w:rsidRPr="00661595">
              <w:rPr>
                <w:rFonts w:ascii="Times New Roman" w:hAnsi="Times New Roman"/>
                <w:sz w:val="24"/>
              </w:rPr>
              <w:t>0</w:t>
            </w:r>
            <w:r w:rsidRPr="00661595">
              <w:rPr>
                <w:rFonts w:ascii="Times New Roman" w:hAnsi="Times New Roman"/>
                <w:sz w:val="24"/>
              </w:rPr>
              <w:t>30</w:t>
            </w:r>
          </w:p>
        </w:tc>
        <w:tc>
          <w:tcPr>
            <w:tcW w:w="8004" w:type="dxa"/>
          </w:tcPr>
          <w:p w:rsidR="00745369" w:rsidRPr="00661595" w:rsidRDefault="00612780" w:rsidP="00450A2E">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OWN FUNDS REQUIREMENTS</w:t>
            </w:r>
          </w:p>
          <w:p w:rsidR="00745369" w:rsidRPr="00661595" w:rsidRDefault="00612780" w:rsidP="00302C3F">
            <w:pPr>
              <w:spacing w:beforeLines="60" w:before="144" w:afterLines="60" w:after="144"/>
              <w:rPr>
                <w:rFonts w:ascii="Times New Roman" w:hAnsi="Times New Roman"/>
                <w:sz w:val="24"/>
              </w:rPr>
            </w:pPr>
            <w:r w:rsidRPr="00661595">
              <w:rPr>
                <w:rFonts w:ascii="Times New Roman" w:hAnsi="Times New Roman"/>
                <w:sz w:val="24"/>
              </w:rPr>
              <w:t xml:space="preserve">Institutions </w:t>
            </w:r>
            <w:r w:rsidR="00D021AF" w:rsidRPr="00661595">
              <w:rPr>
                <w:rFonts w:ascii="Times New Roman" w:hAnsi="Times New Roman"/>
                <w:sz w:val="24"/>
              </w:rPr>
              <w:t xml:space="preserve">shall </w:t>
            </w:r>
            <w:r w:rsidRPr="00661595">
              <w:rPr>
                <w:rFonts w:ascii="Times New Roman" w:hAnsi="Times New Roman"/>
                <w:sz w:val="24"/>
              </w:rPr>
              <w:t xml:space="preserve">report the own funds requirements calculated in accordance with Article 378 </w:t>
            </w:r>
            <w:r w:rsidR="00C7103D" w:rsidRPr="00661595">
              <w:rPr>
                <w:rFonts w:ascii="Times New Roman" w:hAnsi="Times New Roman"/>
                <w:sz w:val="24"/>
              </w:rPr>
              <w:t>CRR</w:t>
            </w:r>
            <w:r w:rsidRPr="00661595">
              <w:rPr>
                <w:rFonts w:ascii="Times New Roman" w:hAnsi="Times New Roman"/>
                <w:sz w:val="24"/>
              </w:rPr>
              <w:t>.</w:t>
            </w:r>
          </w:p>
        </w:tc>
      </w:tr>
      <w:tr w:rsidR="00612780" w:rsidRPr="00661595" w:rsidTr="00672D2A">
        <w:tc>
          <w:tcPr>
            <w:tcW w:w="852" w:type="dxa"/>
          </w:tcPr>
          <w:p w:rsidR="00745369" w:rsidRPr="00661595" w:rsidRDefault="00612780" w:rsidP="00EA0BAB">
            <w:pPr>
              <w:spacing w:beforeLines="60" w:before="144" w:afterLines="60" w:after="144"/>
              <w:rPr>
                <w:rFonts w:ascii="Times New Roman" w:hAnsi="Times New Roman"/>
                <w:sz w:val="24"/>
              </w:rPr>
            </w:pPr>
            <w:r w:rsidRPr="00661595">
              <w:rPr>
                <w:rFonts w:ascii="Times New Roman" w:hAnsi="Times New Roman"/>
                <w:sz w:val="24"/>
              </w:rPr>
              <w:t>0</w:t>
            </w:r>
            <w:r w:rsidR="006E0E76" w:rsidRPr="00661595">
              <w:rPr>
                <w:rFonts w:ascii="Times New Roman" w:hAnsi="Times New Roman"/>
                <w:sz w:val="24"/>
              </w:rPr>
              <w:t>0</w:t>
            </w:r>
            <w:r w:rsidRPr="00661595">
              <w:rPr>
                <w:rFonts w:ascii="Times New Roman" w:hAnsi="Times New Roman"/>
                <w:sz w:val="24"/>
              </w:rPr>
              <w:t>40</w:t>
            </w:r>
          </w:p>
        </w:tc>
        <w:tc>
          <w:tcPr>
            <w:tcW w:w="8004" w:type="dxa"/>
          </w:tcPr>
          <w:p w:rsidR="00745369" w:rsidRPr="00661595" w:rsidRDefault="00612780" w:rsidP="00450A2E">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TOTAL SETTLEMENT RISK EXPOSURE AMOUNT</w:t>
            </w:r>
          </w:p>
          <w:p w:rsidR="00745369" w:rsidRPr="00661595" w:rsidRDefault="00612780" w:rsidP="00705025">
            <w:pPr>
              <w:spacing w:beforeLines="60" w:before="144" w:afterLines="60" w:after="144"/>
              <w:rPr>
                <w:rFonts w:ascii="Times New Roman" w:hAnsi="Times New Roman"/>
                <w:sz w:val="24"/>
              </w:rPr>
            </w:pPr>
            <w:r w:rsidRPr="00661595">
              <w:rPr>
                <w:rFonts w:ascii="Times New Roman" w:hAnsi="Times New Roman"/>
                <w:sz w:val="24"/>
              </w:rPr>
              <w:t xml:space="preserve">In accordance with </w:t>
            </w:r>
            <w:r w:rsidR="00705025" w:rsidRPr="00661595">
              <w:rPr>
                <w:rFonts w:ascii="Times New Roman" w:hAnsi="Times New Roman"/>
                <w:sz w:val="24"/>
              </w:rPr>
              <w:t xml:space="preserve">point (b) of </w:t>
            </w:r>
            <w:r w:rsidRPr="00661595">
              <w:rPr>
                <w:rFonts w:ascii="Times New Roman" w:hAnsi="Times New Roman"/>
                <w:sz w:val="24"/>
              </w:rPr>
              <w:t xml:space="preserve">Article 92(4) </w:t>
            </w:r>
            <w:r w:rsidR="00C7103D" w:rsidRPr="00661595">
              <w:rPr>
                <w:rFonts w:ascii="Times New Roman" w:hAnsi="Times New Roman"/>
                <w:sz w:val="24"/>
              </w:rPr>
              <w:t>CRR</w:t>
            </w:r>
            <w:r w:rsidRPr="00661595">
              <w:rPr>
                <w:rFonts w:ascii="Times New Roman" w:hAnsi="Times New Roman"/>
                <w:sz w:val="24"/>
              </w:rPr>
              <w:t xml:space="preserve">, institutions </w:t>
            </w:r>
            <w:r w:rsidR="00D021AF" w:rsidRPr="00661595">
              <w:rPr>
                <w:rFonts w:ascii="Times New Roman" w:hAnsi="Times New Roman"/>
                <w:sz w:val="24"/>
              </w:rPr>
              <w:t xml:space="preserve">shall </w:t>
            </w:r>
            <w:r w:rsidRPr="00661595">
              <w:rPr>
                <w:rFonts w:ascii="Times New Roman" w:hAnsi="Times New Roman"/>
                <w:sz w:val="24"/>
              </w:rPr>
              <w:t>multiply their own funds requirements reported in column 0</w:t>
            </w:r>
            <w:r w:rsidR="006E0E76" w:rsidRPr="00661595">
              <w:rPr>
                <w:rFonts w:ascii="Times New Roman" w:hAnsi="Times New Roman"/>
                <w:sz w:val="24"/>
              </w:rPr>
              <w:t>0</w:t>
            </w:r>
            <w:r w:rsidRPr="00661595">
              <w:rPr>
                <w:rFonts w:ascii="Times New Roman" w:hAnsi="Times New Roman"/>
                <w:sz w:val="24"/>
              </w:rPr>
              <w:t>30 by 12.5 in order to obtain the settlement risk exposure amount.</w:t>
            </w:r>
          </w:p>
        </w:tc>
      </w:tr>
    </w:tbl>
    <w:p w:rsidR="00612780" w:rsidRPr="00661595" w:rsidRDefault="00612780" w:rsidP="00612780">
      <w:pPr>
        <w:autoSpaceDE w:val="0"/>
        <w:autoSpaceDN w:val="0"/>
        <w:adjustRightInd w:val="0"/>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
        <w:gridCol w:w="8010"/>
      </w:tblGrid>
      <w:tr w:rsidR="00612780" w:rsidRPr="00661595" w:rsidTr="00672D2A">
        <w:tc>
          <w:tcPr>
            <w:tcW w:w="8862" w:type="dxa"/>
            <w:gridSpan w:val="2"/>
            <w:shd w:val="clear" w:color="auto" w:fill="CCCCCC"/>
          </w:tcPr>
          <w:p w:rsidR="00745369" w:rsidRPr="00661595" w:rsidRDefault="00612780" w:rsidP="00EA0BAB">
            <w:pPr>
              <w:spacing w:beforeLines="60" w:before="144" w:afterLines="60" w:after="144"/>
              <w:rPr>
                <w:rFonts w:ascii="Times New Roman" w:hAnsi="Times New Roman"/>
                <w:b/>
                <w:sz w:val="24"/>
              </w:rPr>
            </w:pPr>
            <w:r w:rsidRPr="00661595">
              <w:rPr>
                <w:rFonts w:ascii="Times New Roman" w:hAnsi="Times New Roman"/>
                <w:b/>
                <w:sz w:val="24"/>
              </w:rPr>
              <w:t>Rows</w:t>
            </w:r>
          </w:p>
        </w:tc>
      </w:tr>
      <w:tr w:rsidR="00612780" w:rsidRPr="00661595" w:rsidTr="00672D2A">
        <w:tc>
          <w:tcPr>
            <w:tcW w:w="852" w:type="dxa"/>
          </w:tcPr>
          <w:p w:rsidR="00745369" w:rsidRPr="00661595" w:rsidRDefault="00612780" w:rsidP="00EA0BAB">
            <w:pPr>
              <w:spacing w:beforeLines="60" w:before="144" w:afterLines="60" w:after="144"/>
              <w:rPr>
                <w:rFonts w:ascii="Times New Roman" w:hAnsi="Times New Roman"/>
                <w:sz w:val="24"/>
              </w:rPr>
            </w:pPr>
            <w:r w:rsidRPr="00661595">
              <w:rPr>
                <w:rFonts w:ascii="Times New Roman" w:hAnsi="Times New Roman"/>
                <w:sz w:val="24"/>
              </w:rPr>
              <w:t>0</w:t>
            </w:r>
            <w:r w:rsidR="006E0E76" w:rsidRPr="00661595">
              <w:rPr>
                <w:rFonts w:ascii="Times New Roman" w:hAnsi="Times New Roman"/>
                <w:sz w:val="24"/>
              </w:rPr>
              <w:t>0</w:t>
            </w:r>
            <w:r w:rsidRPr="00661595">
              <w:rPr>
                <w:rFonts w:ascii="Times New Roman" w:hAnsi="Times New Roman"/>
                <w:sz w:val="24"/>
              </w:rPr>
              <w:t>10</w:t>
            </w:r>
          </w:p>
        </w:tc>
        <w:tc>
          <w:tcPr>
            <w:tcW w:w="8010" w:type="dxa"/>
          </w:tcPr>
          <w:p w:rsidR="00745369" w:rsidRPr="00661595" w:rsidRDefault="00612780" w:rsidP="00450A2E">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Total unsettled transactions in the Non-trading Book</w:t>
            </w:r>
          </w:p>
          <w:p w:rsidR="00745369" w:rsidRPr="00661595" w:rsidRDefault="00612780" w:rsidP="00450A2E">
            <w:pPr>
              <w:spacing w:beforeLines="60" w:before="144" w:afterLines="60" w:after="144"/>
              <w:rPr>
                <w:rFonts w:ascii="Times New Roman" w:hAnsi="Times New Roman"/>
                <w:sz w:val="24"/>
              </w:rPr>
            </w:pPr>
            <w:r w:rsidRPr="00661595">
              <w:rPr>
                <w:rFonts w:ascii="Times New Roman" w:hAnsi="Times New Roman"/>
                <w:sz w:val="24"/>
              </w:rPr>
              <w:t xml:space="preserve">Institutions </w:t>
            </w:r>
            <w:r w:rsidR="00D021AF" w:rsidRPr="00661595">
              <w:rPr>
                <w:rFonts w:ascii="Times New Roman" w:hAnsi="Times New Roman"/>
                <w:sz w:val="24"/>
              </w:rPr>
              <w:t xml:space="preserve">shall </w:t>
            </w:r>
            <w:r w:rsidRPr="00661595">
              <w:rPr>
                <w:rFonts w:ascii="Times New Roman" w:hAnsi="Times New Roman"/>
                <w:sz w:val="24"/>
              </w:rPr>
              <w:t xml:space="preserve">report aggregated information </w:t>
            </w:r>
            <w:r w:rsidR="00D021AF" w:rsidRPr="00661595">
              <w:rPr>
                <w:rFonts w:ascii="Times New Roman" w:hAnsi="Times New Roman"/>
                <w:sz w:val="24"/>
              </w:rPr>
              <w:t>about</w:t>
            </w:r>
            <w:r w:rsidRPr="00661595">
              <w:rPr>
                <w:rFonts w:ascii="Times New Roman" w:hAnsi="Times New Roman"/>
                <w:sz w:val="24"/>
              </w:rPr>
              <w:t xml:space="preserve"> settlement/delivery risk for non-trading book positions (</w:t>
            </w:r>
            <w:r w:rsidR="00D021AF" w:rsidRPr="00661595">
              <w:rPr>
                <w:rFonts w:ascii="Times New Roman" w:hAnsi="Times New Roman"/>
                <w:sz w:val="24"/>
              </w:rPr>
              <w:t xml:space="preserve">as referred to </w:t>
            </w:r>
            <w:r w:rsidRPr="00661595">
              <w:rPr>
                <w:rFonts w:ascii="Times New Roman" w:hAnsi="Times New Roman"/>
                <w:sz w:val="24"/>
              </w:rPr>
              <w:t xml:space="preserve">in </w:t>
            </w:r>
            <w:r w:rsidR="00D021AF" w:rsidRPr="00661595">
              <w:rPr>
                <w:rFonts w:ascii="Times New Roman" w:hAnsi="Times New Roman"/>
                <w:sz w:val="24"/>
              </w:rPr>
              <w:t>point </w:t>
            </w:r>
            <w:r w:rsidR="00302C3F" w:rsidRPr="00661595">
              <w:rPr>
                <w:rFonts w:ascii="Times New Roman" w:hAnsi="Times New Roman"/>
                <w:sz w:val="24"/>
              </w:rPr>
              <w:t>(c)</w:t>
            </w:r>
            <w:r w:rsidR="00D021AF" w:rsidRPr="00661595">
              <w:rPr>
                <w:rFonts w:ascii="Times New Roman" w:hAnsi="Times New Roman"/>
                <w:sz w:val="24"/>
              </w:rPr>
              <w:t xml:space="preserve">(ii) of </w:t>
            </w:r>
            <w:r w:rsidRPr="00661595">
              <w:rPr>
                <w:rFonts w:ascii="Times New Roman" w:hAnsi="Times New Roman"/>
                <w:sz w:val="24"/>
              </w:rPr>
              <w:t xml:space="preserve">Article 92(3) and </w:t>
            </w:r>
            <w:r w:rsidR="00D021AF" w:rsidRPr="00661595">
              <w:rPr>
                <w:rFonts w:ascii="Times New Roman" w:hAnsi="Times New Roman"/>
                <w:sz w:val="24"/>
              </w:rPr>
              <w:t>Article </w:t>
            </w:r>
            <w:r w:rsidRPr="00661595">
              <w:rPr>
                <w:rFonts w:ascii="Times New Roman" w:hAnsi="Times New Roman"/>
                <w:sz w:val="24"/>
              </w:rPr>
              <w:t xml:space="preserve">378 </w:t>
            </w:r>
            <w:r w:rsidR="00C7103D" w:rsidRPr="00661595">
              <w:rPr>
                <w:rFonts w:ascii="Times New Roman" w:hAnsi="Times New Roman"/>
                <w:sz w:val="24"/>
              </w:rPr>
              <w:t>CRR</w:t>
            </w:r>
            <w:r w:rsidRPr="00661595">
              <w:rPr>
                <w:rFonts w:ascii="Times New Roman" w:hAnsi="Times New Roman"/>
                <w:sz w:val="24"/>
              </w:rPr>
              <w:t>).</w:t>
            </w:r>
          </w:p>
          <w:p w:rsidR="00745369" w:rsidRPr="00661595" w:rsidRDefault="00612780" w:rsidP="00450A2E">
            <w:pPr>
              <w:spacing w:beforeLines="60" w:before="144"/>
              <w:rPr>
                <w:rFonts w:ascii="Times New Roman" w:hAnsi="Times New Roman"/>
                <w:sz w:val="24"/>
              </w:rPr>
            </w:pPr>
            <w:r w:rsidRPr="00661595">
              <w:rPr>
                <w:rFonts w:ascii="Times New Roman" w:hAnsi="Times New Roman"/>
                <w:sz w:val="24"/>
              </w:rPr>
              <w:t xml:space="preserve">Institutions </w:t>
            </w:r>
            <w:r w:rsidR="00D021AF" w:rsidRPr="00661595">
              <w:rPr>
                <w:rFonts w:ascii="Times New Roman" w:hAnsi="Times New Roman"/>
                <w:sz w:val="24"/>
              </w:rPr>
              <w:t xml:space="preserve">shall </w:t>
            </w:r>
            <w:r w:rsidRPr="00661595">
              <w:rPr>
                <w:rFonts w:ascii="Times New Roman" w:hAnsi="Times New Roman"/>
                <w:sz w:val="24"/>
              </w:rPr>
              <w:t xml:space="preserve">report in </w:t>
            </w:r>
            <w:r w:rsidR="00302C3F" w:rsidRPr="00661595">
              <w:rPr>
                <w:rFonts w:ascii="Times New Roman" w:hAnsi="Times New Roman"/>
                <w:sz w:val="24"/>
              </w:rPr>
              <w:t>{r</w:t>
            </w:r>
            <w:r w:rsidR="006E0E76" w:rsidRPr="00661595">
              <w:rPr>
                <w:rFonts w:ascii="Times New Roman" w:hAnsi="Times New Roman"/>
                <w:sz w:val="24"/>
              </w:rPr>
              <w:t>0</w:t>
            </w:r>
            <w:r w:rsidRPr="00661595">
              <w:rPr>
                <w:rFonts w:ascii="Times New Roman" w:hAnsi="Times New Roman"/>
                <w:sz w:val="24"/>
              </w:rPr>
              <w:t>010</w:t>
            </w:r>
            <w:r w:rsidR="00302C3F" w:rsidRPr="00661595">
              <w:rPr>
                <w:rFonts w:ascii="Times New Roman" w:hAnsi="Times New Roman"/>
                <w:sz w:val="24"/>
              </w:rPr>
              <w:t>;c</w:t>
            </w:r>
            <w:r w:rsidR="006E0E76" w:rsidRPr="00661595">
              <w:rPr>
                <w:rFonts w:ascii="Times New Roman" w:hAnsi="Times New Roman"/>
                <w:sz w:val="24"/>
              </w:rPr>
              <w:t>0</w:t>
            </w:r>
            <w:r w:rsidRPr="00661595">
              <w:rPr>
                <w:rFonts w:ascii="Times New Roman" w:hAnsi="Times New Roman"/>
                <w:sz w:val="24"/>
              </w:rPr>
              <w:t>010</w:t>
            </w:r>
            <w:r w:rsidR="00302C3F" w:rsidRPr="00661595">
              <w:rPr>
                <w:rFonts w:ascii="Times New Roman" w:hAnsi="Times New Roman"/>
                <w:sz w:val="24"/>
              </w:rPr>
              <w:t>}</w:t>
            </w:r>
            <w:r w:rsidRPr="00661595">
              <w:rPr>
                <w:rFonts w:ascii="Times New Roman" w:hAnsi="Times New Roman"/>
                <w:sz w:val="24"/>
              </w:rPr>
              <w:t xml:space="preserve"> the aggregated sum of unsettled transactions after their due delivery dates at the respective agreed settlement prices.</w:t>
            </w:r>
          </w:p>
          <w:p w:rsidR="00745369" w:rsidRPr="00661595" w:rsidRDefault="00612780" w:rsidP="00450A2E">
            <w:pPr>
              <w:spacing w:beforeLines="60" w:before="144"/>
              <w:rPr>
                <w:rFonts w:ascii="Times New Roman" w:hAnsi="Times New Roman"/>
                <w:sz w:val="24"/>
              </w:rPr>
            </w:pPr>
            <w:r w:rsidRPr="00661595">
              <w:rPr>
                <w:rFonts w:ascii="Times New Roman" w:hAnsi="Times New Roman"/>
                <w:sz w:val="24"/>
              </w:rPr>
              <w:t xml:space="preserve">Institutions </w:t>
            </w:r>
            <w:r w:rsidR="00D021AF" w:rsidRPr="00661595">
              <w:rPr>
                <w:rFonts w:ascii="Times New Roman" w:hAnsi="Times New Roman"/>
                <w:sz w:val="24"/>
              </w:rPr>
              <w:t xml:space="preserve">shall </w:t>
            </w:r>
            <w:r w:rsidRPr="00661595">
              <w:rPr>
                <w:rFonts w:ascii="Times New Roman" w:hAnsi="Times New Roman"/>
                <w:sz w:val="24"/>
              </w:rPr>
              <w:t xml:space="preserve">report in </w:t>
            </w:r>
            <w:r w:rsidR="00302C3F" w:rsidRPr="00661595">
              <w:rPr>
                <w:rFonts w:ascii="Times New Roman" w:hAnsi="Times New Roman"/>
                <w:sz w:val="24"/>
              </w:rPr>
              <w:t>{r</w:t>
            </w:r>
            <w:r w:rsidRPr="00661595">
              <w:rPr>
                <w:rFonts w:ascii="Times New Roman" w:hAnsi="Times New Roman"/>
                <w:sz w:val="24"/>
              </w:rPr>
              <w:t>0</w:t>
            </w:r>
            <w:r w:rsidR="006E0E76" w:rsidRPr="00661595">
              <w:rPr>
                <w:rFonts w:ascii="Times New Roman" w:hAnsi="Times New Roman"/>
                <w:sz w:val="24"/>
              </w:rPr>
              <w:t>0</w:t>
            </w:r>
            <w:r w:rsidRPr="00661595">
              <w:rPr>
                <w:rFonts w:ascii="Times New Roman" w:hAnsi="Times New Roman"/>
                <w:sz w:val="24"/>
              </w:rPr>
              <w:t>10</w:t>
            </w:r>
            <w:r w:rsidR="00302C3F" w:rsidRPr="00661595">
              <w:rPr>
                <w:rFonts w:ascii="Times New Roman" w:hAnsi="Times New Roman"/>
                <w:sz w:val="24"/>
              </w:rPr>
              <w:t>;c</w:t>
            </w:r>
            <w:r w:rsidR="006E0E76" w:rsidRPr="00661595">
              <w:rPr>
                <w:rFonts w:ascii="Times New Roman" w:hAnsi="Times New Roman"/>
                <w:sz w:val="24"/>
              </w:rPr>
              <w:t>0</w:t>
            </w:r>
            <w:r w:rsidRPr="00661595">
              <w:rPr>
                <w:rFonts w:ascii="Times New Roman" w:hAnsi="Times New Roman"/>
                <w:sz w:val="24"/>
              </w:rPr>
              <w:t>020</w:t>
            </w:r>
            <w:r w:rsidR="00302C3F" w:rsidRPr="00661595">
              <w:rPr>
                <w:rFonts w:ascii="Times New Roman" w:hAnsi="Times New Roman"/>
                <w:sz w:val="24"/>
              </w:rPr>
              <w:t>}</w:t>
            </w:r>
            <w:r w:rsidRPr="00661595">
              <w:rPr>
                <w:rFonts w:ascii="Times New Roman" w:hAnsi="Times New Roman"/>
                <w:sz w:val="24"/>
              </w:rPr>
              <w:t xml:space="preserve"> the aggregated information for price difference exposure due to unsettled transactions at a loss.</w:t>
            </w:r>
          </w:p>
          <w:p w:rsidR="00745369" w:rsidRPr="00661595" w:rsidRDefault="00612780" w:rsidP="00302C3F">
            <w:pPr>
              <w:spacing w:beforeLines="60" w:before="144" w:afterLines="60" w:after="144"/>
              <w:rPr>
                <w:rFonts w:ascii="Times New Roman" w:hAnsi="Times New Roman"/>
                <w:sz w:val="24"/>
              </w:rPr>
            </w:pPr>
            <w:r w:rsidRPr="00661595">
              <w:rPr>
                <w:rFonts w:ascii="Times New Roman" w:hAnsi="Times New Roman"/>
                <w:sz w:val="24"/>
              </w:rPr>
              <w:t xml:space="preserve">Institutions </w:t>
            </w:r>
            <w:r w:rsidR="00D021AF" w:rsidRPr="00661595">
              <w:rPr>
                <w:rFonts w:ascii="Times New Roman" w:hAnsi="Times New Roman"/>
                <w:sz w:val="24"/>
              </w:rPr>
              <w:t xml:space="preserve">shall </w:t>
            </w:r>
            <w:r w:rsidRPr="00661595">
              <w:rPr>
                <w:rFonts w:ascii="Times New Roman" w:hAnsi="Times New Roman"/>
                <w:sz w:val="24"/>
              </w:rPr>
              <w:t xml:space="preserve">report in </w:t>
            </w:r>
            <w:r w:rsidR="00302C3F" w:rsidRPr="00661595">
              <w:rPr>
                <w:rFonts w:ascii="Times New Roman" w:hAnsi="Times New Roman"/>
                <w:sz w:val="24"/>
              </w:rPr>
              <w:t>{r</w:t>
            </w:r>
            <w:r w:rsidRPr="00661595">
              <w:rPr>
                <w:rFonts w:ascii="Times New Roman" w:hAnsi="Times New Roman"/>
                <w:sz w:val="24"/>
              </w:rPr>
              <w:t>0</w:t>
            </w:r>
            <w:r w:rsidR="006E0E76" w:rsidRPr="00661595">
              <w:rPr>
                <w:rFonts w:ascii="Times New Roman" w:hAnsi="Times New Roman"/>
                <w:sz w:val="24"/>
              </w:rPr>
              <w:t>0</w:t>
            </w:r>
            <w:r w:rsidRPr="00661595">
              <w:rPr>
                <w:rFonts w:ascii="Times New Roman" w:hAnsi="Times New Roman"/>
                <w:sz w:val="24"/>
              </w:rPr>
              <w:t>10</w:t>
            </w:r>
            <w:r w:rsidR="00302C3F" w:rsidRPr="00661595">
              <w:rPr>
                <w:rFonts w:ascii="Times New Roman" w:hAnsi="Times New Roman"/>
                <w:sz w:val="24"/>
              </w:rPr>
              <w:t>;c</w:t>
            </w:r>
            <w:r w:rsidR="006E0E76" w:rsidRPr="00661595">
              <w:rPr>
                <w:rFonts w:ascii="Times New Roman" w:hAnsi="Times New Roman"/>
                <w:sz w:val="24"/>
              </w:rPr>
              <w:t>0</w:t>
            </w:r>
            <w:r w:rsidRPr="00661595">
              <w:rPr>
                <w:rFonts w:ascii="Times New Roman" w:hAnsi="Times New Roman"/>
                <w:sz w:val="24"/>
              </w:rPr>
              <w:t>030</w:t>
            </w:r>
            <w:r w:rsidR="00302C3F" w:rsidRPr="00661595">
              <w:rPr>
                <w:rFonts w:ascii="Times New Roman" w:hAnsi="Times New Roman"/>
                <w:sz w:val="24"/>
              </w:rPr>
              <w:t>]</w:t>
            </w:r>
            <w:r w:rsidRPr="00661595">
              <w:rPr>
                <w:rFonts w:ascii="Times New Roman" w:hAnsi="Times New Roman"/>
                <w:sz w:val="24"/>
              </w:rPr>
              <w:t xml:space="preserve"> the aggregated own funds requirements derived </w:t>
            </w:r>
            <w:r w:rsidR="00EB5013" w:rsidRPr="00661595">
              <w:rPr>
                <w:rFonts w:ascii="Times New Roman" w:hAnsi="Times New Roman"/>
                <w:sz w:val="24"/>
              </w:rPr>
              <w:t xml:space="preserve">from </w:t>
            </w:r>
            <w:r w:rsidRPr="00661595">
              <w:rPr>
                <w:rFonts w:ascii="Times New Roman" w:hAnsi="Times New Roman"/>
                <w:sz w:val="24"/>
              </w:rPr>
              <w:t xml:space="preserve">summing the own funds requirements for unsettled transactions by multiplying the “price difference” reported in column </w:t>
            </w:r>
            <w:r w:rsidR="006E0E76" w:rsidRPr="00661595">
              <w:rPr>
                <w:rFonts w:ascii="Times New Roman" w:hAnsi="Times New Roman"/>
                <w:sz w:val="24"/>
              </w:rPr>
              <w:t>0</w:t>
            </w:r>
            <w:r w:rsidRPr="00661595">
              <w:rPr>
                <w:rFonts w:ascii="Times New Roman" w:hAnsi="Times New Roman"/>
                <w:sz w:val="24"/>
              </w:rPr>
              <w:t xml:space="preserve">020 by the appropriate factor based on the number of working days after due settlement date (categories referred to in Table 1 of Article 378 </w:t>
            </w:r>
            <w:r w:rsidR="00C7103D" w:rsidRPr="00661595">
              <w:rPr>
                <w:rFonts w:ascii="Times New Roman" w:hAnsi="Times New Roman"/>
                <w:sz w:val="24"/>
              </w:rPr>
              <w:t>CRR</w:t>
            </w:r>
            <w:r w:rsidRPr="00661595">
              <w:rPr>
                <w:rFonts w:ascii="Times New Roman" w:hAnsi="Times New Roman"/>
                <w:sz w:val="24"/>
              </w:rPr>
              <w:t>).</w:t>
            </w:r>
          </w:p>
        </w:tc>
      </w:tr>
      <w:tr w:rsidR="00612780" w:rsidRPr="00661595" w:rsidTr="00672D2A">
        <w:tc>
          <w:tcPr>
            <w:tcW w:w="852" w:type="dxa"/>
          </w:tcPr>
          <w:p w:rsidR="00745369" w:rsidRPr="00661595" w:rsidRDefault="00612780" w:rsidP="00EA0BAB">
            <w:pPr>
              <w:spacing w:beforeLines="60" w:before="144" w:afterLines="60" w:after="144"/>
              <w:rPr>
                <w:rFonts w:ascii="Times New Roman" w:hAnsi="Times New Roman"/>
                <w:sz w:val="24"/>
              </w:rPr>
            </w:pPr>
            <w:r w:rsidRPr="00661595">
              <w:rPr>
                <w:rFonts w:ascii="Times New Roman" w:hAnsi="Times New Roman"/>
                <w:sz w:val="24"/>
              </w:rPr>
              <w:t>0</w:t>
            </w:r>
            <w:r w:rsidR="006E0E76" w:rsidRPr="00661595">
              <w:rPr>
                <w:rFonts w:ascii="Times New Roman" w:hAnsi="Times New Roman"/>
                <w:sz w:val="24"/>
              </w:rPr>
              <w:t>0</w:t>
            </w:r>
            <w:r w:rsidRPr="00661595">
              <w:rPr>
                <w:rFonts w:ascii="Times New Roman" w:hAnsi="Times New Roman"/>
                <w:sz w:val="24"/>
              </w:rPr>
              <w:t>20 to 0</w:t>
            </w:r>
            <w:r w:rsidR="006E0E76" w:rsidRPr="00661595">
              <w:rPr>
                <w:rFonts w:ascii="Times New Roman" w:hAnsi="Times New Roman"/>
                <w:sz w:val="24"/>
              </w:rPr>
              <w:t>0</w:t>
            </w:r>
            <w:r w:rsidRPr="00661595">
              <w:rPr>
                <w:rFonts w:ascii="Times New Roman" w:hAnsi="Times New Roman"/>
                <w:sz w:val="24"/>
              </w:rPr>
              <w:t>60</w:t>
            </w:r>
          </w:p>
        </w:tc>
        <w:tc>
          <w:tcPr>
            <w:tcW w:w="8010" w:type="dxa"/>
          </w:tcPr>
          <w:p w:rsidR="00745369" w:rsidRPr="00661595" w:rsidRDefault="00612780" w:rsidP="00450A2E">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 xml:space="preserve">Transactions unsettled up to 4 days (Factor 0%) </w:t>
            </w:r>
          </w:p>
          <w:p w:rsidR="00745369" w:rsidRPr="00661595" w:rsidRDefault="00612780" w:rsidP="00450A2E">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Transactions unsettled between 5 and 15 days (Factor 8%)</w:t>
            </w:r>
          </w:p>
          <w:p w:rsidR="00745369" w:rsidRPr="00661595" w:rsidRDefault="00612780" w:rsidP="00450A2E">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Transactions unsettled between 16 and 30 days (Factor 50 %)</w:t>
            </w:r>
          </w:p>
          <w:p w:rsidR="00745369" w:rsidRPr="00661595" w:rsidRDefault="00612780" w:rsidP="00450A2E">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Transactions unsettled between 31 and 45 days (Factor 75%)</w:t>
            </w:r>
          </w:p>
          <w:p w:rsidR="00745369" w:rsidRPr="00661595" w:rsidRDefault="00612780" w:rsidP="00450A2E">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Transactions unsettled for 46 days or more (Factor 100%)</w:t>
            </w:r>
          </w:p>
          <w:p w:rsidR="00745369" w:rsidRPr="00661595" w:rsidRDefault="00612780" w:rsidP="00450A2E">
            <w:pPr>
              <w:spacing w:beforeLines="60" w:before="144" w:afterLines="60" w:after="144"/>
              <w:rPr>
                <w:rFonts w:ascii="Times New Roman" w:hAnsi="Times New Roman"/>
                <w:sz w:val="24"/>
              </w:rPr>
            </w:pPr>
            <w:r w:rsidRPr="00661595">
              <w:rPr>
                <w:rFonts w:ascii="Times New Roman" w:hAnsi="Times New Roman"/>
                <w:sz w:val="24"/>
              </w:rPr>
              <w:t xml:space="preserve">Institutions </w:t>
            </w:r>
            <w:r w:rsidR="00D021AF" w:rsidRPr="00661595">
              <w:rPr>
                <w:rFonts w:ascii="Times New Roman" w:hAnsi="Times New Roman"/>
                <w:sz w:val="24"/>
              </w:rPr>
              <w:t xml:space="preserve">shall </w:t>
            </w:r>
            <w:r w:rsidRPr="00661595">
              <w:rPr>
                <w:rFonts w:ascii="Times New Roman" w:hAnsi="Times New Roman"/>
                <w:sz w:val="24"/>
              </w:rPr>
              <w:t xml:space="preserve">report </w:t>
            </w:r>
            <w:r w:rsidR="00D021AF" w:rsidRPr="00661595">
              <w:rPr>
                <w:rFonts w:ascii="Times New Roman" w:hAnsi="Times New Roman"/>
                <w:sz w:val="24"/>
              </w:rPr>
              <w:t>in rows 0</w:t>
            </w:r>
            <w:r w:rsidR="006E0E76" w:rsidRPr="00661595">
              <w:rPr>
                <w:rFonts w:ascii="Times New Roman" w:hAnsi="Times New Roman"/>
                <w:sz w:val="24"/>
              </w:rPr>
              <w:t>0</w:t>
            </w:r>
            <w:r w:rsidR="00D021AF" w:rsidRPr="00661595">
              <w:rPr>
                <w:rFonts w:ascii="Times New Roman" w:hAnsi="Times New Roman"/>
                <w:sz w:val="24"/>
              </w:rPr>
              <w:t>20 to 0</w:t>
            </w:r>
            <w:r w:rsidR="006E0E76" w:rsidRPr="00661595">
              <w:rPr>
                <w:rFonts w:ascii="Times New Roman" w:hAnsi="Times New Roman"/>
                <w:sz w:val="24"/>
              </w:rPr>
              <w:t>0</w:t>
            </w:r>
            <w:r w:rsidR="00D021AF" w:rsidRPr="00661595">
              <w:rPr>
                <w:rFonts w:ascii="Times New Roman" w:hAnsi="Times New Roman"/>
                <w:sz w:val="24"/>
              </w:rPr>
              <w:t>60</w:t>
            </w:r>
            <w:r w:rsidR="00302C3F" w:rsidRPr="00661595">
              <w:rPr>
                <w:rFonts w:ascii="Times New Roman" w:hAnsi="Times New Roman"/>
                <w:sz w:val="24"/>
              </w:rPr>
              <w:t xml:space="preserve"> </w:t>
            </w:r>
            <w:r w:rsidRPr="00661595">
              <w:rPr>
                <w:rFonts w:ascii="Times New Roman" w:hAnsi="Times New Roman"/>
                <w:sz w:val="24"/>
              </w:rPr>
              <w:t xml:space="preserve">the information </w:t>
            </w:r>
            <w:r w:rsidR="00D021AF" w:rsidRPr="00661595">
              <w:rPr>
                <w:rFonts w:ascii="Times New Roman" w:hAnsi="Times New Roman"/>
                <w:sz w:val="24"/>
              </w:rPr>
              <w:t>about</w:t>
            </w:r>
            <w:r w:rsidRPr="00661595">
              <w:rPr>
                <w:rFonts w:ascii="Times New Roman" w:hAnsi="Times New Roman"/>
                <w:sz w:val="24"/>
              </w:rPr>
              <w:t xml:space="preserve"> settlement/delivery risk for non-trading book positions </w:t>
            </w:r>
            <w:r w:rsidR="00BB22D4" w:rsidRPr="00661595">
              <w:rPr>
                <w:rFonts w:ascii="Times New Roman" w:hAnsi="Times New Roman"/>
                <w:sz w:val="24"/>
              </w:rPr>
              <w:t>in accordance with</w:t>
            </w:r>
            <w:r w:rsidRPr="00661595">
              <w:rPr>
                <w:rFonts w:ascii="Times New Roman" w:hAnsi="Times New Roman"/>
                <w:sz w:val="24"/>
              </w:rPr>
              <w:t xml:space="preserve"> the categories referred to in Table 1 of Article 378 </w:t>
            </w:r>
            <w:r w:rsidR="00C7103D" w:rsidRPr="00661595">
              <w:rPr>
                <w:rFonts w:ascii="Times New Roman" w:hAnsi="Times New Roman"/>
                <w:sz w:val="24"/>
              </w:rPr>
              <w:t>CRR</w:t>
            </w:r>
            <w:r w:rsidRPr="00661595">
              <w:rPr>
                <w:rFonts w:ascii="Times New Roman" w:hAnsi="Times New Roman"/>
                <w:sz w:val="24"/>
              </w:rPr>
              <w:t xml:space="preserve">. </w:t>
            </w:r>
          </w:p>
          <w:p w:rsidR="00745369" w:rsidRPr="00661595" w:rsidRDefault="00612780" w:rsidP="00450A2E">
            <w:pPr>
              <w:spacing w:beforeLines="60" w:before="144" w:afterLines="60" w:after="144"/>
              <w:rPr>
                <w:rFonts w:ascii="Times New Roman" w:hAnsi="Times New Roman"/>
                <w:sz w:val="24"/>
              </w:rPr>
            </w:pPr>
            <w:r w:rsidRPr="00661595">
              <w:rPr>
                <w:rFonts w:ascii="Times New Roman" w:hAnsi="Times New Roman"/>
                <w:sz w:val="24"/>
              </w:rPr>
              <w:t>No own funds requirements for settlement/delivery risk are required for transactions unsettled less than 5 working days after the due settlement date.</w:t>
            </w:r>
          </w:p>
        </w:tc>
      </w:tr>
      <w:tr w:rsidR="00612780" w:rsidRPr="00661595" w:rsidTr="00672D2A">
        <w:tc>
          <w:tcPr>
            <w:tcW w:w="852" w:type="dxa"/>
          </w:tcPr>
          <w:p w:rsidR="00745369" w:rsidRPr="00661595" w:rsidRDefault="00612780" w:rsidP="00EA0BAB">
            <w:pPr>
              <w:spacing w:beforeLines="60" w:before="144" w:afterLines="60" w:after="144"/>
              <w:rPr>
                <w:rFonts w:ascii="Times New Roman" w:hAnsi="Times New Roman"/>
                <w:sz w:val="24"/>
              </w:rPr>
            </w:pPr>
            <w:r w:rsidRPr="00661595">
              <w:rPr>
                <w:rFonts w:ascii="Times New Roman" w:hAnsi="Times New Roman"/>
                <w:sz w:val="24"/>
              </w:rPr>
              <w:t>0</w:t>
            </w:r>
            <w:r w:rsidR="006E0E76" w:rsidRPr="00661595">
              <w:rPr>
                <w:rFonts w:ascii="Times New Roman" w:hAnsi="Times New Roman"/>
                <w:sz w:val="24"/>
              </w:rPr>
              <w:t>0</w:t>
            </w:r>
            <w:r w:rsidRPr="00661595">
              <w:rPr>
                <w:rFonts w:ascii="Times New Roman" w:hAnsi="Times New Roman"/>
                <w:sz w:val="24"/>
              </w:rPr>
              <w:t>70</w:t>
            </w:r>
          </w:p>
        </w:tc>
        <w:tc>
          <w:tcPr>
            <w:tcW w:w="8010" w:type="dxa"/>
          </w:tcPr>
          <w:p w:rsidR="00745369" w:rsidRPr="00661595" w:rsidRDefault="00612780" w:rsidP="00450A2E">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Total unsettled transactions in the Trading Book</w:t>
            </w:r>
          </w:p>
          <w:p w:rsidR="00745369" w:rsidRPr="00661595" w:rsidRDefault="00612780" w:rsidP="00450A2E">
            <w:pPr>
              <w:spacing w:beforeLines="60" w:before="144" w:afterLines="60" w:after="144"/>
              <w:rPr>
                <w:rFonts w:ascii="Times New Roman" w:hAnsi="Times New Roman"/>
                <w:sz w:val="24"/>
              </w:rPr>
            </w:pPr>
            <w:r w:rsidRPr="00661595">
              <w:rPr>
                <w:rFonts w:ascii="Times New Roman" w:hAnsi="Times New Roman"/>
                <w:sz w:val="24"/>
              </w:rPr>
              <w:t xml:space="preserve">Institutions </w:t>
            </w:r>
            <w:r w:rsidR="00D021AF" w:rsidRPr="00661595">
              <w:rPr>
                <w:rFonts w:ascii="Times New Roman" w:hAnsi="Times New Roman"/>
                <w:sz w:val="24"/>
              </w:rPr>
              <w:t xml:space="preserve">shall </w:t>
            </w:r>
            <w:r w:rsidRPr="00661595">
              <w:rPr>
                <w:rFonts w:ascii="Times New Roman" w:hAnsi="Times New Roman"/>
                <w:sz w:val="24"/>
              </w:rPr>
              <w:t xml:space="preserve">report aggregated information </w:t>
            </w:r>
            <w:r w:rsidR="00D021AF" w:rsidRPr="00661595">
              <w:rPr>
                <w:rFonts w:ascii="Times New Roman" w:hAnsi="Times New Roman"/>
                <w:sz w:val="24"/>
              </w:rPr>
              <w:t xml:space="preserve">about </w:t>
            </w:r>
            <w:r w:rsidRPr="00661595">
              <w:rPr>
                <w:rFonts w:ascii="Times New Roman" w:hAnsi="Times New Roman"/>
                <w:sz w:val="24"/>
              </w:rPr>
              <w:t>settlement/delivery risk for trading book positions (</w:t>
            </w:r>
            <w:r w:rsidR="00D021AF" w:rsidRPr="00661595">
              <w:rPr>
                <w:rFonts w:ascii="Times New Roman" w:hAnsi="Times New Roman"/>
                <w:sz w:val="24"/>
              </w:rPr>
              <w:t>as referred to in point </w:t>
            </w:r>
            <w:r w:rsidR="00E921F1" w:rsidRPr="00661595">
              <w:rPr>
                <w:rFonts w:ascii="Times New Roman" w:hAnsi="Times New Roman"/>
                <w:sz w:val="24"/>
              </w:rPr>
              <w:t>(c)</w:t>
            </w:r>
            <w:r w:rsidR="00D021AF" w:rsidRPr="00661595">
              <w:rPr>
                <w:rFonts w:ascii="Times New Roman" w:hAnsi="Times New Roman"/>
                <w:sz w:val="24"/>
              </w:rPr>
              <w:t xml:space="preserve">(ii) of </w:t>
            </w:r>
            <w:r w:rsidRPr="00661595">
              <w:rPr>
                <w:rFonts w:ascii="Times New Roman" w:hAnsi="Times New Roman"/>
                <w:sz w:val="24"/>
              </w:rPr>
              <w:t xml:space="preserve">Article 92(3) and </w:t>
            </w:r>
            <w:r w:rsidR="00D021AF" w:rsidRPr="00661595">
              <w:rPr>
                <w:rFonts w:ascii="Times New Roman" w:hAnsi="Times New Roman"/>
                <w:sz w:val="24"/>
              </w:rPr>
              <w:t xml:space="preserve">Article </w:t>
            </w:r>
            <w:r w:rsidRPr="00661595">
              <w:rPr>
                <w:rFonts w:ascii="Times New Roman" w:hAnsi="Times New Roman"/>
                <w:sz w:val="24"/>
              </w:rPr>
              <w:t xml:space="preserve">378 </w:t>
            </w:r>
            <w:r w:rsidR="00C7103D" w:rsidRPr="00661595">
              <w:rPr>
                <w:rFonts w:ascii="Times New Roman" w:hAnsi="Times New Roman"/>
                <w:sz w:val="24"/>
              </w:rPr>
              <w:t>CRR</w:t>
            </w:r>
            <w:r w:rsidRPr="00661595">
              <w:rPr>
                <w:rFonts w:ascii="Times New Roman" w:hAnsi="Times New Roman"/>
                <w:sz w:val="24"/>
              </w:rPr>
              <w:t>).</w:t>
            </w:r>
          </w:p>
          <w:p w:rsidR="00745369" w:rsidRPr="00661595" w:rsidRDefault="00612780" w:rsidP="00450A2E">
            <w:pPr>
              <w:spacing w:beforeLines="60" w:before="144" w:afterLines="60" w:after="144"/>
              <w:rPr>
                <w:rFonts w:ascii="Times New Roman" w:hAnsi="Times New Roman"/>
                <w:sz w:val="24"/>
              </w:rPr>
            </w:pPr>
            <w:r w:rsidRPr="00661595">
              <w:rPr>
                <w:rFonts w:ascii="Times New Roman" w:hAnsi="Times New Roman"/>
                <w:sz w:val="24"/>
              </w:rPr>
              <w:t xml:space="preserve">Institutions </w:t>
            </w:r>
            <w:r w:rsidR="00D021AF" w:rsidRPr="00661595">
              <w:rPr>
                <w:rFonts w:ascii="Times New Roman" w:hAnsi="Times New Roman"/>
                <w:sz w:val="24"/>
              </w:rPr>
              <w:t xml:space="preserve">shall </w:t>
            </w:r>
            <w:r w:rsidRPr="00661595">
              <w:rPr>
                <w:rFonts w:ascii="Times New Roman" w:hAnsi="Times New Roman"/>
                <w:sz w:val="24"/>
              </w:rPr>
              <w:t xml:space="preserve">report in </w:t>
            </w:r>
            <w:r w:rsidR="00E921F1" w:rsidRPr="00661595">
              <w:rPr>
                <w:rFonts w:ascii="Times New Roman" w:hAnsi="Times New Roman"/>
                <w:sz w:val="24"/>
              </w:rPr>
              <w:t>{r</w:t>
            </w:r>
            <w:r w:rsidR="006E0E76" w:rsidRPr="00661595">
              <w:rPr>
                <w:rFonts w:ascii="Times New Roman" w:hAnsi="Times New Roman"/>
                <w:sz w:val="24"/>
              </w:rPr>
              <w:t>0</w:t>
            </w:r>
            <w:r w:rsidRPr="00661595">
              <w:rPr>
                <w:rFonts w:ascii="Times New Roman" w:hAnsi="Times New Roman"/>
                <w:sz w:val="24"/>
              </w:rPr>
              <w:t>070</w:t>
            </w:r>
            <w:r w:rsidR="00E921F1" w:rsidRPr="00661595">
              <w:rPr>
                <w:rFonts w:ascii="Times New Roman" w:hAnsi="Times New Roman"/>
                <w:sz w:val="24"/>
              </w:rPr>
              <w:t>;c</w:t>
            </w:r>
            <w:r w:rsidRPr="00661595">
              <w:rPr>
                <w:rFonts w:ascii="Times New Roman" w:hAnsi="Times New Roman"/>
                <w:sz w:val="24"/>
              </w:rPr>
              <w:t>0</w:t>
            </w:r>
            <w:r w:rsidR="006E0E76" w:rsidRPr="00661595">
              <w:rPr>
                <w:rFonts w:ascii="Times New Roman" w:hAnsi="Times New Roman"/>
                <w:sz w:val="24"/>
              </w:rPr>
              <w:t>0</w:t>
            </w:r>
            <w:r w:rsidRPr="00661595">
              <w:rPr>
                <w:rFonts w:ascii="Times New Roman" w:hAnsi="Times New Roman"/>
                <w:sz w:val="24"/>
              </w:rPr>
              <w:t>10</w:t>
            </w:r>
            <w:r w:rsidR="00E921F1" w:rsidRPr="00661595">
              <w:rPr>
                <w:rFonts w:ascii="Times New Roman" w:hAnsi="Times New Roman"/>
                <w:sz w:val="24"/>
              </w:rPr>
              <w:t>}</w:t>
            </w:r>
            <w:r w:rsidRPr="00661595">
              <w:rPr>
                <w:rFonts w:ascii="Times New Roman" w:hAnsi="Times New Roman"/>
                <w:sz w:val="24"/>
              </w:rPr>
              <w:t xml:space="preserve"> the aggregated sum of unsettled transactions after their due delivery dates at the respective agreed settlement prices.</w:t>
            </w:r>
          </w:p>
          <w:p w:rsidR="00745369" w:rsidRPr="00661595" w:rsidRDefault="00612780" w:rsidP="00450A2E">
            <w:pPr>
              <w:spacing w:beforeLines="60" w:before="144" w:afterLines="60" w:after="144"/>
              <w:rPr>
                <w:rFonts w:ascii="Times New Roman" w:hAnsi="Times New Roman"/>
                <w:sz w:val="24"/>
              </w:rPr>
            </w:pPr>
            <w:r w:rsidRPr="00661595">
              <w:rPr>
                <w:rFonts w:ascii="Times New Roman" w:hAnsi="Times New Roman"/>
                <w:sz w:val="24"/>
              </w:rPr>
              <w:t xml:space="preserve">Institutions </w:t>
            </w:r>
            <w:r w:rsidR="00D021AF" w:rsidRPr="00661595">
              <w:rPr>
                <w:rFonts w:ascii="Times New Roman" w:hAnsi="Times New Roman"/>
                <w:sz w:val="24"/>
              </w:rPr>
              <w:t xml:space="preserve">shall </w:t>
            </w:r>
            <w:r w:rsidRPr="00661595">
              <w:rPr>
                <w:rFonts w:ascii="Times New Roman" w:hAnsi="Times New Roman"/>
                <w:sz w:val="24"/>
              </w:rPr>
              <w:t xml:space="preserve">report in </w:t>
            </w:r>
            <w:r w:rsidR="00E921F1" w:rsidRPr="00661595">
              <w:rPr>
                <w:rFonts w:ascii="Times New Roman" w:hAnsi="Times New Roman"/>
                <w:sz w:val="24"/>
              </w:rPr>
              <w:t>{r</w:t>
            </w:r>
            <w:r w:rsidRPr="00661595">
              <w:rPr>
                <w:rFonts w:ascii="Times New Roman" w:hAnsi="Times New Roman"/>
                <w:sz w:val="24"/>
              </w:rPr>
              <w:t>0</w:t>
            </w:r>
            <w:r w:rsidR="006E0E76" w:rsidRPr="00661595">
              <w:rPr>
                <w:rFonts w:ascii="Times New Roman" w:hAnsi="Times New Roman"/>
                <w:sz w:val="24"/>
              </w:rPr>
              <w:t>0</w:t>
            </w:r>
            <w:r w:rsidRPr="00661595">
              <w:rPr>
                <w:rFonts w:ascii="Times New Roman" w:hAnsi="Times New Roman"/>
                <w:sz w:val="24"/>
              </w:rPr>
              <w:t>70</w:t>
            </w:r>
            <w:r w:rsidR="00E921F1" w:rsidRPr="00661595">
              <w:rPr>
                <w:rFonts w:ascii="Times New Roman" w:hAnsi="Times New Roman"/>
                <w:sz w:val="24"/>
              </w:rPr>
              <w:t>;c</w:t>
            </w:r>
            <w:r w:rsidRPr="00661595">
              <w:rPr>
                <w:rFonts w:ascii="Times New Roman" w:hAnsi="Times New Roman"/>
                <w:sz w:val="24"/>
              </w:rPr>
              <w:t>0</w:t>
            </w:r>
            <w:r w:rsidR="006E0E76" w:rsidRPr="00661595">
              <w:rPr>
                <w:rFonts w:ascii="Times New Roman" w:hAnsi="Times New Roman"/>
                <w:sz w:val="24"/>
              </w:rPr>
              <w:t>0</w:t>
            </w:r>
            <w:r w:rsidRPr="00661595">
              <w:rPr>
                <w:rFonts w:ascii="Times New Roman" w:hAnsi="Times New Roman"/>
                <w:sz w:val="24"/>
              </w:rPr>
              <w:t>20</w:t>
            </w:r>
            <w:r w:rsidR="00E921F1" w:rsidRPr="00661595">
              <w:rPr>
                <w:rFonts w:ascii="Times New Roman" w:hAnsi="Times New Roman"/>
                <w:sz w:val="24"/>
              </w:rPr>
              <w:t>}</w:t>
            </w:r>
            <w:r w:rsidRPr="00661595">
              <w:rPr>
                <w:rFonts w:ascii="Times New Roman" w:hAnsi="Times New Roman"/>
                <w:sz w:val="24"/>
              </w:rPr>
              <w:t xml:space="preserve"> the aggregated information for price difference exposure due to unsettled transactions at a loss.</w:t>
            </w:r>
          </w:p>
          <w:p w:rsidR="00745369" w:rsidRPr="00661595" w:rsidRDefault="00612780" w:rsidP="00E921F1">
            <w:pPr>
              <w:spacing w:beforeLines="60" w:before="144" w:afterLines="60" w:after="144"/>
              <w:rPr>
                <w:rFonts w:ascii="Times New Roman" w:hAnsi="Times New Roman"/>
                <w:b/>
                <w:sz w:val="24"/>
              </w:rPr>
            </w:pPr>
            <w:r w:rsidRPr="00661595">
              <w:rPr>
                <w:rFonts w:ascii="Times New Roman" w:hAnsi="Times New Roman"/>
                <w:sz w:val="24"/>
              </w:rPr>
              <w:t xml:space="preserve">Institutions </w:t>
            </w:r>
            <w:r w:rsidR="00D021AF" w:rsidRPr="00661595">
              <w:rPr>
                <w:rFonts w:ascii="Times New Roman" w:hAnsi="Times New Roman"/>
                <w:sz w:val="24"/>
              </w:rPr>
              <w:t xml:space="preserve">shall </w:t>
            </w:r>
            <w:r w:rsidRPr="00661595">
              <w:rPr>
                <w:rFonts w:ascii="Times New Roman" w:hAnsi="Times New Roman"/>
                <w:sz w:val="24"/>
              </w:rPr>
              <w:t xml:space="preserve">report in </w:t>
            </w:r>
            <w:r w:rsidR="00E921F1" w:rsidRPr="00661595">
              <w:rPr>
                <w:rFonts w:ascii="Times New Roman" w:hAnsi="Times New Roman"/>
                <w:sz w:val="24"/>
              </w:rPr>
              <w:t>{r</w:t>
            </w:r>
            <w:r w:rsidRPr="00661595">
              <w:rPr>
                <w:rFonts w:ascii="Times New Roman" w:hAnsi="Times New Roman"/>
                <w:sz w:val="24"/>
              </w:rPr>
              <w:t>0</w:t>
            </w:r>
            <w:r w:rsidR="006E0E76" w:rsidRPr="00661595">
              <w:rPr>
                <w:rFonts w:ascii="Times New Roman" w:hAnsi="Times New Roman"/>
                <w:sz w:val="24"/>
              </w:rPr>
              <w:t>0</w:t>
            </w:r>
            <w:r w:rsidRPr="00661595">
              <w:rPr>
                <w:rFonts w:ascii="Times New Roman" w:hAnsi="Times New Roman"/>
                <w:sz w:val="24"/>
              </w:rPr>
              <w:t>70</w:t>
            </w:r>
            <w:r w:rsidR="00E921F1" w:rsidRPr="00661595">
              <w:rPr>
                <w:rFonts w:ascii="Times New Roman" w:hAnsi="Times New Roman"/>
                <w:sz w:val="24"/>
              </w:rPr>
              <w:t>;c</w:t>
            </w:r>
            <w:r w:rsidRPr="00661595">
              <w:rPr>
                <w:rFonts w:ascii="Times New Roman" w:hAnsi="Times New Roman"/>
                <w:sz w:val="24"/>
              </w:rPr>
              <w:t>0</w:t>
            </w:r>
            <w:r w:rsidR="006E0E76" w:rsidRPr="00661595">
              <w:rPr>
                <w:rFonts w:ascii="Times New Roman" w:hAnsi="Times New Roman"/>
                <w:sz w:val="24"/>
              </w:rPr>
              <w:t>0</w:t>
            </w:r>
            <w:r w:rsidRPr="00661595">
              <w:rPr>
                <w:rFonts w:ascii="Times New Roman" w:hAnsi="Times New Roman"/>
                <w:sz w:val="24"/>
              </w:rPr>
              <w:t>30</w:t>
            </w:r>
            <w:r w:rsidR="00E921F1" w:rsidRPr="00661595">
              <w:rPr>
                <w:rFonts w:ascii="Times New Roman" w:hAnsi="Times New Roman"/>
                <w:sz w:val="24"/>
              </w:rPr>
              <w:t>}</w:t>
            </w:r>
            <w:r w:rsidRPr="00661595">
              <w:rPr>
                <w:rFonts w:ascii="Times New Roman" w:hAnsi="Times New Roman"/>
                <w:sz w:val="24"/>
              </w:rPr>
              <w:t xml:space="preserve"> the aggregated own funds requirements derived </w:t>
            </w:r>
            <w:r w:rsidR="00EB5013" w:rsidRPr="00661595">
              <w:rPr>
                <w:rFonts w:ascii="Times New Roman" w:hAnsi="Times New Roman"/>
                <w:sz w:val="24"/>
              </w:rPr>
              <w:t xml:space="preserve">from </w:t>
            </w:r>
            <w:r w:rsidRPr="00661595">
              <w:rPr>
                <w:rFonts w:ascii="Times New Roman" w:hAnsi="Times New Roman"/>
                <w:sz w:val="24"/>
              </w:rPr>
              <w:t>summing the own funds requirements for unsettled transactions by multiplying the “price difference” reported in column 0</w:t>
            </w:r>
            <w:r w:rsidR="006E0E76" w:rsidRPr="00661595">
              <w:rPr>
                <w:rFonts w:ascii="Times New Roman" w:hAnsi="Times New Roman"/>
                <w:sz w:val="24"/>
              </w:rPr>
              <w:t>0</w:t>
            </w:r>
            <w:r w:rsidRPr="00661595">
              <w:rPr>
                <w:rFonts w:ascii="Times New Roman" w:hAnsi="Times New Roman"/>
                <w:sz w:val="24"/>
              </w:rPr>
              <w:t xml:space="preserve">20 by an appropriate factor based on the number of working days after due settlement date (categories referred to in Table 1 of Article 378 </w:t>
            </w:r>
            <w:r w:rsidR="00C7103D" w:rsidRPr="00661595">
              <w:rPr>
                <w:rFonts w:ascii="Times New Roman" w:hAnsi="Times New Roman"/>
                <w:sz w:val="24"/>
              </w:rPr>
              <w:t>CRR</w:t>
            </w:r>
            <w:r w:rsidRPr="00661595">
              <w:rPr>
                <w:rFonts w:ascii="Times New Roman" w:hAnsi="Times New Roman"/>
                <w:sz w:val="24"/>
              </w:rPr>
              <w:t>).</w:t>
            </w:r>
          </w:p>
        </w:tc>
      </w:tr>
      <w:tr w:rsidR="00612780" w:rsidRPr="00661595" w:rsidTr="00672D2A">
        <w:tc>
          <w:tcPr>
            <w:tcW w:w="852" w:type="dxa"/>
          </w:tcPr>
          <w:p w:rsidR="00745369" w:rsidRPr="00661595" w:rsidRDefault="00612780" w:rsidP="00EA0BAB">
            <w:pPr>
              <w:spacing w:beforeLines="60" w:before="144" w:afterLines="60" w:after="144"/>
              <w:rPr>
                <w:rFonts w:ascii="Times New Roman" w:hAnsi="Times New Roman"/>
                <w:sz w:val="24"/>
              </w:rPr>
            </w:pPr>
            <w:r w:rsidRPr="00661595">
              <w:rPr>
                <w:rFonts w:ascii="Times New Roman" w:hAnsi="Times New Roman"/>
                <w:sz w:val="24"/>
              </w:rPr>
              <w:t>0</w:t>
            </w:r>
            <w:r w:rsidR="006E0E76" w:rsidRPr="00661595">
              <w:rPr>
                <w:rFonts w:ascii="Times New Roman" w:hAnsi="Times New Roman"/>
                <w:sz w:val="24"/>
              </w:rPr>
              <w:t>0</w:t>
            </w:r>
            <w:r w:rsidRPr="00661595">
              <w:rPr>
                <w:rFonts w:ascii="Times New Roman" w:hAnsi="Times New Roman"/>
                <w:sz w:val="24"/>
              </w:rPr>
              <w:t xml:space="preserve">80 to </w:t>
            </w:r>
            <w:r w:rsidR="006E0E76" w:rsidRPr="00661595">
              <w:rPr>
                <w:rFonts w:ascii="Times New Roman" w:hAnsi="Times New Roman"/>
                <w:sz w:val="24"/>
              </w:rPr>
              <w:t>0</w:t>
            </w:r>
            <w:r w:rsidRPr="00661595">
              <w:rPr>
                <w:rFonts w:ascii="Times New Roman" w:hAnsi="Times New Roman"/>
                <w:sz w:val="24"/>
              </w:rPr>
              <w:t>120</w:t>
            </w:r>
          </w:p>
        </w:tc>
        <w:tc>
          <w:tcPr>
            <w:tcW w:w="8010" w:type="dxa"/>
          </w:tcPr>
          <w:p w:rsidR="00745369" w:rsidRPr="00661595" w:rsidRDefault="00612780" w:rsidP="00450A2E">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 xml:space="preserve">Transactions unsettled up to 4 days (Factor 0%) </w:t>
            </w:r>
          </w:p>
          <w:p w:rsidR="00745369" w:rsidRPr="00661595" w:rsidRDefault="00612780" w:rsidP="00450A2E">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Transactions unsettled between 5 and 15 days (Factor 8%)</w:t>
            </w:r>
          </w:p>
          <w:p w:rsidR="00745369" w:rsidRPr="00661595" w:rsidRDefault="00612780" w:rsidP="00450A2E">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Transactions unsettled between 16 and 30 days (Factor 50 %)</w:t>
            </w:r>
          </w:p>
          <w:p w:rsidR="00745369" w:rsidRPr="00661595" w:rsidRDefault="00612780" w:rsidP="00450A2E">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Transactions unsettled between 31 and 45 days (Factor 75%)</w:t>
            </w:r>
          </w:p>
          <w:p w:rsidR="00745369" w:rsidRPr="00661595" w:rsidRDefault="00612780" w:rsidP="00450A2E">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Transactions unsettled for 46 days or more (Factor 100%)</w:t>
            </w:r>
          </w:p>
          <w:p w:rsidR="00745369" w:rsidRPr="00661595" w:rsidRDefault="00612780" w:rsidP="00450A2E">
            <w:pPr>
              <w:spacing w:beforeLines="60" w:before="144" w:afterLines="60" w:after="144"/>
              <w:rPr>
                <w:rFonts w:ascii="Times New Roman" w:hAnsi="Times New Roman"/>
                <w:sz w:val="24"/>
              </w:rPr>
            </w:pPr>
            <w:r w:rsidRPr="00661595">
              <w:rPr>
                <w:rFonts w:ascii="Times New Roman" w:hAnsi="Times New Roman"/>
                <w:sz w:val="24"/>
              </w:rPr>
              <w:t xml:space="preserve">Institutions </w:t>
            </w:r>
            <w:r w:rsidR="00D021AF" w:rsidRPr="00661595">
              <w:rPr>
                <w:rFonts w:ascii="Times New Roman" w:hAnsi="Times New Roman"/>
                <w:sz w:val="24"/>
              </w:rPr>
              <w:t xml:space="preserve">shall </w:t>
            </w:r>
            <w:r w:rsidRPr="00661595">
              <w:rPr>
                <w:rFonts w:ascii="Times New Roman" w:hAnsi="Times New Roman"/>
                <w:sz w:val="24"/>
              </w:rPr>
              <w:t xml:space="preserve">report </w:t>
            </w:r>
            <w:r w:rsidR="00D021AF" w:rsidRPr="00661595">
              <w:rPr>
                <w:rFonts w:ascii="Times New Roman" w:hAnsi="Times New Roman"/>
                <w:sz w:val="24"/>
              </w:rPr>
              <w:t>in rows 0</w:t>
            </w:r>
            <w:r w:rsidR="006E0E76" w:rsidRPr="00661595">
              <w:rPr>
                <w:rFonts w:ascii="Times New Roman" w:hAnsi="Times New Roman"/>
                <w:sz w:val="24"/>
              </w:rPr>
              <w:t>0</w:t>
            </w:r>
            <w:r w:rsidR="00D021AF" w:rsidRPr="00661595">
              <w:rPr>
                <w:rFonts w:ascii="Times New Roman" w:hAnsi="Times New Roman"/>
                <w:sz w:val="24"/>
              </w:rPr>
              <w:t xml:space="preserve">80 to </w:t>
            </w:r>
            <w:r w:rsidR="006E0E76" w:rsidRPr="00661595">
              <w:rPr>
                <w:rFonts w:ascii="Times New Roman" w:hAnsi="Times New Roman"/>
                <w:sz w:val="24"/>
              </w:rPr>
              <w:t>0</w:t>
            </w:r>
            <w:r w:rsidR="00D021AF" w:rsidRPr="00661595">
              <w:rPr>
                <w:rFonts w:ascii="Times New Roman" w:hAnsi="Times New Roman"/>
                <w:sz w:val="24"/>
              </w:rPr>
              <w:t xml:space="preserve">120 </w:t>
            </w:r>
            <w:r w:rsidRPr="00661595">
              <w:rPr>
                <w:rFonts w:ascii="Times New Roman" w:hAnsi="Times New Roman"/>
                <w:sz w:val="24"/>
              </w:rPr>
              <w:t xml:space="preserve">the information </w:t>
            </w:r>
            <w:r w:rsidR="00D021AF" w:rsidRPr="00661595">
              <w:rPr>
                <w:rFonts w:ascii="Times New Roman" w:hAnsi="Times New Roman"/>
                <w:sz w:val="24"/>
              </w:rPr>
              <w:t>about</w:t>
            </w:r>
            <w:r w:rsidRPr="00661595">
              <w:rPr>
                <w:rFonts w:ascii="Times New Roman" w:hAnsi="Times New Roman"/>
                <w:sz w:val="24"/>
              </w:rPr>
              <w:t xml:space="preserve"> settlement/delivery risk for trading book positions </w:t>
            </w:r>
            <w:r w:rsidR="00BB22D4" w:rsidRPr="00661595">
              <w:rPr>
                <w:rFonts w:ascii="Times New Roman" w:hAnsi="Times New Roman"/>
                <w:sz w:val="24"/>
              </w:rPr>
              <w:t>in accordance with</w:t>
            </w:r>
            <w:r w:rsidRPr="00661595">
              <w:rPr>
                <w:rFonts w:ascii="Times New Roman" w:hAnsi="Times New Roman"/>
                <w:sz w:val="24"/>
              </w:rPr>
              <w:t xml:space="preserve"> the categories referred to in Table 1 of Article 378 </w:t>
            </w:r>
            <w:r w:rsidR="00C7103D" w:rsidRPr="00661595">
              <w:rPr>
                <w:rFonts w:ascii="Times New Roman" w:hAnsi="Times New Roman"/>
                <w:sz w:val="24"/>
              </w:rPr>
              <w:t>CRR</w:t>
            </w:r>
            <w:r w:rsidRPr="00661595">
              <w:rPr>
                <w:rFonts w:ascii="Times New Roman" w:hAnsi="Times New Roman"/>
                <w:sz w:val="24"/>
              </w:rPr>
              <w:t xml:space="preserve">. </w:t>
            </w:r>
          </w:p>
          <w:p w:rsidR="00745369" w:rsidRPr="00661595" w:rsidRDefault="00612780" w:rsidP="00D021AF">
            <w:pPr>
              <w:spacing w:beforeLines="60" w:before="144" w:afterLines="60" w:after="144"/>
              <w:rPr>
                <w:rFonts w:ascii="Times New Roman" w:hAnsi="Times New Roman"/>
                <w:b/>
                <w:sz w:val="24"/>
              </w:rPr>
            </w:pPr>
            <w:r w:rsidRPr="00661595">
              <w:rPr>
                <w:rFonts w:ascii="Times New Roman" w:hAnsi="Times New Roman"/>
                <w:sz w:val="24"/>
              </w:rPr>
              <w:t>No own funds requirements for settlement/delivery risk are required for transactions unsettled less than 5 working days after the due settlement date.</w:t>
            </w:r>
          </w:p>
        </w:tc>
      </w:tr>
    </w:tbl>
    <w:p w:rsidR="00612780" w:rsidRPr="00661595" w:rsidRDefault="00612780" w:rsidP="00612780">
      <w:pPr>
        <w:spacing w:after="0"/>
        <w:rPr>
          <w:rFonts w:ascii="Times New Roman" w:hAnsi="Times New Roman"/>
          <w:sz w:val="24"/>
        </w:rPr>
      </w:pPr>
    </w:p>
    <w:p w:rsidR="00612780" w:rsidRPr="00661595" w:rsidRDefault="00612780">
      <w:pPr>
        <w:spacing w:before="0" w:after="0"/>
        <w:jc w:val="left"/>
        <w:rPr>
          <w:rStyle w:val="InstructionsTabelleText"/>
          <w:rFonts w:ascii="Times New Roman" w:hAnsi="Times New Roman"/>
          <w:sz w:val="24"/>
        </w:rPr>
      </w:pPr>
      <w:r w:rsidRPr="00661595">
        <w:rPr>
          <w:rStyle w:val="InstructionsTabelleText"/>
          <w:rFonts w:ascii="Times New Roman" w:hAnsi="Times New Roman"/>
          <w:sz w:val="24"/>
        </w:rPr>
        <w:br w:type="page"/>
      </w:r>
    </w:p>
    <w:p w:rsidR="00612780" w:rsidRPr="00661595" w:rsidRDefault="00612780" w:rsidP="00612780">
      <w:pPr>
        <w:autoSpaceDE w:val="0"/>
        <w:autoSpaceDN w:val="0"/>
        <w:adjustRightInd w:val="0"/>
        <w:spacing w:before="0" w:after="0"/>
        <w:jc w:val="left"/>
        <w:rPr>
          <w:rFonts w:ascii="Times New Roman" w:hAnsi="Times New Roman"/>
          <w:sz w:val="24"/>
          <w:lang w:eastAsia="es-ES_tradnl"/>
        </w:rPr>
      </w:pPr>
    </w:p>
    <w:p w:rsidR="00E026FB" w:rsidRPr="00661595" w:rsidRDefault="00E026FB" w:rsidP="00E026FB">
      <w:pPr>
        <w:pStyle w:val="Instructionsberschrift2"/>
        <w:numPr>
          <w:ilvl w:val="0"/>
          <w:numId w:val="0"/>
        </w:numPr>
        <w:ind w:left="357" w:hanging="357"/>
        <w:rPr>
          <w:rFonts w:ascii="Times New Roman" w:hAnsi="Times New Roman" w:cs="Times New Roman"/>
          <w:sz w:val="24"/>
          <w:lang w:val="en-GB"/>
        </w:rPr>
      </w:pPr>
      <w:bookmarkStart w:id="412" w:name="_Toc522019827"/>
      <w:bookmarkStart w:id="413" w:name="_Toc57831583"/>
      <w:r w:rsidRPr="00661595">
        <w:rPr>
          <w:rFonts w:ascii="Times New Roman" w:hAnsi="Times New Roman" w:cs="Times New Roman"/>
          <w:sz w:val="24"/>
          <w:u w:val="none"/>
          <w:lang w:val="en-GB"/>
        </w:rPr>
        <w:t>3.7.</w:t>
      </w:r>
      <w:r w:rsidRPr="00661595">
        <w:rPr>
          <w:rFonts w:ascii="Times New Roman" w:hAnsi="Times New Roman" w:cs="Times New Roman"/>
          <w:sz w:val="24"/>
          <w:u w:val="none"/>
          <w:lang w:val="en-GB"/>
        </w:rPr>
        <w:tab/>
      </w:r>
      <w:r w:rsidRPr="00661595">
        <w:rPr>
          <w:rFonts w:ascii="Times New Roman" w:hAnsi="Times New Roman" w:cs="Times New Roman"/>
          <w:sz w:val="24"/>
          <w:lang w:val="en-GB"/>
        </w:rPr>
        <w:t>C 13.01 - Credit Risk – Securitisations (CR SEC)</w:t>
      </w:r>
      <w:bookmarkEnd w:id="412"/>
      <w:bookmarkEnd w:id="413"/>
    </w:p>
    <w:p w:rsidR="00E026FB" w:rsidRPr="00661595" w:rsidRDefault="00E026FB" w:rsidP="00E026FB">
      <w:pPr>
        <w:pStyle w:val="Instructionsberschrift2"/>
        <w:numPr>
          <w:ilvl w:val="0"/>
          <w:numId w:val="0"/>
        </w:numPr>
        <w:ind w:left="357" w:hanging="357"/>
        <w:rPr>
          <w:rFonts w:ascii="Times New Roman" w:hAnsi="Times New Roman" w:cs="Times New Roman"/>
          <w:sz w:val="24"/>
          <w:lang w:val="en-GB"/>
        </w:rPr>
      </w:pPr>
      <w:bookmarkStart w:id="414" w:name="_Toc522019828"/>
      <w:bookmarkStart w:id="415" w:name="_Toc57831584"/>
      <w:r w:rsidRPr="00661595">
        <w:rPr>
          <w:rFonts w:ascii="Times New Roman" w:hAnsi="Times New Roman" w:cs="Times New Roman"/>
          <w:sz w:val="24"/>
          <w:u w:val="none"/>
          <w:lang w:val="en-GB"/>
        </w:rPr>
        <w:t>3.7.1.</w:t>
      </w:r>
      <w:r w:rsidRPr="00661595">
        <w:rPr>
          <w:rFonts w:ascii="Times New Roman" w:hAnsi="Times New Roman" w:cs="Times New Roman"/>
          <w:sz w:val="24"/>
          <w:u w:val="none"/>
          <w:lang w:val="en-GB"/>
        </w:rPr>
        <w:tab/>
      </w:r>
      <w:r w:rsidRPr="00661595">
        <w:rPr>
          <w:rFonts w:ascii="Times New Roman" w:hAnsi="Times New Roman" w:cs="Times New Roman"/>
          <w:sz w:val="24"/>
          <w:lang w:val="en-GB"/>
        </w:rPr>
        <w:t>General remarks</w:t>
      </w:r>
      <w:bookmarkEnd w:id="414"/>
      <w:bookmarkEnd w:id="415"/>
    </w:p>
    <w:p w:rsidR="00E026FB" w:rsidRPr="00661595" w:rsidRDefault="00D11E4C" w:rsidP="00487A02">
      <w:pPr>
        <w:pStyle w:val="InstructionsText2"/>
        <w:numPr>
          <w:ilvl w:val="0"/>
          <w:numId w:val="0"/>
        </w:numPr>
        <w:ind w:left="1353" w:hanging="360"/>
      </w:pPr>
      <w:fldSimple w:instr=" seq paragraphs ">
        <w:r w:rsidR="00771068">
          <w:rPr>
            <w:noProof/>
          </w:rPr>
          <w:t>106</w:t>
        </w:r>
      </w:fldSimple>
      <w:r w:rsidR="00E026FB" w:rsidRPr="00661595">
        <w:t>.</w:t>
      </w:r>
      <w:r w:rsidR="005C14B0" w:rsidRPr="00661595">
        <w:t xml:space="preserve"> </w:t>
      </w:r>
      <w:r w:rsidR="00D021AF" w:rsidRPr="00661595">
        <w:t xml:space="preserve">Where </w:t>
      </w:r>
      <w:r w:rsidR="00E026FB" w:rsidRPr="00661595">
        <w:t xml:space="preserve">institution acts as originator, the information in this template </w:t>
      </w:r>
      <w:r w:rsidR="007A00D6" w:rsidRPr="00661595">
        <w:t>shall be</w:t>
      </w:r>
      <w:r w:rsidR="00E026FB" w:rsidRPr="00661595">
        <w:t xml:space="preserve"> required for all securitisations for which a significant risk transfer is recognised. </w:t>
      </w:r>
      <w:r w:rsidR="00D021AF" w:rsidRPr="00661595">
        <w:t>Where</w:t>
      </w:r>
      <w:r w:rsidR="00E026FB" w:rsidRPr="00661595">
        <w:t xml:space="preserve"> the institution acts as investor, all exposures shall be reported. </w:t>
      </w:r>
    </w:p>
    <w:p w:rsidR="00E026FB" w:rsidRPr="00661595" w:rsidRDefault="00D11E4C" w:rsidP="00487A02">
      <w:pPr>
        <w:pStyle w:val="InstructionsText2"/>
        <w:numPr>
          <w:ilvl w:val="0"/>
          <w:numId w:val="0"/>
        </w:numPr>
        <w:ind w:left="1353" w:hanging="360"/>
      </w:pPr>
      <w:fldSimple w:instr=" seq paragraphs ">
        <w:r w:rsidR="00771068">
          <w:rPr>
            <w:noProof/>
          </w:rPr>
          <w:t>107</w:t>
        </w:r>
      </w:fldSimple>
      <w:r w:rsidR="00E026FB" w:rsidRPr="00661595">
        <w:t>.</w:t>
      </w:r>
      <w:r w:rsidR="00E026FB" w:rsidRPr="00661595">
        <w:tab/>
      </w:r>
      <w:r w:rsidR="005C14B0" w:rsidRPr="00661595">
        <w:t xml:space="preserve"> </w:t>
      </w:r>
      <w:r w:rsidR="00E026FB" w:rsidRPr="00661595">
        <w:t xml:space="preserve">The information to be reported </w:t>
      </w:r>
      <w:r w:rsidR="00D021AF" w:rsidRPr="00661595">
        <w:t>shall be</w:t>
      </w:r>
      <w:r w:rsidR="00E026FB" w:rsidRPr="00661595">
        <w:t xml:space="preserve"> contingent on the role of the institution </w:t>
      </w:r>
      <w:r w:rsidR="00A16FFF" w:rsidRPr="00661595">
        <w:t>in</w:t>
      </w:r>
      <w:r w:rsidR="00E026FB" w:rsidRPr="00661595">
        <w:t xml:space="preserve"> the securitisation</w:t>
      </w:r>
      <w:r w:rsidR="00A16FFF" w:rsidRPr="00661595">
        <w:t xml:space="preserve"> process</w:t>
      </w:r>
      <w:r w:rsidR="00E026FB" w:rsidRPr="00661595">
        <w:t xml:space="preserve">. As such, specific reporting items </w:t>
      </w:r>
      <w:r w:rsidR="007A00D6" w:rsidRPr="00661595">
        <w:t>shall be</w:t>
      </w:r>
      <w:r w:rsidR="00E026FB" w:rsidRPr="00661595">
        <w:t xml:space="preserve"> applicable for originators, sponsors and investors.</w:t>
      </w:r>
    </w:p>
    <w:p w:rsidR="00E026FB" w:rsidRPr="00661595" w:rsidRDefault="00D11E4C" w:rsidP="00487A02">
      <w:pPr>
        <w:pStyle w:val="InstructionsText2"/>
        <w:numPr>
          <w:ilvl w:val="0"/>
          <w:numId w:val="0"/>
        </w:numPr>
        <w:ind w:left="1353" w:hanging="360"/>
      </w:pPr>
      <w:fldSimple w:instr=" seq paragraphs ">
        <w:r w:rsidR="00771068">
          <w:rPr>
            <w:noProof/>
          </w:rPr>
          <w:t>108</w:t>
        </w:r>
      </w:fldSimple>
      <w:r w:rsidR="00E026FB" w:rsidRPr="00661595">
        <w:t>.</w:t>
      </w:r>
      <w:r w:rsidR="005C14B0" w:rsidRPr="00661595">
        <w:t xml:space="preserve"> </w:t>
      </w:r>
      <w:r w:rsidR="00E026FB" w:rsidRPr="00661595">
        <w:t xml:space="preserve">This template </w:t>
      </w:r>
      <w:r w:rsidR="00D021AF" w:rsidRPr="00661595">
        <w:t xml:space="preserve">shall </w:t>
      </w:r>
      <w:r w:rsidR="00E026FB" w:rsidRPr="00661595">
        <w:t xml:space="preserve">gather joint information on both traditional and synthetic securitisations held in the banking book. </w:t>
      </w:r>
    </w:p>
    <w:p w:rsidR="00E026FB" w:rsidRPr="00661595" w:rsidRDefault="00E026FB" w:rsidP="00E026FB">
      <w:pPr>
        <w:pStyle w:val="Instructionsberschrift2"/>
        <w:numPr>
          <w:ilvl w:val="0"/>
          <w:numId w:val="0"/>
        </w:numPr>
        <w:ind w:left="357" w:hanging="357"/>
        <w:rPr>
          <w:rFonts w:ascii="Times New Roman" w:hAnsi="Times New Roman" w:cs="Times New Roman"/>
          <w:sz w:val="24"/>
          <w:lang w:val="en-GB"/>
        </w:rPr>
      </w:pPr>
      <w:bookmarkStart w:id="416" w:name="_Toc522019829"/>
      <w:bookmarkStart w:id="417" w:name="_Toc57831585"/>
      <w:r w:rsidRPr="00661595">
        <w:rPr>
          <w:rFonts w:ascii="Times New Roman" w:hAnsi="Times New Roman" w:cs="Times New Roman"/>
          <w:sz w:val="24"/>
          <w:u w:val="none"/>
          <w:lang w:val="en-GB"/>
        </w:rPr>
        <w:t>3.7.2.</w:t>
      </w:r>
      <w:r w:rsidRPr="00661595">
        <w:rPr>
          <w:rFonts w:ascii="Times New Roman" w:hAnsi="Times New Roman" w:cs="Times New Roman"/>
          <w:sz w:val="24"/>
          <w:u w:val="none"/>
          <w:lang w:val="en-GB"/>
        </w:rPr>
        <w:tab/>
      </w:r>
      <w:r w:rsidRPr="00661595">
        <w:rPr>
          <w:rFonts w:ascii="Times New Roman" w:hAnsi="Times New Roman" w:cs="Times New Roman"/>
          <w:sz w:val="24"/>
          <w:lang w:val="en-GB"/>
        </w:rPr>
        <w:t>Instructions concerning specific positions</w:t>
      </w:r>
      <w:bookmarkEnd w:id="416"/>
      <w:bookmarkEnd w:id="417"/>
    </w:p>
    <w:tbl>
      <w:tblPr>
        <w:tblW w:w="90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8"/>
        <w:gridCol w:w="7436"/>
      </w:tblGrid>
      <w:tr w:rsidR="00E026FB" w:rsidRPr="00661595" w:rsidTr="00E10B85">
        <w:tc>
          <w:tcPr>
            <w:tcW w:w="9004" w:type="dxa"/>
            <w:gridSpan w:val="2"/>
            <w:shd w:val="clear" w:color="auto" w:fill="CCCCCC"/>
          </w:tcPr>
          <w:p w:rsidR="00E026FB" w:rsidRPr="00661595" w:rsidRDefault="00E026FB" w:rsidP="00E10B85">
            <w:pPr>
              <w:autoSpaceDE w:val="0"/>
              <w:autoSpaceDN w:val="0"/>
              <w:adjustRightInd w:val="0"/>
              <w:spacing w:before="0" w:after="0"/>
              <w:ind w:left="426"/>
              <w:jc w:val="left"/>
              <w:rPr>
                <w:rFonts w:ascii="Times New Roman" w:hAnsi="Times New Roman"/>
                <w:sz w:val="24"/>
                <w:lang w:eastAsia="de-DE"/>
              </w:rPr>
            </w:pPr>
          </w:p>
          <w:p w:rsidR="00E026FB" w:rsidRPr="00661595" w:rsidRDefault="00E026FB" w:rsidP="00E10B85">
            <w:pPr>
              <w:autoSpaceDE w:val="0"/>
              <w:autoSpaceDN w:val="0"/>
              <w:adjustRightInd w:val="0"/>
              <w:spacing w:before="0" w:after="0"/>
              <w:rPr>
                <w:rFonts w:ascii="Times New Roman" w:hAnsi="Times New Roman"/>
                <w:b/>
                <w:bCs/>
                <w:sz w:val="24"/>
                <w:lang w:eastAsia="nl-BE"/>
              </w:rPr>
            </w:pPr>
            <w:r w:rsidRPr="00661595">
              <w:rPr>
                <w:rFonts w:ascii="Times New Roman" w:hAnsi="Times New Roman"/>
                <w:b/>
                <w:sz w:val="24"/>
                <w:lang w:eastAsia="de-DE"/>
              </w:rPr>
              <w:t>Columns</w:t>
            </w:r>
          </w:p>
          <w:p w:rsidR="00E026FB" w:rsidRPr="00661595" w:rsidRDefault="00E026FB" w:rsidP="00E10B85">
            <w:pPr>
              <w:autoSpaceDE w:val="0"/>
              <w:autoSpaceDN w:val="0"/>
              <w:adjustRightInd w:val="0"/>
              <w:spacing w:before="0" w:after="0"/>
              <w:rPr>
                <w:rFonts w:ascii="Times New Roman" w:hAnsi="Times New Roman"/>
                <w:bCs/>
                <w:sz w:val="24"/>
                <w:lang w:eastAsia="nl-BE"/>
              </w:rPr>
            </w:pPr>
          </w:p>
        </w:tc>
      </w:tr>
      <w:tr w:rsidR="00E026FB" w:rsidRPr="00661595" w:rsidTr="00E10B85">
        <w:tc>
          <w:tcPr>
            <w:tcW w:w="1568" w:type="dxa"/>
          </w:tcPr>
          <w:p w:rsidR="00E026FB" w:rsidRPr="00661595" w:rsidRDefault="00E026FB"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0010</w:t>
            </w:r>
          </w:p>
        </w:tc>
        <w:tc>
          <w:tcPr>
            <w:tcW w:w="7436" w:type="dxa"/>
          </w:tcPr>
          <w:p w:rsidR="00E026FB" w:rsidRPr="00661595" w:rsidRDefault="00E026FB" w:rsidP="00E10B85">
            <w:pPr>
              <w:spacing w:before="0" w:after="0"/>
              <w:jc w:val="left"/>
              <w:rPr>
                <w:rFonts w:ascii="Times New Roman" w:hAnsi="Times New Roman"/>
                <w:sz w:val="24"/>
              </w:rPr>
            </w:pPr>
            <w:r w:rsidRPr="00661595">
              <w:rPr>
                <w:rFonts w:ascii="Times New Roman" w:hAnsi="Times New Roman"/>
                <w:b/>
                <w:sz w:val="24"/>
                <w:u w:val="single"/>
              </w:rPr>
              <w:t>TOTAL AMOUNT OF SECURITISATION EXPOSURES ORIGINATED</w:t>
            </w:r>
          </w:p>
          <w:p w:rsidR="00E026FB" w:rsidRPr="00661595" w:rsidRDefault="00E026FB" w:rsidP="00E10B85">
            <w:pPr>
              <w:spacing w:before="0" w:after="0"/>
              <w:jc w:val="left"/>
              <w:rPr>
                <w:rFonts w:ascii="Times New Roman" w:hAnsi="Times New Roman"/>
                <w:sz w:val="24"/>
              </w:rPr>
            </w:pPr>
          </w:p>
          <w:p w:rsidR="00E026FB" w:rsidRPr="00661595" w:rsidRDefault="00E026FB"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 xml:space="preserve">Originator institutions </w:t>
            </w:r>
            <w:r w:rsidR="007A00D6" w:rsidRPr="00661595">
              <w:rPr>
                <w:rFonts w:ascii="Times New Roman" w:hAnsi="Times New Roman"/>
                <w:sz w:val="24"/>
              </w:rPr>
              <w:t>shall</w:t>
            </w:r>
            <w:r w:rsidRPr="00661595">
              <w:rPr>
                <w:rFonts w:ascii="Times New Roman" w:hAnsi="Times New Roman"/>
                <w:sz w:val="24"/>
              </w:rPr>
              <w:t xml:space="preserve"> report the outstanding amount at the reporting date of all current securitisation exposures originated in the securitisation transaction, irrespective of who holds the positions. As such, on-balance sheet securitisation exposures (e.g. bonds, subordinated loans) as well as off-balance sheet exposures and derivatives (e.g. subordinated credit lines, liquidity facilities, interest rate swaps, credit default swaps, etc.) that have been originated in the securitisation shall be reported. </w:t>
            </w:r>
          </w:p>
          <w:p w:rsidR="00E026FB" w:rsidRPr="00661595" w:rsidRDefault="00E026FB" w:rsidP="00E10B85">
            <w:pPr>
              <w:autoSpaceDE w:val="0"/>
              <w:autoSpaceDN w:val="0"/>
              <w:adjustRightInd w:val="0"/>
              <w:spacing w:before="0" w:after="0"/>
              <w:rPr>
                <w:rFonts w:ascii="Times New Roman" w:hAnsi="Times New Roman"/>
                <w:sz w:val="24"/>
              </w:rPr>
            </w:pPr>
          </w:p>
          <w:p w:rsidR="00E026FB" w:rsidRPr="00661595" w:rsidRDefault="00E026FB"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In case of traditional securitisations where the originator does not hold any position, the originator shall not consider that securitisation in the reporting of this template. For th</w:t>
            </w:r>
            <w:r w:rsidR="00D021AF" w:rsidRPr="00661595">
              <w:rPr>
                <w:rFonts w:ascii="Times New Roman" w:hAnsi="Times New Roman"/>
                <w:sz w:val="24"/>
              </w:rPr>
              <w:t>at</w:t>
            </w:r>
            <w:r w:rsidRPr="00661595">
              <w:rPr>
                <w:rFonts w:ascii="Times New Roman" w:hAnsi="Times New Roman"/>
                <w:sz w:val="24"/>
              </w:rPr>
              <w:t xml:space="preserve"> purpose</w:t>
            </w:r>
            <w:r w:rsidR="00D021AF" w:rsidRPr="00661595">
              <w:rPr>
                <w:rFonts w:ascii="Times New Roman" w:hAnsi="Times New Roman"/>
                <w:sz w:val="24"/>
              </w:rPr>
              <w:t>,</w:t>
            </w:r>
            <w:r w:rsidRPr="00661595">
              <w:rPr>
                <w:rFonts w:ascii="Times New Roman" w:hAnsi="Times New Roman"/>
                <w:sz w:val="24"/>
              </w:rPr>
              <w:t xml:space="preserve"> securitisation positions held by the originator </w:t>
            </w:r>
            <w:r w:rsidR="007A00D6" w:rsidRPr="00661595">
              <w:rPr>
                <w:rFonts w:ascii="Times New Roman" w:hAnsi="Times New Roman"/>
                <w:sz w:val="24"/>
              </w:rPr>
              <w:t xml:space="preserve">shall </w:t>
            </w:r>
            <w:r w:rsidRPr="00661595">
              <w:rPr>
                <w:rFonts w:ascii="Times New Roman" w:hAnsi="Times New Roman"/>
                <w:sz w:val="24"/>
              </w:rPr>
              <w:t>include early amortisation provisions</w:t>
            </w:r>
            <w:r w:rsidR="00D021AF" w:rsidRPr="00661595">
              <w:rPr>
                <w:rFonts w:ascii="Times New Roman" w:hAnsi="Times New Roman"/>
                <w:sz w:val="24"/>
              </w:rPr>
              <w:t>,</w:t>
            </w:r>
            <w:r w:rsidRPr="00661595">
              <w:rPr>
                <w:rFonts w:ascii="Times New Roman" w:hAnsi="Times New Roman"/>
                <w:sz w:val="24"/>
              </w:rPr>
              <w:t xml:space="preserve"> </w:t>
            </w:r>
            <w:r w:rsidR="00D021AF" w:rsidRPr="00661595">
              <w:rPr>
                <w:rFonts w:ascii="Times New Roman" w:hAnsi="Times New Roman"/>
                <w:sz w:val="24"/>
              </w:rPr>
              <w:t xml:space="preserve">as defined in Article 242(16) CRR, </w:t>
            </w:r>
            <w:r w:rsidRPr="00661595">
              <w:rPr>
                <w:rFonts w:ascii="Times New Roman" w:hAnsi="Times New Roman"/>
                <w:sz w:val="24"/>
              </w:rPr>
              <w:t>in a securitisation of revolving exposures.</w:t>
            </w:r>
          </w:p>
          <w:p w:rsidR="00E026FB" w:rsidRPr="00661595" w:rsidRDefault="00E026FB" w:rsidP="00E10B85">
            <w:pPr>
              <w:autoSpaceDE w:val="0"/>
              <w:autoSpaceDN w:val="0"/>
              <w:adjustRightInd w:val="0"/>
              <w:spacing w:before="0" w:after="0"/>
              <w:rPr>
                <w:rFonts w:ascii="Times New Roman" w:hAnsi="Times New Roman"/>
                <w:bCs/>
                <w:sz w:val="24"/>
                <w:lang w:eastAsia="nl-BE"/>
              </w:rPr>
            </w:pPr>
          </w:p>
        </w:tc>
      </w:tr>
      <w:tr w:rsidR="00E026FB" w:rsidRPr="00661595" w:rsidTr="00E10B85">
        <w:tc>
          <w:tcPr>
            <w:tcW w:w="1568" w:type="dxa"/>
          </w:tcPr>
          <w:p w:rsidR="00E026FB" w:rsidRPr="00661595" w:rsidRDefault="00E026FB"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0020-0040</w:t>
            </w:r>
          </w:p>
        </w:tc>
        <w:tc>
          <w:tcPr>
            <w:tcW w:w="7436" w:type="dxa"/>
          </w:tcPr>
          <w:p w:rsidR="00E026FB" w:rsidRPr="00661595" w:rsidRDefault="00E026FB" w:rsidP="00E10B85">
            <w:pPr>
              <w:spacing w:before="0" w:after="0"/>
              <w:jc w:val="left"/>
              <w:rPr>
                <w:rFonts w:ascii="Times New Roman" w:hAnsi="Times New Roman"/>
                <w:b/>
                <w:sz w:val="24"/>
                <w:u w:val="single"/>
              </w:rPr>
            </w:pPr>
            <w:r w:rsidRPr="00661595">
              <w:rPr>
                <w:rFonts w:ascii="Times New Roman" w:hAnsi="Times New Roman"/>
                <w:b/>
                <w:sz w:val="24"/>
                <w:u w:val="single"/>
              </w:rPr>
              <w:t>SYNTHETIC SECURITISATIONS: CREDIT PROTECTION TO THE SECURITISED EXPOSURES</w:t>
            </w:r>
          </w:p>
          <w:p w:rsidR="00E026FB" w:rsidRPr="00661595" w:rsidRDefault="00E026FB" w:rsidP="00E10B85">
            <w:pPr>
              <w:spacing w:before="0" w:after="0"/>
              <w:jc w:val="left"/>
              <w:rPr>
                <w:rFonts w:ascii="Times New Roman" w:hAnsi="Times New Roman"/>
                <w:sz w:val="24"/>
              </w:rPr>
            </w:pPr>
          </w:p>
          <w:p w:rsidR="00E026FB" w:rsidRPr="00661595" w:rsidRDefault="00E026FB" w:rsidP="00E10B85">
            <w:pPr>
              <w:spacing w:before="0" w:after="0"/>
              <w:rPr>
                <w:rFonts w:ascii="Times New Roman" w:hAnsi="Times New Roman"/>
                <w:sz w:val="24"/>
              </w:rPr>
            </w:pPr>
            <w:r w:rsidRPr="00661595">
              <w:rPr>
                <w:rFonts w:ascii="Times New Roman" w:hAnsi="Times New Roman"/>
                <w:sz w:val="24"/>
              </w:rPr>
              <w:t xml:space="preserve">Articles 251 and 252 </w:t>
            </w:r>
            <w:r w:rsidR="00C7103D" w:rsidRPr="00661595">
              <w:rPr>
                <w:rFonts w:ascii="Times New Roman" w:hAnsi="Times New Roman"/>
                <w:sz w:val="24"/>
              </w:rPr>
              <w:t>CRR</w:t>
            </w:r>
            <w:r w:rsidRPr="00661595">
              <w:rPr>
                <w:rFonts w:ascii="Times New Roman" w:hAnsi="Times New Roman"/>
                <w:sz w:val="24"/>
              </w:rPr>
              <w:t xml:space="preserve">. </w:t>
            </w:r>
          </w:p>
          <w:p w:rsidR="00E026FB" w:rsidRPr="00661595" w:rsidRDefault="00E026FB" w:rsidP="00E10B85">
            <w:pPr>
              <w:spacing w:before="0" w:after="0"/>
              <w:rPr>
                <w:rFonts w:ascii="Times New Roman" w:hAnsi="Times New Roman"/>
                <w:sz w:val="24"/>
              </w:rPr>
            </w:pPr>
          </w:p>
          <w:p w:rsidR="00E026FB" w:rsidRPr="00661595" w:rsidRDefault="00E026FB" w:rsidP="00E10B85">
            <w:pPr>
              <w:spacing w:before="0" w:after="0"/>
              <w:rPr>
                <w:rFonts w:ascii="Times New Roman" w:hAnsi="Times New Roman"/>
                <w:sz w:val="24"/>
              </w:rPr>
            </w:pPr>
            <w:r w:rsidRPr="00661595">
              <w:rPr>
                <w:rFonts w:ascii="Times New Roman" w:hAnsi="Times New Roman"/>
                <w:sz w:val="24"/>
              </w:rPr>
              <w:t xml:space="preserve">Maturity mismatches shall not be taken into account in the adjusted value of the credit risk mitigation techniques involved in the securitisation structure. </w:t>
            </w:r>
          </w:p>
          <w:p w:rsidR="00E026FB" w:rsidRPr="00661595" w:rsidRDefault="00E026FB" w:rsidP="00E10B85">
            <w:pPr>
              <w:spacing w:before="0" w:after="0"/>
              <w:rPr>
                <w:rFonts w:ascii="Times New Roman" w:hAnsi="Times New Roman"/>
                <w:bCs/>
                <w:sz w:val="24"/>
                <w:lang w:eastAsia="nl-BE"/>
              </w:rPr>
            </w:pPr>
          </w:p>
        </w:tc>
      </w:tr>
      <w:tr w:rsidR="00E026FB" w:rsidRPr="00661595" w:rsidTr="00E10B85">
        <w:tc>
          <w:tcPr>
            <w:tcW w:w="1568" w:type="dxa"/>
          </w:tcPr>
          <w:p w:rsidR="00E026FB" w:rsidRPr="00661595" w:rsidRDefault="00E026FB"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0020</w:t>
            </w:r>
          </w:p>
        </w:tc>
        <w:tc>
          <w:tcPr>
            <w:tcW w:w="7436" w:type="dxa"/>
          </w:tcPr>
          <w:p w:rsidR="00E026FB" w:rsidRPr="00661595" w:rsidRDefault="00E026FB" w:rsidP="00E10B85">
            <w:pPr>
              <w:spacing w:before="0" w:after="0"/>
              <w:jc w:val="left"/>
              <w:rPr>
                <w:rFonts w:ascii="Times New Roman" w:hAnsi="Times New Roman"/>
                <w:b/>
                <w:strike/>
                <w:sz w:val="24"/>
                <w:u w:val="single"/>
                <w:lang w:eastAsia="es-ES_tradnl"/>
              </w:rPr>
            </w:pPr>
            <w:r w:rsidRPr="00661595">
              <w:rPr>
                <w:rFonts w:ascii="Times New Roman" w:hAnsi="Times New Roman"/>
                <w:b/>
                <w:sz w:val="24"/>
                <w:u w:val="single"/>
                <w:lang w:eastAsia="es-ES_tradnl"/>
              </w:rPr>
              <w:t>(-) FUNDED CREDIT PROTECTION (C</w:t>
            </w:r>
            <w:r w:rsidRPr="00661595">
              <w:rPr>
                <w:rFonts w:ascii="Times New Roman" w:hAnsi="Times New Roman"/>
                <w:b/>
                <w:sz w:val="24"/>
                <w:u w:val="single"/>
                <w:vertAlign w:val="subscript"/>
                <w:lang w:eastAsia="es-ES_tradnl"/>
              </w:rPr>
              <w:t>VA</w:t>
            </w:r>
            <w:r w:rsidRPr="00661595">
              <w:rPr>
                <w:rFonts w:ascii="Times New Roman" w:hAnsi="Times New Roman"/>
                <w:b/>
                <w:sz w:val="24"/>
                <w:u w:val="single"/>
                <w:lang w:eastAsia="es-ES_tradnl"/>
              </w:rPr>
              <w:t>)</w:t>
            </w:r>
            <w:r w:rsidRPr="00661595">
              <w:rPr>
                <w:rFonts w:ascii="Times New Roman" w:hAnsi="Times New Roman"/>
                <w:b/>
                <w:sz w:val="24"/>
                <w:u w:val="single"/>
              </w:rPr>
              <w:t xml:space="preserve"> </w:t>
            </w:r>
          </w:p>
          <w:p w:rsidR="00E026FB" w:rsidRPr="00661595" w:rsidRDefault="00E026FB" w:rsidP="00E10B85">
            <w:pPr>
              <w:spacing w:before="0" w:after="0"/>
              <w:jc w:val="left"/>
              <w:rPr>
                <w:rFonts w:ascii="Times New Roman" w:hAnsi="Times New Roman"/>
                <w:sz w:val="24"/>
                <w:lang w:eastAsia="es-ES_tradnl"/>
              </w:rPr>
            </w:pPr>
          </w:p>
          <w:p w:rsidR="00E026FB" w:rsidRPr="00661595" w:rsidRDefault="00E026FB" w:rsidP="00E10B85">
            <w:pPr>
              <w:autoSpaceDE w:val="0"/>
              <w:autoSpaceDN w:val="0"/>
              <w:adjustRightInd w:val="0"/>
              <w:spacing w:before="0" w:after="0"/>
              <w:rPr>
                <w:rFonts w:ascii="Times New Roman" w:hAnsi="Times New Roman"/>
                <w:sz w:val="24"/>
                <w:lang w:eastAsia="es-ES_tradnl"/>
              </w:rPr>
            </w:pPr>
            <w:r w:rsidRPr="00661595">
              <w:rPr>
                <w:rFonts w:ascii="Times New Roman" w:hAnsi="Times New Roman"/>
                <w:sz w:val="24"/>
                <w:lang w:eastAsia="es-ES_tradnl"/>
              </w:rPr>
              <w:t>The detailed calculation procedure of the volatility-adjusted value of the collateral (C</w:t>
            </w:r>
            <w:r w:rsidRPr="00661595">
              <w:rPr>
                <w:rFonts w:ascii="Times New Roman" w:hAnsi="Times New Roman"/>
                <w:sz w:val="24"/>
                <w:vertAlign w:val="subscript"/>
                <w:lang w:eastAsia="es-ES_tradnl"/>
              </w:rPr>
              <w:t>VA</w:t>
            </w:r>
            <w:r w:rsidRPr="00661595">
              <w:rPr>
                <w:rFonts w:ascii="Times New Roman" w:hAnsi="Times New Roman"/>
                <w:sz w:val="24"/>
                <w:lang w:eastAsia="es-ES_tradnl"/>
              </w:rPr>
              <w:t xml:space="preserve">) which </w:t>
            </w:r>
            <w:r w:rsidR="007A00D6" w:rsidRPr="00661595">
              <w:rPr>
                <w:rFonts w:ascii="Times New Roman" w:hAnsi="Times New Roman"/>
                <w:sz w:val="24"/>
                <w:lang w:eastAsia="es-ES_tradnl"/>
              </w:rPr>
              <w:t>shall</w:t>
            </w:r>
            <w:r w:rsidRPr="00661595">
              <w:rPr>
                <w:rFonts w:ascii="Times New Roman" w:hAnsi="Times New Roman"/>
                <w:sz w:val="24"/>
                <w:lang w:eastAsia="es-ES_tradnl"/>
              </w:rPr>
              <w:t xml:space="preserve"> be reported in this column is </w:t>
            </w:r>
            <w:r w:rsidR="00D021AF" w:rsidRPr="00661595">
              <w:rPr>
                <w:rFonts w:ascii="Times New Roman" w:hAnsi="Times New Roman"/>
                <w:sz w:val="24"/>
                <w:lang w:eastAsia="es-ES_tradnl"/>
              </w:rPr>
              <w:t xml:space="preserve">laid down </w:t>
            </w:r>
            <w:r w:rsidRPr="00661595">
              <w:rPr>
                <w:rFonts w:ascii="Times New Roman" w:hAnsi="Times New Roman"/>
                <w:sz w:val="24"/>
                <w:lang w:eastAsia="es-ES_tradnl"/>
              </w:rPr>
              <w:t xml:space="preserve">in Article 223(2) </w:t>
            </w:r>
            <w:r w:rsidR="00C7103D" w:rsidRPr="00661595">
              <w:rPr>
                <w:rFonts w:ascii="Times New Roman" w:hAnsi="Times New Roman"/>
                <w:sz w:val="24"/>
                <w:lang w:eastAsia="es-ES_tradnl"/>
              </w:rPr>
              <w:t>CRR</w:t>
            </w:r>
            <w:r w:rsidRPr="00661595">
              <w:rPr>
                <w:rFonts w:ascii="Times New Roman" w:hAnsi="Times New Roman"/>
                <w:sz w:val="24"/>
                <w:lang w:eastAsia="es-ES_tradnl"/>
              </w:rPr>
              <w:t>.</w:t>
            </w:r>
          </w:p>
          <w:p w:rsidR="00E026FB" w:rsidRPr="00661595" w:rsidRDefault="00E026FB" w:rsidP="00E10B85">
            <w:pPr>
              <w:spacing w:before="0" w:after="0"/>
              <w:jc w:val="left"/>
              <w:rPr>
                <w:rFonts w:ascii="Times New Roman" w:hAnsi="Times New Roman"/>
                <w:b/>
                <w:sz w:val="24"/>
                <w:u w:val="single"/>
              </w:rPr>
            </w:pPr>
          </w:p>
        </w:tc>
      </w:tr>
      <w:tr w:rsidR="00E026FB" w:rsidRPr="00661595" w:rsidTr="00E10B85">
        <w:tc>
          <w:tcPr>
            <w:tcW w:w="1568" w:type="dxa"/>
          </w:tcPr>
          <w:p w:rsidR="00E026FB" w:rsidRPr="00661595" w:rsidRDefault="00E026FB"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0030</w:t>
            </w:r>
          </w:p>
        </w:tc>
        <w:tc>
          <w:tcPr>
            <w:tcW w:w="7436" w:type="dxa"/>
          </w:tcPr>
          <w:p w:rsidR="00E026FB" w:rsidRPr="00661595" w:rsidRDefault="00E026FB" w:rsidP="00E10B85">
            <w:pPr>
              <w:spacing w:before="0" w:after="0"/>
              <w:jc w:val="left"/>
              <w:rPr>
                <w:rFonts w:ascii="Times New Roman" w:hAnsi="Times New Roman"/>
                <w:b/>
                <w:sz w:val="24"/>
                <w:u w:val="single"/>
                <w:lang w:eastAsia="es-ES_tradnl"/>
              </w:rPr>
            </w:pPr>
            <w:r w:rsidRPr="00661595">
              <w:rPr>
                <w:rFonts w:ascii="Times New Roman" w:hAnsi="Times New Roman"/>
                <w:b/>
                <w:sz w:val="24"/>
                <w:u w:val="single"/>
                <w:lang w:eastAsia="es-ES_tradnl"/>
              </w:rPr>
              <w:t xml:space="preserve">(-) TOTAL OUTFLOWS: UNFUNDED CREDIT PROTECTION ADJUSTED VALUES (G*) </w:t>
            </w:r>
          </w:p>
          <w:p w:rsidR="00E026FB" w:rsidRPr="00661595" w:rsidRDefault="00E026FB" w:rsidP="00E10B85">
            <w:pPr>
              <w:spacing w:before="0" w:after="0"/>
              <w:jc w:val="left"/>
              <w:rPr>
                <w:rFonts w:ascii="Times New Roman" w:hAnsi="Times New Roman"/>
                <w:sz w:val="24"/>
                <w:lang w:eastAsia="es-ES_tradnl"/>
              </w:rPr>
            </w:pPr>
          </w:p>
          <w:p w:rsidR="00E026FB" w:rsidRPr="00661595" w:rsidRDefault="00E026FB" w:rsidP="00E10B85">
            <w:pPr>
              <w:spacing w:before="0" w:after="0"/>
              <w:rPr>
                <w:rFonts w:ascii="Times New Roman" w:hAnsi="Times New Roman"/>
                <w:sz w:val="24"/>
              </w:rPr>
            </w:pPr>
            <w:r w:rsidRPr="00661595">
              <w:rPr>
                <w:rFonts w:ascii="Times New Roman" w:hAnsi="Times New Roman"/>
                <w:sz w:val="24"/>
              </w:rPr>
              <w:t>Following the general rule for “inflows” and “outflows”</w:t>
            </w:r>
            <w:r w:rsidR="00D021AF" w:rsidRPr="00661595">
              <w:rPr>
                <w:rFonts w:ascii="Times New Roman" w:hAnsi="Times New Roman"/>
                <w:sz w:val="24"/>
              </w:rPr>
              <w:t>,</w:t>
            </w:r>
            <w:r w:rsidRPr="00661595">
              <w:rPr>
                <w:rFonts w:ascii="Times New Roman" w:hAnsi="Times New Roman"/>
                <w:sz w:val="24"/>
              </w:rPr>
              <w:t xml:space="preserve"> the amounts reported under this column shall appear as “inflows” in the corresponding credit risk template (CR SA or CR IRB) and exposure class </w:t>
            </w:r>
            <w:r w:rsidR="006B2333" w:rsidRPr="00661595">
              <w:rPr>
                <w:rFonts w:ascii="Times New Roman" w:hAnsi="Times New Roman"/>
                <w:sz w:val="24"/>
              </w:rPr>
              <w:t xml:space="preserve">to which the reporting entity allocates the protection provider </w:t>
            </w:r>
            <w:r w:rsidRPr="00661595">
              <w:rPr>
                <w:rFonts w:ascii="Times New Roman" w:hAnsi="Times New Roman"/>
                <w:sz w:val="24"/>
              </w:rPr>
              <w:t>(i.e. the third party to which the tranche is transferred by means of unfunded credit protection).</w:t>
            </w:r>
          </w:p>
          <w:p w:rsidR="00E026FB" w:rsidRPr="00661595" w:rsidRDefault="00E026FB" w:rsidP="00E10B85">
            <w:pPr>
              <w:spacing w:before="0" w:after="0"/>
              <w:jc w:val="left"/>
              <w:rPr>
                <w:rFonts w:ascii="Times New Roman" w:hAnsi="Times New Roman"/>
                <w:sz w:val="24"/>
                <w:lang w:eastAsia="es-ES_tradnl"/>
              </w:rPr>
            </w:pPr>
          </w:p>
          <w:p w:rsidR="00E026FB" w:rsidRPr="00661595" w:rsidRDefault="00E026FB" w:rsidP="00E10B85">
            <w:pPr>
              <w:autoSpaceDE w:val="0"/>
              <w:autoSpaceDN w:val="0"/>
              <w:adjustRightInd w:val="0"/>
              <w:spacing w:before="0" w:after="0"/>
              <w:rPr>
                <w:rFonts w:ascii="Times New Roman" w:hAnsi="Times New Roman"/>
                <w:sz w:val="24"/>
                <w:lang w:eastAsia="es-ES_tradnl"/>
              </w:rPr>
            </w:pPr>
            <w:r w:rsidRPr="00661595">
              <w:rPr>
                <w:rFonts w:ascii="Times New Roman" w:hAnsi="Times New Roman"/>
                <w:sz w:val="24"/>
                <w:lang w:eastAsia="es-ES_tradnl"/>
              </w:rPr>
              <w:t xml:space="preserve">The calculation procedure of the ‘foreign exchange risk’- adjusted nominal amount of the credit protection (G*) is </w:t>
            </w:r>
            <w:r w:rsidR="00D021AF" w:rsidRPr="00661595">
              <w:rPr>
                <w:rFonts w:ascii="Times New Roman" w:hAnsi="Times New Roman"/>
                <w:sz w:val="24"/>
                <w:lang w:eastAsia="es-ES_tradnl"/>
              </w:rPr>
              <w:t xml:space="preserve">laid down </w:t>
            </w:r>
            <w:r w:rsidRPr="00661595">
              <w:rPr>
                <w:rFonts w:ascii="Times New Roman" w:hAnsi="Times New Roman"/>
                <w:sz w:val="24"/>
                <w:lang w:eastAsia="es-ES_tradnl"/>
              </w:rPr>
              <w:t xml:space="preserve">in Article 233(3) </w:t>
            </w:r>
            <w:r w:rsidR="00C7103D" w:rsidRPr="00661595">
              <w:rPr>
                <w:rFonts w:ascii="Times New Roman" w:hAnsi="Times New Roman"/>
                <w:sz w:val="24"/>
                <w:lang w:eastAsia="es-ES_tradnl"/>
              </w:rPr>
              <w:t>CRR</w:t>
            </w:r>
            <w:r w:rsidRPr="00661595">
              <w:rPr>
                <w:rFonts w:ascii="Times New Roman" w:hAnsi="Times New Roman"/>
                <w:sz w:val="24"/>
                <w:lang w:eastAsia="es-ES_tradnl"/>
              </w:rPr>
              <w:t>.</w:t>
            </w:r>
          </w:p>
          <w:p w:rsidR="00E026FB" w:rsidRPr="00661595" w:rsidRDefault="00E026FB" w:rsidP="00E10B85">
            <w:pPr>
              <w:autoSpaceDE w:val="0"/>
              <w:autoSpaceDN w:val="0"/>
              <w:adjustRightInd w:val="0"/>
              <w:spacing w:before="0" w:after="0"/>
              <w:jc w:val="left"/>
              <w:rPr>
                <w:rFonts w:ascii="Times New Roman" w:hAnsi="Times New Roman"/>
                <w:bCs/>
                <w:sz w:val="24"/>
                <w:lang w:eastAsia="nl-BE"/>
              </w:rPr>
            </w:pPr>
          </w:p>
        </w:tc>
      </w:tr>
      <w:tr w:rsidR="00E026FB" w:rsidRPr="00661595" w:rsidTr="00E10B85">
        <w:tc>
          <w:tcPr>
            <w:tcW w:w="1568" w:type="dxa"/>
          </w:tcPr>
          <w:p w:rsidR="00E026FB" w:rsidRPr="00661595" w:rsidRDefault="00E026FB"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0040</w:t>
            </w:r>
          </w:p>
        </w:tc>
        <w:tc>
          <w:tcPr>
            <w:tcW w:w="7436" w:type="dxa"/>
          </w:tcPr>
          <w:p w:rsidR="00E026FB" w:rsidRPr="00661595" w:rsidRDefault="00E026FB" w:rsidP="00E10B85">
            <w:pPr>
              <w:spacing w:before="0" w:after="0"/>
              <w:jc w:val="left"/>
              <w:rPr>
                <w:rFonts w:ascii="Times New Roman" w:hAnsi="Times New Roman"/>
                <w:b/>
                <w:sz w:val="24"/>
                <w:u w:val="single"/>
                <w:lang w:eastAsia="es-ES_tradnl"/>
              </w:rPr>
            </w:pPr>
            <w:r w:rsidRPr="00661595">
              <w:rPr>
                <w:rFonts w:ascii="Times New Roman" w:hAnsi="Times New Roman"/>
                <w:b/>
                <w:sz w:val="24"/>
                <w:u w:val="single"/>
                <w:lang w:eastAsia="es-ES_tradnl"/>
              </w:rPr>
              <w:t>NOTIONAL AMOUNT RETAINED OR REPURCHASED OF CREDIT PROTECTION</w:t>
            </w:r>
          </w:p>
          <w:p w:rsidR="00E026FB" w:rsidRPr="00661595" w:rsidRDefault="00E026FB" w:rsidP="00E10B85">
            <w:pPr>
              <w:spacing w:before="0" w:after="0"/>
              <w:jc w:val="left"/>
              <w:rPr>
                <w:rFonts w:ascii="Times New Roman" w:hAnsi="Times New Roman"/>
                <w:sz w:val="24"/>
                <w:lang w:eastAsia="es-ES_tradnl"/>
              </w:rPr>
            </w:pPr>
          </w:p>
          <w:p w:rsidR="00E026FB" w:rsidRPr="00661595" w:rsidRDefault="00E026FB" w:rsidP="00E10B85">
            <w:pPr>
              <w:autoSpaceDE w:val="0"/>
              <w:autoSpaceDN w:val="0"/>
              <w:adjustRightInd w:val="0"/>
              <w:spacing w:before="0" w:after="0"/>
              <w:rPr>
                <w:rFonts w:ascii="Times New Roman" w:hAnsi="Times New Roman"/>
                <w:sz w:val="24"/>
                <w:lang w:eastAsia="es-ES_tradnl"/>
              </w:rPr>
            </w:pPr>
            <w:r w:rsidRPr="00661595">
              <w:rPr>
                <w:rFonts w:ascii="Times New Roman" w:hAnsi="Times New Roman"/>
                <w:sz w:val="24"/>
                <w:lang w:eastAsia="es-ES_tradnl"/>
              </w:rPr>
              <w:t>All tranches which have been retained or bought back, e.g. retained first loss positions, shall be reported with their nominal amount.</w:t>
            </w:r>
          </w:p>
          <w:p w:rsidR="00E026FB" w:rsidRPr="00661595" w:rsidRDefault="00E026FB" w:rsidP="00E10B85">
            <w:pPr>
              <w:autoSpaceDE w:val="0"/>
              <w:autoSpaceDN w:val="0"/>
              <w:adjustRightInd w:val="0"/>
              <w:spacing w:before="0" w:after="0"/>
              <w:rPr>
                <w:rFonts w:ascii="Times New Roman" w:hAnsi="Times New Roman"/>
                <w:bCs/>
                <w:sz w:val="24"/>
                <w:lang w:eastAsia="nl-BE"/>
              </w:rPr>
            </w:pPr>
          </w:p>
          <w:p w:rsidR="00E026FB" w:rsidRPr="00661595" w:rsidRDefault="00E026FB" w:rsidP="00E10B85">
            <w:pPr>
              <w:autoSpaceDE w:val="0"/>
              <w:autoSpaceDN w:val="0"/>
              <w:adjustRightInd w:val="0"/>
              <w:spacing w:before="0" w:after="0"/>
              <w:rPr>
                <w:rFonts w:ascii="Times New Roman" w:hAnsi="Times New Roman"/>
                <w:sz w:val="24"/>
                <w:lang w:eastAsia="es-ES_tradnl"/>
              </w:rPr>
            </w:pPr>
            <w:r w:rsidRPr="00661595">
              <w:rPr>
                <w:rFonts w:ascii="Times New Roman" w:hAnsi="Times New Roman"/>
                <w:sz w:val="24"/>
                <w:lang w:eastAsia="es-ES_tradnl"/>
              </w:rPr>
              <w:t>The effect of supervisory haircuts in the credit protection shall not be taken into account when computing the retained or repurchased amount of credit protection.</w:t>
            </w:r>
          </w:p>
          <w:p w:rsidR="00E026FB" w:rsidRPr="00661595" w:rsidRDefault="00E026FB" w:rsidP="00E10B85">
            <w:pPr>
              <w:autoSpaceDE w:val="0"/>
              <w:autoSpaceDN w:val="0"/>
              <w:adjustRightInd w:val="0"/>
              <w:spacing w:before="0" w:after="0"/>
              <w:rPr>
                <w:rFonts w:ascii="Times New Roman" w:hAnsi="Times New Roman"/>
                <w:bCs/>
                <w:sz w:val="24"/>
                <w:lang w:eastAsia="nl-BE"/>
              </w:rPr>
            </w:pPr>
          </w:p>
        </w:tc>
      </w:tr>
      <w:tr w:rsidR="00E026FB" w:rsidRPr="00661595" w:rsidTr="00E10B85">
        <w:tc>
          <w:tcPr>
            <w:tcW w:w="1568" w:type="dxa"/>
          </w:tcPr>
          <w:p w:rsidR="00E026FB" w:rsidRPr="00661595" w:rsidRDefault="00E026FB"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0050</w:t>
            </w:r>
          </w:p>
        </w:tc>
        <w:tc>
          <w:tcPr>
            <w:tcW w:w="7436" w:type="dxa"/>
          </w:tcPr>
          <w:p w:rsidR="00E026FB" w:rsidRPr="00661595" w:rsidRDefault="00E026FB" w:rsidP="00E10B85">
            <w:pPr>
              <w:spacing w:before="0" w:after="0"/>
              <w:rPr>
                <w:rFonts w:ascii="Times New Roman" w:hAnsi="Times New Roman"/>
                <w:b/>
                <w:sz w:val="24"/>
                <w:u w:val="single"/>
              </w:rPr>
            </w:pPr>
            <w:r w:rsidRPr="00661595">
              <w:rPr>
                <w:rFonts w:ascii="Times New Roman" w:hAnsi="Times New Roman"/>
                <w:b/>
                <w:sz w:val="24"/>
                <w:u w:val="single"/>
              </w:rPr>
              <w:t>SECURITISATION POSITIONS: ORIGINAL EXPOSURE PRE</w:t>
            </w:r>
            <w:r w:rsidR="007574C3" w:rsidRPr="00661595">
              <w:rPr>
                <w:rFonts w:ascii="Times New Roman" w:hAnsi="Times New Roman"/>
                <w:b/>
                <w:sz w:val="24"/>
                <w:u w:val="single"/>
              </w:rPr>
              <w:t>-</w:t>
            </w:r>
            <w:r w:rsidRPr="00661595">
              <w:rPr>
                <w:rFonts w:ascii="Times New Roman" w:hAnsi="Times New Roman"/>
                <w:b/>
                <w:sz w:val="24"/>
                <w:u w:val="single"/>
              </w:rPr>
              <w:t xml:space="preserve">CONVERSION FACTORS </w:t>
            </w:r>
          </w:p>
          <w:p w:rsidR="00E026FB" w:rsidRPr="00661595" w:rsidRDefault="00E026FB" w:rsidP="00E10B85">
            <w:pPr>
              <w:spacing w:before="0" w:after="0"/>
              <w:jc w:val="left"/>
              <w:rPr>
                <w:rFonts w:ascii="Times New Roman" w:hAnsi="Times New Roman"/>
                <w:sz w:val="24"/>
              </w:rPr>
            </w:pPr>
          </w:p>
          <w:p w:rsidR="00126395" w:rsidRPr="00661595" w:rsidRDefault="00A16FFF" w:rsidP="0002267E">
            <w:pPr>
              <w:autoSpaceDE w:val="0"/>
              <w:autoSpaceDN w:val="0"/>
              <w:adjustRightInd w:val="0"/>
              <w:spacing w:before="0" w:after="0"/>
              <w:jc w:val="left"/>
              <w:rPr>
                <w:rFonts w:ascii="Times New Roman" w:hAnsi="Times New Roman"/>
                <w:sz w:val="24"/>
                <w:lang w:eastAsia="es-ES_tradnl"/>
              </w:rPr>
            </w:pPr>
            <w:r w:rsidRPr="00661595">
              <w:rPr>
                <w:rFonts w:ascii="Times New Roman" w:hAnsi="Times New Roman"/>
                <w:sz w:val="24"/>
                <w:lang w:eastAsia="es-ES_tradnl"/>
              </w:rPr>
              <w:t>This column shall include t</w:t>
            </w:r>
            <w:r w:rsidR="00D021AF" w:rsidRPr="00661595">
              <w:rPr>
                <w:rFonts w:ascii="Times New Roman" w:hAnsi="Times New Roman"/>
                <w:sz w:val="24"/>
                <w:lang w:eastAsia="es-ES_tradnl"/>
              </w:rPr>
              <w:t>he exposure value</w:t>
            </w:r>
            <w:r w:rsidRPr="00661595">
              <w:rPr>
                <w:rFonts w:ascii="Times New Roman" w:hAnsi="Times New Roman"/>
                <w:sz w:val="24"/>
                <w:lang w:eastAsia="es-ES_tradnl"/>
              </w:rPr>
              <w:t>s</w:t>
            </w:r>
            <w:r w:rsidR="00D021AF" w:rsidRPr="00661595">
              <w:rPr>
                <w:rFonts w:ascii="Times New Roman" w:hAnsi="Times New Roman"/>
                <w:sz w:val="24"/>
                <w:lang w:eastAsia="es-ES_tradnl"/>
              </w:rPr>
              <w:t xml:space="preserve"> of s</w:t>
            </w:r>
            <w:r w:rsidR="00E026FB" w:rsidRPr="00661595">
              <w:rPr>
                <w:rFonts w:ascii="Times New Roman" w:hAnsi="Times New Roman"/>
                <w:sz w:val="24"/>
                <w:lang w:eastAsia="es-ES_tradnl"/>
              </w:rPr>
              <w:t xml:space="preserve">ecuritisation positions held by the reporting institution, calculated </w:t>
            </w:r>
            <w:r w:rsidR="00BB22D4" w:rsidRPr="00661595">
              <w:rPr>
                <w:rFonts w:ascii="Times New Roman" w:hAnsi="Times New Roman"/>
                <w:sz w:val="24"/>
                <w:lang w:eastAsia="es-ES_tradnl"/>
              </w:rPr>
              <w:t>in accordance with</w:t>
            </w:r>
            <w:r w:rsidR="00E026FB" w:rsidRPr="00661595">
              <w:rPr>
                <w:rFonts w:ascii="Times New Roman" w:hAnsi="Times New Roman"/>
                <w:sz w:val="24"/>
                <w:lang w:eastAsia="es-ES_tradnl"/>
              </w:rPr>
              <w:t xml:space="preserve"> </w:t>
            </w:r>
            <w:r w:rsidR="00D021AF" w:rsidRPr="00661595">
              <w:rPr>
                <w:rFonts w:ascii="Times New Roman" w:hAnsi="Times New Roman"/>
                <w:sz w:val="24"/>
                <w:lang w:eastAsia="es-ES_tradnl"/>
              </w:rPr>
              <w:t xml:space="preserve">paragraphs 1 and 2 of </w:t>
            </w:r>
            <w:r w:rsidR="00E026FB" w:rsidRPr="00661595">
              <w:rPr>
                <w:rFonts w:ascii="Times New Roman" w:hAnsi="Times New Roman"/>
                <w:sz w:val="24"/>
                <w:lang w:eastAsia="es-ES_tradnl"/>
              </w:rPr>
              <w:t xml:space="preserve">Article 248 </w:t>
            </w:r>
            <w:r w:rsidR="00C7103D" w:rsidRPr="00661595">
              <w:rPr>
                <w:rFonts w:ascii="Times New Roman" w:hAnsi="Times New Roman"/>
                <w:sz w:val="24"/>
                <w:lang w:eastAsia="es-ES_tradnl"/>
              </w:rPr>
              <w:t>CRR</w:t>
            </w:r>
            <w:r w:rsidR="00E026FB" w:rsidRPr="00661595">
              <w:rPr>
                <w:rFonts w:ascii="Times New Roman" w:hAnsi="Times New Roman"/>
                <w:sz w:val="24"/>
                <w:lang w:eastAsia="es-ES_tradnl"/>
              </w:rPr>
              <w:t>, without applying credit conversion factors, gross of value adjustments and provisions</w:t>
            </w:r>
            <w:r w:rsidR="00D021AF" w:rsidRPr="00661595">
              <w:rPr>
                <w:rFonts w:ascii="Times New Roman" w:hAnsi="Times New Roman"/>
                <w:sz w:val="24"/>
                <w:lang w:eastAsia="es-ES_tradnl"/>
              </w:rPr>
              <w:t>,</w:t>
            </w:r>
            <w:r w:rsidR="00E026FB" w:rsidRPr="00661595">
              <w:rPr>
                <w:rFonts w:ascii="Times New Roman" w:hAnsi="Times New Roman"/>
                <w:sz w:val="24"/>
                <w:lang w:eastAsia="es-ES_tradnl"/>
              </w:rPr>
              <w:t xml:space="preserve"> and any non-refundable purchase price discounts on the securitised exposures </w:t>
            </w:r>
            <w:r w:rsidR="00D021AF" w:rsidRPr="00661595">
              <w:rPr>
                <w:rFonts w:ascii="Times New Roman" w:hAnsi="Times New Roman"/>
                <w:sz w:val="24"/>
                <w:lang w:eastAsia="es-ES_tradnl"/>
              </w:rPr>
              <w:t xml:space="preserve">as referred to in </w:t>
            </w:r>
            <w:r w:rsidR="00DE223B" w:rsidRPr="00661595">
              <w:rPr>
                <w:rFonts w:ascii="Times New Roman" w:hAnsi="Times New Roman"/>
                <w:sz w:val="24"/>
                <w:lang w:eastAsia="es-ES_tradnl"/>
              </w:rPr>
              <w:t xml:space="preserve">point (d) of </w:t>
            </w:r>
            <w:r w:rsidR="00E026FB" w:rsidRPr="00661595">
              <w:rPr>
                <w:rFonts w:ascii="Times New Roman" w:hAnsi="Times New Roman"/>
                <w:sz w:val="24"/>
                <w:lang w:eastAsia="es-ES_tradnl"/>
              </w:rPr>
              <w:t>Art</w:t>
            </w:r>
            <w:r w:rsidR="00DE223B" w:rsidRPr="00661595">
              <w:rPr>
                <w:rFonts w:ascii="Times New Roman" w:hAnsi="Times New Roman"/>
                <w:sz w:val="24"/>
                <w:lang w:eastAsia="es-ES_tradnl"/>
              </w:rPr>
              <w:t>icle</w:t>
            </w:r>
            <w:r w:rsidR="00E026FB" w:rsidRPr="00661595">
              <w:rPr>
                <w:rFonts w:ascii="Times New Roman" w:hAnsi="Times New Roman"/>
                <w:sz w:val="24"/>
                <w:lang w:eastAsia="es-ES_tradnl"/>
              </w:rPr>
              <w:t xml:space="preserve"> 248(1) </w:t>
            </w:r>
            <w:r w:rsidR="00C7103D" w:rsidRPr="00661595">
              <w:rPr>
                <w:rFonts w:ascii="Times New Roman" w:hAnsi="Times New Roman"/>
                <w:sz w:val="24"/>
                <w:lang w:eastAsia="es-ES_tradnl"/>
              </w:rPr>
              <w:t>CRR</w:t>
            </w:r>
            <w:r w:rsidR="00D021AF" w:rsidRPr="00661595">
              <w:rPr>
                <w:rFonts w:ascii="Times New Roman" w:hAnsi="Times New Roman"/>
                <w:sz w:val="24"/>
                <w:lang w:eastAsia="es-ES_tradnl"/>
              </w:rPr>
              <w:t>,</w:t>
            </w:r>
            <w:r w:rsidR="00E026FB" w:rsidRPr="00661595">
              <w:rPr>
                <w:rFonts w:ascii="Times New Roman" w:hAnsi="Times New Roman"/>
                <w:sz w:val="24"/>
                <w:lang w:eastAsia="es-ES_tradnl"/>
              </w:rPr>
              <w:t xml:space="preserve"> and gross of value adjustments and provisions on the securitisation position.</w:t>
            </w:r>
          </w:p>
          <w:p w:rsidR="00A16FFF" w:rsidRPr="00661595" w:rsidRDefault="00A16FFF" w:rsidP="0002267E">
            <w:pPr>
              <w:autoSpaceDE w:val="0"/>
              <w:autoSpaceDN w:val="0"/>
              <w:adjustRightInd w:val="0"/>
              <w:spacing w:before="0" w:after="0"/>
              <w:jc w:val="left"/>
              <w:rPr>
                <w:rFonts w:ascii="Times New Roman" w:hAnsi="Times New Roman"/>
                <w:sz w:val="24"/>
                <w:lang w:eastAsia="es-ES_tradnl"/>
              </w:rPr>
            </w:pPr>
          </w:p>
          <w:p w:rsidR="00E026FB" w:rsidRPr="00661595" w:rsidRDefault="00E026FB" w:rsidP="00E10B85">
            <w:pPr>
              <w:autoSpaceDE w:val="0"/>
              <w:autoSpaceDN w:val="0"/>
              <w:adjustRightInd w:val="0"/>
              <w:spacing w:before="0" w:after="0"/>
              <w:rPr>
                <w:rFonts w:ascii="Times New Roman" w:hAnsi="Times New Roman"/>
                <w:sz w:val="24"/>
                <w:lang w:eastAsia="es-ES_tradnl"/>
              </w:rPr>
            </w:pPr>
            <w:r w:rsidRPr="00661595">
              <w:rPr>
                <w:rFonts w:ascii="Times New Roman" w:hAnsi="Times New Roman"/>
                <w:sz w:val="24"/>
                <w:lang w:eastAsia="es-ES_tradnl"/>
              </w:rPr>
              <w:t xml:space="preserve">Netting </w:t>
            </w:r>
            <w:r w:rsidR="00D021AF" w:rsidRPr="00661595">
              <w:rPr>
                <w:rFonts w:ascii="Times New Roman" w:hAnsi="Times New Roman"/>
                <w:sz w:val="24"/>
                <w:lang w:eastAsia="es-ES_tradnl"/>
              </w:rPr>
              <w:t>shall</w:t>
            </w:r>
            <w:r w:rsidRPr="00661595">
              <w:rPr>
                <w:rFonts w:ascii="Times New Roman" w:hAnsi="Times New Roman"/>
                <w:sz w:val="24"/>
                <w:lang w:eastAsia="es-ES_tradnl"/>
              </w:rPr>
              <w:t xml:space="preserve"> only </w:t>
            </w:r>
            <w:r w:rsidR="00D021AF" w:rsidRPr="00661595">
              <w:rPr>
                <w:rFonts w:ascii="Times New Roman" w:hAnsi="Times New Roman"/>
                <w:sz w:val="24"/>
                <w:lang w:eastAsia="es-ES_tradnl"/>
              </w:rPr>
              <w:t xml:space="preserve">be </w:t>
            </w:r>
            <w:r w:rsidRPr="00661595">
              <w:rPr>
                <w:rFonts w:ascii="Times New Roman" w:hAnsi="Times New Roman"/>
                <w:sz w:val="24"/>
                <w:lang w:eastAsia="es-ES_tradnl"/>
              </w:rPr>
              <w:t xml:space="preserve">relevant with respect to multiple derivative contracts provided to the same SSPE, covered by an eligible netting agreement. </w:t>
            </w:r>
          </w:p>
          <w:p w:rsidR="00E026FB" w:rsidRPr="00661595" w:rsidRDefault="00E026FB" w:rsidP="00E10B85">
            <w:pPr>
              <w:autoSpaceDE w:val="0"/>
              <w:autoSpaceDN w:val="0"/>
              <w:adjustRightInd w:val="0"/>
              <w:spacing w:before="0" w:after="0"/>
              <w:rPr>
                <w:rFonts w:ascii="Times New Roman" w:hAnsi="Times New Roman"/>
                <w:sz w:val="24"/>
                <w:lang w:eastAsia="es-ES_tradnl"/>
              </w:rPr>
            </w:pPr>
          </w:p>
          <w:p w:rsidR="00E026FB" w:rsidRPr="00661595" w:rsidRDefault="00E026FB" w:rsidP="00E10B85">
            <w:pPr>
              <w:autoSpaceDE w:val="0"/>
              <w:autoSpaceDN w:val="0"/>
              <w:adjustRightInd w:val="0"/>
              <w:spacing w:before="0" w:after="0"/>
              <w:rPr>
                <w:rFonts w:ascii="Times New Roman" w:hAnsi="Times New Roman"/>
                <w:sz w:val="24"/>
              </w:rPr>
            </w:pPr>
            <w:r w:rsidRPr="00661595">
              <w:rPr>
                <w:rFonts w:ascii="Times New Roman" w:hAnsi="Times New Roman"/>
                <w:sz w:val="24"/>
                <w:lang w:eastAsia="es-ES_tradnl"/>
              </w:rPr>
              <w:t>In synthetic securitisations, the positions held by the originator in the form of on-balance sheet items and/or investor’s interest shall be the result of the aggregation of columns 0010 to 0040.</w:t>
            </w:r>
          </w:p>
          <w:p w:rsidR="00E026FB" w:rsidRPr="00661595" w:rsidRDefault="00E026FB" w:rsidP="00E10B85">
            <w:pPr>
              <w:autoSpaceDE w:val="0"/>
              <w:autoSpaceDN w:val="0"/>
              <w:adjustRightInd w:val="0"/>
              <w:spacing w:before="0" w:after="0"/>
              <w:rPr>
                <w:rFonts w:ascii="Times New Roman" w:hAnsi="Times New Roman"/>
                <w:bCs/>
                <w:sz w:val="24"/>
                <w:lang w:eastAsia="nl-BE"/>
              </w:rPr>
            </w:pPr>
          </w:p>
        </w:tc>
      </w:tr>
      <w:tr w:rsidR="00E026FB" w:rsidRPr="00661595" w:rsidTr="00E10B85">
        <w:tc>
          <w:tcPr>
            <w:tcW w:w="1568" w:type="dxa"/>
          </w:tcPr>
          <w:p w:rsidR="00E026FB" w:rsidRPr="00661595" w:rsidRDefault="00E026FB"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0060</w:t>
            </w:r>
          </w:p>
        </w:tc>
        <w:tc>
          <w:tcPr>
            <w:tcW w:w="7436" w:type="dxa"/>
          </w:tcPr>
          <w:p w:rsidR="00E026FB" w:rsidRPr="00661595" w:rsidRDefault="00E026FB" w:rsidP="00E10B85">
            <w:pPr>
              <w:spacing w:before="0" w:after="0"/>
              <w:jc w:val="left"/>
              <w:rPr>
                <w:rFonts w:ascii="Times New Roman" w:hAnsi="Times New Roman"/>
                <w:b/>
                <w:sz w:val="24"/>
                <w:u w:val="single"/>
                <w:lang w:eastAsia="es-ES_tradnl"/>
              </w:rPr>
            </w:pPr>
            <w:r w:rsidRPr="00661595">
              <w:rPr>
                <w:rFonts w:ascii="Times New Roman" w:hAnsi="Times New Roman"/>
                <w:b/>
                <w:sz w:val="24"/>
                <w:u w:val="single"/>
                <w:lang w:eastAsia="es-ES_tradnl"/>
              </w:rPr>
              <w:t xml:space="preserve">(-) VALUE ADJUSTMENTS AND PROVISIONS </w:t>
            </w:r>
          </w:p>
          <w:p w:rsidR="00E026FB" w:rsidRPr="00661595" w:rsidRDefault="00E026FB" w:rsidP="00E10B85">
            <w:pPr>
              <w:pStyle w:val="ListParagraph"/>
              <w:spacing w:before="0" w:after="0"/>
              <w:ind w:left="284" w:hanging="284"/>
              <w:rPr>
                <w:rFonts w:ascii="Times New Roman" w:hAnsi="Times New Roman"/>
                <w:sz w:val="24"/>
                <w:lang w:eastAsia="es-ES_tradnl"/>
              </w:rPr>
            </w:pPr>
          </w:p>
          <w:p w:rsidR="00E026FB" w:rsidRPr="00661595" w:rsidRDefault="00E026FB" w:rsidP="00E10B85">
            <w:pPr>
              <w:autoSpaceDE w:val="0"/>
              <w:autoSpaceDN w:val="0"/>
              <w:adjustRightInd w:val="0"/>
              <w:spacing w:before="0" w:after="0"/>
              <w:rPr>
                <w:rFonts w:ascii="Times New Roman" w:hAnsi="Times New Roman"/>
                <w:sz w:val="24"/>
                <w:lang w:eastAsia="es-ES_tradnl"/>
              </w:rPr>
            </w:pPr>
            <w:r w:rsidRPr="00661595">
              <w:rPr>
                <w:rFonts w:ascii="Times New Roman" w:hAnsi="Times New Roman"/>
                <w:sz w:val="24"/>
                <w:lang w:eastAsia="es-ES_tradnl"/>
              </w:rPr>
              <w:t xml:space="preserve">Article 248 </w:t>
            </w:r>
            <w:r w:rsidR="00C7103D" w:rsidRPr="00661595">
              <w:rPr>
                <w:rFonts w:ascii="Times New Roman" w:hAnsi="Times New Roman"/>
                <w:sz w:val="24"/>
                <w:lang w:eastAsia="es-ES_tradnl"/>
              </w:rPr>
              <w:t>CRR</w:t>
            </w:r>
            <w:r w:rsidRPr="00661595">
              <w:rPr>
                <w:rFonts w:ascii="Times New Roman" w:hAnsi="Times New Roman"/>
                <w:sz w:val="24"/>
                <w:lang w:eastAsia="es-ES_tradnl"/>
              </w:rPr>
              <w:t xml:space="preserve">. Value adjustments and provisions to be reported in this column </w:t>
            </w:r>
            <w:r w:rsidR="007A00D6" w:rsidRPr="00661595">
              <w:rPr>
                <w:rFonts w:ascii="Times New Roman" w:hAnsi="Times New Roman"/>
                <w:sz w:val="24"/>
                <w:lang w:eastAsia="es-ES_tradnl"/>
              </w:rPr>
              <w:t xml:space="preserve">shall </w:t>
            </w:r>
            <w:r w:rsidRPr="00661595">
              <w:rPr>
                <w:rFonts w:ascii="Times New Roman" w:hAnsi="Times New Roman"/>
                <w:sz w:val="24"/>
                <w:lang w:eastAsia="es-ES_tradnl"/>
              </w:rPr>
              <w:t xml:space="preserve">only refer to securitisation positions. Value adjustments of securitised exposures </w:t>
            </w:r>
            <w:r w:rsidR="007A00D6" w:rsidRPr="00661595">
              <w:rPr>
                <w:rFonts w:ascii="Times New Roman" w:hAnsi="Times New Roman"/>
                <w:sz w:val="24"/>
                <w:lang w:eastAsia="es-ES_tradnl"/>
              </w:rPr>
              <w:t>shall</w:t>
            </w:r>
            <w:r w:rsidRPr="00661595">
              <w:rPr>
                <w:rFonts w:ascii="Times New Roman" w:hAnsi="Times New Roman"/>
                <w:sz w:val="24"/>
                <w:lang w:eastAsia="es-ES_tradnl"/>
              </w:rPr>
              <w:t xml:space="preserve"> not</w:t>
            </w:r>
            <w:r w:rsidR="007A00D6" w:rsidRPr="00661595">
              <w:rPr>
                <w:rFonts w:ascii="Times New Roman" w:hAnsi="Times New Roman"/>
                <w:sz w:val="24"/>
                <w:lang w:eastAsia="es-ES_tradnl"/>
              </w:rPr>
              <w:t xml:space="preserve"> be</w:t>
            </w:r>
            <w:r w:rsidRPr="00661595">
              <w:rPr>
                <w:rFonts w:ascii="Times New Roman" w:hAnsi="Times New Roman"/>
                <w:sz w:val="24"/>
                <w:lang w:eastAsia="es-ES_tradnl"/>
              </w:rPr>
              <w:t xml:space="preserve"> considered.</w:t>
            </w:r>
          </w:p>
          <w:p w:rsidR="00E026FB" w:rsidRPr="00661595" w:rsidRDefault="00E026FB" w:rsidP="00E10B85">
            <w:pPr>
              <w:autoSpaceDE w:val="0"/>
              <w:autoSpaceDN w:val="0"/>
              <w:adjustRightInd w:val="0"/>
              <w:spacing w:before="0" w:after="0"/>
              <w:rPr>
                <w:rFonts w:ascii="Times New Roman" w:hAnsi="Times New Roman"/>
                <w:b/>
                <w:sz w:val="24"/>
                <w:u w:val="single"/>
                <w:lang w:eastAsia="es-ES_tradnl"/>
              </w:rPr>
            </w:pPr>
          </w:p>
        </w:tc>
      </w:tr>
      <w:tr w:rsidR="00E026FB" w:rsidRPr="00661595" w:rsidTr="00E10B85">
        <w:tc>
          <w:tcPr>
            <w:tcW w:w="1568" w:type="dxa"/>
          </w:tcPr>
          <w:p w:rsidR="00E026FB" w:rsidRPr="00661595" w:rsidRDefault="00E026FB"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0070</w:t>
            </w:r>
          </w:p>
        </w:tc>
        <w:tc>
          <w:tcPr>
            <w:tcW w:w="7436" w:type="dxa"/>
          </w:tcPr>
          <w:p w:rsidR="00E026FB" w:rsidRPr="00661595" w:rsidRDefault="00E026FB" w:rsidP="00E10B85">
            <w:pPr>
              <w:spacing w:before="0" w:after="0"/>
              <w:jc w:val="left"/>
              <w:rPr>
                <w:rFonts w:ascii="Times New Roman" w:hAnsi="Times New Roman"/>
                <w:b/>
                <w:sz w:val="24"/>
                <w:u w:val="single"/>
                <w:lang w:eastAsia="es-ES_tradnl"/>
              </w:rPr>
            </w:pPr>
            <w:r w:rsidRPr="00661595">
              <w:rPr>
                <w:rFonts w:ascii="Times New Roman" w:hAnsi="Times New Roman"/>
                <w:b/>
                <w:sz w:val="24"/>
                <w:u w:val="single"/>
                <w:lang w:eastAsia="es-ES_tradnl"/>
              </w:rPr>
              <w:t>EXPOSURE NET OF VALUE ADJUSTMENTS AND PROVISIONS</w:t>
            </w:r>
          </w:p>
          <w:p w:rsidR="00E026FB" w:rsidRPr="00661595" w:rsidRDefault="00E026FB" w:rsidP="00E10B85">
            <w:pPr>
              <w:spacing w:before="0" w:after="0"/>
              <w:jc w:val="left"/>
              <w:rPr>
                <w:rFonts w:ascii="Times New Roman" w:hAnsi="Times New Roman"/>
                <w:sz w:val="24"/>
                <w:lang w:eastAsia="es-ES_tradnl"/>
              </w:rPr>
            </w:pPr>
          </w:p>
          <w:p w:rsidR="00E026FB" w:rsidRPr="00661595" w:rsidRDefault="00A16FFF" w:rsidP="00E10B85">
            <w:pPr>
              <w:autoSpaceDE w:val="0"/>
              <w:autoSpaceDN w:val="0"/>
              <w:adjustRightInd w:val="0"/>
              <w:spacing w:before="0" w:after="0"/>
              <w:jc w:val="left"/>
              <w:rPr>
                <w:rFonts w:ascii="Times New Roman" w:hAnsi="Times New Roman"/>
                <w:sz w:val="24"/>
                <w:lang w:eastAsia="es-ES_tradnl"/>
              </w:rPr>
            </w:pPr>
            <w:r w:rsidRPr="00661595">
              <w:rPr>
                <w:rFonts w:ascii="Times New Roman" w:hAnsi="Times New Roman"/>
                <w:sz w:val="24"/>
                <w:lang w:eastAsia="es-ES_tradnl"/>
              </w:rPr>
              <w:t>This column shall include t</w:t>
            </w:r>
            <w:r w:rsidR="00D021AF" w:rsidRPr="00661595">
              <w:rPr>
                <w:rFonts w:ascii="Times New Roman" w:hAnsi="Times New Roman"/>
                <w:sz w:val="24"/>
                <w:lang w:eastAsia="es-ES_tradnl"/>
              </w:rPr>
              <w:t>he exposure value</w:t>
            </w:r>
            <w:r w:rsidRPr="00661595">
              <w:rPr>
                <w:rFonts w:ascii="Times New Roman" w:hAnsi="Times New Roman"/>
                <w:sz w:val="24"/>
                <w:lang w:eastAsia="es-ES_tradnl"/>
              </w:rPr>
              <w:t>s</w:t>
            </w:r>
            <w:r w:rsidR="00D021AF" w:rsidRPr="00661595">
              <w:rPr>
                <w:rFonts w:ascii="Times New Roman" w:hAnsi="Times New Roman"/>
                <w:sz w:val="24"/>
                <w:lang w:eastAsia="es-ES_tradnl"/>
              </w:rPr>
              <w:t xml:space="preserve"> of s</w:t>
            </w:r>
            <w:r w:rsidR="00E026FB" w:rsidRPr="00661595">
              <w:rPr>
                <w:rFonts w:ascii="Times New Roman" w:hAnsi="Times New Roman"/>
                <w:sz w:val="24"/>
                <w:lang w:eastAsia="es-ES_tradnl"/>
              </w:rPr>
              <w:t xml:space="preserve">ecuritisation positions </w:t>
            </w:r>
            <w:r w:rsidR="00D021AF" w:rsidRPr="00661595">
              <w:rPr>
                <w:rFonts w:ascii="Times New Roman" w:hAnsi="Times New Roman"/>
                <w:sz w:val="24"/>
                <w:lang w:eastAsia="es-ES_tradnl"/>
              </w:rPr>
              <w:t xml:space="preserve">calculated </w:t>
            </w:r>
            <w:r w:rsidR="00BB22D4" w:rsidRPr="00661595">
              <w:rPr>
                <w:rFonts w:ascii="Times New Roman" w:hAnsi="Times New Roman"/>
                <w:sz w:val="24"/>
                <w:lang w:eastAsia="es-ES_tradnl"/>
              </w:rPr>
              <w:t>in accordance with</w:t>
            </w:r>
            <w:r w:rsidR="00E026FB" w:rsidRPr="00661595">
              <w:rPr>
                <w:rFonts w:ascii="Times New Roman" w:hAnsi="Times New Roman"/>
                <w:sz w:val="24"/>
                <w:lang w:eastAsia="es-ES_tradnl"/>
              </w:rPr>
              <w:t xml:space="preserve"> </w:t>
            </w:r>
            <w:r w:rsidR="00D021AF" w:rsidRPr="00661595">
              <w:rPr>
                <w:rFonts w:ascii="Times New Roman" w:hAnsi="Times New Roman"/>
                <w:sz w:val="24"/>
                <w:lang w:eastAsia="es-ES_tradnl"/>
              </w:rPr>
              <w:t xml:space="preserve">paragraphs 1 and 2 of </w:t>
            </w:r>
            <w:r w:rsidR="00E026FB" w:rsidRPr="00661595">
              <w:rPr>
                <w:rFonts w:ascii="Times New Roman" w:hAnsi="Times New Roman"/>
                <w:sz w:val="24"/>
                <w:lang w:eastAsia="es-ES_tradnl"/>
              </w:rPr>
              <w:t>Article 248</w:t>
            </w:r>
            <w:r w:rsidR="00126395" w:rsidRPr="00661595">
              <w:rPr>
                <w:rFonts w:ascii="Times New Roman" w:hAnsi="Times New Roman"/>
                <w:sz w:val="24"/>
                <w:lang w:eastAsia="es-ES_tradnl"/>
              </w:rPr>
              <w:t xml:space="preserve"> </w:t>
            </w:r>
            <w:r w:rsidR="00C7103D" w:rsidRPr="00661595">
              <w:rPr>
                <w:rFonts w:ascii="Times New Roman" w:hAnsi="Times New Roman"/>
                <w:sz w:val="24"/>
                <w:lang w:eastAsia="es-ES_tradnl"/>
              </w:rPr>
              <w:t>CRR</w:t>
            </w:r>
            <w:r w:rsidR="00E026FB" w:rsidRPr="00661595">
              <w:rPr>
                <w:rFonts w:ascii="Times New Roman" w:hAnsi="Times New Roman"/>
                <w:sz w:val="24"/>
                <w:lang w:eastAsia="es-ES_tradnl"/>
              </w:rPr>
              <w:t>, net of value adjustments and provisions, without applying conversion factors</w:t>
            </w:r>
            <w:r w:rsidR="00E026FB" w:rsidRPr="00661595">
              <w:t xml:space="preserve"> </w:t>
            </w:r>
            <w:r w:rsidR="00E026FB" w:rsidRPr="00661595">
              <w:rPr>
                <w:rFonts w:ascii="Times New Roman" w:hAnsi="Times New Roman"/>
                <w:sz w:val="24"/>
                <w:lang w:eastAsia="es-ES_tradnl"/>
              </w:rPr>
              <w:t xml:space="preserve">and gross of any non-refundable purchase price discounts on the securitised exposures </w:t>
            </w:r>
            <w:r w:rsidR="00D021AF" w:rsidRPr="00661595">
              <w:rPr>
                <w:rFonts w:ascii="Times New Roman" w:hAnsi="Times New Roman"/>
                <w:sz w:val="24"/>
                <w:lang w:eastAsia="es-ES_tradnl"/>
              </w:rPr>
              <w:t xml:space="preserve">as referred to in </w:t>
            </w:r>
            <w:r w:rsidR="001E0C80" w:rsidRPr="00661595">
              <w:rPr>
                <w:rFonts w:ascii="Times New Roman" w:hAnsi="Times New Roman"/>
                <w:sz w:val="24"/>
                <w:lang w:eastAsia="es-ES_tradnl"/>
              </w:rPr>
              <w:t xml:space="preserve">point (d) of </w:t>
            </w:r>
            <w:r w:rsidR="00E026FB" w:rsidRPr="00661595">
              <w:rPr>
                <w:rFonts w:ascii="Times New Roman" w:hAnsi="Times New Roman"/>
                <w:sz w:val="24"/>
                <w:lang w:eastAsia="es-ES_tradnl"/>
              </w:rPr>
              <w:t>Art</w:t>
            </w:r>
            <w:r w:rsidR="001E0C80" w:rsidRPr="00661595">
              <w:rPr>
                <w:rFonts w:ascii="Times New Roman" w:hAnsi="Times New Roman"/>
                <w:sz w:val="24"/>
                <w:lang w:eastAsia="es-ES_tradnl"/>
              </w:rPr>
              <w:t>icle</w:t>
            </w:r>
            <w:r w:rsidR="00E026FB" w:rsidRPr="00661595">
              <w:rPr>
                <w:rFonts w:ascii="Times New Roman" w:hAnsi="Times New Roman"/>
                <w:sz w:val="24"/>
                <w:lang w:eastAsia="es-ES_tradnl"/>
              </w:rPr>
              <w:t xml:space="preserve"> 248(1) </w:t>
            </w:r>
            <w:r w:rsidR="00C7103D" w:rsidRPr="00661595">
              <w:rPr>
                <w:rFonts w:ascii="Times New Roman" w:hAnsi="Times New Roman"/>
                <w:sz w:val="24"/>
                <w:lang w:eastAsia="es-ES_tradnl"/>
              </w:rPr>
              <w:t>CRR</w:t>
            </w:r>
            <w:r w:rsidR="00D021AF" w:rsidRPr="00661595">
              <w:rPr>
                <w:rFonts w:ascii="Times New Roman" w:hAnsi="Times New Roman"/>
                <w:sz w:val="24"/>
                <w:lang w:eastAsia="es-ES_tradnl"/>
              </w:rPr>
              <w:t>,</w:t>
            </w:r>
            <w:r w:rsidR="00E026FB" w:rsidRPr="00661595">
              <w:rPr>
                <w:rFonts w:ascii="Times New Roman" w:hAnsi="Times New Roman"/>
                <w:sz w:val="24"/>
                <w:lang w:eastAsia="es-ES_tradnl"/>
              </w:rPr>
              <w:t xml:space="preserve"> and net of value adjustments and provisions on the securitisation position.</w:t>
            </w:r>
          </w:p>
          <w:p w:rsidR="00E026FB" w:rsidRPr="00661595" w:rsidRDefault="00E026FB" w:rsidP="00E10B85">
            <w:pPr>
              <w:autoSpaceDE w:val="0"/>
              <w:autoSpaceDN w:val="0"/>
              <w:adjustRightInd w:val="0"/>
              <w:spacing w:before="0" w:after="0"/>
              <w:jc w:val="left"/>
              <w:rPr>
                <w:rFonts w:ascii="Times New Roman" w:hAnsi="Times New Roman"/>
                <w:b/>
                <w:sz w:val="24"/>
                <w:u w:val="single"/>
                <w:lang w:eastAsia="es-ES_tradnl"/>
              </w:rPr>
            </w:pPr>
          </w:p>
        </w:tc>
      </w:tr>
      <w:tr w:rsidR="00E026FB" w:rsidRPr="00661595" w:rsidTr="00E10B85">
        <w:tc>
          <w:tcPr>
            <w:tcW w:w="1568" w:type="dxa"/>
          </w:tcPr>
          <w:p w:rsidR="00E026FB" w:rsidRPr="00661595" w:rsidRDefault="00E026FB"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0080-0110</w:t>
            </w:r>
          </w:p>
        </w:tc>
        <w:tc>
          <w:tcPr>
            <w:tcW w:w="7436" w:type="dxa"/>
          </w:tcPr>
          <w:p w:rsidR="00E026FB" w:rsidRPr="00661595" w:rsidRDefault="00E026FB" w:rsidP="00E10B85">
            <w:pPr>
              <w:spacing w:before="0" w:after="0"/>
              <w:jc w:val="left"/>
              <w:rPr>
                <w:rFonts w:ascii="Times New Roman" w:hAnsi="Times New Roman"/>
                <w:b/>
                <w:sz w:val="24"/>
                <w:u w:val="single"/>
                <w:lang w:eastAsia="es-ES_tradnl"/>
              </w:rPr>
            </w:pPr>
            <w:r w:rsidRPr="00661595">
              <w:rPr>
                <w:rFonts w:ascii="Times New Roman" w:hAnsi="Times New Roman"/>
                <w:b/>
                <w:sz w:val="24"/>
                <w:u w:val="single"/>
                <w:lang w:eastAsia="es-ES_tradnl"/>
              </w:rPr>
              <w:t>CREDIT RISK MITIGATION (CRM) TECHNIQUES WITH SUBSTITUTION EFFECTS ON THE EXPOSURE</w:t>
            </w:r>
          </w:p>
          <w:p w:rsidR="00E026FB" w:rsidRPr="00661595" w:rsidRDefault="00E026FB" w:rsidP="00E10B85">
            <w:pPr>
              <w:spacing w:before="0" w:after="0"/>
              <w:jc w:val="left"/>
              <w:rPr>
                <w:rFonts w:ascii="Times New Roman" w:hAnsi="Times New Roman"/>
                <w:sz w:val="24"/>
                <w:lang w:eastAsia="es-ES_tradnl"/>
              </w:rPr>
            </w:pPr>
          </w:p>
          <w:p w:rsidR="00E026FB" w:rsidRPr="00661595" w:rsidRDefault="00A16FFF" w:rsidP="00E10B85">
            <w:pPr>
              <w:spacing w:before="0" w:after="0"/>
              <w:rPr>
                <w:rFonts w:ascii="Times New Roman" w:hAnsi="Times New Roman"/>
                <w:sz w:val="24"/>
                <w:lang w:eastAsia="es-ES_tradnl"/>
              </w:rPr>
            </w:pPr>
            <w:r w:rsidRPr="00661595">
              <w:rPr>
                <w:rFonts w:ascii="Times New Roman" w:hAnsi="Times New Roman"/>
                <w:sz w:val="24"/>
                <w:lang w:eastAsia="es-ES_tradnl"/>
              </w:rPr>
              <w:t xml:space="preserve">Point (57) of </w:t>
            </w:r>
            <w:r w:rsidR="00E026FB" w:rsidRPr="00661595">
              <w:rPr>
                <w:rFonts w:ascii="Times New Roman" w:hAnsi="Times New Roman"/>
                <w:sz w:val="24"/>
                <w:lang w:eastAsia="es-ES_tradnl"/>
              </w:rPr>
              <w:t xml:space="preserve">Article 4(1) </w:t>
            </w:r>
            <w:r w:rsidR="00C7103D" w:rsidRPr="00661595">
              <w:rPr>
                <w:rFonts w:ascii="Times New Roman" w:hAnsi="Times New Roman"/>
                <w:sz w:val="24"/>
                <w:lang w:eastAsia="es-ES_tradnl"/>
              </w:rPr>
              <w:t>CRR</w:t>
            </w:r>
            <w:r w:rsidR="00E026FB" w:rsidRPr="00661595">
              <w:rPr>
                <w:rFonts w:ascii="Times New Roman" w:hAnsi="Times New Roman"/>
                <w:sz w:val="24"/>
                <w:lang w:eastAsia="es-ES_tradnl"/>
              </w:rPr>
              <w:t xml:space="preserve">, </w:t>
            </w:r>
            <w:r w:rsidR="00D021AF" w:rsidRPr="00661595">
              <w:rPr>
                <w:rFonts w:ascii="Times New Roman" w:hAnsi="Times New Roman"/>
                <w:sz w:val="24"/>
                <w:lang w:eastAsia="es-ES_tradnl"/>
              </w:rPr>
              <w:t xml:space="preserve">Chapter 4 of Title II of </w:t>
            </w:r>
            <w:r w:rsidR="00E026FB" w:rsidRPr="00661595">
              <w:rPr>
                <w:rFonts w:ascii="Times New Roman" w:hAnsi="Times New Roman"/>
                <w:sz w:val="24"/>
                <w:lang w:eastAsia="es-ES_tradnl"/>
              </w:rPr>
              <w:t xml:space="preserve">Part Three </w:t>
            </w:r>
            <w:r w:rsidR="00C7103D" w:rsidRPr="00661595">
              <w:rPr>
                <w:rFonts w:ascii="Times New Roman" w:hAnsi="Times New Roman"/>
                <w:sz w:val="24"/>
                <w:lang w:eastAsia="es-ES_tradnl"/>
              </w:rPr>
              <w:t>CRR</w:t>
            </w:r>
            <w:r w:rsidR="00E026FB" w:rsidRPr="00661595">
              <w:rPr>
                <w:rFonts w:ascii="Times New Roman" w:hAnsi="Times New Roman"/>
                <w:sz w:val="24"/>
                <w:lang w:eastAsia="es-ES_tradnl"/>
              </w:rPr>
              <w:t xml:space="preserve"> and Article 249 </w:t>
            </w:r>
            <w:r w:rsidR="00C7103D" w:rsidRPr="00661595">
              <w:rPr>
                <w:rFonts w:ascii="Times New Roman" w:hAnsi="Times New Roman"/>
                <w:sz w:val="24"/>
                <w:lang w:eastAsia="es-ES_tradnl"/>
              </w:rPr>
              <w:t>CRR</w:t>
            </w:r>
          </w:p>
          <w:p w:rsidR="00E026FB" w:rsidRPr="00661595" w:rsidRDefault="00E026FB" w:rsidP="00E10B85">
            <w:pPr>
              <w:spacing w:before="0" w:after="0"/>
              <w:rPr>
                <w:rFonts w:ascii="Times New Roman" w:hAnsi="Times New Roman"/>
                <w:sz w:val="24"/>
                <w:lang w:eastAsia="es-ES_tradnl"/>
              </w:rPr>
            </w:pPr>
          </w:p>
          <w:p w:rsidR="00E026FB" w:rsidRPr="00661595" w:rsidRDefault="007A00D6" w:rsidP="00E10B85">
            <w:pPr>
              <w:spacing w:before="0" w:after="0"/>
              <w:rPr>
                <w:rFonts w:ascii="Times New Roman" w:hAnsi="Times New Roman"/>
                <w:sz w:val="24"/>
                <w:lang w:eastAsia="es-ES_tradnl"/>
              </w:rPr>
            </w:pPr>
            <w:r w:rsidRPr="00661595">
              <w:rPr>
                <w:rFonts w:ascii="Times New Roman" w:hAnsi="Times New Roman"/>
                <w:sz w:val="24"/>
                <w:lang w:eastAsia="es-ES_tradnl"/>
              </w:rPr>
              <w:t>Institutions shall report in these columns</w:t>
            </w:r>
            <w:r w:rsidR="00E026FB" w:rsidRPr="00661595">
              <w:rPr>
                <w:rFonts w:ascii="Times New Roman" w:hAnsi="Times New Roman"/>
                <w:sz w:val="24"/>
                <w:lang w:eastAsia="es-ES_tradnl"/>
              </w:rPr>
              <w:t xml:space="preserve"> information on credit risk mitigation techniques that reduce the credit risk of an exposure or exposures via the substitution of exposures (as indicated below for Inflows and Outflows).</w:t>
            </w:r>
          </w:p>
          <w:p w:rsidR="00E026FB" w:rsidRPr="00661595" w:rsidRDefault="00E026FB" w:rsidP="00E10B85">
            <w:pPr>
              <w:spacing w:before="0" w:after="0"/>
              <w:rPr>
                <w:rFonts w:ascii="Times New Roman" w:hAnsi="Times New Roman"/>
                <w:sz w:val="24"/>
                <w:lang w:eastAsia="es-ES_tradnl"/>
              </w:rPr>
            </w:pPr>
          </w:p>
          <w:p w:rsidR="00E026FB" w:rsidRPr="00661595" w:rsidRDefault="00D021AF" w:rsidP="00487A02">
            <w:pPr>
              <w:pStyle w:val="InstructionsText"/>
            </w:pPr>
            <w:r w:rsidRPr="00661595">
              <w:t>C</w:t>
            </w:r>
            <w:r w:rsidR="00E026FB" w:rsidRPr="00661595">
              <w:t xml:space="preserve">ollateral </w:t>
            </w:r>
            <w:r w:rsidRPr="00661595">
              <w:t xml:space="preserve">that </w:t>
            </w:r>
            <w:r w:rsidR="00E026FB" w:rsidRPr="00661595">
              <w:t>has an effect on the exposure value (e.g. if used for credit risk mitigation techniques with substitution effects on the exposure) shall be capped at the exposure value.</w:t>
            </w:r>
          </w:p>
          <w:p w:rsidR="00E026FB" w:rsidRPr="00661595" w:rsidRDefault="00E026FB" w:rsidP="00487A02">
            <w:pPr>
              <w:pStyle w:val="InstructionsText"/>
            </w:pPr>
            <w:r w:rsidRPr="00661595">
              <w:t>Items to be reported here:</w:t>
            </w:r>
          </w:p>
          <w:p w:rsidR="00E026FB" w:rsidRPr="00661595" w:rsidRDefault="00E026FB" w:rsidP="00F66371">
            <w:pPr>
              <w:pStyle w:val="ListParagraph"/>
              <w:numPr>
                <w:ilvl w:val="0"/>
                <w:numId w:val="33"/>
              </w:numPr>
              <w:tabs>
                <w:tab w:val="num" w:pos="360"/>
              </w:tabs>
              <w:spacing w:before="0" w:after="0"/>
              <w:rPr>
                <w:rFonts w:ascii="Times New Roman" w:hAnsi="Times New Roman"/>
                <w:sz w:val="24"/>
              </w:rPr>
            </w:pPr>
            <w:r w:rsidRPr="00661595">
              <w:rPr>
                <w:rFonts w:ascii="Times New Roman" w:hAnsi="Times New Roman"/>
                <w:sz w:val="24"/>
              </w:rPr>
              <w:t xml:space="preserve">collateral, incorporated </w:t>
            </w:r>
            <w:r w:rsidR="00BB22D4" w:rsidRPr="00661595">
              <w:rPr>
                <w:rFonts w:ascii="Times New Roman" w:hAnsi="Times New Roman"/>
                <w:sz w:val="24"/>
              </w:rPr>
              <w:t>in accordance with</w:t>
            </w:r>
            <w:r w:rsidRPr="00661595">
              <w:rPr>
                <w:rFonts w:ascii="Times New Roman" w:hAnsi="Times New Roman"/>
                <w:sz w:val="24"/>
              </w:rPr>
              <w:t xml:space="preserve"> </w:t>
            </w:r>
            <w:r w:rsidR="00A16FFF" w:rsidRPr="00661595">
              <w:rPr>
                <w:rFonts w:ascii="Times New Roman" w:hAnsi="Times New Roman"/>
                <w:sz w:val="24"/>
              </w:rPr>
              <w:t>Article 222 CRR (</w:t>
            </w:r>
            <w:r w:rsidRPr="00661595">
              <w:rPr>
                <w:rFonts w:ascii="Times New Roman" w:hAnsi="Times New Roman"/>
                <w:sz w:val="24"/>
              </w:rPr>
              <w:t>Financial Collateral Simple Method</w:t>
            </w:r>
            <w:r w:rsidR="00A16FFF" w:rsidRPr="00661595">
              <w:rPr>
                <w:rFonts w:ascii="Times New Roman" w:hAnsi="Times New Roman"/>
                <w:sz w:val="24"/>
              </w:rPr>
              <w:t>)</w:t>
            </w:r>
            <w:r w:rsidRPr="00661595">
              <w:rPr>
                <w:rFonts w:ascii="Times New Roman" w:hAnsi="Times New Roman"/>
                <w:sz w:val="24"/>
              </w:rPr>
              <w:t>;</w:t>
            </w:r>
          </w:p>
          <w:p w:rsidR="00E026FB" w:rsidRPr="00661595" w:rsidRDefault="00E026FB" w:rsidP="00F66371">
            <w:pPr>
              <w:pStyle w:val="ListParagraph"/>
              <w:numPr>
                <w:ilvl w:val="0"/>
                <w:numId w:val="33"/>
              </w:numPr>
              <w:tabs>
                <w:tab w:val="num" w:pos="360"/>
              </w:tabs>
              <w:spacing w:before="0" w:after="0"/>
              <w:rPr>
                <w:rFonts w:ascii="Times New Roman" w:hAnsi="Times New Roman"/>
                <w:sz w:val="24"/>
                <w:lang w:eastAsia="es-ES_tradnl"/>
              </w:rPr>
            </w:pPr>
            <w:r w:rsidRPr="00661595">
              <w:rPr>
                <w:rFonts w:ascii="Times New Roman" w:hAnsi="Times New Roman"/>
                <w:sz w:val="24"/>
              </w:rPr>
              <w:t>eligible unfunded credit protection.</w:t>
            </w:r>
          </w:p>
          <w:p w:rsidR="00E026FB" w:rsidRPr="00661595" w:rsidRDefault="00E026FB" w:rsidP="00E10B85">
            <w:pPr>
              <w:spacing w:before="0" w:after="0"/>
              <w:rPr>
                <w:rFonts w:ascii="Times New Roman" w:hAnsi="Times New Roman"/>
                <w:b/>
                <w:sz w:val="24"/>
                <w:u w:val="single"/>
              </w:rPr>
            </w:pPr>
          </w:p>
        </w:tc>
      </w:tr>
      <w:tr w:rsidR="00E026FB" w:rsidRPr="00661595" w:rsidTr="00E10B85">
        <w:tc>
          <w:tcPr>
            <w:tcW w:w="1568" w:type="dxa"/>
          </w:tcPr>
          <w:p w:rsidR="00E026FB" w:rsidRPr="00661595" w:rsidRDefault="00E026FB"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0080</w:t>
            </w:r>
          </w:p>
        </w:tc>
        <w:tc>
          <w:tcPr>
            <w:tcW w:w="7436" w:type="dxa"/>
          </w:tcPr>
          <w:p w:rsidR="00E026FB" w:rsidRPr="00661595" w:rsidRDefault="00E026FB" w:rsidP="00E10B85">
            <w:pPr>
              <w:spacing w:before="0" w:after="0"/>
              <w:jc w:val="left"/>
              <w:rPr>
                <w:rFonts w:ascii="Times New Roman" w:hAnsi="Times New Roman"/>
                <w:b/>
                <w:sz w:val="24"/>
                <w:u w:val="single"/>
                <w:lang w:eastAsia="es-ES_tradnl"/>
              </w:rPr>
            </w:pPr>
            <w:r w:rsidRPr="00661595">
              <w:rPr>
                <w:rFonts w:ascii="Times New Roman" w:hAnsi="Times New Roman"/>
                <w:b/>
                <w:sz w:val="24"/>
                <w:u w:val="single"/>
                <w:lang w:eastAsia="es-ES_tradnl"/>
              </w:rPr>
              <w:t>(-) UNFUNDED CREDIT PROTECTION: ADJUSTED VALUES (G</w:t>
            </w:r>
            <w:r w:rsidRPr="00661595">
              <w:rPr>
                <w:rFonts w:ascii="Times New Roman" w:hAnsi="Times New Roman"/>
                <w:b/>
                <w:sz w:val="24"/>
                <w:u w:val="single"/>
                <w:vertAlign w:val="subscript"/>
                <w:lang w:eastAsia="es-ES_tradnl"/>
              </w:rPr>
              <w:t>A</w:t>
            </w:r>
            <w:r w:rsidRPr="00661595">
              <w:rPr>
                <w:rFonts w:ascii="Times New Roman" w:hAnsi="Times New Roman"/>
                <w:b/>
                <w:sz w:val="24"/>
                <w:u w:val="single"/>
                <w:lang w:eastAsia="es-ES_tradnl"/>
              </w:rPr>
              <w:t xml:space="preserve">) </w:t>
            </w:r>
          </w:p>
          <w:p w:rsidR="00E026FB" w:rsidRPr="00661595" w:rsidRDefault="00E026FB" w:rsidP="00E10B85">
            <w:pPr>
              <w:spacing w:before="0" w:after="0"/>
              <w:jc w:val="left"/>
              <w:rPr>
                <w:rFonts w:ascii="Times New Roman" w:hAnsi="Times New Roman"/>
                <w:b/>
                <w:sz w:val="24"/>
                <w:u w:val="single"/>
                <w:lang w:eastAsia="es-ES_tradnl"/>
              </w:rPr>
            </w:pPr>
          </w:p>
          <w:p w:rsidR="00E026FB" w:rsidRPr="00661595" w:rsidRDefault="00E026FB" w:rsidP="00E10B85">
            <w:pPr>
              <w:autoSpaceDE w:val="0"/>
              <w:autoSpaceDN w:val="0"/>
              <w:adjustRightInd w:val="0"/>
              <w:spacing w:before="0" w:after="0"/>
              <w:rPr>
                <w:rFonts w:ascii="Times New Roman" w:hAnsi="Times New Roman"/>
                <w:sz w:val="24"/>
                <w:lang w:eastAsia="es-ES_tradnl"/>
              </w:rPr>
            </w:pPr>
            <w:r w:rsidRPr="00661595">
              <w:rPr>
                <w:rFonts w:ascii="Times New Roman" w:hAnsi="Times New Roman"/>
                <w:sz w:val="24"/>
                <w:lang w:eastAsia="es-ES_tradnl"/>
              </w:rPr>
              <w:t xml:space="preserve">Unfunded credit protection </w:t>
            </w:r>
            <w:r w:rsidR="007A00D6" w:rsidRPr="00661595">
              <w:rPr>
                <w:rFonts w:ascii="Times New Roman" w:hAnsi="Times New Roman"/>
                <w:sz w:val="24"/>
                <w:lang w:eastAsia="es-ES_tradnl"/>
              </w:rPr>
              <w:t>a</w:t>
            </w:r>
            <w:r w:rsidRPr="00661595">
              <w:rPr>
                <w:rFonts w:ascii="Times New Roman" w:hAnsi="Times New Roman"/>
                <w:sz w:val="24"/>
                <w:lang w:eastAsia="es-ES_tradnl"/>
              </w:rPr>
              <w:t>s defined in Article 4(1)(59), Article</w:t>
            </w:r>
            <w:r w:rsidR="002B004B" w:rsidRPr="00661595">
              <w:rPr>
                <w:rFonts w:ascii="Times New Roman" w:hAnsi="Times New Roman"/>
                <w:sz w:val="24"/>
                <w:lang w:eastAsia="es-ES_tradnl"/>
              </w:rPr>
              <w:t>s</w:t>
            </w:r>
            <w:r w:rsidRPr="00661595">
              <w:rPr>
                <w:rFonts w:ascii="Times New Roman" w:hAnsi="Times New Roman"/>
                <w:sz w:val="24"/>
                <w:lang w:eastAsia="es-ES_tradnl"/>
              </w:rPr>
              <w:t xml:space="preserve"> 234</w:t>
            </w:r>
            <w:r w:rsidR="002B004B" w:rsidRPr="00661595">
              <w:rPr>
                <w:rFonts w:ascii="Times New Roman" w:hAnsi="Times New Roman"/>
                <w:sz w:val="24"/>
                <w:lang w:eastAsia="es-ES_tradnl"/>
              </w:rPr>
              <w:t xml:space="preserve"> to </w:t>
            </w:r>
            <w:r w:rsidRPr="00661595">
              <w:rPr>
                <w:rFonts w:ascii="Times New Roman" w:hAnsi="Times New Roman"/>
                <w:sz w:val="24"/>
                <w:lang w:eastAsia="es-ES_tradnl"/>
              </w:rPr>
              <w:t xml:space="preserve">236 </w:t>
            </w:r>
            <w:r w:rsidR="00C7103D" w:rsidRPr="00661595">
              <w:rPr>
                <w:rFonts w:ascii="Times New Roman" w:hAnsi="Times New Roman"/>
                <w:sz w:val="24"/>
                <w:lang w:eastAsia="es-ES_tradnl"/>
              </w:rPr>
              <w:t>CRR</w:t>
            </w:r>
            <w:r w:rsidRPr="00661595">
              <w:rPr>
                <w:rFonts w:ascii="Times New Roman" w:hAnsi="Times New Roman"/>
                <w:sz w:val="24"/>
                <w:lang w:eastAsia="es-ES_tradnl"/>
              </w:rPr>
              <w:t>.</w:t>
            </w:r>
          </w:p>
          <w:p w:rsidR="00E026FB" w:rsidRPr="00661595" w:rsidRDefault="00E026FB" w:rsidP="00E10B85">
            <w:pPr>
              <w:autoSpaceDE w:val="0"/>
              <w:autoSpaceDN w:val="0"/>
              <w:adjustRightInd w:val="0"/>
              <w:spacing w:before="0" w:after="0"/>
              <w:rPr>
                <w:rFonts w:ascii="Times New Roman" w:hAnsi="Times New Roman"/>
                <w:b/>
                <w:sz w:val="24"/>
                <w:u w:val="single"/>
              </w:rPr>
            </w:pPr>
          </w:p>
        </w:tc>
      </w:tr>
      <w:tr w:rsidR="00E026FB" w:rsidRPr="00661595" w:rsidTr="00E10B85">
        <w:tc>
          <w:tcPr>
            <w:tcW w:w="1568" w:type="dxa"/>
          </w:tcPr>
          <w:p w:rsidR="00E026FB" w:rsidRPr="00661595" w:rsidRDefault="00E026FB"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0090</w:t>
            </w:r>
          </w:p>
        </w:tc>
        <w:tc>
          <w:tcPr>
            <w:tcW w:w="7436" w:type="dxa"/>
          </w:tcPr>
          <w:p w:rsidR="00E026FB" w:rsidRPr="00661595" w:rsidRDefault="00E026FB" w:rsidP="00E10B85">
            <w:pPr>
              <w:spacing w:before="0" w:after="0"/>
              <w:rPr>
                <w:rFonts w:ascii="Times New Roman" w:hAnsi="Times New Roman"/>
                <w:b/>
                <w:sz w:val="24"/>
                <w:u w:val="single"/>
              </w:rPr>
            </w:pPr>
            <w:r w:rsidRPr="00661595">
              <w:rPr>
                <w:rFonts w:ascii="Times New Roman" w:hAnsi="Times New Roman"/>
                <w:b/>
                <w:sz w:val="24"/>
                <w:u w:val="single"/>
              </w:rPr>
              <w:t>(-) FUNDED CREDIT PROTECTION</w:t>
            </w:r>
          </w:p>
          <w:p w:rsidR="00E026FB" w:rsidRPr="00661595" w:rsidRDefault="00E026FB" w:rsidP="00E10B85">
            <w:pPr>
              <w:spacing w:before="0" w:after="0"/>
              <w:rPr>
                <w:rFonts w:ascii="Times New Roman" w:hAnsi="Times New Roman"/>
                <w:sz w:val="24"/>
              </w:rPr>
            </w:pPr>
          </w:p>
          <w:p w:rsidR="00E026FB" w:rsidRPr="00661595" w:rsidRDefault="00E026FB" w:rsidP="00E10B85">
            <w:pPr>
              <w:autoSpaceDE w:val="0"/>
              <w:autoSpaceDN w:val="0"/>
              <w:adjustRightInd w:val="0"/>
              <w:spacing w:before="0" w:after="0"/>
              <w:rPr>
                <w:rFonts w:ascii="Times New Roman" w:hAnsi="Times New Roman"/>
                <w:sz w:val="24"/>
                <w:lang w:eastAsia="es-ES_tradnl"/>
              </w:rPr>
            </w:pPr>
            <w:r w:rsidRPr="00661595">
              <w:rPr>
                <w:rFonts w:ascii="Times New Roman" w:hAnsi="Times New Roman"/>
                <w:sz w:val="24"/>
                <w:lang w:eastAsia="es-ES_tradnl"/>
              </w:rPr>
              <w:t xml:space="preserve">Funded credit protection </w:t>
            </w:r>
            <w:r w:rsidR="007A00D6" w:rsidRPr="00661595">
              <w:rPr>
                <w:rFonts w:ascii="Times New Roman" w:hAnsi="Times New Roman"/>
                <w:sz w:val="24"/>
                <w:lang w:eastAsia="es-ES_tradnl"/>
              </w:rPr>
              <w:t>a</w:t>
            </w:r>
            <w:r w:rsidRPr="00661595">
              <w:rPr>
                <w:rFonts w:ascii="Times New Roman" w:hAnsi="Times New Roman"/>
                <w:sz w:val="24"/>
                <w:lang w:eastAsia="es-ES_tradnl"/>
              </w:rPr>
              <w:t xml:space="preserve">s defined in Article 4(1)(58) </w:t>
            </w:r>
            <w:r w:rsidR="00C7103D" w:rsidRPr="00661595">
              <w:rPr>
                <w:rFonts w:ascii="Times New Roman" w:hAnsi="Times New Roman"/>
                <w:sz w:val="24"/>
                <w:lang w:eastAsia="es-ES_tradnl"/>
              </w:rPr>
              <w:t>CRR</w:t>
            </w:r>
            <w:r w:rsidRPr="00661595">
              <w:rPr>
                <w:rFonts w:ascii="Times New Roman" w:hAnsi="Times New Roman"/>
                <w:sz w:val="24"/>
                <w:lang w:eastAsia="es-ES_tradnl"/>
              </w:rPr>
              <w:t xml:space="preserve">, </w:t>
            </w:r>
            <w:r w:rsidR="00D021AF" w:rsidRPr="00661595">
              <w:rPr>
                <w:rFonts w:ascii="Times New Roman" w:hAnsi="Times New Roman"/>
                <w:sz w:val="24"/>
                <w:lang w:eastAsia="es-ES_tradnl"/>
              </w:rPr>
              <w:t>as referred to in the first sub</w:t>
            </w:r>
            <w:r w:rsidR="001E0C80" w:rsidRPr="00661595">
              <w:rPr>
                <w:rFonts w:ascii="Times New Roman" w:hAnsi="Times New Roman"/>
                <w:sz w:val="24"/>
                <w:lang w:eastAsia="es-ES_tradnl"/>
              </w:rPr>
              <w:t xml:space="preserve">paragraph  of </w:t>
            </w:r>
            <w:r w:rsidRPr="00661595">
              <w:rPr>
                <w:rFonts w:ascii="Times New Roman" w:hAnsi="Times New Roman"/>
                <w:sz w:val="24"/>
                <w:lang w:eastAsia="es-ES_tradnl"/>
              </w:rPr>
              <w:t>Art</w:t>
            </w:r>
            <w:r w:rsidR="001E0C80" w:rsidRPr="00661595">
              <w:rPr>
                <w:rFonts w:ascii="Times New Roman" w:hAnsi="Times New Roman"/>
                <w:sz w:val="24"/>
                <w:lang w:eastAsia="es-ES_tradnl"/>
              </w:rPr>
              <w:t>icle</w:t>
            </w:r>
            <w:r w:rsidRPr="00661595">
              <w:rPr>
                <w:rFonts w:ascii="Times New Roman" w:hAnsi="Times New Roman"/>
                <w:sz w:val="24"/>
                <w:lang w:eastAsia="es-ES_tradnl"/>
              </w:rPr>
              <w:t xml:space="preserve"> 249</w:t>
            </w:r>
            <w:r w:rsidR="00D021AF" w:rsidRPr="00661595">
              <w:rPr>
                <w:rFonts w:ascii="Times New Roman" w:hAnsi="Times New Roman"/>
                <w:sz w:val="24"/>
                <w:lang w:eastAsia="es-ES_tradnl"/>
              </w:rPr>
              <w:t>(2)</w:t>
            </w:r>
            <w:r w:rsidRPr="00661595">
              <w:rPr>
                <w:rFonts w:ascii="Times New Roman" w:hAnsi="Times New Roman"/>
                <w:sz w:val="24"/>
                <w:lang w:eastAsia="es-ES_tradnl"/>
              </w:rPr>
              <w:t xml:space="preserve"> </w:t>
            </w:r>
            <w:r w:rsidR="00C7103D" w:rsidRPr="00661595">
              <w:rPr>
                <w:rFonts w:ascii="Times New Roman" w:hAnsi="Times New Roman"/>
                <w:sz w:val="24"/>
                <w:lang w:eastAsia="es-ES_tradnl"/>
              </w:rPr>
              <w:t>CRR</w:t>
            </w:r>
            <w:r w:rsidRPr="00661595">
              <w:rPr>
                <w:rFonts w:ascii="Times New Roman" w:hAnsi="Times New Roman"/>
                <w:sz w:val="24"/>
                <w:lang w:eastAsia="es-ES_tradnl"/>
              </w:rPr>
              <w:t xml:space="preserve"> and </w:t>
            </w:r>
            <w:r w:rsidR="00D021AF" w:rsidRPr="00661595">
              <w:rPr>
                <w:rFonts w:ascii="Times New Roman" w:hAnsi="Times New Roman"/>
                <w:sz w:val="24"/>
                <w:lang w:eastAsia="es-ES_tradnl"/>
              </w:rPr>
              <w:t xml:space="preserve">as </w:t>
            </w:r>
            <w:r w:rsidRPr="00661595">
              <w:rPr>
                <w:rFonts w:ascii="Times New Roman" w:hAnsi="Times New Roman"/>
                <w:sz w:val="24"/>
                <w:lang w:eastAsia="es-ES_tradnl"/>
              </w:rPr>
              <w:t>regulated in Articles 195, 197 and 200</w:t>
            </w:r>
            <w:r w:rsidR="00D021AF" w:rsidRPr="00661595">
              <w:rPr>
                <w:rFonts w:ascii="Times New Roman" w:hAnsi="Times New Roman"/>
                <w:sz w:val="24"/>
                <w:lang w:eastAsia="es-ES_tradnl"/>
              </w:rPr>
              <w:t xml:space="preserve"> CRR.</w:t>
            </w:r>
          </w:p>
          <w:p w:rsidR="00E026FB" w:rsidRPr="00661595" w:rsidRDefault="00E026FB" w:rsidP="00E10B85">
            <w:pPr>
              <w:autoSpaceDE w:val="0"/>
              <w:autoSpaceDN w:val="0"/>
              <w:adjustRightInd w:val="0"/>
              <w:spacing w:before="0" w:after="0"/>
              <w:ind w:left="284" w:hanging="284"/>
              <w:rPr>
                <w:rFonts w:ascii="Times New Roman" w:hAnsi="Times New Roman"/>
                <w:sz w:val="24"/>
                <w:lang w:eastAsia="es-ES_tradnl"/>
              </w:rPr>
            </w:pPr>
          </w:p>
          <w:p w:rsidR="00E026FB" w:rsidRPr="00661595" w:rsidRDefault="00E026FB" w:rsidP="00E10B85">
            <w:pPr>
              <w:spacing w:before="0" w:after="0"/>
              <w:rPr>
                <w:rFonts w:ascii="Times New Roman" w:hAnsi="Times New Roman"/>
                <w:sz w:val="24"/>
              </w:rPr>
            </w:pPr>
            <w:r w:rsidRPr="00661595">
              <w:rPr>
                <w:rFonts w:ascii="Times New Roman" w:hAnsi="Times New Roman"/>
                <w:sz w:val="24"/>
              </w:rPr>
              <w:t>Credit linked notes and on-balance sheet netting</w:t>
            </w:r>
            <w:r w:rsidR="00D021AF" w:rsidRPr="00661595">
              <w:rPr>
                <w:rFonts w:ascii="Times New Roman" w:hAnsi="Times New Roman"/>
                <w:sz w:val="24"/>
              </w:rPr>
              <w:t xml:space="preserve"> as referred to in </w:t>
            </w:r>
            <w:r w:rsidRPr="00661595">
              <w:rPr>
                <w:rFonts w:ascii="Times New Roman" w:hAnsi="Times New Roman"/>
                <w:sz w:val="24"/>
              </w:rPr>
              <w:t xml:space="preserve">Articles 218 </w:t>
            </w:r>
            <w:r w:rsidR="00D021AF" w:rsidRPr="00661595">
              <w:rPr>
                <w:rFonts w:ascii="Times New Roman" w:hAnsi="Times New Roman"/>
                <w:sz w:val="24"/>
              </w:rPr>
              <w:t>and 219</w:t>
            </w:r>
            <w:r w:rsidRPr="00661595">
              <w:rPr>
                <w:rFonts w:ascii="Times New Roman" w:hAnsi="Times New Roman"/>
                <w:sz w:val="24"/>
              </w:rPr>
              <w:t xml:space="preserve"> CRR </w:t>
            </w:r>
            <w:r w:rsidR="007A00D6" w:rsidRPr="00661595">
              <w:rPr>
                <w:rFonts w:ascii="Times New Roman" w:hAnsi="Times New Roman"/>
                <w:sz w:val="24"/>
              </w:rPr>
              <w:t>shall be</w:t>
            </w:r>
            <w:r w:rsidRPr="00661595">
              <w:rPr>
                <w:rFonts w:ascii="Times New Roman" w:hAnsi="Times New Roman"/>
                <w:sz w:val="24"/>
              </w:rPr>
              <w:t xml:space="preserve"> treated as cash collateral.</w:t>
            </w:r>
          </w:p>
          <w:p w:rsidR="00E026FB" w:rsidRPr="00661595" w:rsidRDefault="00E026FB" w:rsidP="00E10B85">
            <w:pPr>
              <w:autoSpaceDE w:val="0"/>
              <w:autoSpaceDN w:val="0"/>
              <w:adjustRightInd w:val="0"/>
              <w:spacing w:before="0" w:after="0"/>
              <w:rPr>
                <w:rFonts w:ascii="Times New Roman" w:hAnsi="Times New Roman"/>
                <w:bCs/>
                <w:sz w:val="24"/>
                <w:lang w:eastAsia="nl-BE"/>
              </w:rPr>
            </w:pPr>
          </w:p>
        </w:tc>
      </w:tr>
      <w:tr w:rsidR="00E026FB" w:rsidRPr="00661595" w:rsidTr="00E10B85">
        <w:tc>
          <w:tcPr>
            <w:tcW w:w="1568" w:type="dxa"/>
          </w:tcPr>
          <w:p w:rsidR="00E026FB" w:rsidRPr="00661595" w:rsidRDefault="00E026FB"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0100-0110</w:t>
            </w:r>
          </w:p>
        </w:tc>
        <w:tc>
          <w:tcPr>
            <w:tcW w:w="7436" w:type="dxa"/>
          </w:tcPr>
          <w:p w:rsidR="00E026FB" w:rsidRPr="00661595" w:rsidRDefault="00E026FB" w:rsidP="00E10B85">
            <w:pPr>
              <w:autoSpaceDE w:val="0"/>
              <w:autoSpaceDN w:val="0"/>
              <w:adjustRightInd w:val="0"/>
              <w:spacing w:before="0" w:after="0"/>
              <w:jc w:val="left"/>
              <w:rPr>
                <w:rFonts w:ascii="Times New Roman" w:hAnsi="Times New Roman"/>
                <w:b/>
                <w:sz w:val="24"/>
                <w:u w:val="single"/>
                <w:lang w:eastAsia="es-ES_tradnl"/>
              </w:rPr>
            </w:pPr>
            <w:r w:rsidRPr="00661595">
              <w:rPr>
                <w:rFonts w:ascii="Times New Roman" w:hAnsi="Times New Roman"/>
                <w:b/>
                <w:sz w:val="24"/>
                <w:u w:val="single"/>
                <w:lang w:eastAsia="es-ES_tradnl"/>
              </w:rPr>
              <w:t>SUBSTITUTION OF THE EXPOSURE DUE TO CRM:</w:t>
            </w:r>
          </w:p>
          <w:p w:rsidR="00E026FB" w:rsidRPr="00661595" w:rsidRDefault="00E026FB" w:rsidP="00E10B85">
            <w:pPr>
              <w:spacing w:before="0" w:after="0"/>
              <w:rPr>
                <w:rFonts w:ascii="Times New Roman" w:hAnsi="Times New Roman"/>
                <w:b/>
                <w:sz w:val="24"/>
                <w:u w:val="single"/>
              </w:rPr>
            </w:pPr>
          </w:p>
          <w:p w:rsidR="00E026FB" w:rsidRPr="00661595" w:rsidRDefault="00E026FB" w:rsidP="00E10B85">
            <w:pPr>
              <w:autoSpaceDE w:val="0"/>
              <w:autoSpaceDN w:val="0"/>
              <w:adjustRightInd w:val="0"/>
              <w:spacing w:before="0" w:after="0"/>
              <w:rPr>
                <w:rFonts w:ascii="Times New Roman" w:hAnsi="Times New Roman"/>
                <w:sz w:val="24"/>
                <w:lang w:eastAsia="es-ES_tradnl"/>
              </w:rPr>
            </w:pPr>
            <w:r w:rsidRPr="00661595">
              <w:rPr>
                <w:rFonts w:ascii="Times New Roman" w:hAnsi="Times New Roman"/>
                <w:sz w:val="24"/>
                <w:lang w:eastAsia="es-ES_tradnl"/>
              </w:rPr>
              <w:t>Inflows and outflows within the same exposure classes and, when relevant, risk weights or obligor grades shall be reported.</w:t>
            </w:r>
          </w:p>
          <w:p w:rsidR="00E026FB" w:rsidRPr="00661595" w:rsidRDefault="00E026FB" w:rsidP="00E10B85">
            <w:pPr>
              <w:spacing w:before="0" w:after="0"/>
              <w:rPr>
                <w:rFonts w:ascii="Times New Roman" w:hAnsi="Times New Roman"/>
                <w:b/>
                <w:sz w:val="24"/>
                <w:u w:val="single"/>
              </w:rPr>
            </w:pPr>
          </w:p>
        </w:tc>
      </w:tr>
      <w:tr w:rsidR="00E026FB" w:rsidRPr="00661595" w:rsidTr="00E10B85">
        <w:tc>
          <w:tcPr>
            <w:tcW w:w="1568" w:type="dxa"/>
          </w:tcPr>
          <w:p w:rsidR="00E026FB" w:rsidRPr="00661595" w:rsidRDefault="00E026FB"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0100</w:t>
            </w:r>
          </w:p>
        </w:tc>
        <w:tc>
          <w:tcPr>
            <w:tcW w:w="7436" w:type="dxa"/>
          </w:tcPr>
          <w:p w:rsidR="00E026FB" w:rsidRPr="00661595" w:rsidRDefault="00E026FB" w:rsidP="00E10B85">
            <w:pPr>
              <w:autoSpaceDE w:val="0"/>
              <w:autoSpaceDN w:val="0"/>
              <w:adjustRightInd w:val="0"/>
              <w:spacing w:before="0" w:after="0"/>
              <w:jc w:val="left"/>
              <w:rPr>
                <w:rFonts w:ascii="Times New Roman" w:hAnsi="Times New Roman"/>
                <w:b/>
                <w:sz w:val="24"/>
                <w:u w:val="single"/>
                <w:lang w:eastAsia="es-ES_tradnl"/>
              </w:rPr>
            </w:pPr>
            <w:r w:rsidRPr="00661595">
              <w:rPr>
                <w:rFonts w:ascii="Times New Roman" w:hAnsi="Times New Roman"/>
                <w:b/>
                <w:sz w:val="24"/>
                <w:u w:val="single"/>
                <w:lang w:eastAsia="es-ES_tradnl"/>
              </w:rPr>
              <w:t>(-) TOTAL OUTFLOWS</w:t>
            </w:r>
          </w:p>
          <w:p w:rsidR="00E026FB" w:rsidRPr="00661595" w:rsidRDefault="00E026FB" w:rsidP="00E10B85">
            <w:pPr>
              <w:autoSpaceDE w:val="0"/>
              <w:autoSpaceDN w:val="0"/>
              <w:adjustRightInd w:val="0"/>
              <w:spacing w:before="0" w:after="0"/>
              <w:jc w:val="left"/>
              <w:rPr>
                <w:rFonts w:ascii="Times New Roman" w:hAnsi="Times New Roman"/>
                <w:sz w:val="24"/>
                <w:lang w:eastAsia="es-ES_tradnl"/>
              </w:rPr>
            </w:pPr>
          </w:p>
          <w:p w:rsidR="00E026FB" w:rsidRPr="00661595" w:rsidRDefault="00E026FB" w:rsidP="00E10B85">
            <w:pPr>
              <w:autoSpaceDE w:val="0"/>
              <w:autoSpaceDN w:val="0"/>
              <w:adjustRightInd w:val="0"/>
              <w:spacing w:before="0" w:after="0"/>
              <w:rPr>
                <w:rFonts w:ascii="Times New Roman" w:hAnsi="Times New Roman"/>
                <w:sz w:val="24"/>
                <w:lang w:eastAsia="es-ES_tradnl"/>
              </w:rPr>
            </w:pPr>
            <w:r w:rsidRPr="00661595">
              <w:rPr>
                <w:rFonts w:ascii="Times New Roman" w:hAnsi="Times New Roman"/>
                <w:sz w:val="24"/>
                <w:lang w:eastAsia="es-ES_tradnl"/>
              </w:rPr>
              <w:t xml:space="preserve">Article 222(3), </w:t>
            </w:r>
            <w:r w:rsidR="00D021AF" w:rsidRPr="00661595">
              <w:rPr>
                <w:rFonts w:ascii="Times New Roman" w:hAnsi="Times New Roman"/>
                <w:sz w:val="24"/>
                <w:lang w:eastAsia="es-ES_tradnl"/>
              </w:rPr>
              <w:t xml:space="preserve">paragraphs 1 and 2 of Article </w:t>
            </w:r>
            <w:r w:rsidRPr="00661595">
              <w:rPr>
                <w:rFonts w:ascii="Times New Roman" w:hAnsi="Times New Roman"/>
                <w:sz w:val="24"/>
                <w:lang w:eastAsia="es-ES_tradnl"/>
              </w:rPr>
              <w:t xml:space="preserve">235 and </w:t>
            </w:r>
            <w:r w:rsidR="001E0C80" w:rsidRPr="00661595">
              <w:rPr>
                <w:rFonts w:ascii="Times New Roman" w:hAnsi="Times New Roman"/>
                <w:sz w:val="24"/>
                <w:lang w:eastAsia="es-ES_tradnl"/>
              </w:rPr>
              <w:t xml:space="preserve">Article </w:t>
            </w:r>
            <w:r w:rsidRPr="00661595">
              <w:rPr>
                <w:rFonts w:ascii="Times New Roman" w:hAnsi="Times New Roman"/>
                <w:sz w:val="24"/>
                <w:lang w:eastAsia="es-ES_tradnl"/>
              </w:rPr>
              <w:t xml:space="preserve">236 </w:t>
            </w:r>
            <w:r w:rsidR="00C7103D" w:rsidRPr="00661595">
              <w:rPr>
                <w:rFonts w:ascii="Times New Roman" w:hAnsi="Times New Roman"/>
                <w:sz w:val="24"/>
                <w:lang w:eastAsia="es-ES_tradnl"/>
              </w:rPr>
              <w:t>CRR</w:t>
            </w:r>
            <w:r w:rsidRPr="00661595">
              <w:rPr>
                <w:rFonts w:ascii="Times New Roman" w:hAnsi="Times New Roman"/>
                <w:sz w:val="24"/>
                <w:lang w:eastAsia="es-ES_tradnl"/>
              </w:rPr>
              <w:t xml:space="preserve">. </w:t>
            </w:r>
          </w:p>
          <w:p w:rsidR="00E026FB" w:rsidRPr="00661595" w:rsidRDefault="00E026FB" w:rsidP="00E10B85">
            <w:pPr>
              <w:autoSpaceDE w:val="0"/>
              <w:autoSpaceDN w:val="0"/>
              <w:adjustRightInd w:val="0"/>
              <w:spacing w:before="0" w:after="0"/>
              <w:rPr>
                <w:rFonts w:ascii="Times New Roman" w:hAnsi="Times New Roman"/>
                <w:sz w:val="24"/>
                <w:lang w:eastAsia="es-ES_tradnl"/>
              </w:rPr>
            </w:pPr>
          </w:p>
          <w:p w:rsidR="00E026FB" w:rsidRPr="00661595" w:rsidRDefault="00E026FB" w:rsidP="00E10B85">
            <w:pPr>
              <w:autoSpaceDE w:val="0"/>
              <w:autoSpaceDN w:val="0"/>
              <w:adjustRightInd w:val="0"/>
              <w:spacing w:before="0" w:after="0"/>
              <w:rPr>
                <w:rFonts w:ascii="Times New Roman" w:hAnsi="Times New Roman"/>
                <w:sz w:val="24"/>
                <w:lang w:eastAsia="es-ES_tradnl"/>
              </w:rPr>
            </w:pPr>
            <w:r w:rsidRPr="00661595">
              <w:rPr>
                <w:rFonts w:ascii="Times New Roman" w:hAnsi="Times New Roman"/>
                <w:sz w:val="24"/>
                <w:lang w:eastAsia="es-ES_tradnl"/>
              </w:rPr>
              <w:t xml:space="preserve">Outflows </w:t>
            </w:r>
            <w:r w:rsidR="0008126E" w:rsidRPr="00661595">
              <w:rPr>
                <w:rFonts w:ascii="Times New Roman" w:hAnsi="Times New Roman"/>
                <w:sz w:val="24"/>
                <w:lang w:eastAsia="es-ES_tradnl"/>
              </w:rPr>
              <w:t xml:space="preserve">shall </w:t>
            </w:r>
            <w:r w:rsidRPr="00661595">
              <w:rPr>
                <w:rFonts w:ascii="Times New Roman" w:hAnsi="Times New Roman"/>
                <w:sz w:val="24"/>
                <w:lang w:eastAsia="es-ES_tradnl"/>
              </w:rPr>
              <w:t>correspond to the covered part of the ‘Exposure net of value adjustments and provisions’ that is deducted from the obligor's exposure class and, whe</w:t>
            </w:r>
            <w:r w:rsidR="00D021AF" w:rsidRPr="00661595">
              <w:rPr>
                <w:rFonts w:ascii="Times New Roman" w:hAnsi="Times New Roman"/>
                <w:sz w:val="24"/>
                <w:lang w:eastAsia="es-ES_tradnl"/>
              </w:rPr>
              <w:t>re</w:t>
            </w:r>
            <w:r w:rsidRPr="00661595">
              <w:rPr>
                <w:rFonts w:ascii="Times New Roman" w:hAnsi="Times New Roman"/>
                <w:sz w:val="24"/>
                <w:lang w:eastAsia="es-ES_tradnl"/>
              </w:rPr>
              <w:t xml:space="preserve"> relevant, risk weight or obligor grade, and subsequently assigned to the protection provider's exposure class and, whe</w:t>
            </w:r>
            <w:r w:rsidR="00D021AF" w:rsidRPr="00661595">
              <w:rPr>
                <w:rFonts w:ascii="Times New Roman" w:hAnsi="Times New Roman"/>
                <w:sz w:val="24"/>
                <w:lang w:eastAsia="es-ES_tradnl"/>
              </w:rPr>
              <w:t>re</w:t>
            </w:r>
            <w:r w:rsidRPr="00661595">
              <w:rPr>
                <w:rFonts w:ascii="Times New Roman" w:hAnsi="Times New Roman"/>
                <w:sz w:val="24"/>
                <w:lang w:eastAsia="es-ES_tradnl"/>
              </w:rPr>
              <w:t xml:space="preserve"> relevant, risk weight or obligor grade. </w:t>
            </w:r>
          </w:p>
          <w:p w:rsidR="00E026FB" w:rsidRPr="00661595" w:rsidRDefault="00E026FB" w:rsidP="00E10B85">
            <w:pPr>
              <w:autoSpaceDE w:val="0"/>
              <w:autoSpaceDN w:val="0"/>
              <w:adjustRightInd w:val="0"/>
              <w:spacing w:before="0" w:after="0"/>
              <w:rPr>
                <w:rFonts w:ascii="Times New Roman" w:hAnsi="Times New Roman"/>
                <w:sz w:val="24"/>
                <w:lang w:eastAsia="es-ES_tradnl"/>
              </w:rPr>
            </w:pPr>
          </w:p>
          <w:p w:rsidR="00E026FB" w:rsidRPr="00661595" w:rsidRDefault="00E026FB" w:rsidP="00E10B85">
            <w:pPr>
              <w:autoSpaceDE w:val="0"/>
              <w:autoSpaceDN w:val="0"/>
              <w:adjustRightInd w:val="0"/>
              <w:spacing w:before="0" w:after="0"/>
              <w:rPr>
                <w:rFonts w:ascii="Times New Roman" w:hAnsi="Times New Roman"/>
                <w:sz w:val="24"/>
                <w:lang w:eastAsia="es-ES_tradnl"/>
              </w:rPr>
            </w:pPr>
            <w:r w:rsidRPr="00661595">
              <w:rPr>
                <w:rFonts w:ascii="Times New Roman" w:hAnsi="Times New Roman"/>
                <w:sz w:val="24"/>
                <w:lang w:eastAsia="es-ES_tradnl"/>
              </w:rPr>
              <w:t>Th</w:t>
            </w:r>
            <w:r w:rsidR="00D021AF" w:rsidRPr="00661595">
              <w:rPr>
                <w:rFonts w:ascii="Times New Roman" w:hAnsi="Times New Roman"/>
                <w:sz w:val="24"/>
                <w:lang w:eastAsia="es-ES_tradnl"/>
              </w:rPr>
              <w:t>at</w:t>
            </w:r>
            <w:r w:rsidRPr="00661595">
              <w:rPr>
                <w:rFonts w:ascii="Times New Roman" w:hAnsi="Times New Roman"/>
                <w:sz w:val="24"/>
                <w:lang w:eastAsia="es-ES_tradnl"/>
              </w:rPr>
              <w:t xml:space="preserve"> amount shall be considered as an Inflow into the protection provider's exposure class and, whe</w:t>
            </w:r>
            <w:r w:rsidR="00D021AF" w:rsidRPr="00661595">
              <w:rPr>
                <w:rFonts w:ascii="Times New Roman" w:hAnsi="Times New Roman"/>
                <w:sz w:val="24"/>
                <w:lang w:eastAsia="es-ES_tradnl"/>
              </w:rPr>
              <w:t>re</w:t>
            </w:r>
            <w:r w:rsidRPr="00661595">
              <w:rPr>
                <w:rFonts w:ascii="Times New Roman" w:hAnsi="Times New Roman"/>
                <w:sz w:val="24"/>
                <w:lang w:eastAsia="es-ES_tradnl"/>
              </w:rPr>
              <w:t xml:space="preserve"> relevant, risk weights or obligor grades.</w:t>
            </w:r>
          </w:p>
          <w:p w:rsidR="00E026FB" w:rsidRPr="00661595" w:rsidRDefault="00E026FB" w:rsidP="00E10B85">
            <w:pPr>
              <w:autoSpaceDE w:val="0"/>
              <w:autoSpaceDN w:val="0"/>
              <w:adjustRightInd w:val="0"/>
              <w:spacing w:before="0" w:after="0"/>
              <w:rPr>
                <w:rFonts w:ascii="Times New Roman" w:hAnsi="Times New Roman"/>
                <w:b/>
                <w:sz w:val="24"/>
                <w:u w:val="single"/>
                <w:lang w:eastAsia="es-ES_tradnl"/>
              </w:rPr>
            </w:pPr>
          </w:p>
        </w:tc>
      </w:tr>
      <w:tr w:rsidR="00E026FB" w:rsidRPr="00661595" w:rsidTr="00E10B85">
        <w:tc>
          <w:tcPr>
            <w:tcW w:w="1568" w:type="dxa"/>
          </w:tcPr>
          <w:p w:rsidR="00E026FB" w:rsidRPr="00661595" w:rsidRDefault="00E026FB"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0110</w:t>
            </w:r>
          </w:p>
        </w:tc>
        <w:tc>
          <w:tcPr>
            <w:tcW w:w="7436" w:type="dxa"/>
          </w:tcPr>
          <w:p w:rsidR="00E026FB" w:rsidRPr="00661595" w:rsidRDefault="00E026FB" w:rsidP="00E10B85">
            <w:pPr>
              <w:autoSpaceDE w:val="0"/>
              <w:autoSpaceDN w:val="0"/>
              <w:adjustRightInd w:val="0"/>
              <w:spacing w:before="0" w:after="0"/>
              <w:jc w:val="left"/>
              <w:rPr>
                <w:rStyle w:val="InstructionsTabelleberschrift"/>
                <w:rFonts w:ascii="Times New Roman" w:hAnsi="Times New Roman"/>
                <w:sz w:val="24"/>
              </w:rPr>
            </w:pPr>
            <w:r w:rsidRPr="00661595">
              <w:rPr>
                <w:rStyle w:val="InstructionsTabelleberschrift"/>
                <w:rFonts w:ascii="Times New Roman" w:hAnsi="Times New Roman"/>
                <w:sz w:val="24"/>
              </w:rPr>
              <w:t>TOTAL INFLOWS</w:t>
            </w:r>
          </w:p>
          <w:p w:rsidR="00E026FB" w:rsidRPr="00661595" w:rsidRDefault="00E026FB" w:rsidP="00E10B85">
            <w:pPr>
              <w:autoSpaceDE w:val="0"/>
              <w:autoSpaceDN w:val="0"/>
              <w:adjustRightInd w:val="0"/>
              <w:spacing w:before="0" w:after="0"/>
              <w:jc w:val="left"/>
              <w:rPr>
                <w:rFonts w:ascii="Times New Roman" w:hAnsi="Times New Roman"/>
                <w:b/>
                <w:sz w:val="24"/>
                <w:u w:val="single"/>
                <w:lang w:eastAsia="es-ES_tradnl"/>
              </w:rPr>
            </w:pPr>
          </w:p>
          <w:p w:rsidR="00E026FB" w:rsidRPr="00661595" w:rsidRDefault="00E026FB" w:rsidP="00E10B85">
            <w:pPr>
              <w:spacing w:before="0" w:after="0"/>
              <w:rPr>
                <w:rFonts w:ascii="Times New Roman" w:hAnsi="Times New Roman"/>
                <w:sz w:val="24"/>
                <w:lang w:eastAsia="es-ES_tradnl"/>
              </w:rPr>
            </w:pPr>
            <w:r w:rsidRPr="00661595">
              <w:rPr>
                <w:rFonts w:ascii="Times New Roman" w:hAnsi="Times New Roman"/>
                <w:sz w:val="24"/>
                <w:lang w:eastAsia="es-ES_tradnl"/>
              </w:rPr>
              <w:t xml:space="preserve">Securitisation positions which are debt securities and are </w:t>
            </w:r>
            <w:r w:rsidR="00D021AF" w:rsidRPr="00661595">
              <w:rPr>
                <w:rFonts w:ascii="Times New Roman" w:hAnsi="Times New Roman"/>
                <w:sz w:val="24"/>
                <w:lang w:eastAsia="es-ES_tradnl"/>
              </w:rPr>
              <w:t xml:space="preserve">used as </w:t>
            </w:r>
            <w:r w:rsidRPr="00661595">
              <w:rPr>
                <w:rFonts w:ascii="Times New Roman" w:hAnsi="Times New Roman"/>
                <w:sz w:val="24"/>
                <w:lang w:eastAsia="es-ES_tradnl"/>
              </w:rPr>
              <w:t xml:space="preserve">eligible financial collateral </w:t>
            </w:r>
            <w:r w:rsidR="00BB22D4" w:rsidRPr="00661595">
              <w:rPr>
                <w:rFonts w:ascii="Times New Roman" w:hAnsi="Times New Roman"/>
                <w:sz w:val="24"/>
                <w:lang w:eastAsia="es-ES_tradnl"/>
              </w:rPr>
              <w:t>in accordance with</w:t>
            </w:r>
            <w:r w:rsidRPr="00661595">
              <w:rPr>
                <w:rFonts w:ascii="Times New Roman" w:hAnsi="Times New Roman"/>
                <w:sz w:val="24"/>
                <w:lang w:eastAsia="es-ES_tradnl"/>
              </w:rPr>
              <w:t xml:space="preserve"> Article 197</w:t>
            </w:r>
            <w:r w:rsidR="001E0C80" w:rsidRPr="00661595">
              <w:rPr>
                <w:rFonts w:ascii="Times New Roman" w:hAnsi="Times New Roman"/>
                <w:sz w:val="24"/>
                <w:lang w:eastAsia="es-ES_tradnl"/>
              </w:rPr>
              <w:t>(</w:t>
            </w:r>
            <w:r w:rsidRPr="00661595">
              <w:rPr>
                <w:rFonts w:ascii="Times New Roman" w:hAnsi="Times New Roman"/>
                <w:sz w:val="24"/>
                <w:lang w:eastAsia="es-ES_tradnl"/>
              </w:rPr>
              <w:t xml:space="preserve">1) </w:t>
            </w:r>
            <w:r w:rsidR="00C7103D" w:rsidRPr="00661595">
              <w:rPr>
                <w:rFonts w:ascii="Times New Roman" w:hAnsi="Times New Roman"/>
                <w:sz w:val="24"/>
                <w:lang w:eastAsia="es-ES_tradnl"/>
              </w:rPr>
              <w:t>CRR</w:t>
            </w:r>
            <w:r w:rsidRPr="00661595">
              <w:rPr>
                <w:rFonts w:ascii="Times New Roman" w:hAnsi="Times New Roman"/>
                <w:sz w:val="24"/>
                <w:lang w:eastAsia="es-ES_tradnl"/>
              </w:rPr>
              <w:t xml:space="preserve"> and where the Financial Collateral Simple Method is used, shall be reported as inflows in this column.</w:t>
            </w:r>
          </w:p>
          <w:p w:rsidR="00E026FB" w:rsidRPr="00661595" w:rsidRDefault="00E026FB" w:rsidP="00E10B85">
            <w:pPr>
              <w:autoSpaceDE w:val="0"/>
              <w:autoSpaceDN w:val="0"/>
              <w:adjustRightInd w:val="0"/>
              <w:spacing w:before="0" w:after="0"/>
              <w:rPr>
                <w:rFonts w:ascii="Times New Roman" w:hAnsi="Times New Roman"/>
                <w:b/>
                <w:sz w:val="24"/>
                <w:u w:val="single"/>
                <w:lang w:eastAsia="es-ES_tradnl"/>
              </w:rPr>
            </w:pPr>
          </w:p>
        </w:tc>
      </w:tr>
      <w:tr w:rsidR="00E026FB" w:rsidRPr="00661595" w:rsidTr="00E10B85">
        <w:tc>
          <w:tcPr>
            <w:tcW w:w="1568" w:type="dxa"/>
          </w:tcPr>
          <w:p w:rsidR="00E026FB" w:rsidRPr="00661595" w:rsidRDefault="00E026FB"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0120</w:t>
            </w:r>
          </w:p>
        </w:tc>
        <w:tc>
          <w:tcPr>
            <w:tcW w:w="7436" w:type="dxa"/>
          </w:tcPr>
          <w:p w:rsidR="00E026FB" w:rsidRPr="00661595" w:rsidRDefault="00E026FB" w:rsidP="00E10B85">
            <w:pPr>
              <w:autoSpaceDE w:val="0"/>
              <w:autoSpaceDN w:val="0"/>
              <w:adjustRightInd w:val="0"/>
              <w:spacing w:before="0" w:after="0"/>
              <w:jc w:val="left"/>
              <w:rPr>
                <w:rStyle w:val="InstructionsTabelleberschrift"/>
                <w:rFonts w:ascii="Times New Roman" w:hAnsi="Times New Roman"/>
                <w:sz w:val="24"/>
              </w:rPr>
            </w:pPr>
            <w:r w:rsidRPr="00661595">
              <w:rPr>
                <w:rStyle w:val="InstructionsTabelleberschrift"/>
                <w:rFonts w:ascii="Times New Roman" w:hAnsi="Times New Roman"/>
                <w:sz w:val="24"/>
              </w:rPr>
              <w:t>NET EXPOSURE AFTER CRM SUBSTITUTION EFFECTS PRE</w:t>
            </w:r>
            <w:r w:rsidR="007574C3" w:rsidRPr="00661595">
              <w:rPr>
                <w:rStyle w:val="InstructionsTabelleberschrift"/>
                <w:rFonts w:ascii="Times New Roman" w:hAnsi="Times New Roman"/>
                <w:sz w:val="24"/>
              </w:rPr>
              <w:t>-</w:t>
            </w:r>
            <w:r w:rsidRPr="00661595">
              <w:rPr>
                <w:rStyle w:val="InstructionsTabelleberschrift"/>
                <w:rFonts w:ascii="Times New Roman" w:hAnsi="Times New Roman"/>
                <w:sz w:val="24"/>
              </w:rPr>
              <w:t>CONVERSION FACTORS</w:t>
            </w:r>
          </w:p>
          <w:p w:rsidR="00E026FB" w:rsidRPr="00661595" w:rsidRDefault="00E026FB" w:rsidP="00E10B85">
            <w:pPr>
              <w:autoSpaceDE w:val="0"/>
              <w:autoSpaceDN w:val="0"/>
              <w:adjustRightInd w:val="0"/>
              <w:spacing w:before="0" w:after="0"/>
              <w:jc w:val="left"/>
              <w:rPr>
                <w:rStyle w:val="FormatvorlageInstructionsTabelleText"/>
                <w:rFonts w:ascii="Times New Roman" w:hAnsi="Times New Roman"/>
                <w:sz w:val="24"/>
              </w:rPr>
            </w:pPr>
          </w:p>
          <w:p w:rsidR="00E026FB" w:rsidRPr="00661595" w:rsidRDefault="00A16FFF" w:rsidP="00E10B85">
            <w:pPr>
              <w:autoSpaceDE w:val="0"/>
              <w:autoSpaceDN w:val="0"/>
              <w:adjustRightInd w:val="0"/>
              <w:spacing w:before="0" w:after="0"/>
              <w:jc w:val="left"/>
              <w:rPr>
                <w:rStyle w:val="FormatvorlageInstructionsTabelleText"/>
                <w:rFonts w:ascii="Times New Roman" w:hAnsi="Times New Roman"/>
                <w:sz w:val="24"/>
              </w:rPr>
            </w:pPr>
            <w:r w:rsidRPr="00661595">
              <w:rPr>
                <w:rStyle w:val="FormatvorlageInstructionsTabelleText"/>
                <w:rFonts w:ascii="Times New Roman" w:hAnsi="Times New Roman"/>
                <w:sz w:val="24"/>
              </w:rPr>
              <w:t>This column shall include the e</w:t>
            </w:r>
            <w:r w:rsidR="00E026FB" w:rsidRPr="00661595">
              <w:rPr>
                <w:rStyle w:val="FormatvorlageInstructionsTabelleText"/>
                <w:rFonts w:ascii="Times New Roman" w:hAnsi="Times New Roman"/>
                <w:sz w:val="24"/>
              </w:rPr>
              <w:t>xposure</w:t>
            </w:r>
            <w:r w:rsidRPr="00661595">
              <w:rPr>
                <w:rStyle w:val="FormatvorlageInstructionsTabelleText"/>
                <w:rFonts w:ascii="Times New Roman" w:hAnsi="Times New Roman"/>
                <w:sz w:val="24"/>
              </w:rPr>
              <w:t>s</w:t>
            </w:r>
            <w:r w:rsidR="00E026FB" w:rsidRPr="00661595">
              <w:rPr>
                <w:rStyle w:val="FormatvorlageInstructionsTabelleText"/>
                <w:rFonts w:ascii="Times New Roman" w:hAnsi="Times New Roman"/>
                <w:sz w:val="24"/>
              </w:rPr>
              <w:t xml:space="preserve"> assigned in the corresponding risk weight and exposure class after taking into account outflows and inflows due to ‘Credit risk mitigation (CRM) techniques with substitution effects on the exposure’.</w:t>
            </w:r>
          </w:p>
          <w:p w:rsidR="00E026FB" w:rsidRPr="00661595" w:rsidRDefault="00E026FB" w:rsidP="00E10B85">
            <w:pPr>
              <w:autoSpaceDE w:val="0"/>
              <w:autoSpaceDN w:val="0"/>
              <w:adjustRightInd w:val="0"/>
              <w:spacing w:before="0" w:after="0"/>
              <w:jc w:val="left"/>
              <w:rPr>
                <w:rStyle w:val="InstructionsTabelleberschrift"/>
                <w:rFonts w:ascii="Times New Roman" w:hAnsi="Times New Roman"/>
                <w:sz w:val="24"/>
              </w:rPr>
            </w:pPr>
          </w:p>
        </w:tc>
      </w:tr>
      <w:tr w:rsidR="00E026FB" w:rsidRPr="00661595" w:rsidTr="00E10B85">
        <w:tc>
          <w:tcPr>
            <w:tcW w:w="1568" w:type="dxa"/>
          </w:tcPr>
          <w:p w:rsidR="00E026FB" w:rsidRPr="00661595" w:rsidRDefault="00E026FB"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0130</w:t>
            </w:r>
          </w:p>
        </w:tc>
        <w:tc>
          <w:tcPr>
            <w:tcW w:w="7436" w:type="dxa"/>
          </w:tcPr>
          <w:p w:rsidR="00E026FB" w:rsidRPr="00661595" w:rsidRDefault="00E026FB" w:rsidP="00E10B85">
            <w:pPr>
              <w:autoSpaceDE w:val="0"/>
              <w:autoSpaceDN w:val="0"/>
              <w:adjustRightInd w:val="0"/>
              <w:spacing w:before="0" w:after="0"/>
              <w:jc w:val="left"/>
              <w:rPr>
                <w:rStyle w:val="InstructionsTabelleberschrift"/>
                <w:rFonts w:ascii="Times New Roman" w:hAnsi="Times New Roman"/>
                <w:sz w:val="24"/>
              </w:rPr>
            </w:pPr>
            <w:r w:rsidRPr="00661595">
              <w:rPr>
                <w:rStyle w:val="InstructionsTabelleberschrift"/>
                <w:rFonts w:ascii="Times New Roman" w:hAnsi="Times New Roman"/>
                <w:sz w:val="24"/>
              </w:rPr>
              <w:t>(-) CREDIT RISK MITIGATION TECHNIQUES AFFECTING THE AMOUNT OF THE EXPOSURE: FUNDED CREDIT PROTECTION FINANCIAL COLLATERAL COMPREHENSIVE METHOD ADJUSTED VALUE (CVAM)</w:t>
            </w:r>
          </w:p>
          <w:p w:rsidR="00E026FB" w:rsidRPr="00661595" w:rsidRDefault="00E026FB" w:rsidP="00E10B85">
            <w:pPr>
              <w:autoSpaceDE w:val="0"/>
              <w:autoSpaceDN w:val="0"/>
              <w:adjustRightInd w:val="0"/>
              <w:spacing w:before="0" w:after="0"/>
              <w:jc w:val="left"/>
              <w:rPr>
                <w:rStyle w:val="FormatvorlageInstructionsTabelleText"/>
                <w:rFonts w:ascii="Times New Roman" w:hAnsi="Times New Roman"/>
                <w:sz w:val="24"/>
              </w:rPr>
            </w:pPr>
          </w:p>
          <w:p w:rsidR="001E0C80" w:rsidRPr="00661595" w:rsidRDefault="00E026FB" w:rsidP="00487A02">
            <w:pPr>
              <w:pStyle w:val="InstructionsText"/>
            </w:pPr>
            <w:r w:rsidRPr="00661595">
              <w:t>Articles 223</w:t>
            </w:r>
            <w:r w:rsidR="001E0C80" w:rsidRPr="00661595">
              <w:t xml:space="preserve"> to</w:t>
            </w:r>
            <w:r w:rsidRPr="00661595">
              <w:t xml:space="preserve"> 228 </w:t>
            </w:r>
            <w:r w:rsidR="00C7103D" w:rsidRPr="00661595">
              <w:t>CRR</w:t>
            </w:r>
            <w:r w:rsidRPr="00661595">
              <w:t xml:space="preserve"> </w:t>
            </w:r>
          </w:p>
          <w:p w:rsidR="00E026FB" w:rsidRPr="00661595" w:rsidRDefault="00A16FFF" w:rsidP="00487A02">
            <w:pPr>
              <w:pStyle w:val="InstructionsText"/>
            </w:pPr>
            <w:r w:rsidRPr="00661595">
              <w:t xml:space="preserve">The reported amount shall </w:t>
            </w:r>
            <w:r w:rsidR="00E026FB" w:rsidRPr="00661595">
              <w:t xml:space="preserve">also include credit linked notes (Article 218 </w:t>
            </w:r>
            <w:r w:rsidR="00C7103D" w:rsidRPr="00661595">
              <w:t>CRR</w:t>
            </w:r>
            <w:r w:rsidR="00E026FB" w:rsidRPr="00661595">
              <w:t>).</w:t>
            </w:r>
          </w:p>
          <w:p w:rsidR="00E026FB" w:rsidRPr="00661595" w:rsidRDefault="00E026FB" w:rsidP="00E10B85">
            <w:pPr>
              <w:autoSpaceDE w:val="0"/>
              <w:autoSpaceDN w:val="0"/>
              <w:adjustRightInd w:val="0"/>
              <w:spacing w:before="0" w:after="0"/>
              <w:jc w:val="left"/>
              <w:rPr>
                <w:rStyle w:val="InstructionsTabelleberschrift"/>
                <w:rFonts w:ascii="Times New Roman" w:hAnsi="Times New Roman"/>
                <w:sz w:val="24"/>
              </w:rPr>
            </w:pPr>
          </w:p>
        </w:tc>
      </w:tr>
      <w:tr w:rsidR="00E026FB" w:rsidRPr="00661595" w:rsidTr="00E10B85">
        <w:tc>
          <w:tcPr>
            <w:tcW w:w="1568" w:type="dxa"/>
          </w:tcPr>
          <w:p w:rsidR="00E026FB" w:rsidRPr="00661595" w:rsidRDefault="00E026FB"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sz w:val="24"/>
              </w:rPr>
              <w:t>0140</w:t>
            </w:r>
          </w:p>
        </w:tc>
        <w:tc>
          <w:tcPr>
            <w:tcW w:w="7436" w:type="dxa"/>
          </w:tcPr>
          <w:p w:rsidR="00E026FB" w:rsidRPr="00661595" w:rsidRDefault="00E026FB" w:rsidP="00E10B85">
            <w:pPr>
              <w:spacing w:before="0" w:after="0"/>
              <w:rPr>
                <w:rFonts w:ascii="Times New Roman" w:hAnsi="Times New Roman"/>
                <w:b/>
                <w:sz w:val="24"/>
                <w:u w:val="single"/>
              </w:rPr>
            </w:pPr>
            <w:r w:rsidRPr="00661595">
              <w:rPr>
                <w:rFonts w:ascii="Times New Roman" w:hAnsi="Times New Roman"/>
                <w:b/>
                <w:sz w:val="24"/>
                <w:u w:val="single"/>
              </w:rPr>
              <w:t>FULLY ADJUSTED EXPOSURE VALUE (E*)</w:t>
            </w:r>
          </w:p>
          <w:p w:rsidR="00E026FB" w:rsidRPr="00661595" w:rsidRDefault="00E026FB" w:rsidP="00E10B85">
            <w:pPr>
              <w:pStyle w:val="Heading1"/>
              <w:rPr>
                <w:rFonts w:ascii="Times New Roman" w:eastAsia="Times New Roman" w:hAnsi="Times New Roman"/>
                <w:sz w:val="24"/>
                <w:szCs w:val="24"/>
                <w:lang w:eastAsia="es-ES_tradnl"/>
              </w:rPr>
            </w:pPr>
          </w:p>
          <w:p w:rsidR="00E026FB" w:rsidRPr="00661595" w:rsidRDefault="00D021AF" w:rsidP="00E10B85">
            <w:pPr>
              <w:autoSpaceDE w:val="0"/>
              <w:autoSpaceDN w:val="0"/>
              <w:adjustRightInd w:val="0"/>
              <w:spacing w:before="0" w:after="0"/>
              <w:rPr>
                <w:rFonts w:ascii="Times New Roman" w:hAnsi="Times New Roman"/>
                <w:sz w:val="24"/>
                <w:lang w:eastAsia="es-ES_tradnl"/>
              </w:rPr>
            </w:pPr>
            <w:r w:rsidRPr="00661595">
              <w:rPr>
                <w:rFonts w:ascii="Times New Roman" w:hAnsi="Times New Roman"/>
                <w:sz w:val="24"/>
                <w:lang w:eastAsia="es-ES_tradnl"/>
              </w:rPr>
              <w:t>The exposure value of s</w:t>
            </w:r>
            <w:r w:rsidR="00E026FB" w:rsidRPr="00661595">
              <w:rPr>
                <w:rFonts w:ascii="Times New Roman" w:hAnsi="Times New Roman"/>
                <w:sz w:val="24"/>
                <w:lang w:eastAsia="es-ES_tradnl"/>
              </w:rPr>
              <w:t xml:space="preserve">ecuritisation positions </w:t>
            </w:r>
            <w:r w:rsidRPr="00661595">
              <w:rPr>
                <w:rFonts w:ascii="Times New Roman" w:hAnsi="Times New Roman"/>
                <w:sz w:val="24"/>
                <w:lang w:eastAsia="es-ES_tradnl"/>
              </w:rPr>
              <w:t xml:space="preserve">calculated </w:t>
            </w:r>
            <w:r w:rsidR="00BB22D4" w:rsidRPr="00661595">
              <w:rPr>
                <w:rFonts w:ascii="Times New Roman" w:hAnsi="Times New Roman"/>
                <w:sz w:val="24"/>
                <w:lang w:eastAsia="es-ES_tradnl"/>
              </w:rPr>
              <w:t>in accordance with</w:t>
            </w:r>
            <w:r w:rsidR="00E026FB" w:rsidRPr="00661595">
              <w:rPr>
                <w:rFonts w:ascii="Times New Roman" w:hAnsi="Times New Roman"/>
                <w:sz w:val="24"/>
                <w:lang w:eastAsia="es-ES_tradnl"/>
              </w:rPr>
              <w:t xml:space="preserve"> Article 248 </w:t>
            </w:r>
            <w:r w:rsidR="00C7103D" w:rsidRPr="00661595">
              <w:rPr>
                <w:rFonts w:ascii="Times New Roman" w:hAnsi="Times New Roman"/>
                <w:sz w:val="24"/>
                <w:lang w:eastAsia="es-ES_tradnl"/>
              </w:rPr>
              <w:t>CRR</w:t>
            </w:r>
            <w:r w:rsidR="00A56F0F" w:rsidRPr="00661595">
              <w:rPr>
                <w:rFonts w:ascii="Times New Roman" w:hAnsi="Times New Roman"/>
                <w:sz w:val="24"/>
                <w:lang w:eastAsia="es-ES_tradnl"/>
              </w:rPr>
              <w:t>, but</w:t>
            </w:r>
            <w:r w:rsidR="00E026FB" w:rsidRPr="00661595">
              <w:rPr>
                <w:rFonts w:ascii="Times New Roman" w:hAnsi="Times New Roman"/>
                <w:sz w:val="24"/>
                <w:lang w:eastAsia="es-ES_tradnl"/>
              </w:rPr>
              <w:t xml:space="preserve"> without applying the conversion factors laid down in </w:t>
            </w:r>
            <w:r w:rsidR="00705025" w:rsidRPr="00661595">
              <w:rPr>
                <w:rFonts w:ascii="Times New Roman" w:hAnsi="Times New Roman"/>
                <w:sz w:val="24"/>
                <w:lang w:eastAsia="es-ES_tradnl"/>
              </w:rPr>
              <w:t xml:space="preserve">point (b) of </w:t>
            </w:r>
            <w:r w:rsidR="00E026FB" w:rsidRPr="00661595">
              <w:rPr>
                <w:rFonts w:ascii="Times New Roman" w:hAnsi="Times New Roman"/>
                <w:sz w:val="24"/>
                <w:lang w:eastAsia="es-ES_tradnl"/>
              </w:rPr>
              <w:t xml:space="preserve">Article 248(1) </w:t>
            </w:r>
            <w:r w:rsidR="00C7103D" w:rsidRPr="00661595">
              <w:rPr>
                <w:rFonts w:ascii="Times New Roman" w:hAnsi="Times New Roman"/>
                <w:sz w:val="24"/>
                <w:lang w:eastAsia="es-ES_tradnl"/>
              </w:rPr>
              <w:t>CRR</w:t>
            </w:r>
            <w:r w:rsidR="00883142" w:rsidRPr="00661595">
              <w:rPr>
                <w:rFonts w:ascii="Times New Roman" w:hAnsi="Times New Roman"/>
                <w:sz w:val="24"/>
                <w:lang w:eastAsia="es-ES_tradnl"/>
              </w:rPr>
              <w:t xml:space="preserve"> </w:t>
            </w:r>
          </w:p>
          <w:p w:rsidR="00E026FB" w:rsidRPr="00661595" w:rsidRDefault="00E026FB" w:rsidP="00E10B85">
            <w:pPr>
              <w:autoSpaceDE w:val="0"/>
              <w:autoSpaceDN w:val="0"/>
              <w:adjustRightInd w:val="0"/>
              <w:spacing w:before="0" w:after="0"/>
              <w:jc w:val="left"/>
              <w:rPr>
                <w:rFonts w:ascii="Times New Roman" w:hAnsi="Times New Roman"/>
                <w:sz w:val="24"/>
                <w:lang w:eastAsia="es-ES_tradnl"/>
              </w:rPr>
            </w:pPr>
          </w:p>
        </w:tc>
      </w:tr>
      <w:tr w:rsidR="00E026FB" w:rsidRPr="00661595" w:rsidTr="00E10B85">
        <w:tc>
          <w:tcPr>
            <w:tcW w:w="1568" w:type="dxa"/>
          </w:tcPr>
          <w:p w:rsidR="00E026FB" w:rsidRPr="00661595" w:rsidRDefault="00E026FB"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0150</w:t>
            </w:r>
          </w:p>
        </w:tc>
        <w:tc>
          <w:tcPr>
            <w:tcW w:w="7436" w:type="dxa"/>
          </w:tcPr>
          <w:p w:rsidR="00E026FB" w:rsidRPr="00661595" w:rsidRDefault="00E026FB" w:rsidP="00E10B85">
            <w:pPr>
              <w:spacing w:before="0" w:after="0"/>
              <w:rPr>
                <w:rFonts w:ascii="Times New Roman" w:hAnsi="Times New Roman"/>
                <w:b/>
                <w:sz w:val="24"/>
                <w:u w:val="single"/>
                <w:lang w:eastAsia="es-ES_tradnl"/>
              </w:rPr>
            </w:pPr>
            <w:r w:rsidRPr="00661595">
              <w:rPr>
                <w:rFonts w:ascii="Times New Roman" w:hAnsi="Times New Roman"/>
                <w:b/>
                <w:sz w:val="24"/>
                <w:u w:val="single"/>
                <w:lang w:eastAsia="es-ES_tradnl"/>
              </w:rPr>
              <w:t>OF WHICH: SUBJECT TO A CCF OF 0%</w:t>
            </w:r>
          </w:p>
          <w:p w:rsidR="00E026FB" w:rsidRPr="00661595" w:rsidRDefault="00E026FB" w:rsidP="00E10B85">
            <w:pPr>
              <w:spacing w:before="0" w:after="0"/>
              <w:rPr>
                <w:rFonts w:ascii="Times New Roman" w:hAnsi="Times New Roman"/>
                <w:b/>
                <w:sz w:val="24"/>
                <w:u w:val="single"/>
                <w:lang w:eastAsia="es-ES_tradnl"/>
              </w:rPr>
            </w:pPr>
          </w:p>
          <w:p w:rsidR="00705025" w:rsidRPr="00661595" w:rsidRDefault="00705025" w:rsidP="00E10B85">
            <w:pPr>
              <w:autoSpaceDE w:val="0"/>
              <w:autoSpaceDN w:val="0"/>
              <w:adjustRightInd w:val="0"/>
              <w:spacing w:before="0" w:after="0"/>
              <w:rPr>
                <w:rFonts w:ascii="Times New Roman" w:hAnsi="Times New Roman"/>
                <w:sz w:val="24"/>
                <w:lang w:eastAsia="es-ES_tradnl"/>
              </w:rPr>
            </w:pPr>
            <w:r w:rsidRPr="00661595">
              <w:rPr>
                <w:rFonts w:ascii="Times New Roman" w:hAnsi="Times New Roman"/>
                <w:sz w:val="24"/>
                <w:lang w:eastAsia="es-ES_tradnl"/>
              </w:rPr>
              <w:t xml:space="preserve">Point (b) of </w:t>
            </w:r>
            <w:r w:rsidR="00E026FB" w:rsidRPr="00661595">
              <w:rPr>
                <w:rFonts w:ascii="Times New Roman" w:hAnsi="Times New Roman"/>
                <w:sz w:val="24"/>
                <w:lang w:eastAsia="es-ES_tradnl"/>
              </w:rPr>
              <w:t xml:space="preserve">Article 248(1) </w:t>
            </w:r>
            <w:r w:rsidR="00C7103D" w:rsidRPr="00661595">
              <w:rPr>
                <w:rFonts w:ascii="Times New Roman" w:hAnsi="Times New Roman"/>
                <w:sz w:val="24"/>
                <w:lang w:eastAsia="es-ES_tradnl"/>
              </w:rPr>
              <w:t>CRR</w:t>
            </w:r>
            <w:r w:rsidR="00E026FB" w:rsidRPr="00661595">
              <w:rPr>
                <w:rFonts w:ascii="Times New Roman" w:hAnsi="Times New Roman"/>
                <w:sz w:val="24"/>
                <w:lang w:eastAsia="es-ES_tradnl"/>
              </w:rPr>
              <w:t xml:space="preserve"> </w:t>
            </w:r>
          </w:p>
          <w:p w:rsidR="00705025" w:rsidRPr="00661595" w:rsidRDefault="00705025" w:rsidP="00E10B85">
            <w:pPr>
              <w:autoSpaceDE w:val="0"/>
              <w:autoSpaceDN w:val="0"/>
              <w:adjustRightInd w:val="0"/>
              <w:spacing w:before="0" w:after="0"/>
              <w:rPr>
                <w:rFonts w:ascii="Times New Roman" w:hAnsi="Times New Roman"/>
                <w:sz w:val="24"/>
                <w:lang w:eastAsia="es-ES_tradnl"/>
              </w:rPr>
            </w:pPr>
          </w:p>
          <w:p w:rsidR="00E026FB" w:rsidRPr="00661595" w:rsidRDefault="00E026FB" w:rsidP="00E10B85">
            <w:pPr>
              <w:autoSpaceDE w:val="0"/>
              <w:autoSpaceDN w:val="0"/>
              <w:adjustRightInd w:val="0"/>
              <w:spacing w:before="0" w:after="0"/>
              <w:rPr>
                <w:rFonts w:ascii="Times New Roman" w:hAnsi="Times New Roman"/>
                <w:sz w:val="24"/>
                <w:lang w:eastAsia="es-ES_tradnl"/>
              </w:rPr>
            </w:pPr>
            <w:r w:rsidRPr="00661595">
              <w:rPr>
                <w:rFonts w:ascii="Times New Roman" w:hAnsi="Times New Roman"/>
                <w:sz w:val="24"/>
                <w:lang w:eastAsia="es-ES_tradnl"/>
              </w:rPr>
              <w:t xml:space="preserve">In this respect, </w:t>
            </w:r>
            <w:r w:rsidR="00A56F0F" w:rsidRPr="00661595">
              <w:rPr>
                <w:rFonts w:ascii="Times New Roman" w:hAnsi="Times New Roman"/>
                <w:sz w:val="24"/>
                <w:lang w:eastAsia="es-ES_tradnl"/>
              </w:rPr>
              <w:t xml:space="preserve">point (56) of </w:t>
            </w:r>
            <w:r w:rsidRPr="00661595">
              <w:rPr>
                <w:rFonts w:ascii="Times New Roman" w:hAnsi="Times New Roman"/>
                <w:sz w:val="24"/>
                <w:lang w:eastAsia="es-ES_tradnl"/>
              </w:rPr>
              <w:t xml:space="preserve">Article 4(1) </w:t>
            </w:r>
            <w:r w:rsidR="00C7103D" w:rsidRPr="00661595">
              <w:rPr>
                <w:rFonts w:ascii="Times New Roman" w:hAnsi="Times New Roman"/>
                <w:sz w:val="24"/>
                <w:lang w:eastAsia="es-ES_tradnl"/>
              </w:rPr>
              <w:t>CRR</w:t>
            </w:r>
            <w:r w:rsidRPr="00661595">
              <w:rPr>
                <w:rFonts w:ascii="Times New Roman" w:hAnsi="Times New Roman"/>
                <w:sz w:val="24"/>
                <w:lang w:eastAsia="es-ES_tradnl"/>
              </w:rPr>
              <w:t xml:space="preserve"> defines </w:t>
            </w:r>
            <w:r w:rsidR="002F78EA" w:rsidRPr="00661595">
              <w:rPr>
                <w:rFonts w:ascii="Times New Roman" w:hAnsi="Times New Roman"/>
                <w:sz w:val="24"/>
                <w:lang w:eastAsia="es-ES_tradnl"/>
              </w:rPr>
              <w:t xml:space="preserve">a </w:t>
            </w:r>
            <w:r w:rsidRPr="00661595">
              <w:rPr>
                <w:rFonts w:ascii="Times New Roman" w:hAnsi="Times New Roman"/>
                <w:sz w:val="24"/>
                <w:lang w:eastAsia="es-ES_tradnl"/>
              </w:rPr>
              <w:t>conversion factor.</w:t>
            </w:r>
          </w:p>
          <w:p w:rsidR="00E026FB" w:rsidRPr="00661595" w:rsidRDefault="00E026FB" w:rsidP="00E10B85">
            <w:pPr>
              <w:autoSpaceDE w:val="0"/>
              <w:autoSpaceDN w:val="0"/>
              <w:adjustRightInd w:val="0"/>
              <w:spacing w:before="0" w:after="0"/>
              <w:jc w:val="left"/>
              <w:rPr>
                <w:rFonts w:ascii="Times New Roman" w:hAnsi="Times New Roman"/>
                <w:sz w:val="24"/>
                <w:lang w:eastAsia="es-ES_tradnl"/>
              </w:rPr>
            </w:pPr>
          </w:p>
          <w:p w:rsidR="00E026FB" w:rsidRPr="00661595" w:rsidRDefault="00E026FB" w:rsidP="00E10B85">
            <w:pPr>
              <w:autoSpaceDE w:val="0"/>
              <w:autoSpaceDN w:val="0"/>
              <w:adjustRightInd w:val="0"/>
              <w:spacing w:before="0" w:after="0"/>
              <w:rPr>
                <w:rFonts w:ascii="Times New Roman" w:hAnsi="Times New Roman"/>
                <w:sz w:val="24"/>
                <w:lang w:eastAsia="es-ES_tradnl"/>
              </w:rPr>
            </w:pPr>
            <w:r w:rsidRPr="00661595">
              <w:rPr>
                <w:rFonts w:ascii="Times New Roman" w:hAnsi="Times New Roman"/>
                <w:sz w:val="24"/>
                <w:lang w:eastAsia="es-ES_tradnl"/>
              </w:rPr>
              <w:t>For reporting purposes, fully adjusted exposure values (E*) shall be reported for the 0% conversion factor.</w:t>
            </w:r>
          </w:p>
          <w:p w:rsidR="00E026FB" w:rsidRPr="00661595" w:rsidRDefault="00E026FB" w:rsidP="00E10B85">
            <w:pPr>
              <w:spacing w:before="0" w:after="0"/>
              <w:rPr>
                <w:rFonts w:ascii="Times New Roman" w:hAnsi="Times New Roman"/>
                <w:b/>
                <w:sz w:val="24"/>
                <w:u w:val="single"/>
              </w:rPr>
            </w:pPr>
          </w:p>
        </w:tc>
      </w:tr>
      <w:tr w:rsidR="00E026FB" w:rsidRPr="00661595" w:rsidTr="00E10B85">
        <w:tc>
          <w:tcPr>
            <w:tcW w:w="1568" w:type="dxa"/>
          </w:tcPr>
          <w:p w:rsidR="00E026FB" w:rsidRPr="00661595" w:rsidRDefault="00E026FB"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0160</w:t>
            </w:r>
          </w:p>
        </w:tc>
        <w:tc>
          <w:tcPr>
            <w:tcW w:w="7436" w:type="dxa"/>
          </w:tcPr>
          <w:p w:rsidR="00E026FB" w:rsidRPr="00661595" w:rsidRDefault="00E026FB" w:rsidP="00E10B85">
            <w:pPr>
              <w:spacing w:before="0" w:after="0"/>
              <w:jc w:val="left"/>
              <w:rPr>
                <w:rFonts w:ascii="Times New Roman" w:hAnsi="Times New Roman"/>
                <w:b/>
                <w:sz w:val="24"/>
                <w:u w:val="single"/>
              </w:rPr>
            </w:pPr>
            <w:r w:rsidRPr="00661595">
              <w:rPr>
                <w:rFonts w:ascii="Times New Roman" w:hAnsi="Times New Roman"/>
                <w:b/>
                <w:sz w:val="24"/>
                <w:u w:val="single"/>
              </w:rPr>
              <w:t>(-)NON REFUNDABLE PURCHASE PRICE DISCOUNT</w:t>
            </w:r>
          </w:p>
          <w:p w:rsidR="00E026FB" w:rsidRPr="00661595" w:rsidRDefault="00E026FB" w:rsidP="00E10B85">
            <w:pPr>
              <w:spacing w:before="0" w:after="0"/>
              <w:jc w:val="left"/>
              <w:rPr>
                <w:rFonts w:ascii="Times New Roman" w:hAnsi="Times New Roman"/>
                <w:b/>
                <w:sz w:val="24"/>
                <w:u w:val="single"/>
              </w:rPr>
            </w:pPr>
          </w:p>
          <w:p w:rsidR="00E026FB" w:rsidRPr="00661595" w:rsidRDefault="00BB22D4" w:rsidP="00E10B85">
            <w:pPr>
              <w:spacing w:before="0" w:after="0"/>
              <w:jc w:val="left"/>
              <w:rPr>
                <w:rFonts w:ascii="Times New Roman" w:hAnsi="Times New Roman"/>
                <w:sz w:val="24"/>
              </w:rPr>
            </w:pPr>
            <w:r w:rsidRPr="00661595">
              <w:rPr>
                <w:rFonts w:ascii="Times New Roman" w:hAnsi="Times New Roman"/>
                <w:sz w:val="24"/>
              </w:rPr>
              <w:t>In accordance with</w:t>
            </w:r>
            <w:r w:rsidR="008F2C6B" w:rsidRPr="00661595">
              <w:rPr>
                <w:rFonts w:ascii="Times New Roman" w:hAnsi="Times New Roman"/>
                <w:sz w:val="24"/>
              </w:rPr>
              <w:t xml:space="preserve"> </w:t>
            </w:r>
            <w:r w:rsidR="001E0C80" w:rsidRPr="00661595">
              <w:rPr>
                <w:rFonts w:ascii="Times New Roman" w:hAnsi="Times New Roman"/>
                <w:sz w:val="24"/>
              </w:rPr>
              <w:t xml:space="preserve">point (d) of </w:t>
            </w:r>
            <w:r w:rsidR="00D21B29" w:rsidRPr="00661595">
              <w:rPr>
                <w:rFonts w:ascii="Times New Roman" w:hAnsi="Times New Roman"/>
                <w:sz w:val="24"/>
              </w:rPr>
              <w:t>Article</w:t>
            </w:r>
            <w:r w:rsidR="00E026FB" w:rsidRPr="00661595">
              <w:rPr>
                <w:rFonts w:ascii="Times New Roman" w:hAnsi="Times New Roman"/>
                <w:sz w:val="24"/>
              </w:rPr>
              <w:t xml:space="preserve"> 248(1) </w:t>
            </w:r>
            <w:r w:rsidR="00C7103D" w:rsidRPr="00661595">
              <w:rPr>
                <w:rFonts w:ascii="Times New Roman" w:hAnsi="Times New Roman"/>
                <w:sz w:val="24"/>
              </w:rPr>
              <w:t>CRR</w:t>
            </w:r>
            <w:r w:rsidR="008F2C6B" w:rsidRPr="00661595">
              <w:rPr>
                <w:rFonts w:ascii="Times New Roman" w:hAnsi="Times New Roman"/>
                <w:sz w:val="24"/>
              </w:rPr>
              <w:t xml:space="preserve">, </w:t>
            </w:r>
            <w:r w:rsidR="00E026FB" w:rsidRPr="00661595">
              <w:rPr>
                <w:rFonts w:ascii="Times New Roman" w:hAnsi="Times New Roman"/>
                <w:sz w:val="24"/>
              </w:rPr>
              <w:t>an originator institution may deduct from the exposure value of a securitisation position which is assigned</w:t>
            </w:r>
            <w:r w:rsidR="00D021AF" w:rsidRPr="00661595">
              <w:rPr>
                <w:rFonts w:ascii="Times New Roman" w:hAnsi="Times New Roman"/>
                <w:sz w:val="24"/>
              </w:rPr>
              <w:t xml:space="preserve"> a</w:t>
            </w:r>
            <w:r w:rsidR="00A56F0F" w:rsidRPr="00661595">
              <w:rPr>
                <w:rFonts w:ascii="Times New Roman" w:hAnsi="Times New Roman"/>
                <w:sz w:val="24"/>
              </w:rPr>
              <w:t xml:space="preserve"> </w:t>
            </w:r>
            <w:r w:rsidR="00E026FB" w:rsidRPr="00661595">
              <w:rPr>
                <w:rFonts w:ascii="Times New Roman" w:hAnsi="Times New Roman"/>
                <w:sz w:val="24"/>
              </w:rPr>
              <w:t>1 250 % risk weight any non-refundable purchase price discounts connected with such underlying exposures to the extent that such discounts have caused the reduction of own funds.</w:t>
            </w:r>
          </w:p>
          <w:p w:rsidR="00E026FB" w:rsidRPr="00661595" w:rsidRDefault="00E026FB" w:rsidP="00E10B85">
            <w:pPr>
              <w:spacing w:before="0" w:after="0"/>
              <w:jc w:val="left"/>
              <w:rPr>
                <w:rFonts w:ascii="Times New Roman" w:hAnsi="Times New Roman"/>
                <w:b/>
                <w:sz w:val="24"/>
                <w:u w:val="single"/>
              </w:rPr>
            </w:pPr>
          </w:p>
        </w:tc>
      </w:tr>
      <w:tr w:rsidR="00E026FB" w:rsidRPr="00661595" w:rsidTr="00E10B85">
        <w:tc>
          <w:tcPr>
            <w:tcW w:w="1568" w:type="dxa"/>
          </w:tcPr>
          <w:p w:rsidR="00E026FB" w:rsidRPr="00661595" w:rsidRDefault="00E026FB"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0170</w:t>
            </w:r>
          </w:p>
        </w:tc>
        <w:tc>
          <w:tcPr>
            <w:tcW w:w="7436" w:type="dxa"/>
          </w:tcPr>
          <w:p w:rsidR="00E026FB" w:rsidRPr="00661595" w:rsidRDefault="00E026FB" w:rsidP="00E10B85">
            <w:pPr>
              <w:spacing w:before="0" w:after="0"/>
              <w:jc w:val="left"/>
              <w:rPr>
                <w:rFonts w:ascii="Times New Roman" w:hAnsi="Times New Roman"/>
                <w:b/>
                <w:sz w:val="24"/>
                <w:u w:val="single"/>
              </w:rPr>
            </w:pPr>
            <w:r w:rsidRPr="00661595">
              <w:rPr>
                <w:rFonts w:ascii="Times New Roman" w:hAnsi="Times New Roman"/>
                <w:b/>
                <w:sz w:val="24"/>
                <w:u w:val="single"/>
              </w:rPr>
              <w:t>(-) SPECIFIC CREDIT RISK ADJUSTMENTS ON UNDERLYING EXPOSURES</w:t>
            </w:r>
          </w:p>
          <w:p w:rsidR="00E026FB" w:rsidRPr="00661595" w:rsidRDefault="00E026FB" w:rsidP="00E10B85">
            <w:pPr>
              <w:spacing w:before="0" w:after="0"/>
              <w:jc w:val="left"/>
              <w:rPr>
                <w:rFonts w:ascii="Times New Roman" w:hAnsi="Times New Roman"/>
                <w:b/>
                <w:sz w:val="24"/>
                <w:u w:val="single"/>
              </w:rPr>
            </w:pPr>
          </w:p>
          <w:p w:rsidR="00E026FB" w:rsidRPr="00661595" w:rsidRDefault="00BB22D4" w:rsidP="00E10B85">
            <w:pPr>
              <w:spacing w:before="0" w:after="0"/>
              <w:jc w:val="left"/>
              <w:rPr>
                <w:rFonts w:ascii="Times New Roman" w:hAnsi="Times New Roman"/>
                <w:sz w:val="24"/>
              </w:rPr>
            </w:pPr>
            <w:r w:rsidRPr="00661595">
              <w:rPr>
                <w:rFonts w:ascii="Times New Roman" w:hAnsi="Times New Roman"/>
                <w:sz w:val="24"/>
              </w:rPr>
              <w:t>In accordance with</w:t>
            </w:r>
            <w:r w:rsidR="008F2C6B" w:rsidRPr="00661595">
              <w:rPr>
                <w:rFonts w:ascii="Times New Roman" w:hAnsi="Times New Roman"/>
                <w:sz w:val="24"/>
              </w:rPr>
              <w:t xml:space="preserve"> </w:t>
            </w:r>
            <w:r w:rsidR="001E0C80" w:rsidRPr="00661595">
              <w:rPr>
                <w:rFonts w:ascii="Times New Roman" w:hAnsi="Times New Roman"/>
                <w:sz w:val="24"/>
              </w:rPr>
              <w:t xml:space="preserve">point (d) of </w:t>
            </w:r>
            <w:r w:rsidR="00D21B29" w:rsidRPr="00661595">
              <w:rPr>
                <w:rFonts w:ascii="Times New Roman" w:hAnsi="Times New Roman"/>
                <w:sz w:val="24"/>
              </w:rPr>
              <w:t>Article</w:t>
            </w:r>
            <w:r w:rsidR="00E026FB" w:rsidRPr="00661595">
              <w:rPr>
                <w:rFonts w:ascii="Times New Roman" w:hAnsi="Times New Roman"/>
                <w:sz w:val="24"/>
              </w:rPr>
              <w:t xml:space="preserve"> 248(1) </w:t>
            </w:r>
            <w:r w:rsidR="00C7103D" w:rsidRPr="00661595">
              <w:rPr>
                <w:rFonts w:ascii="Times New Roman" w:hAnsi="Times New Roman"/>
                <w:sz w:val="24"/>
              </w:rPr>
              <w:t>CRR</w:t>
            </w:r>
            <w:r w:rsidR="008F2C6B" w:rsidRPr="00661595">
              <w:rPr>
                <w:rFonts w:ascii="Times New Roman" w:hAnsi="Times New Roman"/>
                <w:sz w:val="24"/>
              </w:rPr>
              <w:t xml:space="preserve">, </w:t>
            </w:r>
            <w:r w:rsidR="00E026FB" w:rsidRPr="00661595">
              <w:rPr>
                <w:rFonts w:ascii="Times New Roman" w:hAnsi="Times New Roman"/>
                <w:sz w:val="24"/>
              </w:rPr>
              <w:t>an originator institution may deduct from the exposure value of a securitisation position</w:t>
            </w:r>
            <w:r w:rsidR="00A16FFF" w:rsidRPr="00661595">
              <w:rPr>
                <w:rFonts w:ascii="Times New Roman" w:hAnsi="Times New Roman"/>
                <w:sz w:val="24"/>
              </w:rPr>
              <w:t>,</w:t>
            </w:r>
            <w:r w:rsidR="00E026FB" w:rsidRPr="00661595">
              <w:rPr>
                <w:rFonts w:ascii="Times New Roman" w:hAnsi="Times New Roman"/>
                <w:sz w:val="24"/>
              </w:rPr>
              <w:t xml:space="preserve"> which is assigned</w:t>
            </w:r>
            <w:r w:rsidR="00D021AF" w:rsidRPr="00661595">
              <w:rPr>
                <w:rFonts w:ascii="Times New Roman" w:hAnsi="Times New Roman"/>
                <w:sz w:val="24"/>
              </w:rPr>
              <w:t xml:space="preserve"> a</w:t>
            </w:r>
            <w:r w:rsidR="00A56F0F" w:rsidRPr="00661595">
              <w:rPr>
                <w:rFonts w:ascii="Times New Roman" w:hAnsi="Times New Roman"/>
                <w:sz w:val="24"/>
              </w:rPr>
              <w:t xml:space="preserve"> </w:t>
            </w:r>
            <w:r w:rsidR="00E026FB" w:rsidRPr="00661595">
              <w:rPr>
                <w:rFonts w:ascii="Times New Roman" w:hAnsi="Times New Roman"/>
                <w:sz w:val="24"/>
              </w:rPr>
              <w:t>1 250 % risk weight or is deducted from Common Equity Tier 1</w:t>
            </w:r>
            <w:r w:rsidR="00A16FFF" w:rsidRPr="00661595">
              <w:rPr>
                <w:rFonts w:ascii="Times New Roman" w:hAnsi="Times New Roman"/>
                <w:sz w:val="24"/>
              </w:rPr>
              <w:t>,</w:t>
            </w:r>
            <w:r w:rsidR="00E026FB" w:rsidRPr="00661595">
              <w:rPr>
                <w:rFonts w:ascii="Times New Roman" w:hAnsi="Times New Roman"/>
                <w:sz w:val="24"/>
              </w:rPr>
              <w:t xml:space="preserve"> the amount of the specific credit risk adjustments on the underlying exposures </w:t>
            </w:r>
            <w:r w:rsidR="00A16FFF" w:rsidRPr="00661595">
              <w:rPr>
                <w:rFonts w:ascii="Times New Roman" w:hAnsi="Times New Roman"/>
                <w:sz w:val="24"/>
              </w:rPr>
              <w:t xml:space="preserve">as determined </w:t>
            </w:r>
            <w:r w:rsidR="00E026FB" w:rsidRPr="00661595">
              <w:rPr>
                <w:rFonts w:ascii="Times New Roman" w:hAnsi="Times New Roman"/>
                <w:sz w:val="24"/>
              </w:rPr>
              <w:t xml:space="preserve">in accordance with Article 110 CRR. </w:t>
            </w:r>
          </w:p>
          <w:p w:rsidR="00E026FB" w:rsidRPr="00661595" w:rsidRDefault="00E026FB" w:rsidP="00E10B85">
            <w:pPr>
              <w:spacing w:before="0" w:after="0"/>
              <w:jc w:val="left"/>
              <w:rPr>
                <w:rFonts w:ascii="Times New Roman" w:hAnsi="Times New Roman"/>
                <w:b/>
                <w:sz w:val="24"/>
                <w:u w:val="single"/>
              </w:rPr>
            </w:pPr>
          </w:p>
        </w:tc>
      </w:tr>
      <w:tr w:rsidR="00E026FB" w:rsidRPr="00661595" w:rsidTr="00E10B85">
        <w:tc>
          <w:tcPr>
            <w:tcW w:w="1568" w:type="dxa"/>
          </w:tcPr>
          <w:p w:rsidR="00E026FB" w:rsidRPr="00661595" w:rsidRDefault="00E026FB"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0180</w:t>
            </w:r>
          </w:p>
        </w:tc>
        <w:tc>
          <w:tcPr>
            <w:tcW w:w="7436" w:type="dxa"/>
          </w:tcPr>
          <w:p w:rsidR="00E026FB" w:rsidRPr="00661595" w:rsidRDefault="00E026FB" w:rsidP="00E10B85">
            <w:pPr>
              <w:spacing w:before="0" w:after="0"/>
              <w:jc w:val="left"/>
              <w:rPr>
                <w:rFonts w:ascii="Times New Roman" w:hAnsi="Times New Roman"/>
                <w:b/>
                <w:sz w:val="24"/>
                <w:u w:val="single"/>
              </w:rPr>
            </w:pPr>
            <w:r w:rsidRPr="00661595">
              <w:rPr>
                <w:rFonts w:ascii="Times New Roman" w:hAnsi="Times New Roman"/>
                <w:b/>
                <w:sz w:val="24"/>
                <w:u w:val="single"/>
              </w:rPr>
              <w:t>EXPOSURE VALUE</w:t>
            </w:r>
          </w:p>
          <w:p w:rsidR="00E026FB" w:rsidRPr="00661595" w:rsidRDefault="00E026FB" w:rsidP="00E10B85">
            <w:pPr>
              <w:spacing w:before="0" w:after="0"/>
              <w:jc w:val="left"/>
              <w:rPr>
                <w:rFonts w:ascii="Times New Roman" w:hAnsi="Times New Roman"/>
                <w:b/>
                <w:sz w:val="24"/>
                <w:u w:val="single"/>
                <w:lang w:eastAsia="es-ES_tradnl"/>
              </w:rPr>
            </w:pPr>
          </w:p>
          <w:p w:rsidR="00E026FB" w:rsidRPr="00661595" w:rsidRDefault="00D021AF" w:rsidP="00E10B85">
            <w:pPr>
              <w:autoSpaceDE w:val="0"/>
              <w:autoSpaceDN w:val="0"/>
              <w:adjustRightInd w:val="0"/>
              <w:spacing w:before="0" w:after="0"/>
              <w:rPr>
                <w:rFonts w:ascii="Times New Roman" w:hAnsi="Times New Roman"/>
                <w:sz w:val="24"/>
                <w:lang w:eastAsia="es-ES_tradnl"/>
              </w:rPr>
            </w:pPr>
            <w:r w:rsidRPr="00661595">
              <w:rPr>
                <w:rFonts w:ascii="Times New Roman" w:hAnsi="Times New Roman"/>
                <w:sz w:val="24"/>
                <w:lang w:eastAsia="es-ES_tradnl"/>
              </w:rPr>
              <w:t>The exposure value of s</w:t>
            </w:r>
            <w:r w:rsidR="00E026FB" w:rsidRPr="00661595">
              <w:rPr>
                <w:rFonts w:ascii="Times New Roman" w:hAnsi="Times New Roman"/>
                <w:sz w:val="24"/>
                <w:lang w:eastAsia="es-ES_tradnl"/>
              </w:rPr>
              <w:t xml:space="preserve">ecuritisation positions </w:t>
            </w:r>
            <w:r w:rsidRPr="00661595">
              <w:rPr>
                <w:rFonts w:ascii="Times New Roman" w:hAnsi="Times New Roman"/>
                <w:sz w:val="24"/>
                <w:lang w:eastAsia="es-ES_tradnl"/>
              </w:rPr>
              <w:t>calculated</w:t>
            </w:r>
            <w:r w:rsidR="00BC43FD" w:rsidRPr="00661595">
              <w:rPr>
                <w:rFonts w:ascii="Times New Roman" w:hAnsi="Times New Roman"/>
                <w:sz w:val="24"/>
                <w:lang w:eastAsia="es-ES_tradnl"/>
              </w:rPr>
              <w:t xml:space="preserve"> </w:t>
            </w:r>
            <w:r w:rsidR="00BB22D4" w:rsidRPr="00661595">
              <w:rPr>
                <w:rFonts w:ascii="Times New Roman" w:hAnsi="Times New Roman"/>
                <w:sz w:val="24"/>
                <w:lang w:eastAsia="es-ES_tradnl"/>
              </w:rPr>
              <w:t>in accordance with</w:t>
            </w:r>
            <w:r w:rsidR="00E026FB" w:rsidRPr="00661595">
              <w:rPr>
                <w:rFonts w:ascii="Times New Roman" w:hAnsi="Times New Roman"/>
                <w:sz w:val="24"/>
                <w:lang w:eastAsia="es-ES_tradnl"/>
              </w:rPr>
              <w:t xml:space="preserve"> Article 248 </w:t>
            </w:r>
            <w:r w:rsidR="00C7103D" w:rsidRPr="00661595">
              <w:rPr>
                <w:rFonts w:ascii="Times New Roman" w:hAnsi="Times New Roman"/>
                <w:sz w:val="24"/>
                <w:lang w:eastAsia="es-ES_tradnl"/>
              </w:rPr>
              <w:t>CRR</w:t>
            </w:r>
          </w:p>
          <w:p w:rsidR="00E026FB" w:rsidRPr="00661595" w:rsidRDefault="00E026FB" w:rsidP="00E10B85">
            <w:pPr>
              <w:spacing w:before="0" w:after="0"/>
              <w:jc w:val="left"/>
              <w:rPr>
                <w:rFonts w:ascii="Times New Roman" w:hAnsi="Times New Roman"/>
                <w:b/>
                <w:sz w:val="24"/>
                <w:u w:val="single"/>
              </w:rPr>
            </w:pPr>
          </w:p>
        </w:tc>
      </w:tr>
      <w:tr w:rsidR="00E026FB" w:rsidRPr="00661595" w:rsidTr="00E10B85">
        <w:tc>
          <w:tcPr>
            <w:tcW w:w="1568" w:type="dxa"/>
          </w:tcPr>
          <w:p w:rsidR="00E026FB" w:rsidRPr="00661595" w:rsidRDefault="00E026FB"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sz w:val="24"/>
              </w:rPr>
              <w:t>0190</w:t>
            </w:r>
          </w:p>
        </w:tc>
        <w:tc>
          <w:tcPr>
            <w:tcW w:w="7436" w:type="dxa"/>
          </w:tcPr>
          <w:p w:rsidR="00E026FB" w:rsidRPr="00661595" w:rsidRDefault="00E026FB" w:rsidP="00E10B85">
            <w:pPr>
              <w:spacing w:before="0" w:after="0"/>
              <w:jc w:val="left"/>
              <w:rPr>
                <w:rFonts w:ascii="Times New Roman" w:hAnsi="Times New Roman"/>
                <w:b/>
                <w:sz w:val="24"/>
                <w:u w:val="single"/>
              </w:rPr>
            </w:pPr>
            <w:r w:rsidRPr="00661595">
              <w:rPr>
                <w:rFonts w:ascii="Times New Roman" w:hAnsi="Times New Roman"/>
                <w:b/>
                <w:sz w:val="24"/>
                <w:u w:val="single"/>
              </w:rPr>
              <w:t>(-) EXPOSURE VALUE DEDUCTED FROM OWN FUNDS</w:t>
            </w:r>
          </w:p>
          <w:p w:rsidR="00E026FB" w:rsidRPr="00661595" w:rsidRDefault="00E026FB" w:rsidP="00E10B85">
            <w:pPr>
              <w:spacing w:before="0" w:after="0"/>
              <w:jc w:val="left"/>
              <w:rPr>
                <w:rFonts w:ascii="Times New Roman" w:hAnsi="Times New Roman"/>
                <w:sz w:val="24"/>
              </w:rPr>
            </w:pPr>
          </w:p>
          <w:p w:rsidR="00E026FB" w:rsidRPr="00661595" w:rsidRDefault="00BB22D4" w:rsidP="00E10B85">
            <w:pPr>
              <w:spacing w:before="0" w:after="0"/>
              <w:rPr>
                <w:rFonts w:ascii="Times New Roman" w:hAnsi="Times New Roman"/>
                <w:sz w:val="24"/>
              </w:rPr>
            </w:pPr>
            <w:r w:rsidRPr="00661595">
              <w:rPr>
                <w:rFonts w:ascii="Times New Roman" w:hAnsi="Times New Roman"/>
                <w:sz w:val="24"/>
              </w:rPr>
              <w:t>In accordance with</w:t>
            </w:r>
            <w:r w:rsidR="008F2C6B" w:rsidRPr="00661595">
              <w:rPr>
                <w:rFonts w:ascii="Times New Roman" w:hAnsi="Times New Roman"/>
                <w:sz w:val="24"/>
              </w:rPr>
              <w:t xml:space="preserve"> </w:t>
            </w:r>
            <w:r w:rsidR="00705025" w:rsidRPr="00661595">
              <w:rPr>
                <w:rStyle w:val="FormatvorlageInstructionsTabelleText"/>
                <w:rFonts w:ascii="Times New Roman" w:hAnsi="Times New Roman"/>
                <w:sz w:val="24"/>
              </w:rPr>
              <w:t xml:space="preserve">point (b) of </w:t>
            </w:r>
            <w:r w:rsidR="00D21B29" w:rsidRPr="00661595">
              <w:rPr>
                <w:rFonts w:ascii="Times New Roman" w:hAnsi="Times New Roman"/>
                <w:sz w:val="24"/>
              </w:rPr>
              <w:t>Article</w:t>
            </w:r>
            <w:r w:rsidR="00E026FB" w:rsidRPr="00661595">
              <w:rPr>
                <w:rFonts w:ascii="Times New Roman" w:hAnsi="Times New Roman"/>
                <w:sz w:val="24"/>
              </w:rPr>
              <w:t xml:space="preserve"> </w:t>
            </w:r>
            <w:r w:rsidR="00E026FB" w:rsidRPr="00661595">
              <w:rPr>
                <w:rStyle w:val="FormatvorlageInstructionsTabelleText"/>
                <w:rFonts w:ascii="Times New Roman" w:hAnsi="Times New Roman"/>
                <w:sz w:val="24"/>
              </w:rPr>
              <w:t xml:space="preserve">244(1), </w:t>
            </w:r>
            <w:r w:rsidR="00705025" w:rsidRPr="00661595">
              <w:rPr>
                <w:rStyle w:val="FormatvorlageInstructionsTabelleText"/>
                <w:rFonts w:ascii="Times New Roman" w:hAnsi="Times New Roman"/>
                <w:sz w:val="24"/>
              </w:rPr>
              <w:t xml:space="preserve">point (b) of Article </w:t>
            </w:r>
            <w:r w:rsidR="00E026FB" w:rsidRPr="00661595">
              <w:rPr>
                <w:rStyle w:val="FormatvorlageInstructionsTabelleText"/>
                <w:rFonts w:ascii="Times New Roman" w:hAnsi="Times New Roman"/>
                <w:sz w:val="24"/>
              </w:rPr>
              <w:t xml:space="preserve">245(1) and </w:t>
            </w:r>
            <w:r w:rsidR="00705025" w:rsidRPr="00661595">
              <w:rPr>
                <w:rFonts w:ascii="Times New Roman" w:hAnsi="Times New Roman"/>
                <w:sz w:val="24"/>
              </w:rPr>
              <w:t xml:space="preserve">Article </w:t>
            </w:r>
            <w:r w:rsidR="00E026FB" w:rsidRPr="00661595">
              <w:rPr>
                <w:rFonts w:ascii="Times New Roman" w:hAnsi="Times New Roman"/>
                <w:sz w:val="24"/>
              </w:rPr>
              <w:t xml:space="preserve">253(1) </w:t>
            </w:r>
            <w:r w:rsidR="00C7103D" w:rsidRPr="00661595">
              <w:rPr>
                <w:rFonts w:ascii="Times New Roman" w:hAnsi="Times New Roman"/>
                <w:sz w:val="24"/>
              </w:rPr>
              <w:t>CRR</w:t>
            </w:r>
            <w:r w:rsidR="008F2C6B" w:rsidRPr="00661595">
              <w:rPr>
                <w:rFonts w:ascii="Times New Roman" w:hAnsi="Times New Roman"/>
                <w:sz w:val="24"/>
              </w:rPr>
              <w:t>,</w:t>
            </w:r>
            <w:r w:rsidR="00E026FB" w:rsidRPr="00661595">
              <w:rPr>
                <w:rFonts w:ascii="Times New Roman" w:hAnsi="Times New Roman"/>
                <w:sz w:val="24"/>
              </w:rPr>
              <w:t xml:space="preserve"> in case of a securitisation position </w:t>
            </w:r>
            <w:r w:rsidR="00D021AF" w:rsidRPr="00661595">
              <w:rPr>
                <w:rFonts w:ascii="Times New Roman" w:hAnsi="Times New Roman"/>
                <w:sz w:val="24"/>
              </w:rPr>
              <w:t xml:space="preserve">to </w:t>
            </w:r>
            <w:r w:rsidR="00E026FB" w:rsidRPr="00661595">
              <w:rPr>
                <w:rFonts w:ascii="Times New Roman" w:hAnsi="Times New Roman"/>
                <w:sz w:val="24"/>
              </w:rPr>
              <w:t>which a 1</w:t>
            </w:r>
            <w:r w:rsidR="001E0C80" w:rsidRPr="00661595">
              <w:rPr>
                <w:rFonts w:ascii="Times New Roman" w:hAnsi="Times New Roman"/>
                <w:sz w:val="24"/>
              </w:rPr>
              <w:t xml:space="preserve"> </w:t>
            </w:r>
            <w:r w:rsidR="00E026FB" w:rsidRPr="00661595">
              <w:rPr>
                <w:rFonts w:ascii="Times New Roman" w:hAnsi="Times New Roman"/>
                <w:sz w:val="24"/>
              </w:rPr>
              <w:t>250% risk weight applies, institutions may, as an alternative to including the position in their calculation of risk-weighted exposure amounts, deduct from own funds the exposure value of the position.</w:t>
            </w:r>
          </w:p>
          <w:p w:rsidR="00E026FB" w:rsidRPr="00661595" w:rsidRDefault="00E026FB" w:rsidP="00E10B85">
            <w:pPr>
              <w:autoSpaceDE w:val="0"/>
              <w:autoSpaceDN w:val="0"/>
              <w:adjustRightInd w:val="0"/>
              <w:spacing w:before="0" w:after="0"/>
              <w:ind w:left="284" w:hanging="284"/>
              <w:jc w:val="left"/>
              <w:rPr>
                <w:rFonts w:ascii="Times New Roman" w:hAnsi="Times New Roman"/>
                <w:sz w:val="24"/>
                <w:lang w:eastAsia="es-ES_tradnl"/>
              </w:rPr>
            </w:pPr>
          </w:p>
        </w:tc>
      </w:tr>
      <w:tr w:rsidR="00E026FB" w:rsidRPr="00661595" w:rsidTr="00E10B85">
        <w:tc>
          <w:tcPr>
            <w:tcW w:w="1568" w:type="dxa"/>
          </w:tcPr>
          <w:p w:rsidR="00E026FB" w:rsidRPr="00661595" w:rsidRDefault="00E026FB"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sz w:val="24"/>
              </w:rPr>
              <w:t>0200</w:t>
            </w:r>
          </w:p>
        </w:tc>
        <w:tc>
          <w:tcPr>
            <w:tcW w:w="7436" w:type="dxa"/>
          </w:tcPr>
          <w:p w:rsidR="00E026FB" w:rsidRPr="00661595" w:rsidRDefault="00E026FB" w:rsidP="00E10B85">
            <w:pPr>
              <w:spacing w:before="0" w:after="0"/>
              <w:jc w:val="left"/>
              <w:rPr>
                <w:rFonts w:ascii="Times New Roman" w:hAnsi="Times New Roman"/>
                <w:b/>
                <w:sz w:val="24"/>
                <w:u w:val="single"/>
              </w:rPr>
            </w:pPr>
            <w:r w:rsidRPr="00661595">
              <w:rPr>
                <w:rFonts w:ascii="Times New Roman" w:hAnsi="Times New Roman"/>
                <w:b/>
                <w:sz w:val="24"/>
                <w:u w:val="single"/>
              </w:rPr>
              <w:t>EXPOSURE VALUE SUBJECT TO RISK WEIGHTS</w:t>
            </w:r>
          </w:p>
          <w:p w:rsidR="00E026FB" w:rsidRPr="00661595" w:rsidRDefault="00E026FB" w:rsidP="00E10B85">
            <w:pPr>
              <w:spacing w:before="0" w:after="0"/>
              <w:jc w:val="left"/>
              <w:rPr>
                <w:rFonts w:ascii="Times New Roman" w:hAnsi="Times New Roman"/>
                <w:b/>
                <w:sz w:val="24"/>
                <w:u w:val="single"/>
              </w:rPr>
            </w:pPr>
          </w:p>
          <w:p w:rsidR="00E026FB" w:rsidRPr="00661595" w:rsidRDefault="00E026FB" w:rsidP="00E10B85">
            <w:pPr>
              <w:spacing w:before="0" w:after="0"/>
              <w:rPr>
                <w:rFonts w:ascii="Times New Roman" w:hAnsi="Times New Roman"/>
                <w:sz w:val="24"/>
              </w:rPr>
            </w:pPr>
            <w:r w:rsidRPr="00661595">
              <w:rPr>
                <w:rFonts w:ascii="Times New Roman" w:hAnsi="Times New Roman"/>
                <w:sz w:val="24"/>
              </w:rPr>
              <w:t>Exposure value minus the exposure value deducted from own funds.</w:t>
            </w:r>
          </w:p>
          <w:p w:rsidR="00E026FB" w:rsidRPr="00661595" w:rsidRDefault="00E026FB" w:rsidP="00E10B85">
            <w:pPr>
              <w:pStyle w:val="Heading1"/>
              <w:rPr>
                <w:rFonts w:ascii="Times New Roman" w:eastAsia="Times New Roman" w:hAnsi="Times New Roman"/>
                <w:sz w:val="24"/>
                <w:szCs w:val="24"/>
                <w:lang w:eastAsia="es-ES_tradnl"/>
              </w:rPr>
            </w:pPr>
          </w:p>
        </w:tc>
      </w:tr>
      <w:tr w:rsidR="00E026FB" w:rsidRPr="00661595" w:rsidTr="00E10B85">
        <w:tc>
          <w:tcPr>
            <w:tcW w:w="1568" w:type="dxa"/>
          </w:tcPr>
          <w:p w:rsidR="00E026FB" w:rsidRPr="00661595" w:rsidRDefault="00E026FB"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0210</w:t>
            </w:r>
          </w:p>
        </w:tc>
        <w:tc>
          <w:tcPr>
            <w:tcW w:w="7436" w:type="dxa"/>
          </w:tcPr>
          <w:p w:rsidR="00E026FB" w:rsidRPr="00661595" w:rsidRDefault="00E026FB" w:rsidP="00E10B85">
            <w:pPr>
              <w:spacing w:before="0" w:after="0"/>
              <w:jc w:val="left"/>
              <w:rPr>
                <w:rFonts w:ascii="Times New Roman" w:hAnsi="Times New Roman"/>
                <w:b/>
                <w:sz w:val="24"/>
                <w:u w:val="single"/>
              </w:rPr>
            </w:pPr>
            <w:r w:rsidRPr="00661595">
              <w:rPr>
                <w:rFonts w:ascii="Times New Roman" w:hAnsi="Times New Roman"/>
                <w:b/>
                <w:sz w:val="24"/>
                <w:u w:val="single"/>
              </w:rPr>
              <w:t>SEC-IRBA</w:t>
            </w:r>
          </w:p>
          <w:p w:rsidR="00E026FB" w:rsidRPr="00661595" w:rsidRDefault="00E026FB" w:rsidP="00E10B85">
            <w:pPr>
              <w:spacing w:before="0" w:after="0"/>
              <w:jc w:val="left"/>
              <w:rPr>
                <w:rFonts w:ascii="Times New Roman" w:hAnsi="Times New Roman"/>
                <w:b/>
                <w:sz w:val="24"/>
                <w:u w:val="single"/>
              </w:rPr>
            </w:pPr>
          </w:p>
          <w:p w:rsidR="00E026FB" w:rsidRPr="00661595" w:rsidRDefault="001E0C80" w:rsidP="00E10B85">
            <w:pPr>
              <w:spacing w:before="0" w:after="0"/>
              <w:jc w:val="left"/>
              <w:rPr>
                <w:rFonts w:ascii="Times New Roman" w:hAnsi="Times New Roman"/>
                <w:sz w:val="24"/>
              </w:rPr>
            </w:pPr>
            <w:r w:rsidRPr="00661595">
              <w:rPr>
                <w:rFonts w:ascii="Times New Roman" w:hAnsi="Times New Roman"/>
                <w:sz w:val="24"/>
              </w:rPr>
              <w:t xml:space="preserve">Point (a) of </w:t>
            </w:r>
            <w:r w:rsidR="00E026FB" w:rsidRPr="00661595">
              <w:rPr>
                <w:rFonts w:ascii="Times New Roman" w:hAnsi="Times New Roman"/>
                <w:sz w:val="24"/>
              </w:rPr>
              <w:t xml:space="preserve">Article 254(1) </w:t>
            </w:r>
            <w:r w:rsidR="00C7103D" w:rsidRPr="00661595">
              <w:rPr>
                <w:rFonts w:ascii="Times New Roman" w:hAnsi="Times New Roman"/>
                <w:sz w:val="24"/>
              </w:rPr>
              <w:t>CRR</w:t>
            </w:r>
          </w:p>
          <w:p w:rsidR="00E026FB" w:rsidRPr="00661595" w:rsidRDefault="00E026FB" w:rsidP="00E10B85">
            <w:pPr>
              <w:spacing w:before="0" w:after="0"/>
              <w:jc w:val="left"/>
              <w:rPr>
                <w:rFonts w:ascii="Times New Roman" w:hAnsi="Times New Roman"/>
                <w:sz w:val="24"/>
              </w:rPr>
            </w:pPr>
          </w:p>
        </w:tc>
      </w:tr>
      <w:tr w:rsidR="00E026FB" w:rsidRPr="00661595" w:rsidTr="00E10B85">
        <w:tc>
          <w:tcPr>
            <w:tcW w:w="1568" w:type="dxa"/>
          </w:tcPr>
          <w:p w:rsidR="00E026FB" w:rsidRPr="00661595" w:rsidRDefault="00E026FB"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0220-0260</w:t>
            </w:r>
          </w:p>
        </w:tc>
        <w:tc>
          <w:tcPr>
            <w:tcW w:w="7436" w:type="dxa"/>
          </w:tcPr>
          <w:p w:rsidR="00E026FB" w:rsidRPr="00661595" w:rsidRDefault="00E026FB" w:rsidP="00E10B85">
            <w:pPr>
              <w:spacing w:before="0" w:after="0"/>
              <w:jc w:val="left"/>
              <w:rPr>
                <w:rFonts w:ascii="Times New Roman" w:hAnsi="Times New Roman"/>
                <w:b/>
                <w:sz w:val="24"/>
                <w:u w:val="single"/>
              </w:rPr>
            </w:pPr>
            <w:r w:rsidRPr="00661595">
              <w:rPr>
                <w:rFonts w:ascii="Times New Roman" w:hAnsi="Times New Roman"/>
                <w:b/>
                <w:sz w:val="24"/>
                <w:u w:val="single"/>
              </w:rPr>
              <w:t>BREAKDOWN BY RW BANDS</w:t>
            </w:r>
          </w:p>
          <w:p w:rsidR="00E026FB" w:rsidRPr="00661595" w:rsidRDefault="00E026FB" w:rsidP="00E10B85">
            <w:pPr>
              <w:spacing w:before="0" w:after="0"/>
              <w:jc w:val="left"/>
              <w:rPr>
                <w:rFonts w:ascii="Times New Roman" w:hAnsi="Times New Roman"/>
                <w:sz w:val="24"/>
              </w:rPr>
            </w:pPr>
          </w:p>
          <w:p w:rsidR="00E026FB" w:rsidRPr="00661595" w:rsidRDefault="00E026FB" w:rsidP="00E10B85">
            <w:pPr>
              <w:spacing w:before="0" w:after="0"/>
              <w:jc w:val="left"/>
              <w:rPr>
                <w:rFonts w:ascii="Times New Roman" w:hAnsi="Times New Roman"/>
                <w:sz w:val="24"/>
              </w:rPr>
            </w:pPr>
            <w:r w:rsidRPr="00661595">
              <w:rPr>
                <w:rFonts w:ascii="Times New Roman" w:hAnsi="Times New Roman"/>
                <w:sz w:val="24"/>
              </w:rPr>
              <w:t>SEC-IRBA exposures broken down by risk-weight bands.</w:t>
            </w:r>
          </w:p>
          <w:p w:rsidR="00E026FB" w:rsidRPr="00661595" w:rsidRDefault="00E026FB" w:rsidP="00E10B85">
            <w:pPr>
              <w:spacing w:before="0" w:after="0"/>
              <w:jc w:val="left"/>
              <w:rPr>
                <w:rFonts w:ascii="Times New Roman" w:hAnsi="Times New Roman"/>
                <w:b/>
                <w:sz w:val="24"/>
                <w:u w:val="single"/>
              </w:rPr>
            </w:pPr>
          </w:p>
        </w:tc>
      </w:tr>
      <w:tr w:rsidR="00E026FB" w:rsidRPr="00661595" w:rsidTr="00E10B85">
        <w:tc>
          <w:tcPr>
            <w:tcW w:w="1568" w:type="dxa"/>
          </w:tcPr>
          <w:p w:rsidR="00E026FB" w:rsidRPr="00661595" w:rsidRDefault="00E026FB"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0270</w:t>
            </w:r>
          </w:p>
        </w:tc>
        <w:tc>
          <w:tcPr>
            <w:tcW w:w="7436" w:type="dxa"/>
          </w:tcPr>
          <w:p w:rsidR="00E026FB" w:rsidRPr="00661595" w:rsidRDefault="00E026FB" w:rsidP="00E10B85">
            <w:pPr>
              <w:spacing w:before="0" w:after="0"/>
              <w:jc w:val="left"/>
              <w:rPr>
                <w:rFonts w:ascii="Times New Roman" w:hAnsi="Times New Roman"/>
                <w:b/>
                <w:sz w:val="24"/>
                <w:u w:val="single"/>
              </w:rPr>
            </w:pPr>
            <w:r w:rsidRPr="00661595">
              <w:rPr>
                <w:rFonts w:ascii="Times New Roman" w:hAnsi="Times New Roman"/>
                <w:b/>
                <w:sz w:val="24"/>
                <w:u w:val="single"/>
              </w:rPr>
              <w:t>OF WHICH: CALCULATED UNDER ARTICLE 255(4) (PURCHASED RECEIVABLES)</w:t>
            </w:r>
            <w:r w:rsidRPr="00661595" w:rsidDel="001B1B61">
              <w:rPr>
                <w:rFonts w:ascii="Times New Roman" w:hAnsi="Times New Roman"/>
                <w:b/>
                <w:sz w:val="24"/>
                <w:u w:val="single"/>
              </w:rPr>
              <w:t xml:space="preserve"> </w:t>
            </w:r>
          </w:p>
          <w:p w:rsidR="00E026FB" w:rsidRPr="00661595" w:rsidRDefault="00E026FB" w:rsidP="00E10B85">
            <w:pPr>
              <w:spacing w:before="0" w:after="0"/>
              <w:jc w:val="left"/>
              <w:rPr>
                <w:rFonts w:ascii="Times New Roman" w:hAnsi="Times New Roman"/>
                <w:sz w:val="24"/>
              </w:rPr>
            </w:pPr>
          </w:p>
          <w:p w:rsidR="001E0C80" w:rsidRPr="00661595" w:rsidRDefault="00E026FB" w:rsidP="00E10B85">
            <w:pPr>
              <w:spacing w:before="0" w:after="0"/>
              <w:jc w:val="left"/>
              <w:rPr>
                <w:rFonts w:ascii="Times New Roman" w:hAnsi="Times New Roman"/>
                <w:sz w:val="24"/>
              </w:rPr>
            </w:pPr>
            <w:r w:rsidRPr="00661595">
              <w:rPr>
                <w:rFonts w:ascii="Times New Roman" w:hAnsi="Times New Roman"/>
                <w:sz w:val="24"/>
              </w:rPr>
              <w:t xml:space="preserve">Article 255(4) </w:t>
            </w:r>
            <w:r w:rsidR="00C7103D" w:rsidRPr="00661595">
              <w:rPr>
                <w:rFonts w:ascii="Times New Roman" w:hAnsi="Times New Roman"/>
                <w:sz w:val="24"/>
              </w:rPr>
              <w:t>CRR</w:t>
            </w:r>
          </w:p>
          <w:p w:rsidR="001E0C80" w:rsidRPr="00661595" w:rsidRDefault="00E026FB" w:rsidP="00E10B85">
            <w:pPr>
              <w:spacing w:before="0" w:after="0"/>
              <w:jc w:val="left"/>
              <w:rPr>
                <w:rFonts w:ascii="Times New Roman" w:hAnsi="Times New Roman"/>
                <w:sz w:val="24"/>
              </w:rPr>
            </w:pPr>
            <w:r w:rsidRPr="00661595">
              <w:rPr>
                <w:rFonts w:ascii="Times New Roman" w:hAnsi="Times New Roman"/>
                <w:sz w:val="24"/>
              </w:rPr>
              <w:t xml:space="preserve"> </w:t>
            </w:r>
          </w:p>
          <w:p w:rsidR="00E026FB" w:rsidRPr="00661595" w:rsidRDefault="00E026FB" w:rsidP="00E10B85">
            <w:pPr>
              <w:spacing w:before="0" w:after="0"/>
              <w:jc w:val="left"/>
              <w:rPr>
                <w:rFonts w:ascii="Times New Roman" w:hAnsi="Times New Roman"/>
                <w:sz w:val="24"/>
              </w:rPr>
            </w:pPr>
            <w:r w:rsidRPr="00661595">
              <w:rPr>
                <w:rFonts w:ascii="Times New Roman" w:hAnsi="Times New Roman"/>
                <w:sz w:val="24"/>
              </w:rPr>
              <w:t>For th</w:t>
            </w:r>
            <w:r w:rsidR="00A16FFF" w:rsidRPr="00661595">
              <w:rPr>
                <w:rFonts w:ascii="Times New Roman" w:hAnsi="Times New Roman"/>
                <w:sz w:val="24"/>
              </w:rPr>
              <w:t>e</w:t>
            </w:r>
            <w:r w:rsidRPr="00661595">
              <w:rPr>
                <w:rFonts w:ascii="Times New Roman" w:hAnsi="Times New Roman"/>
                <w:sz w:val="24"/>
              </w:rPr>
              <w:t xml:space="preserve"> purpose</w:t>
            </w:r>
            <w:r w:rsidR="00A16FFF" w:rsidRPr="00661595">
              <w:rPr>
                <w:rFonts w:ascii="Times New Roman" w:hAnsi="Times New Roman"/>
                <w:sz w:val="24"/>
              </w:rPr>
              <w:t xml:space="preserve"> of this column</w:t>
            </w:r>
            <w:r w:rsidRPr="00661595">
              <w:rPr>
                <w:rFonts w:ascii="Times New Roman" w:hAnsi="Times New Roman"/>
                <w:sz w:val="24"/>
              </w:rPr>
              <w:t>, retail exposures shall be treated as purchased retail receivables and non-retail exposures as purchased corporate receivables.</w:t>
            </w:r>
          </w:p>
          <w:p w:rsidR="00E026FB" w:rsidRPr="00661595" w:rsidRDefault="00E026FB" w:rsidP="00E10B85">
            <w:pPr>
              <w:spacing w:before="0" w:after="0"/>
              <w:jc w:val="left"/>
              <w:rPr>
                <w:rFonts w:ascii="Times New Roman" w:hAnsi="Times New Roman"/>
                <w:sz w:val="24"/>
              </w:rPr>
            </w:pPr>
          </w:p>
        </w:tc>
      </w:tr>
      <w:tr w:rsidR="00E026FB" w:rsidRPr="009B627A" w:rsidTr="00E10B85">
        <w:tc>
          <w:tcPr>
            <w:tcW w:w="1568" w:type="dxa"/>
          </w:tcPr>
          <w:p w:rsidR="00E026FB" w:rsidRPr="00661595" w:rsidRDefault="00E026FB"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0280</w:t>
            </w:r>
          </w:p>
        </w:tc>
        <w:tc>
          <w:tcPr>
            <w:tcW w:w="7436" w:type="dxa"/>
          </w:tcPr>
          <w:p w:rsidR="00E026FB" w:rsidRPr="00661595" w:rsidRDefault="00E026FB" w:rsidP="00E10B85">
            <w:pPr>
              <w:spacing w:before="0" w:after="0"/>
              <w:jc w:val="left"/>
              <w:rPr>
                <w:rFonts w:ascii="Times New Roman" w:hAnsi="Times New Roman"/>
                <w:b/>
                <w:sz w:val="24"/>
                <w:u w:val="single"/>
                <w:lang w:val="fr-BE"/>
              </w:rPr>
            </w:pPr>
            <w:r w:rsidRPr="00661595">
              <w:rPr>
                <w:rFonts w:ascii="Times New Roman" w:hAnsi="Times New Roman"/>
                <w:b/>
                <w:sz w:val="24"/>
                <w:u w:val="single"/>
                <w:lang w:val="fr-BE"/>
              </w:rPr>
              <w:t>SEC-SA</w:t>
            </w:r>
          </w:p>
          <w:p w:rsidR="00E026FB" w:rsidRPr="00661595" w:rsidRDefault="00E026FB" w:rsidP="00E10B85">
            <w:pPr>
              <w:spacing w:before="0" w:after="0"/>
              <w:jc w:val="left"/>
              <w:rPr>
                <w:rFonts w:ascii="Times New Roman" w:hAnsi="Times New Roman"/>
                <w:b/>
                <w:sz w:val="24"/>
                <w:u w:val="single"/>
                <w:lang w:val="fr-BE"/>
              </w:rPr>
            </w:pPr>
          </w:p>
          <w:p w:rsidR="00E026FB" w:rsidRPr="00661595" w:rsidRDefault="001E0C80" w:rsidP="00E10B85">
            <w:pPr>
              <w:spacing w:before="0" w:after="0"/>
              <w:jc w:val="left"/>
              <w:rPr>
                <w:rFonts w:ascii="Times New Roman" w:hAnsi="Times New Roman"/>
                <w:b/>
                <w:sz w:val="24"/>
                <w:u w:val="single"/>
                <w:lang w:val="fr-BE"/>
              </w:rPr>
            </w:pPr>
            <w:r w:rsidRPr="00661595">
              <w:rPr>
                <w:rFonts w:ascii="Times New Roman" w:hAnsi="Times New Roman"/>
                <w:sz w:val="24"/>
                <w:lang w:val="fr-BE"/>
              </w:rPr>
              <w:t xml:space="preserve">Point (b) of </w:t>
            </w:r>
            <w:r w:rsidR="00E026FB" w:rsidRPr="00661595">
              <w:rPr>
                <w:rFonts w:ascii="Times New Roman" w:hAnsi="Times New Roman"/>
                <w:sz w:val="24"/>
                <w:lang w:val="fr-BE"/>
              </w:rPr>
              <w:t xml:space="preserve">Article 254(1) </w:t>
            </w:r>
            <w:r w:rsidR="00C7103D" w:rsidRPr="00661595">
              <w:rPr>
                <w:rFonts w:ascii="Times New Roman" w:hAnsi="Times New Roman"/>
                <w:sz w:val="24"/>
                <w:lang w:val="fr-BE"/>
              </w:rPr>
              <w:t>CRR</w:t>
            </w:r>
          </w:p>
          <w:p w:rsidR="00E026FB" w:rsidRPr="00661595" w:rsidRDefault="00E026FB" w:rsidP="00E10B85">
            <w:pPr>
              <w:spacing w:before="0" w:after="0"/>
              <w:jc w:val="left"/>
              <w:rPr>
                <w:rFonts w:ascii="Times New Roman" w:hAnsi="Times New Roman"/>
                <w:sz w:val="24"/>
                <w:lang w:val="fr-BE"/>
              </w:rPr>
            </w:pPr>
          </w:p>
        </w:tc>
      </w:tr>
      <w:tr w:rsidR="00E026FB" w:rsidRPr="00661595" w:rsidTr="00E10B85">
        <w:tc>
          <w:tcPr>
            <w:tcW w:w="1568" w:type="dxa"/>
          </w:tcPr>
          <w:p w:rsidR="00E026FB" w:rsidRPr="00661595" w:rsidRDefault="00E026FB"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0290-0340</w:t>
            </w:r>
          </w:p>
        </w:tc>
        <w:tc>
          <w:tcPr>
            <w:tcW w:w="7436" w:type="dxa"/>
          </w:tcPr>
          <w:p w:rsidR="00E026FB" w:rsidRPr="00661595" w:rsidRDefault="00E026FB" w:rsidP="00E10B85">
            <w:pPr>
              <w:spacing w:before="0" w:after="0"/>
              <w:jc w:val="left"/>
              <w:rPr>
                <w:rFonts w:ascii="Times New Roman" w:hAnsi="Times New Roman"/>
                <w:b/>
                <w:sz w:val="24"/>
                <w:u w:val="single"/>
              </w:rPr>
            </w:pPr>
            <w:r w:rsidRPr="00661595">
              <w:rPr>
                <w:rFonts w:ascii="Times New Roman" w:hAnsi="Times New Roman"/>
                <w:b/>
                <w:sz w:val="24"/>
                <w:u w:val="single"/>
              </w:rPr>
              <w:t>BREAKDOWN BY RW BANDS</w:t>
            </w:r>
          </w:p>
          <w:p w:rsidR="00E026FB" w:rsidRPr="00661595" w:rsidRDefault="00E026FB" w:rsidP="00E10B85">
            <w:pPr>
              <w:spacing w:before="0" w:after="0"/>
              <w:jc w:val="left"/>
              <w:rPr>
                <w:rFonts w:ascii="Times New Roman" w:hAnsi="Times New Roman"/>
                <w:sz w:val="24"/>
              </w:rPr>
            </w:pPr>
          </w:p>
          <w:p w:rsidR="00E026FB" w:rsidRPr="00661595" w:rsidRDefault="00E026FB" w:rsidP="00E10B85">
            <w:pPr>
              <w:spacing w:before="0" w:after="0"/>
              <w:jc w:val="left"/>
              <w:rPr>
                <w:rFonts w:ascii="Times New Roman" w:hAnsi="Times New Roman"/>
                <w:sz w:val="24"/>
              </w:rPr>
            </w:pPr>
            <w:r w:rsidRPr="00661595">
              <w:rPr>
                <w:rFonts w:ascii="Times New Roman" w:hAnsi="Times New Roman"/>
                <w:sz w:val="24"/>
              </w:rPr>
              <w:t>SEC-SA exposures broken down by risk-weight bands.</w:t>
            </w:r>
          </w:p>
          <w:p w:rsidR="00E026FB" w:rsidRPr="00661595" w:rsidRDefault="00E026FB" w:rsidP="00E10B85">
            <w:pPr>
              <w:spacing w:before="0" w:after="0"/>
              <w:jc w:val="left"/>
              <w:rPr>
                <w:rFonts w:ascii="Times New Roman" w:hAnsi="Times New Roman"/>
                <w:sz w:val="24"/>
                <w:u w:val="single"/>
              </w:rPr>
            </w:pPr>
          </w:p>
          <w:p w:rsidR="00E026FB" w:rsidRPr="00661595" w:rsidRDefault="00E026FB" w:rsidP="00E10B85">
            <w:pPr>
              <w:spacing w:before="0" w:after="0"/>
              <w:jc w:val="left"/>
              <w:rPr>
                <w:rFonts w:ascii="Times New Roman" w:hAnsi="Times New Roman"/>
                <w:sz w:val="24"/>
              </w:rPr>
            </w:pPr>
            <w:r w:rsidRPr="00661595">
              <w:rPr>
                <w:rFonts w:ascii="Times New Roman" w:hAnsi="Times New Roman"/>
                <w:sz w:val="24"/>
              </w:rPr>
              <w:t>For the RW</w:t>
            </w:r>
            <w:r w:rsidR="00BC43FD" w:rsidRPr="00661595">
              <w:rPr>
                <w:rFonts w:ascii="Times New Roman" w:hAnsi="Times New Roman"/>
                <w:sz w:val="24"/>
              </w:rPr>
              <w:t xml:space="preserve"> </w:t>
            </w:r>
            <w:r w:rsidRPr="00661595">
              <w:rPr>
                <w:rFonts w:ascii="Times New Roman" w:hAnsi="Times New Roman"/>
                <w:sz w:val="24"/>
              </w:rPr>
              <w:t>=</w:t>
            </w:r>
            <w:r w:rsidR="00BC43FD" w:rsidRPr="00661595">
              <w:rPr>
                <w:rFonts w:ascii="Times New Roman" w:hAnsi="Times New Roman"/>
                <w:sz w:val="24"/>
              </w:rPr>
              <w:t xml:space="preserve"> </w:t>
            </w:r>
            <w:r w:rsidRPr="00661595">
              <w:rPr>
                <w:rFonts w:ascii="Times New Roman" w:hAnsi="Times New Roman"/>
                <w:sz w:val="24"/>
              </w:rPr>
              <w:t>1</w:t>
            </w:r>
            <w:r w:rsidR="006A66C9" w:rsidRPr="00661595">
              <w:rPr>
                <w:rFonts w:ascii="Times New Roman" w:hAnsi="Times New Roman"/>
                <w:sz w:val="24"/>
              </w:rPr>
              <w:t xml:space="preserve"> </w:t>
            </w:r>
            <w:r w:rsidRPr="00661595">
              <w:rPr>
                <w:rFonts w:ascii="Times New Roman" w:hAnsi="Times New Roman"/>
                <w:sz w:val="24"/>
              </w:rPr>
              <w:t xml:space="preserve">250% (W unknown), </w:t>
            </w:r>
            <w:r w:rsidR="00D021AF" w:rsidRPr="00661595">
              <w:rPr>
                <w:rFonts w:ascii="Times New Roman" w:hAnsi="Times New Roman"/>
                <w:sz w:val="24"/>
              </w:rPr>
              <w:t xml:space="preserve">the fourth paragraph of </w:t>
            </w:r>
            <w:r w:rsidR="001E0C80" w:rsidRPr="00661595">
              <w:rPr>
                <w:rFonts w:ascii="Times New Roman" w:hAnsi="Times New Roman"/>
                <w:sz w:val="24"/>
              </w:rPr>
              <w:t xml:space="preserve">point (b) of </w:t>
            </w:r>
            <w:r w:rsidRPr="00661595">
              <w:rPr>
                <w:rFonts w:ascii="Times New Roman" w:hAnsi="Times New Roman"/>
                <w:sz w:val="24"/>
              </w:rPr>
              <w:t xml:space="preserve">Article 261(2) </w:t>
            </w:r>
            <w:r w:rsidR="00D021AF" w:rsidRPr="00661595">
              <w:rPr>
                <w:rFonts w:ascii="Times New Roman" w:hAnsi="Times New Roman"/>
                <w:sz w:val="24"/>
              </w:rPr>
              <w:t>CRR stipulates</w:t>
            </w:r>
            <w:r w:rsidRPr="00661595">
              <w:rPr>
                <w:rFonts w:ascii="Times New Roman" w:hAnsi="Times New Roman"/>
                <w:sz w:val="24"/>
              </w:rPr>
              <w:t xml:space="preserve"> that </w:t>
            </w:r>
            <w:r w:rsidR="00BC43FD" w:rsidRPr="00661595">
              <w:rPr>
                <w:rFonts w:ascii="Times New Roman" w:hAnsi="Times New Roman"/>
                <w:sz w:val="24"/>
              </w:rPr>
              <w:t xml:space="preserve">the position in the securitisation shall be risk-weighted at 1 250 % </w:t>
            </w:r>
            <w:r w:rsidRPr="00661595">
              <w:rPr>
                <w:rFonts w:ascii="Times New Roman" w:hAnsi="Times New Roman"/>
                <w:sz w:val="24"/>
              </w:rPr>
              <w:t>where the institution does not know the delinquency status for more than 5 % of underlying exposures in the pool.</w:t>
            </w:r>
          </w:p>
          <w:p w:rsidR="00E026FB" w:rsidRPr="00661595" w:rsidRDefault="00E026FB" w:rsidP="00E10B85">
            <w:pPr>
              <w:spacing w:before="0" w:after="0"/>
              <w:jc w:val="left"/>
              <w:rPr>
                <w:rFonts w:ascii="Times New Roman" w:hAnsi="Times New Roman"/>
                <w:sz w:val="24"/>
                <w:u w:val="single"/>
              </w:rPr>
            </w:pPr>
          </w:p>
        </w:tc>
      </w:tr>
      <w:tr w:rsidR="00E026FB" w:rsidRPr="00661595" w:rsidTr="00E10B85">
        <w:tc>
          <w:tcPr>
            <w:tcW w:w="1568" w:type="dxa"/>
          </w:tcPr>
          <w:p w:rsidR="00E026FB" w:rsidRPr="00661595" w:rsidDel="002122FF" w:rsidRDefault="00E026FB"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0350</w:t>
            </w:r>
          </w:p>
        </w:tc>
        <w:tc>
          <w:tcPr>
            <w:tcW w:w="7436" w:type="dxa"/>
          </w:tcPr>
          <w:p w:rsidR="00E026FB" w:rsidRPr="00661595" w:rsidRDefault="00E026FB" w:rsidP="00E10B85">
            <w:pPr>
              <w:spacing w:before="0" w:after="0"/>
              <w:rPr>
                <w:rFonts w:ascii="Times New Roman" w:hAnsi="Times New Roman"/>
                <w:b/>
                <w:sz w:val="24"/>
                <w:u w:val="single"/>
              </w:rPr>
            </w:pPr>
            <w:r w:rsidRPr="00661595">
              <w:rPr>
                <w:rFonts w:ascii="Times New Roman" w:hAnsi="Times New Roman"/>
                <w:b/>
                <w:sz w:val="24"/>
                <w:u w:val="single"/>
              </w:rPr>
              <w:t>SEC-ERBA</w:t>
            </w:r>
          </w:p>
          <w:p w:rsidR="00E026FB" w:rsidRPr="00661595" w:rsidRDefault="00E026FB" w:rsidP="00E10B85">
            <w:pPr>
              <w:spacing w:before="0" w:after="0"/>
              <w:rPr>
                <w:rFonts w:ascii="Times New Roman" w:hAnsi="Times New Roman"/>
                <w:sz w:val="24"/>
              </w:rPr>
            </w:pPr>
          </w:p>
          <w:p w:rsidR="00E026FB" w:rsidRPr="00661595" w:rsidRDefault="001E0C80" w:rsidP="00E10B85">
            <w:pPr>
              <w:spacing w:before="0" w:after="0"/>
              <w:jc w:val="left"/>
              <w:rPr>
                <w:rFonts w:ascii="Times New Roman" w:hAnsi="Times New Roman"/>
                <w:sz w:val="24"/>
              </w:rPr>
            </w:pPr>
            <w:r w:rsidRPr="00661595">
              <w:rPr>
                <w:rFonts w:ascii="Times New Roman" w:hAnsi="Times New Roman"/>
                <w:sz w:val="24"/>
              </w:rPr>
              <w:t xml:space="preserve">Point (c) of </w:t>
            </w:r>
            <w:r w:rsidR="00E026FB" w:rsidRPr="00661595">
              <w:rPr>
                <w:rFonts w:ascii="Times New Roman" w:hAnsi="Times New Roman"/>
                <w:sz w:val="24"/>
              </w:rPr>
              <w:t xml:space="preserve">Article 254(1) </w:t>
            </w:r>
            <w:r w:rsidR="00C7103D" w:rsidRPr="00661595">
              <w:rPr>
                <w:rFonts w:ascii="Times New Roman" w:hAnsi="Times New Roman"/>
                <w:sz w:val="24"/>
              </w:rPr>
              <w:t>CRR</w:t>
            </w:r>
            <w:r w:rsidR="00E026FB" w:rsidRPr="00661595">
              <w:rPr>
                <w:rFonts w:ascii="Times New Roman" w:hAnsi="Times New Roman"/>
                <w:sz w:val="24"/>
              </w:rPr>
              <w:t xml:space="preserve"> </w:t>
            </w:r>
          </w:p>
          <w:p w:rsidR="00E026FB" w:rsidRPr="00661595" w:rsidRDefault="00E026FB" w:rsidP="00E10B85">
            <w:pPr>
              <w:spacing w:before="0" w:after="0"/>
              <w:rPr>
                <w:rFonts w:ascii="Times New Roman" w:hAnsi="Times New Roman"/>
                <w:b/>
                <w:sz w:val="24"/>
                <w:u w:val="single"/>
              </w:rPr>
            </w:pPr>
          </w:p>
        </w:tc>
      </w:tr>
      <w:tr w:rsidR="00E026FB" w:rsidRPr="00661595" w:rsidTr="00E10B85">
        <w:tc>
          <w:tcPr>
            <w:tcW w:w="1568" w:type="dxa"/>
          </w:tcPr>
          <w:p w:rsidR="00E026FB" w:rsidRPr="00661595" w:rsidRDefault="00E026FB"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sz w:val="24"/>
              </w:rPr>
              <w:t>0360-0570</w:t>
            </w:r>
          </w:p>
        </w:tc>
        <w:tc>
          <w:tcPr>
            <w:tcW w:w="7436" w:type="dxa"/>
          </w:tcPr>
          <w:p w:rsidR="00E026FB" w:rsidRPr="00661595" w:rsidRDefault="00E026FB" w:rsidP="00E10B85">
            <w:pPr>
              <w:spacing w:before="0" w:after="0"/>
              <w:rPr>
                <w:rFonts w:ascii="Times New Roman" w:hAnsi="Times New Roman"/>
                <w:b/>
                <w:sz w:val="24"/>
                <w:u w:val="single"/>
              </w:rPr>
            </w:pPr>
            <w:r w:rsidRPr="00661595">
              <w:rPr>
                <w:rFonts w:ascii="Times New Roman" w:hAnsi="Times New Roman"/>
                <w:b/>
                <w:sz w:val="24"/>
                <w:u w:val="single"/>
              </w:rPr>
              <w:t>BREAKDOWN BY CREDIT QUALITY STEPS (SHORT/LONG TERM CREDIT QUALITY STEPS)</w:t>
            </w:r>
          </w:p>
          <w:p w:rsidR="00E026FB" w:rsidRPr="00661595" w:rsidRDefault="00E026FB" w:rsidP="00E10B85">
            <w:pPr>
              <w:spacing w:before="0" w:after="0"/>
              <w:rPr>
                <w:rFonts w:ascii="Times New Roman" w:hAnsi="Times New Roman"/>
                <w:sz w:val="24"/>
              </w:rPr>
            </w:pPr>
          </w:p>
          <w:p w:rsidR="00E026FB" w:rsidRPr="00661595" w:rsidRDefault="00E026FB" w:rsidP="00E10B85">
            <w:pPr>
              <w:spacing w:before="0" w:after="0"/>
              <w:rPr>
                <w:rFonts w:ascii="Times New Roman" w:hAnsi="Times New Roman"/>
                <w:sz w:val="24"/>
              </w:rPr>
            </w:pPr>
            <w:r w:rsidRPr="00661595">
              <w:rPr>
                <w:rFonts w:ascii="Times New Roman" w:hAnsi="Times New Roman"/>
                <w:sz w:val="24"/>
              </w:rPr>
              <w:t xml:space="preserve">Article 263 </w:t>
            </w:r>
            <w:r w:rsidR="00C7103D" w:rsidRPr="00661595">
              <w:rPr>
                <w:rFonts w:ascii="Times New Roman" w:hAnsi="Times New Roman"/>
                <w:sz w:val="24"/>
              </w:rPr>
              <w:t>CRR</w:t>
            </w:r>
          </w:p>
          <w:p w:rsidR="00E026FB" w:rsidRPr="00661595" w:rsidRDefault="00E026FB" w:rsidP="00E10B85">
            <w:pPr>
              <w:spacing w:before="0" w:after="0"/>
              <w:rPr>
                <w:rFonts w:ascii="Times New Roman" w:hAnsi="Times New Roman"/>
                <w:sz w:val="24"/>
              </w:rPr>
            </w:pPr>
          </w:p>
          <w:p w:rsidR="00E026FB" w:rsidRPr="00661595" w:rsidRDefault="00E026FB" w:rsidP="00E10B85">
            <w:pPr>
              <w:spacing w:before="0" w:after="0"/>
              <w:rPr>
                <w:rFonts w:ascii="Times New Roman" w:hAnsi="Times New Roman"/>
                <w:sz w:val="24"/>
              </w:rPr>
            </w:pPr>
            <w:r w:rsidRPr="00661595">
              <w:rPr>
                <w:rFonts w:ascii="Times New Roman" w:hAnsi="Times New Roman"/>
                <w:sz w:val="24"/>
              </w:rPr>
              <w:t xml:space="preserve">SEC-ERBA Securitisation positions with an inferred rating </w:t>
            </w:r>
            <w:r w:rsidR="00D021AF" w:rsidRPr="00661595">
              <w:rPr>
                <w:rFonts w:ascii="Times New Roman" w:hAnsi="Times New Roman"/>
                <w:sz w:val="24"/>
              </w:rPr>
              <w:t xml:space="preserve">as referred to in </w:t>
            </w:r>
            <w:r w:rsidRPr="00661595">
              <w:rPr>
                <w:rFonts w:ascii="Times New Roman" w:hAnsi="Times New Roman"/>
                <w:sz w:val="24"/>
              </w:rPr>
              <w:t xml:space="preserve">Article 254(2) </w:t>
            </w:r>
            <w:r w:rsidR="00C7103D" w:rsidRPr="00661595">
              <w:rPr>
                <w:rFonts w:ascii="Times New Roman" w:hAnsi="Times New Roman"/>
                <w:sz w:val="24"/>
              </w:rPr>
              <w:t>CRR</w:t>
            </w:r>
            <w:r w:rsidRPr="00661595">
              <w:rPr>
                <w:rFonts w:ascii="Times New Roman" w:hAnsi="Times New Roman"/>
                <w:sz w:val="24"/>
              </w:rPr>
              <w:t xml:space="preserve"> shall be reported as positions with a rating.</w:t>
            </w:r>
          </w:p>
          <w:p w:rsidR="00E026FB" w:rsidRPr="00661595" w:rsidRDefault="00E026FB" w:rsidP="00E10B85">
            <w:pPr>
              <w:spacing w:before="0" w:after="0"/>
              <w:rPr>
                <w:rFonts w:ascii="Times New Roman" w:hAnsi="Times New Roman"/>
                <w:sz w:val="24"/>
              </w:rPr>
            </w:pPr>
          </w:p>
          <w:p w:rsidR="00E026FB" w:rsidRPr="00661595" w:rsidRDefault="00E026FB" w:rsidP="00E10B85">
            <w:pPr>
              <w:autoSpaceDE w:val="0"/>
              <w:autoSpaceDN w:val="0"/>
              <w:adjustRightInd w:val="0"/>
              <w:spacing w:before="0" w:after="0"/>
              <w:rPr>
                <w:rFonts w:ascii="Times New Roman" w:hAnsi="Times New Roman"/>
                <w:sz w:val="24"/>
                <w:lang w:eastAsia="es-ES_tradnl"/>
              </w:rPr>
            </w:pPr>
            <w:r w:rsidRPr="00661595">
              <w:rPr>
                <w:rFonts w:ascii="Times New Roman" w:hAnsi="Times New Roman"/>
                <w:sz w:val="24"/>
                <w:lang w:eastAsia="es-ES_tradnl"/>
              </w:rPr>
              <w:t xml:space="preserve">Exposure values subject to risk weights </w:t>
            </w:r>
            <w:r w:rsidR="009E42EE" w:rsidRPr="00661595">
              <w:rPr>
                <w:rFonts w:ascii="Times New Roman" w:hAnsi="Times New Roman"/>
                <w:sz w:val="24"/>
                <w:lang w:eastAsia="es-ES_tradnl"/>
              </w:rPr>
              <w:t>shall be</w:t>
            </w:r>
            <w:r w:rsidRPr="00661595">
              <w:rPr>
                <w:rFonts w:ascii="Times New Roman" w:hAnsi="Times New Roman"/>
                <w:sz w:val="24"/>
                <w:lang w:eastAsia="es-ES_tradnl"/>
              </w:rPr>
              <w:t xml:space="preserve"> broken down </w:t>
            </w:r>
            <w:r w:rsidR="00BC43FD" w:rsidRPr="00661595">
              <w:rPr>
                <w:rFonts w:ascii="Times New Roman" w:hAnsi="Times New Roman"/>
                <w:sz w:val="24"/>
                <w:lang w:eastAsia="es-ES_tradnl"/>
              </w:rPr>
              <w:t>by</w:t>
            </w:r>
            <w:r w:rsidRPr="00661595">
              <w:rPr>
                <w:rFonts w:ascii="Times New Roman" w:hAnsi="Times New Roman"/>
                <w:sz w:val="24"/>
                <w:lang w:eastAsia="es-ES_tradnl"/>
              </w:rPr>
              <w:t xml:space="preserve"> short and long-term and credit quality steps (CQS) as </w:t>
            </w:r>
            <w:r w:rsidR="00133396" w:rsidRPr="00661595">
              <w:rPr>
                <w:rFonts w:ascii="Times New Roman" w:hAnsi="Times New Roman"/>
                <w:sz w:val="24"/>
                <w:lang w:eastAsia="es-ES_tradnl"/>
              </w:rPr>
              <w:t>laid down in Tables 1 and 2 of</w:t>
            </w:r>
            <w:r w:rsidRPr="00661595">
              <w:rPr>
                <w:rFonts w:ascii="Times New Roman" w:hAnsi="Times New Roman"/>
                <w:sz w:val="24"/>
                <w:lang w:eastAsia="es-ES_tradnl"/>
              </w:rPr>
              <w:t xml:space="preserve"> Article 263 and </w:t>
            </w:r>
            <w:r w:rsidR="00133396" w:rsidRPr="00661595">
              <w:rPr>
                <w:rFonts w:ascii="Times New Roman" w:hAnsi="Times New Roman"/>
                <w:sz w:val="24"/>
                <w:lang w:eastAsia="es-ES_tradnl"/>
              </w:rPr>
              <w:t>Table</w:t>
            </w:r>
            <w:r w:rsidR="00D021AF" w:rsidRPr="00661595">
              <w:rPr>
                <w:rFonts w:ascii="Times New Roman" w:hAnsi="Times New Roman"/>
                <w:sz w:val="24"/>
                <w:lang w:eastAsia="es-ES_tradnl"/>
              </w:rPr>
              <w:t>s</w:t>
            </w:r>
            <w:r w:rsidR="00133396" w:rsidRPr="00661595">
              <w:rPr>
                <w:rFonts w:ascii="Times New Roman" w:hAnsi="Times New Roman"/>
                <w:sz w:val="24"/>
                <w:lang w:eastAsia="es-ES_tradnl"/>
              </w:rPr>
              <w:t xml:space="preserve"> 3 and 4 of Article </w:t>
            </w:r>
            <w:r w:rsidRPr="00661595">
              <w:rPr>
                <w:rFonts w:ascii="Times New Roman" w:hAnsi="Times New Roman"/>
                <w:sz w:val="24"/>
                <w:lang w:eastAsia="es-ES_tradnl"/>
              </w:rPr>
              <w:t xml:space="preserve">264 CRR. </w:t>
            </w:r>
          </w:p>
          <w:p w:rsidR="00E026FB" w:rsidRPr="00661595" w:rsidRDefault="00E026FB" w:rsidP="00E10B85">
            <w:pPr>
              <w:pStyle w:val="Heading1"/>
              <w:rPr>
                <w:rFonts w:ascii="Times New Roman" w:eastAsia="Times New Roman" w:hAnsi="Times New Roman"/>
                <w:sz w:val="24"/>
                <w:szCs w:val="24"/>
                <w:lang w:eastAsia="es-ES_tradnl"/>
              </w:rPr>
            </w:pPr>
          </w:p>
        </w:tc>
      </w:tr>
      <w:tr w:rsidR="00E026FB" w:rsidRPr="00661595" w:rsidTr="00E10B85">
        <w:tc>
          <w:tcPr>
            <w:tcW w:w="1568" w:type="dxa"/>
          </w:tcPr>
          <w:p w:rsidR="00E026FB" w:rsidRPr="00661595" w:rsidRDefault="00E026FB"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0580-0630</w:t>
            </w:r>
          </w:p>
        </w:tc>
        <w:tc>
          <w:tcPr>
            <w:tcW w:w="7436" w:type="dxa"/>
          </w:tcPr>
          <w:p w:rsidR="00E026FB" w:rsidRPr="00661595" w:rsidRDefault="00E026FB" w:rsidP="00E10B85">
            <w:pPr>
              <w:spacing w:before="0" w:after="0"/>
              <w:rPr>
                <w:rFonts w:ascii="Times New Roman" w:hAnsi="Times New Roman"/>
                <w:b/>
                <w:sz w:val="24"/>
                <w:u w:val="single"/>
              </w:rPr>
            </w:pPr>
            <w:r w:rsidRPr="00661595">
              <w:rPr>
                <w:rFonts w:ascii="Times New Roman" w:hAnsi="Times New Roman"/>
                <w:b/>
                <w:sz w:val="24"/>
                <w:u w:val="single"/>
              </w:rPr>
              <w:t>BREAKDOWN BY REASON FOR APPLICATION OF SEC-ERBA</w:t>
            </w:r>
          </w:p>
          <w:p w:rsidR="00E026FB" w:rsidRPr="00661595" w:rsidRDefault="00E026FB" w:rsidP="00E10B85">
            <w:pPr>
              <w:spacing w:before="0" w:after="0"/>
              <w:rPr>
                <w:rFonts w:ascii="Times New Roman" w:hAnsi="Times New Roman"/>
                <w:b/>
                <w:sz w:val="24"/>
                <w:u w:val="single"/>
              </w:rPr>
            </w:pPr>
          </w:p>
          <w:p w:rsidR="00E026FB" w:rsidRPr="00661595" w:rsidRDefault="00E026FB" w:rsidP="00E10B85">
            <w:pPr>
              <w:spacing w:before="0" w:after="0"/>
              <w:rPr>
                <w:rFonts w:ascii="Times New Roman" w:hAnsi="Times New Roman"/>
                <w:sz w:val="24"/>
              </w:rPr>
            </w:pPr>
            <w:r w:rsidRPr="00661595">
              <w:rPr>
                <w:rFonts w:ascii="Times New Roman" w:hAnsi="Times New Roman"/>
                <w:sz w:val="24"/>
              </w:rPr>
              <w:t xml:space="preserve">For each securitisation position, institutions </w:t>
            </w:r>
            <w:r w:rsidR="009E42EE" w:rsidRPr="00661595">
              <w:rPr>
                <w:rFonts w:ascii="Times New Roman" w:hAnsi="Times New Roman"/>
                <w:sz w:val="24"/>
              </w:rPr>
              <w:t>shall</w:t>
            </w:r>
            <w:r w:rsidRPr="00661595">
              <w:rPr>
                <w:rFonts w:ascii="Times New Roman" w:hAnsi="Times New Roman"/>
                <w:sz w:val="24"/>
              </w:rPr>
              <w:t xml:space="preserve"> consider one of the following options in columns 0580-0620.</w:t>
            </w:r>
          </w:p>
          <w:p w:rsidR="00E026FB" w:rsidRPr="00661595" w:rsidRDefault="00E026FB" w:rsidP="00E10B85">
            <w:pPr>
              <w:spacing w:before="0" w:after="0"/>
              <w:rPr>
                <w:rFonts w:ascii="Times New Roman" w:hAnsi="Times New Roman"/>
                <w:sz w:val="24"/>
                <w:u w:val="single"/>
              </w:rPr>
            </w:pPr>
          </w:p>
        </w:tc>
      </w:tr>
      <w:tr w:rsidR="00E026FB" w:rsidRPr="00661595" w:rsidTr="00E10B85">
        <w:tc>
          <w:tcPr>
            <w:tcW w:w="1568" w:type="dxa"/>
          </w:tcPr>
          <w:p w:rsidR="00E026FB" w:rsidRPr="00661595" w:rsidRDefault="00E026FB"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0580</w:t>
            </w:r>
          </w:p>
        </w:tc>
        <w:tc>
          <w:tcPr>
            <w:tcW w:w="7436" w:type="dxa"/>
          </w:tcPr>
          <w:p w:rsidR="00E026FB" w:rsidRPr="00661595" w:rsidRDefault="00E026FB" w:rsidP="00E10B85">
            <w:pPr>
              <w:spacing w:before="0" w:after="0"/>
              <w:rPr>
                <w:rFonts w:ascii="Times New Roman" w:hAnsi="Times New Roman"/>
                <w:b/>
                <w:sz w:val="24"/>
                <w:u w:val="single"/>
              </w:rPr>
            </w:pPr>
            <w:r w:rsidRPr="00661595">
              <w:rPr>
                <w:rFonts w:ascii="Times New Roman" w:hAnsi="Times New Roman"/>
                <w:b/>
                <w:sz w:val="24"/>
                <w:u w:val="single"/>
              </w:rPr>
              <w:t>AUTO LOANS, AUTO LEASES AND EQUIPMENT LEASES</w:t>
            </w:r>
          </w:p>
          <w:p w:rsidR="00E026FB" w:rsidRPr="00661595" w:rsidRDefault="00E026FB" w:rsidP="00E10B85">
            <w:pPr>
              <w:spacing w:before="0" w:after="0"/>
              <w:rPr>
                <w:rFonts w:ascii="Times New Roman" w:hAnsi="Times New Roman"/>
                <w:b/>
                <w:sz w:val="24"/>
                <w:u w:val="single"/>
              </w:rPr>
            </w:pPr>
          </w:p>
          <w:p w:rsidR="001E0C80" w:rsidRPr="00661595" w:rsidRDefault="001E0C80" w:rsidP="00E10B85">
            <w:pPr>
              <w:spacing w:before="0" w:after="0"/>
              <w:rPr>
                <w:rFonts w:ascii="Times New Roman" w:hAnsi="Times New Roman"/>
                <w:sz w:val="24"/>
              </w:rPr>
            </w:pPr>
            <w:r w:rsidRPr="00661595">
              <w:rPr>
                <w:rFonts w:ascii="Times New Roman" w:hAnsi="Times New Roman"/>
                <w:sz w:val="24"/>
              </w:rPr>
              <w:t xml:space="preserve">Point (c) of </w:t>
            </w:r>
            <w:r w:rsidR="00E026FB" w:rsidRPr="00661595">
              <w:rPr>
                <w:rFonts w:ascii="Times New Roman" w:hAnsi="Times New Roman"/>
                <w:sz w:val="24"/>
              </w:rPr>
              <w:t xml:space="preserve">Article 254(2) </w:t>
            </w:r>
            <w:r w:rsidR="00C7103D" w:rsidRPr="00661595">
              <w:rPr>
                <w:rFonts w:ascii="Times New Roman" w:hAnsi="Times New Roman"/>
                <w:sz w:val="24"/>
              </w:rPr>
              <w:t>CRR</w:t>
            </w:r>
            <w:r w:rsidR="00E026FB" w:rsidRPr="00661595">
              <w:rPr>
                <w:rFonts w:ascii="Times New Roman" w:hAnsi="Times New Roman"/>
                <w:sz w:val="24"/>
              </w:rPr>
              <w:t xml:space="preserve"> </w:t>
            </w:r>
          </w:p>
          <w:p w:rsidR="001E0C80" w:rsidRPr="00661595" w:rsidRDefault="001E0C80" w:rsidP="00E10B85">
            <w:pPr>
              <w:spacing w:before="0" w:after="0"/>
              <w:rPr>
                <w:rFonts w:ascii="Times New Roman" w:hAnsi="Times New Roman"/>
                <w:sz w:val="24"/>
              </w:rPr>
            </w:pPr>
          </w:p>
          <w:p w:rsidR="00E026FB" w:rsidRPr="00661595" w:rsidRDefault="00FC5515" w:rsidP="00BC3A29">
            <w:pPr>
              <w:spacing w:before="0" w:after="0"/>
              <w:rPr>
                <w:rFonts w:ascii="Times New Roman" w:hAnsi="Times New Roman"/>
                <w:b/>
                <w:sz w:val="24"/>
                <w:u w:val="single"/>
              </w:rPr>
            </w:pPr>
            <w:r w:rsidRPr="00661595">
              <w:rPr>
                <w:rFonts w:ascii="Times New Roman" w:hAnsi="Times New Roman"/>
                <w:sz w:val="24"/>
              </w:rPr>
              <w:t xml:space="preserve">All auto loans, auto leases and equipment leases shall be reported in this column, even if they qualify for </w:t>
            </w:r>
            <w:r w:rsidR="00BC3A29">
              <w:rPr>
                <w:rFonts w:ascii="Times New Roman" w:hAnsi="Times New Roman"/>
                <w:sz w:val="24"/>
              </w:rPr>
              <w:t xml:space="preserve">point (a) or (b) of </w:t>
            </w:r>
            <w:r w:rsidRPr="00661595">
              <w:rPr>
                <w:rFonts w:ascii="Times New Roman" w:hAnsi="Times New Roman"/>
                <w:sz w:val="24"/>
              </w:rPr>
              <w:t>Article 254(2) CRR.</w:t>
            </w:r>
          </w:p>
        </w:tc>
      </w:tr>
      <w:tr w:rsidR="00E026FB" w:rsidRPr="00661595" w:rsidTr="00E10B85">
        <w:tc>
          <w:tcPr>
            <w:tcW w:w="1568" w:type="dxa"/>
          </w:tcPr>
          <w:p w:rsidR="00E026FB" w:rsidRPr="00661595" w:rsidRDefault="00E026FB"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0590</w:t>
            </w:r>
          </w:p>
        </w:tc>
        <w:tc>
          <w:tcPr>
            <w:tcW w:w="7436" w:type="dxa"/>
          </w:tcPr>
          <w:p w:rsidR="00E026FB" w:rsidRPr="00661595" w:rsidRDefault="00E026FB" w:rsidP="00E10B85">
            <w:pPr>
              <w:spacing w:before="0" w:after="0"/>
              <w:rPr>
                <w:rFonts w:ascii="Times New Roman" w:hAnsi="Times New Roman"/>
                <w:b/>
                <w:sz w:val="24"/>
                <w:u w:val="single"/>
                <w:lang w:val="fr-BE"/>
              </w:rPr>
            </w:pPr>
            <w:r w:rsidRPr="00661595">
              <w:rPr>
                <w:rFonts w:ascii="Times New Roman" w:hAnsi="Times New Roman"/>
                <w:b/>
                <w:sz w:val="24"/>
                <w:u w:val="single"/>
                <w:lang w:val="fr-BE"/>
              </w:rPr>
              <w:t>SEC-ERBA OPTION</w:t>
            </w:r>
          </w:p>
          <w:p w:rsidR="00E026FB" w:rsidRPr="00661595" w:rsidRDefault="00E026FB" w:rsidP="00E10B85">
            <w:pPr>
              <w:spacing w:before="0" w:after="0"/>
              <w:rPr>
                <w:rFonts w:ascii="Times New Roman" w:hAnsi="Times New Roman"/>
                <w:b/>
                <w:sz w:val="24"/>
                <w:u w:val="single"/>
                <w:lang w:val="fr-BE"/>
              </w:rPr>
            </w:pPr>
          </w:p>
          <w:p w:rsidR="00E026FB" w:rsidRPr="00661595" w:rsidRDefault="00E026FB" w:rsidP="00E10B85">
            <w:pPr>
              <w:spacing w:before="0" w:after="0"/>
              <w:rPr>
                <w:rFonts w:ascii="Times New Roman" w:hAnsi="Times New Roman"/>
                <w:sz w:val="24"/>
                <w:lang w:val="fr-BE"/>
              </w:rPr>
            </w:pPr>
            <w:r w:rsidRPr="00661595">
              <w:rPr>
                <w:rFonts w:ascii="Times New Roman" w:hAnsi="Times New Roman"/>
                <w:sz w:val="24"/>
                <w:lang w:val="fr-BE"/>
              </w:rPr>
              <w:t xml:space="preserve">Article 254(3) </w:t>
            </w:r>
            <w:r w:rsidR="00C7103D" w:rsidRPr="00661595">
              <w:rPr>
                <w:rFonts w:ascii="Times New Roman" w:hAnsi="Times New Roman"/>
                <w:sz w:val="24"/>
                <w:lang w:val="fr-BE"/>
              </w:rPr>
              <w:t>CRR</w:t>
            </w:r>
          </w:p>
          <w:p w:rsidR="00E026FB" w:rsidRPr="00661595" w:rsidRDefault="00E026FB" w:rsidP="00E10B85">
            <w:pPr>
              <w:spacing w:before="0" w:after="0"/>
              <w:rPr>
                <w:rFonts w:ascii="Times New Roman" w:hAnsi="Times New Roman"/>
                <w:b/>
                <w:sz w:val="24"/>
                <w:u w:val="single"/>
                <w:lang w:val="fr-BE"/>
              </w:rPr>
            </w:pPr>
          </w:p>
        </w:tc>
      </w:tr>
      <w:tr w:rsidR="00E026FB" w:rsidRPr="00661595" w:rsidTr="00E10B85">
        <w:tc>
          <w:tcPr>
            <w:tcW w:w="1568" w:type="dxa"/>
          </w:tcPr>
          <w:p w:rsidR="00E026FB" w:rsidRPr="00661595" w:rsidRDefault="00E026FB"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0600</w:t>
            </w:r>
          </w:p>
        </w:tc>
        <w:tc>
          <w:tcPr>
            <w:tcW w:w="7436" w:type="dxa"/>
          </w:tcPr>
          <w:p w:rsidR="00E026FB" w:rsidRPr="00661595" w:rsidRDefault="00E026FB" w:rsidP="00E10B85">
            <w:pPr>
              <w:spacing w:before="0" w:after="0"/>
              <w:rPr>
                <w:rFonts w:ascii="Times New Roman" w:hAnsi="Times New Roman"/>
                <w:b/>
                <w:bCs/>
                <w:sz w:val="24"/>
                <w:u w:val="single"/>
              </w:rPr>
            </w:pPr>
            <w:r w:rsidRPr="00661595">
              <w:rPr>
                <w:rFonts w:ascii="Times New Roman" w:hAnsi="Times New Roman"/>
                <w:b/>
                <w:bCs/>
                <w:sz w:val="24"/>
                <w:u w:val="single"/>
              </w:rPr>
              <w:t xml:space="preserve">POSITIONS SUBJECT TO </w:t>
            </w:r>
            <w:r w:rsidR="00DE223B" w:rsidRPr="00661595">
              <w:rPr>
                <w:rFonts w:ascii="Times New Roman" w:hAnsi="Times New Roman"/>
                <w:b/>
                <w:bCs/>
                <w:sz w:val="24"/>
                <w:u w:val="single"/>
              </w:rPr>
              <w:t>POINT (</w:t>
            </w:r>
            <w:r w:rsidR="00962BBD" w:rsidRPr="00661595">
              <w:rPr>
                <w:rFonts w:ascii="Times New Roman" w:hAnsi="Times New Roman"/>
                <w:b/>
                <w:bCs/>
                <w:sz w:val="24"/>
                <w:u w:val="single"/>
              </w:rPr>
              <w:t>a</w:t>
            </w:r>
            <w:r w:rsidR="00DE223B" w:rsidRPr="00661595">
              <w:rPr>
                <w:rFonts w:ascii="Times New Roman" w:hAnsi="Times New Roman"/>
                <w:b/>
                <w:bCs/>
                <w:sz w:val="24"/>
                <w:u w:val="single"/>
              </w:rPr>
              <w:t xml:space="preserve">) OF </w:t>
            </w:r>
            <w:r w:rsidRPr="00661595">
              <w:rPr>
                <w:rFonts w:ascii="Times New Roman" w:hAnsi="Times New Roman"/>
                <w:b/>
                <w:bCs/>
                <w:sz w:val="24"/>
                <w:u w:val="single"/>
              </w:rPr>
              <w:t>ART</w:t>
            </w:r>
            <w:r w:rsidR="00DE223B" w:rsidRPr="00661595">
              <w:rPr>
                <w:rFonts w:ascii="Times New Roman" w:hAnsi="Times New Roman"/>
                <w:b/>
                <w:bCs/>
                <w:sz w:val="24"/>
                <w:u w:val="single"/>
              </w:rPr>
              <w:t>ICLE</w:t>
            </w:r>
            <w:r w:rsidRPr="00661595">
              <w:rPr>
                <w:rFonts w:ascii="Times New Roman" w:hAnsi="Times New Roman"/>
                <w:b/>
                <w:bCs/>
                <w:sz w:val="24"/>
                <w:u w:val="single"/>
              </w:rPr>
              <w:t xml:space="preserve"> 254(2) CRR</w:t>
            </w:r>
          </w:p>
          <w:p w:rsidR="00E026FB" w:rsidRPr="00661595" w:rsidRDefault="00E026FB" w:rsidP="00E10B85">
            <w:pPr>
              <w:spacing w:before="0" w:after="0"/>
              <w:rPr>
                <w:rFonts w:ascii="Times New Roman" w:hAnsi="Times New Roman"/>
                <w:b/>
                <w:bCs/>
                <w:sz w:val="24"/>
                <w:u w:val="single"/>
              </w:rPr>
            </w:pPr>
          </w:p>
          <w:p w:rsidR="00E026FB" w:rsidRPr="00661595" w:rsidRDefault="001E0C80" w:rsidP="00E10B85">
            <w:pPr>
              <w:spacing w:before="0" w:after="0"/>
              <w:rPr>
                <w:rFonts w:ascii="Times New Roman" w:hAnsi="Times New Roman"/>
                <w:sz w:val="24"/>
              </w:rPr>
            </w:pPr>
            <w:r w:rsidRPr="00661595">
              <w:rPr>
                <w:rFonts w:ascii="Times New Roman" w:hAnsi="Times New Roman"/>
                <w:sz w:val="24"/>
              </w:rPr>
              <w:t xml:space="preserve">Point (a) of </w:t>
            </w:r>
            <w:r w:rsidR="00E026FB" w:rsidRPr="00661595">
              <w:rPr>
                <w:rFonts w:ascii="Times New Roman" w:hAnsi="Times New Roman"/>
                <w:sz w:val="24"/>
              </w:rPr>
              <w:t xml:space="preserve">Article 254(2) </w:t>
            </w:r>
            <w:r w:rsidR="00C7103D" w:rsidRPr="00661595">
              <w:rPr>
                <w:rFonts w:ascii="Times New Roman" w:hAnsi="Times New Roman"/>
                <w:sz w:val="24"/>
              </w:rPr>
              <w:t>CRR</w:t>
            </w:r>
          </w:p>
          <w:p w:rsidR="00E026FB" w:rsidRPr="00661595" w:rsidRDefault="00E026FB" w:rsidP="00E10B85">
            <w:pPr>
              <w:spacing w:before="0" w:after="0"/>
              <w:rPr>
                <w:rFonts w:ascii="Times New Roman" w:hAnsi="Times New Roman"/>
                <w:sz w:val="24"/>
              </w:rPr>
            </w:pPr>
          </w:p>
        </w:tc>
      </w:tr>
      <w:tr w:rsidR="00E026FB" w:rsidRPr="00661595" w:rsidTr="00E10B85">
        <w:tc>
          <w:tcPr>
            <w:tcW w:w="1568" w:type="dxa"/>
          </w:tcPr>
          <w:p w:rsidR="00E026FB" w:rsidRPr="00661595" w:rsidRDefault="00E026FB"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0610</w:t>
            </w:r>
          </w:p>
        </w:tc>
        <w:tc>
          <w:tcPr>
            <w:tcW w:w="7436" w:type="dxa"/>
          </w:tcPr>
          <w:p w:rsidR="00E026FB" w:rsidRPr="00661595" w:rsidRDefault="00E026FB" w:rsidP="00E10B85">
            <w:pPr>
              <w:spacing w:before="0" w:after="0"/>
              <w:rPr>
                <w:rFonts w:ascii="Times New Roman" w:hAnsi="Times New Roman"/>
                <w:b/>
                <w:sz w:val="24"/>
                <w:u w:val="single"/>
              </w:rPr>
            </w:pPr>
            <w:r w:rsidRPr="00661595">
              <w:rPr>
                <w:rFonts w:ascii="Times New Roman" w:hAnsi="Times New Roman"/>
                <w:b/>
                <w:sz w:val="24"/>
                <w:u w:val="single"/>
              </w:rPr>
              <w:t xml:space="preserve">POSITIONS SUBJECT TO </w:t>
            </w:r>
            <w:r w:rsidR="00DE223B" w:rsidRPr="00661595">
              <w:rPr>
                <w:rFonts w:ascii="Times New Roman" w:hAnsi="Times New Roman"/>
                <w:b/>
                <w:sz w:val="24"/>
                <w:u w:val="single"/>
              </w:rPr>
              <w:t>POINT (</w:t>
            </w:r>
            <w:r w:rsidR="00962BBD" w:rsidRPr="00661595">
              <w:rPr>
                <w:rFonts w:ascii="Times New Roman" w:hAnsi="Times New Roman"/>
                <w:b/>
                <w:sz w:val="24"/>
                <w:u w:val="single"/>
              </w:rPr>
              <w:t>b</w:t>
            </w:r>
            <w:r w:rsidR="00DE223B" w:rsidRPr="00661595">
              <w:rPr>
                <w:rFonts w:ascii="Times New Roman" w:hAnsi="Times New Roman"/>
                <w:b/>
                <w:sz w:val="24"/>
                <w:u w:val="single"/>
              </w:rPr>
              <w:t xml:space="preserve">) OF </w:t>
            </w:r>
            <w:r w:rsidRPr="00661595">
              <w:rPr>
                <w:rFonts w:ascii="Times New Roman" w:hAnsi="Times New Roman"/>
                <w:b/>
                <w:sz w:val="24"/>
                <w:u w:val="single"/>
              </w:rPr>
              <w:t>ART</w:t>
            </w:r>
            <w:r w:rsidR="00DE223B" w:rsidRPr="00661595">
              <w:rPr>
                <w:rFonts w:ascii="Times New Roman" w:hAnsi="Times New Roman"/>
                <w:b/>
                <w:sz w:val="24"/>
                <w:u w:val="single"/>
              </w:rPr>
              <w:t>ICLE</w:t>
            </w:r>
            <w:r w:rsidRPr="00661595">
              <w:rPr>
                <w:rFonts w:ascii="Times New Roman" w:hAnsi="Times New Roman"/>
                <w:b/>
                <w:sz w:val="24"/>
                <w:u w:val="single"/>
              </w:rPr>
              <w:t xml:space="preserve"> 254(2) CRR</w:t>
            </w:r>
            <w:r w:rsidRPr="00661595" w:rsidDel="004E7835">
              <w:rPr>
                <w:rFonts w:ascii="Times New Roman" w:hAnsi="Times New Roman"/>
                <w:b/>
                <w:sz w:val="24"/>
                <w:u w:val="single"/>
              </w:rPr>
              <w:t xml:space="preserve"> </w:t>
            </w:r>
          </w:p>
          <w:p w:rsidR="00E026FB" w:rsidRPr="00661595" w:rsidRDefault="00E026FB" w:rsidP="00E10B85">
            <w:pPr>
              <w:spacing w:before="0" w:after="0"/>
              <w:rPr>
                <w:rFonts w:ascii="Times New Roman" w:hAnsi="Times New Roman"/>
                <w:b/>
                <w:sz w:val="24"/>
                <w:u w:val="single"/>
              </w:rPr>
            </w:pPr>
          </w:p>
          <w:p w:rsidR="00E026FB" w:rsidRPr="00661595" w:rsidRDefault="001E0C80" w:rsidP="00E10B85">
            <w:pPr>
              <w:spacing w:before="0" w:after="0"/>
              <w:rPr>
                <w:rFonts w:ascii="Times New Roman" w:hAnsi="Times New Roman"/>
                <w:sz w:val="24"/>
              </w:rPr>
            </w:pPr>
            <w:r w:rsidRPr="00661595">
              <w:rPr>
                <w:rFonts w:ascii="Times New Roman" w:hAnsi="Times New Roman"/>
                <w:sz w:val="24"/>
              </w:rPr>
              <w:t xml:space="preserve">Point (b) of </w:t>
            </w:r>
            <w:r w:rsidR="00E026FB" w:rsidRPr="00661595">
              <w:rPr>
                <w:rFonts w:ascii="Times New Roman" w:hAnsi="Times New Roman"/>
                <w:sz w:val="24"/>
              </w:rPr>
              <w:t xml:space="preserve">Article 254(2) </w:t>
            </w:r>
            <w:r w:rsidR="00C7103D" w:rsidRPr="00661595">
              <w:rPr>
                <w:rFonts w:ascii="Times New Roman" w:hAnsi="Times New Roman"/>
                <w:sz w:val="24"/>
              </w:rPr>
              <w:t>CR</w:t>
            </w:r>
            <w:r w:rsidRPr="00661595">
              <w:rPr>
                <w:rFonts w:ascii="Times New Roman" w:hAnsi="Times New Roman"/>
                <w:sz w:val="24"/>
              </w:rPr>
              <w:t>R</w:t>
            </w:r>
          </w:p>
          <w:p w:rsidR="00E026FB" w:rsidRPr="00661595" w:rsidRDefault="00E026FB" w:rsidP="00E10B85">
            <w:pPr>
              <w:spacing w:before="0" w:after="0"/>
              <w:rPr>
                <w:rFonts w:ascii="Times New Roman" w:hAnsi="Times New Roman"/>
                <w:b/>
                <w:sz w:val="24"/>
                <w:u w:val="single"/>
              </w:rPr>
            </w:pPr>
          </w:p>
        </w:tc>
      </w:tr>
      <w:tr w:rsidR="00E026FB" w:rsidRPr="00661595" w:rsidTr="00E10B85">
        <w:tc>
          <w:tcPr>
            <w:tcW w:w="1568" w:type="dxa"/>
          </w:tcPr>
          <w:p w:rsidR="00E026FB" w:rsidRPr="00661595" w:rsidRDefault="00E026FB"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0620</w:t>
            </w:r>
          </w:p>
        </w:tc>
        <w:tc>
          <w:tcPr>
            <w:tcW w:w="7436" w:type="dxa"/>
          </w:tcPr>
          <w:p w:rsidR="00962BBD" w:rsidRPr="00661595" w:rsidRDefault="00E026FB" w:rsidP="00E10B85">
            <w:pPr>
              <w:spacing w:before="0" w:after="0"/>
              <w:rPr>
                <w:rFonts w:ascii="Times New Roman" w:hAnsi="Times New Roman"/>
                <w:b/>
                <w:bCs/>
                <w:sz w:val="24"/>
                <w:u w:val="single"/>
              </w:rPr>
            </w:pPr>
            <w:r w:rsidRPr="00661595">
              <w:rPr>
                <w:rFonts w:ascii="Times New Roman" w:hAnsi="Times New Roman"/>
                <w:b/>
                <w:bCs/>
                <w:sz w:val="24"/>
                <w:u w:val="single"/>
              </w:rPr>
              <w:t>POSITIONS SUBJECT TO ART</w:t>
            </w:r>
            <w:r w:rsidR="00DE223B" w:rsidRPr="00661595">
              <w:rPr>
                <w:rFonts w:ascii="Times New Roman" w:hAnsi="Times New Roman"/>
                <w:b/>
                <w:bCs/>
                <w:sz w:val="24"/>
                <w:u w:val="single"/>
              </w:rPr>
              <w:t>ICLES</w:t>
            </w:r>
            <w:r w:rsidRPr="00661595">
              <w:rPr>
                <w:rFonts w:ascii="Times New Roman" w:hAnsi="Times New Roman"/>
                <w:b/>
                <w:bCs/>
                <w:sz w:val="24"/>
                <w:u w:val="single"/>
              </w:rPr>
              <w:t xml:space="preserve"> 254(4) OR 258(2) CRR</w:t>
            </w:r>
          </w:p>
          <w:p w:rsidR="00962BBD" w:rsidRPr="00661595" w:rsidRDefault="00962BBD" w:rsidP="00E10B85">
            <w:pPr>
              <w:spacing w:before="0" w:after="0"/>
              <w:rPr>
                <w:rFonts w:ascii="Times New Roman" w:hAnsi="Times New Roman"/>
                <w:sz w:val="24"/>
              </w:rPr>
            </w:pPr>
          </w:p>
          <w:p w:rsidR="00E026FB" w:rsidRPr="00661595" w:rsidRDefault="00E026FB" w:rsidP="00E10B85">
            <w:pPr>
              <w:spacing w:before="0" w:after="0"/>
              <w:rPr>
                <w:rFonts w:ascii="Times New Roman" w:hAnsi="Times New Roman"/>
                <w:sz w:val="24"/>
              </w:rPr>
            </w:pPr>
            <w:r w:rsidRPr="00661595">
              <w:rPr>
                <w:rFonts w:ascii="Times New Roman" w:hAnsi="Times New Roman"/>
                <w:sz w:val="24"/>
              </w:rPr>
              <w:t>Securitisation positions subject to SEC-ERBA</w:t>
            </w:r>
            <w:r w:rsidR="00D021AF" w:rsidRPr="00661595">
              <w:rPr>
                <w:rFonts w:ascii="Times New Roman" w:hAnsi="Times New Roman"/>
                <w:sz w:val="24"/>
              </w:rPr>
              <w:t>,</w:t>
            </w:r>
            <w:r w:rsidRPr="00661595">
              <w:rPr>
                <w:rFonts w:ascii="Times New Roman" w:hAnsi="Times New Roman"/>
                <w:sz w:val="24"/>
              </w:rPr>
              <w:t xml:space="preserve"> where the application of SEC-IRBA or SEC-SA has been precluded by the competent authorities </w:t>
            </w:r>
            <w:r w:rsidR="00D021AF" w:rsidRPr="00661595">
              <w:rPr>
                <w:rFonts w:ascii="Times New Roman" w:hAnsi="Times New Roman"/>
                <w:sz w:val="24"/>
              </w:rPr>
              <w:t xml:space="preserve">in accordance with </w:t>
            </w:r>
            <w:r w:rsidRPr="00661595">
              <w:rPr>
                <w:rFonts w:ascii="Times New Roman" w:hAnsi="Times New Roman"/>
                <w:sz w:val="24"/>
              </w:rPr>
              <w:t>Article</w:t>
            </w:r>
            <w:r w:rsidR="00D021AF" w:rsidRPr="00661595">
              <w:rPr>
                <w:rFonts w:ascii="Times New Roman" w:hAnsi="Times New Roman"/>
                <w:sz w:val="24"/>
              </w:rPr>
              <w:t>s</w:t>
            </w:r>
            <w:r w:rsidRPr="00661595">
              <w:rPr>
                <w:rFonts w:ascii="Times New Roman" w:hAnsi="Times New Roman"/>
                <w:sz w:val="24"/>
              </w:rPr>
              <w:t xml:space="preserve"> 254(4) or 258(2) </w:t>
            </w:r>
            <w:r w:rsidR="00C7103D" w:rsidRPr="00661595">
              <w:rPr>
                <w:rFonts w:ascii="Times New Roman" w:hAnsi="Times New Roman"/>
                <w:sz w:val="24"/>
              </w:rPr>
              <w:t>CRR</w:t>
            </w:r>
          </w:p>
          <w:p w:rsidR="00E026FB" w:rsidRPr="00661595" w:rsidRDefault="00E026FB" w:rsidP="00E10B85">
            <w:pPr>
              <w:spacing w:before="0" w:after="0"/>
              <w:rPr>
                <w:rFonts w:ascii="Times New Roman" w:hAnsi="Times New Roman"/>
                <w:b/>
                <w:sz w:val="24"/>
                <w:u w:val="single"/>
              </w:rPr>
            </w:pPr>
          </w:p>
        </w:tc>
      </w:tr>
      <w:tr w:rsidR="00E026FB" w:rsidRPr="00661595" w:rsidTr="00E10B85">
        <w:tc>
          <w:tcPr>
            <w:tcW w:w="1568" w:type="dxa"/>
          </w:tcPr>
          <w:p w:rsidR="00E026FB" w:rsidRPr="00661595" w:rsidRDefault="00E026FB"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0630</w:t>
            </w:r>
          </w:p>
        </w:tc>
        <w:tc>
          <w:tcPr>
            <w:tcW w:w="7436" w:type="dxa"/>
          </w:tcPr>
          <w:p w:rsidR="00E026FB" w:rsidRPr="00661595" w:rsidRDefault="00E026FB" w:rsidP="00E10B85">
            <w:pPr>
              <w:spacing w:before="0" w:after="0"/>
              <w:rPr>
                <w:rFonts w:ascii="Times New Roman" w:hAnsi="Times New Roman"/>
                <w:b/>
                <w:sz w:val="24"/>
                <w:u w:val="single"/>
              </w:rPr>
            </w:pPr>
            <w:r w:rsidRPr="00661595">
              <w:rPr>
                <w:rFonts w:ascii="Times New Roman" w:hAnsi="Times New Roman"/>
                <w:b/>
                <w:sz w:val="24"/>
                <w:u w:val="single"/>
              </w:rPr>
              <w:t>FOLLOWING THE HIERARCHY OF APPROACHES</w:t>
            </w:r>
            <w:r w:rsidRPr="00661595" w:rsidDel="004E7835">
              <w:rPr>
                <w:rFonts w:ascii="Times New Roman" w:hAnsi="Times New Roman"/>
                <w:b/>
                <w:sz w:val="24"/>
                <w:u w:val="single"/>
              </w:rPr>
              <w:t xml:space="preserve"> </w:t>
            </w:r>
          </w:p>
          <w:p w:rsidR="00E026FB" w:rsidRPr="00661595" w:rsidRDefault="00E026FB" w:rsidP="00E10B85">
            <w:pPr>
              <w:spacing w:before="0" w:after="0"/>
              <w:rPr>
                <w:rFonts w:ascii="Times New Roman" w:hAnsi="Times New Roman"/>
                <w:b/>
                <w:sz w:val="24"/>
                <w:u w:val="single"/>
              </w:rPr>
            </w:pPr>
          </w:p>
          <w:p w:rsidR="00E026FB" w:rsidRPr="00661595" w:rsidRDefault="00E026FB" w:rsidP="00E10B85">
            <w:pPr>
              <w:spacing w:before="0" w:after="0"/>
              <w:rPr>
                <w:rFonts w:ascii="Times New Roman" w:hAnsi="Times New Roman"/>
                <w:sz w:val="24"/>
              </w:rPr>
            </w:pPr>
            <w:r w:rsidRPr="00661595">
              <w:rPr>
                <w:rFonts w:ascii="Times New Roman" w:hAnsi="Times New Roman"/>
                <w:sz w:val="24"/>
              </w:rPr>
              <w:t xml:space="preserve">Securitisation positions where SEC-ERBA is applied by following the hierarchy of approaches </w:t>
            </w:r>
            <w:r w:rsidR="00D021AF" w:rsidRPr="00661595">
              <w:rPr>
                <w:rFonts w:ascii="Times New Roman" w:hAnsi="Times New Roman"/>
                <w:sz w:val="24"/>
              </w:rPr>
              <w:t xml:space="preserve">laid down </w:t>
            </w:r>
            <w:r w:rsidRPr="00661595">
              <w:rPr>
                <w:rFonts w:ascii="Times New Roman" w:hAnsi="Times New Roman"/>
                <w:sz w:val="24"/>
              </w:rPr>
              <w:t xml:space="preserve">in Article 254(1) </w:t>
            </w:r>
            <w:r w:rsidR="00C7103D" w:rsidRPr="00661595">
              <w:rPr>
                <w:rFonts w:ascii="Times New Roman" w:hAnsi="Times New Roman"/>
                <w:sz w:val="24"/>
              </w:rPr>
              <w:t>CRR</w:t>
            </w:r>
          </w:p>
          <w:p w:rsidR="00E026FB" w:rsidRPr="00661595" w:rsidRDefault="00E026FB" w:rsidP="00E10B85">
            <w:pPr>
              <w:spacing w:before="0" w:after="0"/>
              <w:rPr>
                <w:rFonts w:ascii="Times New Roman" w:hAnsi="Times New Roman"/>
                <w:b/>
                <w:sz w:val="24"/>
                <w:u w:val="single"/>
              </w:rPr>
            </w:pPr>
          </w:p>
        </w:tc>
      </w:tr>
      <w:tr w:rsidR="00E026FB" w:rsidRPr="00661595" w:rsidTr="00E10B85">
        <w:tc>
          <w:tcPr>
            <w:tcW w:w="1568" w:type="dxa"/>
          </w:tcPr>
          <w:p w:rsidR="00E026FB" w:rsidRPr="00661595" w:rsidRDefault="00E026FB"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sz w:val="24"/>
              </w:rPr>
              <w:t>0640</w:t>
            </w:r>
          </w:p>
        </w:tc>
        <w:tc>
          <w:tcPr>
            <w:tcW w:w="7436" w:type="dxa"/>
          </w:tcPr>
          <w:p w:rsidR="00E026FB" w:rsidRPr="00661595" w:rsidRDefault="00E026FB" w:rsidP="00E10B85">
            <w:pPr>
              <w:spacing w:before="0" w:after="0"/>
              <w:jc w:val="left"/>
              <w:rPr>
                <w:rFonts w:ascii="Times New Roman" w:hAnsi="Times New Roman"/>
                <w:b/>
                <w:sz w:val="24"/>
                <w:u w:val="single"/>
              </w:rPr>
            </w:pPr>
            <w:r w:rsidRPr="00661595">
              <w:rPr>
                <w:rFonts w:ascii="Times New Roman" w:hAnsi="Times New Roman"/>
                <w:b/>
                <w:sz w:val="24"/>
                <w:u w:val="single"/>
              </w:rPr>
              <w:t>INTERNAL ASSESSMENT APPROACH</w:t>
            </w:r>
          </w:p>
          <w:p w:rsidR="00E026FB" w:rsidRPr="00661595" w:rsidRDefault="00E026FB" w:rsidP="00E10B85">
            <w:pPr>
              <w:spacing w:before="0" w:after="0"/>
              <w:jc w:val="left"/>
              <w:rPr>
                <w:rFonts w:ascii="Times New Roman" w:hAnsi="Times New Roman"/>
                <w:sz w:val="24"/>
              </w:rPr>
            </w:pPr>
          </w:p>
          <w:p w:rsidR="00E026FB" w:rsidRPr="00661595" w:rsidRDefault="008F2C6B" w:rsidP="00E10B85">
            <w:pPr>
              <w:spacing w:before="0" w:after="0"/>
              <w:rPr>
                <w:rFonts w:ascii="Times New Roman" w:hAnsi="Times New Roman"/>
                <w:sz w:val="24"/>
              </w:rPr>
            </w:pPr>
            <w:r w:rsidRPr="00661595">
              <w:rPr>
                <w:rFonts w:ascii="Times New Roman" w:hAnsi="Times New Roman"/>
                <w:sz w:val="24"/>
              </w:rPr>
              <w:t>A</w:t>
            </w:r>
            <w:r w:rsidR="00E026FB" w:rsidRPr="00661595">
              <w:rPr>
                <w:rFonts w:ascii="Times New Roman" w:hAnsi="Times New Roman"/>
                <w:sz w:val="24"/>
              </w:rPr>
              <w:t xml:space="preserve">rticle 254(5) </w:t>
            </w:r>
            <w:r w:rsidR="00C7103D" w:rsidRPr="00661595">
              <w:rPr>
                <w:rFonts w:ascii="Times New Roman" w:hAnsi="Times New Roman"/>
                <w:sz w:val="24"/>
              </w:rPr>
              <w:t>CRR</w:t>
            </w:r>
            <w:r w:rsidRPr="00661595">
              <w:rPr>
                <w:rFonts w:ascii="Times New Roman" w:hAnsi="Times New Roman"/>
                <w:sz w:val="24"/>
              </w:rPr>
              <w:t xml:space="preserve"> on </w:t>
            </w:r>
            <w:r w:rsidR="00E026FB" w:rsidRPr="00661595">
              <w:rPr>
                <w:rFonts w:ascii="Times New Roman" w:hAnsi="Times New Roman"/>
                <w:sz w:val="24"/>
              </w:rPr>
              <w:t>the ‘Internal Assessment Approach’ (IAA) for positions in ABCP programmes</w:t>
            </w:r>
          </w:p>
          <w:p w:rsidR="00E026FB" w:rsidRPr="00661595" w:rsidRDefault="00E026FB" w:rsidP="00E10B85">
            <w:pPr>
              <w:spacing w:before="0" w:after="0"/>
              <w:jc w:val="left"/>
              <w:rPr>
                <w:rFonts w:ascii="Times New Roman" w:hAnsi="Times New Roman"/>
                <w:sz w:val="24"/>
              </w:rPr>
            </w:pPr>
          </w:p>
        </w:tc>
      </w:tr>
      <w:tr w:rsidR="00E026FB" w:rsidRPr="00661595" w:rsidTr="00E10B85">
        <w:tc>
          <w:tcPr>
            <w:tcW w:w="1568" w:type="dxa"/>
          </w:tcPr>
          <w:p w:rsidR="00E026FB" w:rsidRPr="00661595" w:rsidDel="002122FF" w:rsidRDefault="00E026FB"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0650-0690</w:t>
            </w:r>
          </w:p>
        </w:tc>
        <w:tc>
          <w:tcPr>
            <w:tcW w:w="7436" w:type="dxa"/>
          </w:tcPr>
          <w:p w:rsidR="00E026FB" w:rsidRPr="00661595" w:rsidRDefault="00E026FB" w:rsidP="00E10B85">
            <w:pPr>
              <w:spacing w:before="0" w:after="0"/>
              <w:jc w:val="left"/>
              <w:rPr>
                <w:rFonts w:ascii="Times New Roman" w:hAnsi="Times New Roman"/>
                <w:b/>
                <w:sz w:val="24"/>
                <w:u w:val="single"/>
              </w:rPr>
            </w:pPr>
            <w:r w:rsidRPr="00661595">
              <w:rPr>
                <w:rFonts w:ascii="Times New Roman" w:hAnsi="Times New Roman"/>
                <w:b/>
                <w:sz w:val="24"/>
                <w:u w:val="single"/>
              </w:rPr>
              <w:t>BREAKDOWN BY RW BANDS</w:t>
            </w:r>
          </w:p>
          <w:p w:rsidR="00E026FB" w:rsidRPr="00661595" w:rsidRDefault="00E026FB" w:rsidP="00E10B85">
            <w:pPr>
              <w:spacing w:before="0" w:after="0"/>
              <w:jc w:val="left"/>
              <w:rPr>
                <w:rFonts w:ascii="Times New Roman" w:hAnsi="Times New Roman"/>
                <w:sz w:val="24"/>
              </w:rPr>
            </w:pPr>
          </w:p>
          <w:p w:rsidR="00E026FB" w:rsidRPr="00661595" w:rsidRDefault="00E026FB" w:rsidP="00E10B85">
            <w:pPr>
              <w:spacing w:before="0" w:after="0"/>
              <w:jc w:val="left"/>
              <w:rPr>
                <w:rFonts w:ascii="Times New Roman" w:hAnsi="Times New Roman"/>
                <w:sz w:val="24"/>
              </w:rPr>
            </w:pPr>
            <w:r w:rsidRPr="00661595">
              <w:rPr>
                <w:rFonts w:ascii="Times New Roman" w:hAnsi="Times New Roman"/>
                <w:sz w:val="24"/>
              </w:rPr>
              <w:t>Internal Assessment Approach exposures broken down by risk-weight bands</w:t>
            </w:r>
          </w:p>
          <w:p w:rsidR="00E026FB" w:rsidRPr="00661595" w:rsidRDefault="00E026FB" w:rsidP="00E10B85">
            <w:pPr>
              <w:spacing w:before="0" w:after="0"/>
              <w:jc w:val="left"/>
              <w:rPr>
                <w:rFonts w:ascii="Times New Roman" w:hAnsi="Times New Roman"/>
                <w:b/>
                <w:sz w:val="24"/>
                <w:u w:val="single"/>
              </w:rPr>
            </w:pPr>
          </w:p>
        </w:tc>
      </w:tr>
      <w:tr w:rsidR="00E026FB" w:rsidRPr="00661595" w:rsidTr="00E10B85">
        <w:tc>
          <w:tcPr>
            <w:tcW w:w="1568" w:type="dxa"/>
          </w:tcPr>
          <w:p w:rsidR="00E026FB" w:rsidRPr="00661595" w:rsidRDefault="00E026FB"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0700</w:t>
            </w:r>
          </w:p>
        </w:tc>
        <w:tc>
          <w:tcPr>
            <w:tcW w:w="7436" w:type="dxa"/>
          </w:tcPr>
          <w:p w:rsidR="00E026FB" w:rsidRPr="00661595" w:rsidRDefault="00E026FB" w:rsidP="00E10B85">
            <w:pPr>
              <w:spacing w:before="0" w:after="0"/>
              <w:jc w:val="left"/>
              <w:rPr>
                <w:rFonts w:ascii="Times New Roman" w:hAnsi="Times New Roman"/>
                <w:b/>
                <w:sz w:val="24"/>
                <w:u w:val="single"/>
              </w:rPr>
            </w:pPr>
            <w:r w:rsidRPr="00661595">
              <w:rPr>
                <w:rFonts w:ascii="Times New Roman" w:hAnsi="Times New Roman"/>
                <w:b/>
                <w:sz w:val="24"/>
                <w:u w:val="single"/>
              </w:rPr>
              <w:t>OTHER (RW=1</w:t>
            </w:r>
            <w:r w:rsidR="006A66C9" w:rsidRPr="00661595">
              <w:rPr>
                <w:rFonts w:ascii="Times New Roman" w:hAnsi="Times New Roman"/>
                <w:b/>
                <w:sz w:val="24"/>
                <w:u w:val="single"/>
              </w:rPr>
              <w:t xml:space="preserve"> </w:t>
            </w:r>
            <w:r w:rsidRPr="00661595">
              <w:rPr>
                <w:rFonts w:ascii="Times New Roman" w:hAnsi="Times New Roman"/>
                <w:b/>
                <w:sz w:val="24"/>
                <w:u w:val="single"/>
              </w:rPr>
              <w:t>250%)</w:t>
            </w:r>
          </w:p>
          <w:p w:rsidR="00E026FB" w:rsidRPr="00661595" w:rsidRDefault="00E026FB" w:rsidP="00E10B85">
            <w:pPr>
              <w:spacing w:before="0" w:after="0"/>
              <w:jc w:val="left"/>
              <w:rPr>
                <w:rFonts w:ascii="Times New Roman" w:hAnsi="Times New Roman"/>
                <w:b/>
                <w:sz w:val="24"/>
                <w:u w:val="single"/>
              </w:rPr>
            </w:pPr>
          </w:p>
          <w:p w:rsidR="00E026FB" w:rsidRPr="00661595" w:rsidRDefault="00D021AF" w:rsidP="00E10B85">
            <w:pPr>
              <w:spacing w:before="0" w:after="0"/>
              <w:jc w:val="left"/>
              <w:rPr>
                <w:rFonts w:ascii="Times New Roman" w:hAnsi="Times New Roman"/>
                <w:sz w:val="24"/>
              </w:rPr>
            </w:pPr>
            <w:r w:rsidRPr="00661595">
              <w:rPr>
                <w:rFonts w:ascii="Times New Roman" w:hAnsi="Times New Roman"/>
                <w:sz w:val="24"/>
              </w:rPr>
              <w:t xml:space="preserve">Where </w:t>
            </w:r>
            <w:r w:rsidR="00E026FB" w:rsidRPr="00661595">
              <w:rPr>
                <w:rFonts w:ascii="Times New Roman" w:hAnsi="Times New Roman"/>
                <w:sz w:val="24"/>
              </w:rPr>
              <w:t>none of the previous approaches is applied, a risk weight of 1 250 % shall be assigned to securitisation positions</w:t>
            </w:r>
            <w:r w:rsidRPr="00661595">
              <w:rPr>
                <w:rFonts w:ascii="Times New Roman" w:hAnsi="Times New Roman"/>
                <w:sz w:val="24"/>
              </w:rPr>
              <w:t xml:space="preserve"> in accordance with Article 254(7)</w:t>
            </w:r>
            <w:r w:rsidR="00962BBD" w:rsidRPr="00661595">
              <w:rPr>
                <w:rFonts w:ascii="Times New Roman" w:hAnsi="Times New Roman"/>
                <w:sz w:val="24"/>
              </w:rPr>
              <w:t xml:space="preserve"> CRR</w:t>
            </w:r>
            <w:r w:rsidR="001E0C80" w:rsidRPr="00661595">
              <w:rPr>
                <w:rFonts w:ascii="Times New Roman" w:hAnsi="Times New Roman"/>
                <w:sz w:val="24"/>
              </w:rPr>
              <w:t>.</w:t>
            </w:r>
          </w:p>
          <w:p w:rsidR="00E026FB" w:rsidRPr="00661595" w:rsidRDefault="00E026FB" w:rsidP="00E10B85">
            <w:pPr>
              <w:spacing w:before="0" w:after="0"/>
              <w:jc w:val="left"/>
              <w:rPr>
                <w:rFonts w:ascii="Times New Roman" w:hAnsi="Times New Roman"/>
                <w:b/>
                <w:sz w:val="24"/>
                <w:u w:val="single"/>
              </w:rPr>
            </w:pPr>
          </w:p>
        </w:tc>
      </w:tr>
      <w:tr w:rsidR="00E026FB" w:rsidRPr="00661595" w:rsidTr="00E10B85">
        <w:tc>
          <w:tcPr>
            <w:tcW w:w="1568" w:type="dxa"/>
          </w:tcPr>
          <w:p w:rsidR="00E026FB" w:rsidRPr="00661595" w:rsidRDefault="00E026FB"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sz w:val="24"/>
              </w:rPr>
              <w:t>0710-0860</w:t>
            </w:r>
          </w:p>
        </w:tc>
        <w:tc>
          <w:tcPr>
            <w:tcW w:w="7436" w:type="dxa"/>
          </w:tcPr>
          <w:p w:rsidR="00E026FB" w:rsidRPr="00661595" w:rsidRDefault="00E026FB" w:rsidP="00E10B85">
            <w:pPr>
              <w:spacing w:before="0" w:after="0"/>
              <w:jc w:val="left"/>
              <w:rPr>
                <w:rFonts w:ascii="Times New Roman" w:hAnsi="Times New Roman"/>
                <w:b/>
                <w:sz w:val="24"/>
                <w:u w:val="single"/>
              </w:rPr>
            </w:pPr>
            <w:r w:rsidRPr="00661595">
              <w:rPr>
                <w:rFonts w:ascii="Times New Roman" w:hAnsi="Times New Roman"/>
                <w:b/>
                <w:sz w:val="24"/>
                <w:u w:val="single"/>
              </w:rPr>
              <w:t>RISK-WEIGHTED EXPOSURE AMOUNT</w:t>
            </w:r>
          </w:p>
          <w:p w:rsidR="00E026FB" w:rsidRPr="00661595" w:rsidRDefault="00E026FB" w:rsidP="00E10B85">
            <w:pPr>
              <w:spacing w:before="0" w:after="0"/>
              <w:jc w:val="left"/>
              <w:rPr>
                <w:rFonts w:ascii="Times New Roman" w:hAnsi="Times New Roman"/>
                <w:sz w:val="24"/>
              </w:rPr>
            </w:pPr>
          </w:p>
          <w:p w:rsidR="00E026FB" w:rsidRPr="00661595" w:rsidRDefault="00E026FB" w:rsidP="00E10B85">
            <w:pPr>
              <w:spacing w:before="0" w:after="0"/>
              <w:rPr>
                <w:rFonts w:ascii="Times New Roman" w:hAnsi="Times New Roman"/>
                <w:sz w:val="24"/>
              </w:rPr>
            </w:pPr>
            <w:r w:rsidRPr="00661595">
              <w:rPr>
                <w:rFonts w:ascii="Times New Roman" w:hAnsi="Times New Roman"/>
                <w:sz w:val="24"/>
              </w:rPr>
              <w:t xml:space="preserve">Total risk-weighted exposure amount calculated </w:t>
            </w:r>
            <w:r w:rsidR="00BB22D4" w:rsidRPr="00661595">
              <w:rPr>
                <w:rFonts w:ascii="Times New Roman" w:hAnsi="Times New Roman"/>
                <w:sz w:val="24"/>
              </w:rPr>
              <w:t>in accordance with</w:t>
            </w:r>
            <w:r w:rsidRPr="00661595">
              <w:rPr>
                <w:rFonts w:ascii="Times New Roman" w:hAnsi="Times New Roman"/>
                <w:sz w:val="24"/>
              </w:rPr>
              <w:t xml:space="preserve"> </w:t>
            </w:r>
            <w:r w:rsidR="001E0C80" w:rsidRPr="00661595">
              <w:rPr>
                <w:rFonts w:ascii="Times New Roman" w:hAnsi="Times New Roman"/>
                <w:sz w:val="24"/>
              </w:rPr>
              <w:t>Section</w:t>
            </w:r>
            <w:r w:rsidR="002409C1" w:rsidRPr="00661595">
              <w:rPr>
                <w:rFonts w:ascii="Times New Roman" w:hAnsi="Times New Roman"/>
                <w:sz w:val="24"/>
              </w:rPr>
              <w:t xml:space="preserve"> 3</w:t>
            </w:r>
            <w:r w:rsidR="001E0C80" w:rsidRPr="00661595">
              <w:rPr>
                <w:rFonts w:ascii="Times New Roman" w:hAnsi="Times New Roman"/>
                <w:sz w:val="24"/>
              </w:rPr>
              <w:t xml:space="preserve"> of Chapter 5 of Title II of </w:t>
            </w:r>
            <w:r w:rsidRPr="00661595">
              <w:rPr>
                <w:rFonts w:ascii="Times New Roman" w:hAnsi="Times New Roman"/>
                <w:sz w:val="24"/>
              </w:rPr>
              <w:t xml:space="preserve">Part Three </w:t>
            </w:r>
            <w:r w:rsidR="00C7103D" w:rsidRPr="00661595">
              <w:rPr>
                <w:rFonts w:ascii="Times New Roman" w:hAnsi="Times New Roman"/>
                <w:sz w:val="24"/>
              </w:rPr>
              <w:t>CRR</w:t>
            </w:r>
            <w:r w:rsidR="002409C1" w:rsidRPr="00661595">
              <w:rPr>
                <w:rFonts w:ascii="Times New Roman" w:hAnsi="Times New Roman"/>
                <w:sz w:val="24"/>
              </w:rPr>
              <w:t>,</w:t>
            </w:r>
            <w:r w:rsidRPr="00661595">
              <w:rPr>
                <w:rFonts w:ascii="Times New Roman" w:hAnsi="Times New Roman"/>
                <w:sz w:val="24"/>
              </w:rPr>
              <w:t xml:space="preserve"> prior to adjustments due to maturity mismatches or infringement of due diligence provisions, and excluding any risk weighted exposure amount corresponding to exposures redistributed via outflows to another template. </w:t>
            </w:r>
          </w:p>
          <w:p w:rsidR="00E026FB" w:rsidRPr="00661595" w:rsidRDefault="00E026FB" w:rsidP="00E10B85">
            <w:pPr>
              <w:spacing w:before="0" w:after="0"/>
              <w:rPr>
                <w:rFonts w:ascii="Times New Roman" w:hAnsi="Times New Roman"/>
                <w:sz w:val="24"/>
              </w:rPr>
            </w:pPr>
          </w:p>
        </w:tc>
      </w:tr>
      <w:tr w:rsidR="00E026FB" w:rsidRPr="00661595" w:rsidTr="00E10B85">
        <w:tc>
          <w:tcPr>
            <w:tcW w:w="1568" w:type="dxa"/>
          </w:tcPr>
          <w:p w:rsidR="00E026FB" w:rsidRPr="00661595" w:rsidRDefault="00E026FB" w:rsidP="00CF6F63">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08</w:t>
            </w:r>
            <w:r w:rsidR="00CF6F63" w:rsidRPr="00661595">
              <w:rPr>
                <w:rFonts w:ascii="Times New Roman" w:hAnsi="Times New Roman"/>
                <w:bCs/>
                <w:sz w:val="24"/>
                <w:lang w:eastAsia="nl-BE"/>
              </w:rPr>
              <w:t>4</w:t>
            </w:r>
            <w:r w:rsidRPr="00661595">
              <w:rPr>
                <w:rFonts w:ascii="Times New Roman" w:hAnsi="Times New Roman"/>
                <w:bCs/>
                <w:sz w:val="24"/>
                <w:lang w:eastAsia="nl-BE"/>
              </w:rPr>
              <w:t>0</w:t>
            </w:r>
          </w:p>
        </w:tc>
        <w:tc>
          <w:tcPr>
            <w:tcW w:w="7436" w:type="dxa"/>
          </w:tcPr>
          <w:p w:rsidR="00E026FB" w:rsidRPr="00661595" w:rsidRDefault="00E026FB" w:rsidP="00E10B85">
            <w:pPr>
              <w:spacing w:before="0" w:after="0"/>
              <w:jc w:val="left"/>
              <w:rPr>
                <w:rFonts w:ascii="Times New Roman" w:hAnsi="Times New Roman"/>
                <w:b/>
                <w:sz w:val="24"/>
                <w:u w:val="single"/>
              </w:rPr>
            </w:pPr>
            <w:r w:rsidRPr="00661595">
              <w:rPr>
                <w:rFonts w:ascii="Times New Roman" w:hAnsi="Times New Roman"/>
                <w:b/>
                <w:sz w:val="24"/>
                <w:u w:val="single"/>
              </w:rPr>
              <w:t>IAA: AVERAGE RISK WEIGHT</w:t>
            </w:r>
            <w:r w:rsidR="00CF6F63" w:rsidRPr="00661595">
              <w:rPr>
                <w:rFonts w:ascii="Times New Roman" w:hAnsi="Times New Roman"/>
                <w:b/>
                <w:sz w:val="24"/>
                <w:u w:val="single"/>
              </w:rPr>
              <w:t xml:space="preserve"> (%)</w:t>
            </w:r>
          </w:p>
          <w:p w:rsidR="00E026FB" w:rsidRPr="00661595" w:rsidRDefault="00E026FB" w:rsidP="00E10B85">
            <w:pPr>
              <w:spacing w:before="0" w:after="0"/>
              <w:rPr>
                <w:rFonts w:ascii="Times New Roman" w:hAnsi="Times New Roman"/>
                <w:sz w:val="24"/>
              </w:rPr>
            </w:pPr>
          </w:p>
          <w:p w:rsidR="00E026FB" w:rsidRPr="00661595" w:rsidRDefault="00E026FB" w:rsidP="00E10B85">
            <w:pPr>
              <w:spacing w:before="0" w:after="0"/>
              <w:jc w:val="left"/>
              <w:rPr>
                <w:rFonts w:ascii="Times New Roman" w:hAnsi="Times New Roman"/>
                <w:sz w:val="24"/>
              </w:rPr>
            </w:pPr>
            <w:r w:rsidRPr="00661595">
              <w:rPr>
                <w:rFonts w:ascii="Times New Roman" w:hAnsi="Times New Roman"/>
                <w:sz w:val="24"/>
              </w:rPr>
              <w:t>The exposure-weighted average risk weights of the securitisation positions shall be reported in this column.</w:t>
            </w:r>
          </w:p>
          <w:p w:rsidR="00E026FB" w:rsidRPr="00661595" w:rsidRDefault="00E026FB" w:rsidP="00E10B85">
            <w:pPr>
              <w:spacing w:before="0" w:after="0"/>
              <w:jc w:val="left"/>
              <w:rPr>
                <w:rFonts w:ascii="Times New Roman" w:hAnsi="Times New Roman"/>
                <w:sz w:val="24"/>
              </w:rPr>
            </w:pPr>
          </w:p>
        </w:tc>
      </w:tr>
      <w:tr w:rsidR="00E026FB" w:rsidRPr="00661595" w:rsidTr="00E10B85">
        <w:tc>
          <w:tcPr>
            <w:tcW w:w="1568" w:type="dxa"/>
          </w:tcPr>
          <w:p w:rsidR="00E026FB" w:rsidRPr="00661595" w:rsidRDefault="00E026FB" w:rsidP="00CF6F63">
            <w:pPr>
              <w:autoSpaceDE w:val="0"/>
              <w:autoSpaceDN w:val="0"/>
              <w:adjustRightInd w:val="0"/>
              <w:spacing w:before="0" w:after="0"/>
              <w:rPr>
                <w:rFonts w:ascii="Times New Roman" w:hAnsi="Times New Roman"/>
                <w:bCs/>
                <w:sz w:val="24"/>
                <w:lang w:eastAsia="nl-BE"/>
              </w:rPr>
            </w:pPr>
            <w:r w:rsidRPr="00661595">
              <w:rPr>
                <w:rFonts w:ascii="Times New Roman" w:hAnsi="Times New Roman"/>
                <w:sz w:val="24"/>
              </w:rPr>
              <w:t>08</w:t>
            </w:r>
            <w:r w:rsidR="00CF6F63" w:rsidRPr="00661595">
              <w:rPr>
                <w:rFonts w:ascii="Times New Roman" w:hAnsi="Times New Roman"/>
                <w:sz w:val="24"/>
              </w:rPr>
              <w:t>6</w:t>
            </w:r>
            <w:r w:rsidRPr="00661595">
              <w:rPr>
                <w:rFonts w:ascii="Times New Roman" w:hAnsi="Times New Roman"/>
                <w:sz w:val="24"/>
              </w:rPr>
              <w:t>0</w:t>
            </w:r>
          </w:p>
        </w:tc>
        <w:tc>
          <w:tcPr>
            <w:tcW w:w="7436" w:type="dxa"/>
          </w:tcPr>
          <w:p w:rsidR="00E026FB" w:rsidRPr="00661595" w:rsidRDefault="00E026FB" w:rsidP="00E10B85">
            <w:pPr>
              <w:spacing w:before="0" w:after="0"/>
              <w:rPr>
                <w:rFonts w:ascii="Times New Roman" w:hAnsi="Times New Roman"/>
                <w:b/>
                <w:sz w:val="24"/>
                <w:u w:val="single"/>
              </w:rPr>
            </w:pPr>
            <w:r w:rsidRPr="00661595">
              <w:rPr>
                <w:rFonts w:ascii="Times New Roman" w:hAnsi="Times New Roman"/>
                <w:b/>
                <w:sz w:val="24"/>
                <w:u w:val="single"/>
              </w:rPr>
              <w:t>RWEA OF WHICH: SYNTHETIC SECURITISATIONS</w:t>
            </w:r>
          </w:p>
          <w:p w:rsidR="00E026FB" w:rsidRPr="00661595" w:rsidRDefault="00E026FB" w:rsidP="00E10B85">
            <w:pPr>
              <w:spacing w:before="0" w:after="0"/>
              <w:jc w:val="left"/>
              <w:rPr>
                <w:rFonts w:ascii="Times New Roman" w:hAnsi="Times New Roman"/>
                <w:sz w:val="24"/>
              </w:rPr>
            </w:pPr>
          </w:p>
          <w:p w:rsidR="00E026FB" w:rsidRPr="00661595" w:rsidRDefault="00E026FB" w:rsidP="00E10B85">
            <w:pPr>
              <w:spacing w:before="0" w:after="0"/>
              <w:rPr>
                <w:rFonts w:ascii="Times New Roman" w:hAnsi="Times New Roman"/>
                <w:sz w:val="24"/>
                <w:lang w:eastAsia="es-ES_tradnl"/>
              </w:rPr>
            </w:pPr>
            <w:r w:rsidRPr="00661595">
              <w:rPr>
                <w:rFonts w:ascii="Times New Roman" w:hAnsi="Times New Roman"/>
                <w:sz w:val="24"/>
                <w:lang w:eastAsia="es-ES_tradnl"/>
              </w:rPr>
              <w:t>For synthetic securitisations with maturity mismatches, the amount to be reported in this column shall ignore any maturity mismatch.</w:t>
            </w:r>
          </w:p>
          <w:p w:rsidR="00E026FB" w:rsidRPr="00661595" w:rsidRDefault="00E026FB" w:rsidP="00E10B85">
            <w:pPr>
              <w:spacing w:before="0" w:after="0"/>
              <w:jc w:val="left"/>
              <w:rPr>
                <w:rFonts w:ascii="Times New Roman" w:hAnsi="Times New Roman"/>
                <w:sz w:val="24"/>
              </w:rPr>
            </w:pPr>
          </w:p>
        </w:tc>
      </w:tr>
      <w:tr w:rsidR="00E026FB" w:rsidRPr="00661595" w:rsidTr="00E10B85">
        <w:tc>
          <w:tcPr>
            <w:tcW w:w="1568" w:type="dxa"/>
          </w:tcPr>
          <w:p w:rsidR="00E026FB" w:rsidRPr="00661595" w:rsidRDefault="00E026FB"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0870</w:t>
            </w:r>
          </w:p>
        </w:tc>
        <w:tc>
          <w:tcPr>
            <w:tcW w:w="7436" w:type="dxa"/>
          </w:tcPr>
          <w:p w:rsidR="00E026FB" w:rsidRPr="00661595" w:rsidRDefault="00E026FB" w:rsidP="00E10B85">
            <w:pPr>
              <w:spacing w:before="0" w:after="0"/>
              <w:jc w:val="left"/>
              <w:rPr>
                <w:rFonts w:ascii="Times New Roman" w:hAnsi="Times New Roman"/>
                <w:b/>
                <w:sz w:val="24"/>
                <w:u w:val="single"/>
                <w:lang w:eastAsia="es-ES_tradnl"/>
              </w:rPr>
            </w:pPr>
            <w:r w:rsidRPr="00661595">
              <w:rPr>
                <w:rFonts w:ascii="Times New Roman" w:hAnsi="Times New Roman"/>
                <w:b/>
                <w:sz w:val="24"/>
                <w:u w:val="single"/>
                <w:lang w:eastAsia="es-ES_tradnl"/>
              </w:rPr>
              <w:t>ADJUSTMENT TO THE RISK-WEIGHTED EXPOSURE AMOUNT DUE TO MATURITY MISMATCHES</w:t>
            </w:r>
          </w:p>
          <w:p w:rsidR="00E026FB" w:rsidRPr="00661595" w:rsidRDefault="00E026FB" w:rsidP="00E10B85">
            <w:pPr>
              <w:spacing w:before="0" w:after="0"/>
              <w:jc w:val="left"/>
              <w:rPr>
                <w:rFonts w:ascii="Times New Roman" w:hAnsi="Times New Roman"/>
                <w:b/>
                <w:sz w:val="24"/>
                <w:u w:val="single"/>
                <w:lang w:eastAsia="es-ES_tradnl"/>
              </w:rPr>
            </w:pPr>
          </w:p>
          <w:p w:rsidR="00E026FB" w:rsidRPr="00661595" w:rsidRDefault="008F2C6B" w:rsidP="00E10B85">
            <w:pPr>
              <w:spacing w:before="0" w:after="0"/>
              <w:rPr>
                <w:rFonts w:ascii="Times New Roman" w:hAnsi="Times New Roman"/>
                <w:sz w:val="24"/>
                <w:lang w:eastAsia="es-ES_tradnl"/>
              </w:rPr>
            </w:pPr>
            <w:r w:rsidRPr="00661595">
              <w:rPr>
                <w:rFonts w:ascii="Times New Roman" w:hAnsi="Times New Roman"/>
                <w:sz w:val="24"/>
                <w:lang w:eastAsia="es-ES_tradnl"/>
              </w:rPr>
              <w:t>M</w:t>
            </w:r>
            <w:r w:rsidR="00E026FB" w:rsidRPr="00661595">
              <w:rPr>
                <w:rFonts w:ascii="Times New Roman" w:hAnsi="Times New Roman"/>
                <w:sz w:val="24"/>
                <w:lang w:eastAsia="es-ES_tradnl"/>
              </w:rPr>
              <w:t xml:space="preserve">aturity mismatches in synthetic securitisations RW*-RW(SP), </w:t>
            </w:r>
            <w:r w:rsidR="002409C1" w:rsidRPr="00661595">
              <w:rPr>
                <w:rFonts w:ascii="Times New Roman" w:hAnsi="Times New Roman"/>
                <w:sz w:val="24"/>
                <w:lang w:eastAsia="es-ES_tradnl"/>
              </w:rPr>
              <w:t>as calculated</w:t>
            </w:r>
            <w:r w:rsidR="00E026FB" w:rsidRPr="00661595">
              <w:rPr>
                <w:rFonts w:ascii="Times New Roman" w:hAnsi="Times New Roman"/>
                <w:sz w:val="24"/>
                <w:lang w:eastAsia="es-ES_tradnl"/>
              </w:rPr>
              <w:t xml:space="preserve"> in </w:t>
            </w:r>
            <w:r w:rsidR="002409C1" w:rsidRPr="00661595">
              <w:rPr>
                <w:rFonts w:ascii="Times New Roman" w:hAnsi="Times New Roman"/>
                <w:sz w:val="24"/>
                <w:lang w:eastAsia="es-ES_tradnl"/>
              </w:rPr>
              <w:t xml:space="preserve">accordance with </w:t>
            </w:r>
            <w:r w:rsidR="00E026FB" w:rsidRPr="00661595">
              <w:rPr>
                <w:rFonts w:ascii="Times New Roman" w:hAnsi="Times New Roman"/>
                <w:sz w:val="24"/>
                <w:lang w:eastAsia="es-ES_tradnl"/>
              </w:rPr>
              <w:t xml:space="preserve">Article 252 </w:t>
            </w:r>
            <w:r w:rsidR="00C7103D" w:rsidRPr="00661595">
              <w:rPr>
                <w:rFonts w:ascii="Times New Roman" w:hAnsi="Times New Roman"/>
                <w:sz w:val="24"/>
                <w:lang w:eastAsia="es-ES_tradnl"/>
              </w:rPr>
              <w:t>CRR</w:t>
            </w:r>
            <w:r w:rsidR="00E026FB" w:rsidRPr="00661595">
              <w:rPr>
                <w:rFonts w:ascii="Times New Roman" w:hAnsi="Times New Roman"/>
                <w:sz w:val="24"/>
                <w:lang w:eastAsia="es-ES_tradnl"/>
              </w:rPr>
              <w:t>, shall be included, except in the case of tranches subject to a risk weighting of 1</w:t>
            </w:r>
            <w:r w:rsidR="006A66C9" w:rsidRPr="00661595">
              <w:rPr>
                <w:rFonts w:ascii="Times New Roman" w:hAnsi="Times New Roman"/>
                <w:sz w:val="24"/>
                <w:lang w:eastAsia="es-ES_tradnl"/>
              </w:rPr>
              <w:t xml:space="preserve"> </w:t>
            </w:r>
            <w:r w:rsidR="00E026FB" w:rsidRPr="00661595">
              <w:rPr>
                <w:rFonts w:ascii="Times New Roman" w:hAnsi="Times New Roman"/>
                <w:sz w:val="24"/>
                <w:lang w:eastAsia="es-ES_tradnl"/>
              </w:rPr>
              <w:t xml:space="preserve">250% where the amount to be reported </w:t>
            </w:r>
            <w:r w:rsidR="009E42EE" w:rsidRPr="00661595">
              <w:rPr>
                <w:rFonts w:ascii="Times New Roman" w:hAnsi="Times New Roman"/>
                <w:sz w:val="24"/>
                <w:lang w:eastAsia="es-ES_tradnl"/>
              </w:rPr>
              <w:t>shall be</w:t>
            </w:r>
            <w:r w:rsidR="00E026FB" w:rsidRPr="00661595">
              <w:rPr>
                <w:rFonts w:ascii="Times New Roman" w:hAnsi="Times New Roman"/>
                <w:sz w:val="24"/>
                <w:lang w:eastAsia="es-ES_tradnl"/>
              </w:rPr>
              <w:t xml:space="preserve"> zero. RW(SP) </w:t>
            </w:r>
            <w:r w:rsidR="009E42EE" w:rsidRPr="00661595">
              <w:rPr>
                <w:rFonts w:ascii="Times New Roman" w:hAnsi="Times New Roman"/>
                <w:sz w:val="24"/>
                <w:lang w:eastAsia="es-ES_tradnl"/>
              </w:rPr>
              <w:t xml:space="preserve">shall </w:t>
            </w:r>
            <w:r w:rsidR="00E026FB" w:rsidRPr="00661595">
              <w:rPr>
                <w:rFonts w:ascii="Times New Roman" w:hAnsi="Times New Roman"/>
                <w:sz w:val="24"/>
                <w:lang w:eastAsia="es-ES_tradnl"/>
              </w:rPr>
              <w:t>not only include the risk weighted exposure amounts reported under column 0650</w:t>
            </w:r>
            <w:r w:rsidR="002409C1" w:rsidRPr="00661595">
              <w:rPr>
                <w:rFonts w:ascii="Times New Roman" w:hAnsi="Times New Roman"/>
                <w:sz w:val="24"/>
                <w:lang w:eastAsia="es-ES_tradnl"/>
              </w:rPr>
              <w:t>,</w:t>
            </w:r>
            <w:r w:rsidR="00E026FB" w:rsidRPr="00661595">
              <w:rPr>
                <w:rFonts w:ascii="Times New Roman" w:hAnsi="Times New Roman"/>
                <w:sz w:val="24"/>
                <w:lang w:eastAsia="es-ES_tradnl"/>
              </w:rPr>
              <w:t xml:space="preserve"> but also the risk weighted exposure amounts corresponding to exposures redistributed via outflows to other templates.</w:t>
            </w:r>
          </w:p>
          <w:p w:rsidR="00E026FB" w:rsidRPr="00661595" w:rsidRDefault="00E026FB" w:rsidP="00E10B85">
            <w:pPr>
              <w:spacing w:before="0" w:after="0"/>
              <w:rPr>
                <w:rFonts w:ascii="Times New Roman" w:hAnsi="Times New Roman"/>
                <w:sz w:val="24"/>
                <w:lang w:eastAsia="es-ES_tradnl"/>
              </w:rPr>
            </w:pPr>
          </w:p>
        </w:tc>
      </w:tr>
      <w:tr w:rsidR="00E026FB" w:rsidRPr="00661595" w:rsidTr="00E10B85">
        <w:tc>
          <w:tcPr>
            <w:tcW w:w="1568" w:type="dxa"/>
          </w:tcPr>
          <w:p w:rsidR="00E026FB" w:rsidRPr="00661595" w:rsidDel="002122FF" w:rsidRDefault="00E026FB"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0880</w:t>
            </w:r>
          </w:p>
        </w:tc>
        <w:tc>
          <w:tcPr>
            <w:tcW w:w="7436" w:type="dxa"/>
          </w:tcPr>
          <w:p w:rsidR="00E026FB" w:rsidRPr="00661595" w:rsidRDefault="00E026FB" w:rsidP="00E10B85">
            <w:pPr>
              <w:spacing w:before="0" w:after="0"/>
              <w:jc w:val="left"/>
              <w:rPr>
                <w:rFonts w:ascii="Times New Roman" w:hAnsi="Times New Roman"/>
                <w:b/>
                <w:sz w:val="24"/>
                <w:u w:val="single"/>
                <w:lang w:eastAsia="es-ES_tradnl"/>
              </w:rPr>
            </w:pPr>
            <w:r w:rsidRPr="00661595">
              <w:rPr>
                <w:rFonts w:ascii="Times New Roman" w:hAnsi="Times New Roman"/>
                <w:b/>
                <w:sz w:val="24"/>
                <w:u w:val="single"/>
                <w:lang w:eastAsia="es-ES_tradnl"/>
              </w:rPr>
              <w:t>OVERALL EFFECT (ADJUSTMENT) DUE TO INFRINGEMENT  OF CHAPTER 2 OF REGULATION (EU) 2017/2402</w:t>
            </w:r>
            <w:r w:rsidR="002409C1" w:rsidRPr="00661595">
              <w:rPr>
                <w:rStyle w:val="FootnoteReference"/>
                <w:rFonts w:ascii="Times New Roman" w:hAnsi="Times New Roman"/>
                <w:sz w:val="24"/>
                <w:szCs w:val="24"/>
                <w:vertAlign w:val="superscript"/>
                <w:lang w:eastAsia="es-ES_tradnl"/>
              </w:rPr>
              <w:footnoteReference w:id="11"/>
            </w:r>
          </w:p>
          <w:p w:rsidR="00E026FB" w:rsidRPr="00661595" w:rsidRDefault="00E026FB" w:rsidP="00E10B85">
            <w:pPr>
              <w:spacing w:before="0" w:after="0"/>
              <w:jc w:val="left"/>
              <w:rPr>
                <w:rFonts w:ascii="Times New Roman" w:hAnsi="Times New Roman"/>
                <w:sz w:val="24"/>
                <w:lang w:eastAsia="es-ES_tradnl"/>
              </w:rPr>
            </w:pPr>
          </w:p>
          <w:p w:rsidR="00E026FB" w:rsidRPr="00661595" w:rsidRDefault="00BB22D4" w:rsidP="00E10B85">
            <w:pPr>
              <w:spacing w:before="0" w:after="0"/>
              <w:jc w:val="left"/>
              <w:rPr>
                <w:rFonts w:ascii="Times New Roman" w:eastAsia="Arial" w:hAnsi="Times New Roman"/>
                <w:sz w:val="24"/>
                <w:lang w:eastAsia="en-GB"/>
              </w:rPr>
            </w:pPr>
            <w:r w:rsidRPr="00661595">
              <w:rPr>
                <w:rFonts w:ascii="Times New Roman" w:hAnsi="Times New Roman"/>
                <w:sz w:val="24"/>
                <w:lang w:eastAsia="es-ES_tradnl"/>
              </w:rPr>
              <w:t>In accordance with</w:t>
            </w:r>
            <w:r w:rsidR="008F2C6B" w:rsidRPr="00661595">
              <w:rPr>
                <w:rFonts w:ascii="Times New Roman" w:hAnsi="Times New Roman"/>
                <w:sz w:val="24"/>
                <w:lang w:eastAsia="es-ES_tradnl"/>
              </w:rPr>
              <w:t xml:space="preserve"> </w:t>
            </w:r>
            <w:r w:rsidR="00D21B29" w:rsidRPr="00661595">
              <w:rPr>
                <w:rFonts w:ascii="Times New Roman" w:hAnsi="Times New Roman"/>
                <w:sz w:val="24"/>
                <w:lang w:eastAsia="es-ES_tradnl"/>
              </w:rPr>
              <w:t>Article</w:t>
            </w:r>
            <w:r w:rsidR="00E026FB" w:rsidRPr="00661595">
              <w:rPr>
                <w:rFonts w:ascii="Times New Roman" w:hAnsi="Times New Roman"/>
                <w:sz w:val="24"/>
                <w:lang w:eastAsia="es-ES_tradnl"/>
              </w:rPr>
              <w:t xml:space="preserve"> 270a </w:t>
            </w:r>
            <w:r w:rsidR="00C7103D" w:rsidRPr="00661595">
              <w:rPr>
                <w:rFonts w:ascii="Times New Roman" w:hAnsi="Times New Roman"/>
                <w:sz w:val="24"/>
                <w:lang w:eastAsia="es-ES_tradnl"/>
              </w:rPr>
              <w:t>CRR</w:t>
            </w:r>
            <w:r w:rsidR="008F2C6B" w:rsidRPr="00661595">
              <w:rPr>
                <w:rFonts w:ascii="Times New Roman" w:hAnsi="Times New Roman"/>
                <w:sz w:val="24"/>
                <w:lang w:eastAsia="es-ES_tradnl"/>
              </w:rPr>
              <w:t>,</w:t>
            </w:r>
            <w:r w:rsidR="00E026FB" w:rsidRPr="00661595">
              <w:rPr>
                <w:rFonts w:ascii="Times New Roman" w:hAnsi="Times New Roman"/>
                <w:sz w:val="24"/>
                <w:lang w:eastAsia="es-ES_tradnl"/>
              </w:rPr>
              <w:t xml:space="preserve"> whenever certain requirements are not met by the institution, competent authorities </w:t>
            </w:r>
            <w:r w:rsidR="002409C1" w:rsidRPr="00661595">
              <w:rPr>
                <w:rFonts w:ascii="Times New Roman" w:hAnsi="Times New Roman"/>
                <w:sz w:val="24"/>
                <w:lang w:eastAsia="es-ES_tradnl"/>
              </w:rPr>
              <w:t xml:space="preserve">shall </w:t>
            </w:r>
            <w:r w:rsidR="00E026FB" w:rsidRPr="00661595">
              <w:rPr>
                <w:rFonts w:ascii="Times New Roman" w:hAnsi="Times New Roman"/>
                <w:sz w:val="24"/>
                <w:lang w:eastAsia="es-ES_tradnl"/>
              </w:rPr>
              <w:t>impose a proportionate additional risk weight of no less than 250% of the risk weight (capped at 1</w:t>
            </w:r>
            <w:r w:rsidR="006A66C9" w:rsidRPr="00661595">
              <w:rPr>
                <w:rFonts w:ascii="Times New Roman" w:hAnsi="Times New Roman"/>
                <w:sz w:val="24"/>
                <w:lang w:eastAsia="es-ES_tradnl"/>
              </w:rPr>
              <w:t xml:space="preserve"> </w:t>
            </w:r>
            <w:r w:rsidR="00E026FB" w:rsidRPr="00661595">
              <w:rPr>
                <w:rFonts w:ascii="Times New Roman" w:hAnsi="Times New Roman"/>
                <w:sz w:val="24"/>
                <w:lang w:eastAsia="es-ES_tradnl"/>
              </w:rPr>
              <w:t xml:space="preserve">250%) which would apply to the relevant securitisation positions under </w:t>
            </w:r>
            <w:r w:rsidR="002409C1" w:rsidRPr="00661595">
              <w:rPr>
                <w:rFonts w:ascii="Times New Roman" w:hAnsi="Times New Roman"/>
                <w:sz w:val="24"/>
              </w:rPr>
              <w:t xml:space="preserve">Section 3 of Chapter 5 of Title II of </w:t>
            </w:r>
            <w:r w:rsidR="00E026FB" w:rsidRPr="00661595">
              <w:rPr>
                <w:rFonts w:ascii="Times New Roman" w:hAnsi="Times New Roman"/>
                <w:sz w:val="24"/>
              </w:rPr>
              <w:t xml:space="preserve">Part Three </w:t>
            </w:r>
            <w:r w:rsidR="00C7103D" w:rsidRPr="00661595">
              <w:rPr>
                <w:rFonts w:ascii="Times New Roman" w:hAnsi="Times New Roman"/>
                <w:sz w:val="24"/>
              </w:rPr>
              <w:t>CRR</w:t>
            </w:r>
            <w:r w:rsidR="00E026FB" w:rsidRPr="00661595">
              <w:rPr>
                <w:rFonts w:ascii="Times New Roman" w:hAnsi="Times New Roman"/>
                <w:sz w:val="24"/>
                <w:lang w:eastAsia="es-ES_tradnl"/>
              </w:rPr>
              <w:t>.</w:t>
            </w:r>
            <w:r w:rsidR="00E026FB" w:rsidRPr="00661595">
              <w:rPr>
                <w:rFonts w:ascii="Times New Roman" w:eastAsia="Arial" w:hAnsi="Times New Roman"/>
                <w:sz w:val="24"/>
                <w:lang w:eastAsia="en-GB"/>
              </w:rPr>
              <w:t xml:space="preserve"> </w:t>
            </w:r>
          </w:p>
          <w:p w:rsidR="00E026FB" w:rsidRPr="00661595" w:rsidRDefault="00E026FB" w:rsidP="00E10B85">
            <w:pPr>
              <w:spacing w:before="0" w:after="0"/>
              <w:jc w:val="left"/>
              <w:rPr>
                <w:rFonts w:ascii="Times New Roman" w:hAnsi="Times New Roman"/>
                <w:b/>
                <w:sz w:val="24"/>
                <w:u w:val="single"/>
              </w:rPr>
            </w:pPr>
          </w:p>
        </w:tc>
      </w:tr>
      <w:tr w:rsidR="00E026FB" w:rsidRPr="00661595" w:rsidTr="00E10B85">
        <w:tc>
          <w:tcPr>
            <w:tcW w:w="1568" w:type="dxa"/>
          </w:tcPr>
          <w:p w:rsidR="00E026FB" w:rsidRPr="00661595" w:rsidRDefault="00E026FB"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0890</w:t>
            </w:r>
          </w:p>
        </w:tc>
        <w:tc>
          <w:tcPr>
            <w:tcW w:w="7436" w:type="dxa"/>
          </w:tcPr>
          <w:p w:rsidR="00E026FB" w:rsidRPr="00661595" w:rsidRDefault="00E026FB" w:rsidP="00E10B85">
            <w:pPr>
              <w:spacing w:before="0" w:after="0"/>
              <w:jc w:val="left"/>
              <w:rPr>
                <w:rFonts w:ascii="Times New Roman" w:hAnsi="Times New Roman"/>
                <w:b/>
                <w:sz w:val="24"/>
                <w:u w:val="single"/>
              </w:rPr>
            </w:pPr>
            <w:r w:rsidRPr="00661595">
              <w:rPr>
                <w:rFonts w:ascii="Times New Roman" w:hAnsi="Times New Roman"/>
                <w:b/>
                <w:sz w:val="24"/>
                <w:u w:val="single"/>
              </w:rPr>
              <w:t>BEFORE CAP</w:t>
            </w:r>
          </w:p>
          <w:p w:rsidR="00E026FB" w:rsidRPr="00661595" w:rsidRDefault="00E026FB" w:rsidP="00E10B85">
            <w:pPr>
              <w:spacing w:before="0" w:after="0"/>
              <w:jc w:val="left"/>
              <w:rPr>
                <w:rFonts w:ascii="Times New Roman" w:hAnsi="Times New Roman"/>
                <w:b/>
                <w:sz w:val="24"/>
                <w:u w:val="single"/>
                <w:lang w:eastAsia="es-ES_tradnl"/>
              </w:rPr>
            </w:pPr>
          </w:p>
          <w:p w:rsidR="00E026FB" w:rsidRPr="00661595" w:rsidRDefault="00E026FB" w:rsidP="00E10B85">
            <w:pPr>
              <w:spacing w:before="0" w:after="0"/>
              <w:jc w:val="left"/>
              <w:rPr>
                <w:rFonts w:ascii="Times New Roman" w:eastAsia="Arial" w:hAnsi="Times New Roman"/>
                <w:sz w:val="24"/>
                <w:lang w:eastAsia="en-GB"/>
              </w:rPr>
            </w:pPr>
            <w:r w:rsidRPr="00661595">
              <w:rPr>
                <w:rFonts w:ascii="Times New Roman" w:hAnsi="Times New Roman"/>
                <w:sz w:val="24"/>
                <w:lang w:eastAsia="es-ES_tradnl"/>
              </w:rPr>
              <w:t xml:space="preserve">Total risk-weighted exposure amount calculated </w:t>
            </w:r>
            <w:r w:rsidR="00BB22D4" w:rsidRPr="00661595">
              <w:rPr>
                <w:rFonts w:ascii="Times New Roman" w:hAnsi="Times New Roman"/>
                <w:sz w:val="24"/>
                <w:lang w:eastAsia="es-ES_tradnl"/>
              </w:rPr>
              <w:t>in accordance with</w:t>
            </w:r>
            <w:r w:rsidRPr="00661595">
              <w:rPr>
                <w:rFonts w:ascii="Times New Roman" w:hAnsi="Times New Roman"/>
                <w:sz w:val="24"/>
                <w:lang w:eastAsia="es-ES_tradnl"/>
              </w:rPr>
              <w:t xml:space="preserve"> </w:t>
            </w:r>
            <w:r w:rsidR="002409C1" w:rsidRPr="00661595">
              <w:rPr>
                <w:rFonts w:ascii="Times New Roman" w:hAnsi="Times New Roman"/>
                <w:sz w:val="24"/>
                <w:lang w:eastAsia="es-ES_tradnl"/>
              </w:rPr>
              <w:t xml:space="preserve">Section 3 of Chapter 5 of Title II of </w:t>
            </w:r>
            <w:r w:rsidRPr="00661595">
              <w:rPr>
                <w:rFonts w:ascii="Times New Roman" w:hAnsi="Times New Roman"/>
                <w:sz w:val="24"/>
                <w:lang w:eastAsia="es-ES_tradnl"/>
              </w:rPr>
              <w:t xml:space="preserve">Part Three  </w:t>
            </w:r>
            <w:r w:rsidR="00C7103D" w:rsidRPr="00661595">
              <w:rPr>
                <w:rFonts w:ascii="Times New Roman" w:hAnsi="Times New Roman"/>
                <w:sz w:val="24"/>
                <w:lang w:eastAsia="es-ES_tradnl"/>
              </w:rPr>
              <w:t>CRR</w:t>
            </w:r>
            <w:r w:rsidRPr="00661595">
              <w:rPr>
                <w:rFonts w:ascii="Times New Roman" w:hAnsi="Times New Roman"/>
                <w:sz w:val="24"/>
                <w:lang w:eastAsia="es-ES_tradnl"/>
              </w:rPr>
              <w:t xml:space="preserve">, before applying the limits specified in Articles 267 and 268 </w:t>
            </w:r>
            <w:r w:rsidR="00C7103D" w:rsidRPr="00661595">
              <w:rPr>
                <w:rFonts w:ascii="Times New Roman" w:hAnsi="Times New Roman"/>
                <w:sz w:val="24"/>
                <w:lang w:eastAsia="es-ES_tradnl"/>
              </w:rPr>
              <w:t>CRR</w:t>
            </w:r>
            <w:r w:rsidRPr="00661595">
              <w:rPr>
                <w:rFonts w:ascii="Times New Roman" w:hAnsi="Times New Roman"/>
                <w:sz w:val="24"/>
                <w:lang w:eastAsia="es-ES_tradnl"/>
              </w:rPr>
              <w:t xml:space="preserve">. </w:t>
            </w:r>
          </w:p>
          <w:p w:rsidR="00E026FB" w:rsidRPr="00661595" w:rsidRDefault="00E026FB" w:rsidP="00E10B85">
            <w:pPr>
              <w:spacing w:before="0" w:after="0"/>
              <w:jc w:val="left"/>
              <w:rPr>
                <w:rFonts w:ascii="Times New Roman" w:hAnsi="Times New Roman"/>
                <w:b/>
                <w:sz w:val="24"/>
                <w:u w:val="single"/>
                <w:lang w:eastAsia="es-ES_tradnl"/>
              </w:rPr>
            </w:pPr>
          </w:p>
        </w:tc>
      </w:tr>
      <w:tr w:rsidR="00E026FB" w:rsidRPr="00661595" w:rsidTr="00E10B85">
        <w:tc>
          <w:tcPr>
            <w:tcW w:w="1568" w:type="dxa"/>
          </w:tcPr>
          <w:p w:rsidR="00E026FB" w:rsidRPr="00661595" w:rsidRDefault="00E026FB"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0900</w:t>
            </w:r>
          </w:p>
        </w:tc>
        <w:tc>
          <w:tcPr>
            <w:tcW w:w="7436" w:type="dxa"/>
          </w:tcPr>
          <w:p w:rsidR="00E026FB" w:rsidRPr="00661595" w:rsidRDefault="00E026FB" w:rsidP="00E10B85">
            <w:pPr>
              <w:spacing w:before="0" w:after="0"/>
              <w:jc w:val="left"/>
              <w:rPr>
                <w:rFonts w:ascii="Times New Roman" w:hAnsi="Times New Roman"/>
                <w:b/>
                <w:sz w:val="24"/>
                <w:u w:val="single"/>
              </w:rPr>
            </w:pPr>
            <w:r w:rsidRPr="00661595">
              <w:rPr>
                <w:rFonts w:ascii="Times New Roman" w:hAnsi="Times New Roman"/>
                <w:b/>
                <w:sz w:val="24"/>
                <w:u w:val="single"/>
              </w:rPr>
              <w:t>(-) REDUCTION DUE TO RISK WEIGHT CAP</w:t>
            </w:r>
          </w:p>
          <w:p w:rsidR="00E026FB" w:rsidRPr="00661595" w:rsidRDefault="00E026FB" w:rsidP="00E10B85">
            <w:pPr>
              <w:spacing w:before="0" w:after="0"/>
              <w:jc w:val="left"/>
              <w:rPr>
                <w:rFonts w:ascii="Times New Roman" w:hAnsi="Times New Roman"/>
                <w:b/>
                <w:sz w:val="24"/>
                <w:u w:val="single"/>
              </w:rPr>
            </w:pPr>
          </w:p>
          <w:p w:rsidR="00E026FB" w:rsidRPr="00661595" w:rsidRDefault="00BB22D4" w:rsidP="00E10B85">
            <w:pPr>
              <w:spacing w:before="0" w:after="0"/>
              <w:jc w:val="left"/>
              <w:rPr>
                <w:rFonts w:ascii="Times New Roman" w:hAnsi="Times New Roman"/>
                <w:sz w:val="24"/>
                <w:lang w:eastAsia="es-ES_tradnl"/>
              </w:rPr>
            </w:pPr>
            <w:r w:rsidRPr="00661595">
              <w:rPr>
                <w:rFonts w:ascii="Times New Roman" w:hAnsi="Times New Roman"/>
                <w:sz w:val="24"/>
                <w:lang w:eastAsia="es-ES_tradnl"/>
              </w:rPr>
              <w:t>In accordance with</w:t>
            </w:r>
            <w:r w:rsidR="00ED1379" w:rsidRPr="00661595">
              <w:rPr>
                <w:rFonts w:ascii="Times New Roman" w:hAnsi="Times New Roman"/>
                <w:sz w:val="24"/>
                <w:lang w:eastAsia="es-ES_tradnl"/>
              </w:rPr>
              <w:t xml:space="preserve"> </w:t>
            </w:r>
            <w:r w:rsidR="00D21B29" w:rsidRPr="00661595">
              <w:rPr>
                <w:rFonts w:ascii="Times New Roman" w:hAnsi="Times New Roman"/>
                <w:sz w:val="24"/>
                <w:lang w:eastAsia="es-ES_tradnl"/>
              </w:rPr>
              <w:t>Article</w:t>
            </w:r>
            <w:r w:rsidR="00E026FB" w:rsidRPr="00661595">
              <w:rPr>
                <w:rFonts w:ascii="Times New Roman" w:hAnsi="Times New Roman"/>
                <w:sz w:val="24"/>
                <w:lang w:eastAsia="es-ES_tradnl"/>
              </w:rPr>
              <w:t xml:space="preserve"> 267 </w:t>
            </w:r>
            <w:r w:rsidR="00C7103D" w:rsidRPr="00661595">
              <w:rPr>
                <w:rFonts w:ascii="Times New Roman" w:hAnsi="Times New Roman"/>
                <w:sz w:val="24"/>
                <w:lang w:eastAsia="es-ES_tradnl"/>
              </w:rPr>
              <w:t>CRR</w:t>
            </w:r>
            <w:r w:rsidR="00ED1379" w:rsidRPr="00661595">
              <w:rPr>
                <w:rFonts w:ascii="Times New Roman" w:hAnsi="Times New Roman"/>
                <w:sz w:val="24"/>
                <w:lang w:eastAsia="es-ES_tradnl"/>
              </w:rPr>
              <w:t>,</w:t>
            </w:r>
            <w:r w:rsidR="00E026FB" w:rsidRPr="00661595">
              <w:rPr>
                <w:rFonts w:ascii="Times New Roman" w:hAnsi="Times New Roman"/>
                <w:sz w:val="24"/>
                <w:lang w:eastAsia="es-ES_tradnl"/>
              </w:rPr>
              <w:t xml:space="preserve"> an institution which has knowledge at all times of the composition of the underlying exposures may assign the senior securitisation position a maximum risk weight equal to the exposure-weighted-average risk weight that would be applicable to the underlying exposures as if the underlying exposures had not been securitised.</w:t>
            </w:r>
          </w:p>
          <w:p w:rsidR="00E026FB" w:rsidRPr="00661595" w:rsidRDefault="00E026FB" w:rsidP="00E10B85">
            <w:pPr>
              <w:spacing w:before="0" w:after="0"/>
              <w:jc w:val="left"/>
              <w:rPr>
                <w:rFonts w:ascii="Times New Roman" w:hAnsi="Times New Roman"/>
                <w:b/>
                <w:sz w:val="24"/>
                <w:u w:val="single"/>
              </w:rPr>
            </w:pPr>
          </w:p>
        </w:tc>
      </w:tr>
      <w:tr w:rsidR="00E026FB" w:rsidRPr="00661595" w:rsidTr="00E10B85">
        <w:tc>
          <w:tcPr>
            <w:tcW w:w="1568" w:type="dxa"/>
          </w:tcPr>
          <w:p w:rsidR="00E026FB" w:rsidRPr="00661595" w:rsidRDefault="00E026FB"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0910</w:t>
            </w:r>
          </w:p>
        </w:tc>
        <w:tc>
          <w:tcPr>
            <w:tcW w:w="7436" w:type="dxa"/>
          </w:tcPr>
          <w:p w:rsidR="00E026FB" w:rsidRPr="00661595" w:rsidRDefault="00E026FB" w:rsidP="00E10B85">
            <w:pPr>
              <w:spacing w:before="0" w:after="0"/>
              <w:jc w:val="left"/>
              <w:rPr>
                <w:rFonts w:ascii="Times New Roman" w:hAnsi="Times New Roman"/>
                <w:b/>
                <w:sz w:val="24"/>
                <w:u w:val="single"/>
              </w:rPr>
            </w:pPr>
            <w:r w:rsidRPr="00661595">
              <w:rPr>
                <w:rFonts w:ascii="Times New Roman" w:hAnsi="Times New Roman"/>
                <w:b/>
                <w:sz w:val="24"/>
                <w:u w:val="single"/>
              </w:rPr>
              <w:t>(-) REDUCTION DUE TO OVERALL CAP</w:t>
            </w:r>
          </w:p>
          <w:p w:rsidR="00E026FB" w:rsidRPr="00661595" w:rsidRDefault="00E026FB" w:rsidP="00E10B85">
            <w:pPr>
              <w:spacing w:before="0" w:after="0"/>
              <w:jc w:val="left"/>
              <w:rPr>
                <w:rFonts w:ascii="Times New Roman" w:hAnsi="Times New Roman"/>
                <w:b/>
                <w:sz w:val="24"/>
                <w:u w:val="single"/>
              </w:rPr>
            </w:pPr>
          </w:p>
          <w:p w:rsidR="00E026FB" w:rsidRPr="00661595" w:rsidRDefault="00BB22D4" w:rsidP="00E10B85">
            <w:pPr>
              <w:spacing w:before="0" w:after="0"/>
              <w:jc w:val="left"/>
              <w:rPr>
                <w:rFonts w:ascii="Times New Roman" w:hAnsi="Times New Roman"/>
                <w:sz w:val="24"/>
                <w:lang w:eastAsia="es-ES_tradnl"/>
              </w:rPr>
            </w:pPr>
            <w:r w:rsidRPr="00661595">
              <w:rPr>
                <w:rFonts w:ascii="Times New Roman" w:hAnsi="Times New Roman"/>
                <w:sz w:val="24"/>
                <w:lang w:eastAsia="es-ES_tradnl"/>
              </w:rPr>
              <w:t>In accordance with</w:t>
            </w:r>
            <w:r w:rsidR="00ED1379" w:rsidRPr="00661595">
              <w:rPr>
                <w:rFonts w:ascii="Times New Roman" w:hAnsi="Times New Roman"/>
                <w:sz w:val="24"/>
                <w:lang w:eastAsia="es-ES_tradnl"/>
              </w:rPr>
              <w:t xml:space="preserve"> </w:t>
            </w:r>
            <w:r w:rsidR="00D21B29" w:rsidRPr="00661595">
              <w:rPr>
                <w:rFonts w:ascii="Times New Roman" w:hAnsi="Times New Roman"/>
                <w:sz w:val="24"/>
                <w:lang w:eastAsia="es-ES_tradnl"/>
              </w:rPr>
              <w:t>Article</w:t>
            </w:r>
            <w:r w:rsidR="00E026FB" w:rsidRPr="00661595">
              <w:rPr>
                <w:rFonts w:ascii="Times New Roman" w:hAnsi="Times New Roman"/>
                <w:sz w:val="24"/>
                <w:lang w:eastAsia="es-ES_tradnl"/>
              </w:rPr>
              <w:t xml:space="preserve"> 268 </w:t>
            </w:r>
            <w:r w:rsidR="00C7103D" w:rsidRPr="00661595">
              <w:rPr>
                <w:rFonts w:ascii="Times New Roman" w:hAnsi="Times New Roman"/>
                <w:sz w:val="24"/>
                <w:lang w:eastAsia="es-ES_tradnl"/>
              </w:rPr>
              <w:t>CRR</w:t>
            </w:r>
            <w:r w:rsidR="00ED1379" w:rsidRPr="00661595">
              <w:rPr>
                <w:rFonts w:ascii="Times New Roman" w:hAnsi="Times New Roman"/>
                <w:sz w:val="24"/>
                <w:lang w:eastAsia="es-ES_tradnl"/>
              </w:rPr>
              <w:t>,</w:t>
            </w:r>
            <w:r w:rsidR="00E026FB" w:rsidRPr="00661595">
              <w:rPr>
                <w:rFonts w:ascii="Times New Roman" w:hAnsi="Times New Roman"/>
                <w:sz w:val="24"/>
                <w:lang w:eastAsia="es-ES_tradnl"/>
              </w:rPr>
              <w:t xml:space="preserve"> an originator institution, a sponsor institution or other institution using the SEC-IRBA or an originator institution or sponsor institution using the SEC-SA or the SEC-ERBA may apply a maximum capital requirement for the securitisation position it holds equal to the capital requirements that would be calculated under Chapter 2 or 3 </w:t>
            </w:r>
            <w:r w:rsidR="00A16FFF" w:rsidRPr="00661595">
              <w:rPr>
                <w:rFonts w:ascii="Times New Roman" w:hAnsi="Times New Roman"/>
                <w:sz w:val="24"/>
                <w:lang w:eastAsia="es-ES_tradnl"/>
              </w:rPr>
              <w:t xml:space="preserve">of Title II of Part Three </w:t>
            </w:r>
            <w:r w:rsidR="00712DE1" w:rsidRPr="00661595">
              <w:rPr>
                <w:rFonts w:ascii="Times New Roman" w:hAnsi="Times New Roman"/>
                <w:sz w:val="24"/>
                <w:lang w:eastAsia="es-ES_tradnl"/>
              </w:rPr>
              <w:t xml:space="preserve">CRR </w:t>
            </w:r>
            <w:r w:rsidR="00E026FB" w:rsidRPr="00661595">
              <w:rPr>
                <w:rFonts w:ascii="Times New Roman" w:hAnsi="Times New Roman"/>
                <w:sz w:val="24"/>
                <w:lang w:eastAsia="es-ES_tradnl"/>
              </w:rPr>
              <w:t>in respect of the underlying exposures had they not been securitised.</w:t>
            </w:r>
          </w:p>
          <w:p w:rsidR="00E026FB" w:rsidRPr="00661595" w:rsidRDefault="00E026FB" w:rsidP="00E10B85">
            <w:pPr>
              <w:spacing w:before="0" w:after="0"/>
              <w:jc w:val="left"/>
              <w:rPr>
                <w:rFonts w:ascii="Times New Roman" w:hAnsi="Times New Roman"/>
                <w:b/>
                <w:sz w:val="24"/>
                <w:u w:val="single"/>
              </w:rPr>
            </w:pPr>
          </w:p>
        </w:tc>
      </w:tr>
      <w:tr w:rsidR="00E026FB" w:rsidRPr="00661595" w:rsidTr="00E10B85">
        <w:tc>
          <w:tcPr>
            <w:tcW w:w="1568" w:type="dxa"/>
          </w:tcPr>
          <w:p w:rsidR="00E026FB" w:rsidRPr="00661595" w:rsidRDefault="00E026FB"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0920</w:t>
            </w:r>
          </w:p>
        </w:tc>
        <w:tc>
          <w:tcPr>
            <w:tcW w:w="7436" w:type="dxa"/>
          </w:tcPr>
          <w:p w:rsidR="00E026FB" w:rsidRPr="00661595" w:rsidRDefault="00E026FB" w:rsidP="00E10B85">
            <w:pPr>
              <w:spacing w:before="0" w:after="0"/>
              <w:jc w:val="left"/>
              <w:rPr>
                <w:rFonts w:ascii="Times New Roman" w:hAnsi="Times New Roman"/>
                <w:b/>
                <w:sz w:val="24"/>
                <w:u w:val="single"/>
              </w:rPr>
            </w:pPr>
            <w:r w:rsidRPr="00661595">
              <w:rPr>
                <w:rFonts w:ascii="Times New Roman" w:hAnsi="Times New Roman"/>
                <w:b/>
                <w:sz w:val="24"/>
                <w:u w:val="single"/>
              </w:rPr>
              <w:t>TOTAL RISK-WEIGHTED EXPOSURE AMOUNT</w:t>
            </w:r>
          </w:p>
          <w:p w:rsidR="00E026FB" w:rsidRPr="00661595" w:rsidRDefault="00E026FB" w:rsidP="00E10B85">
            <w:pPr>
              <w:spacing w:before="0" w:after="0"/>
              <w:jc w:val="left"/>
              <w:rPr>
                <w:rFonts w:ascii="Times New Roman" w:hAnsi="Times New Roman"/>
                <w:b/>
                <w:sz w:val="24"/>
                <w:u w:val="single"/>
              </w:rPr>
            </w:pPr>
          </w:p>
          <w:p w:rsidR="00E026FB" w:rsidRPr="00661595" w:rsidRDefault="00E026FB" w:rsidP="00E10B85">
            <w:pPr>
              <w:spacing w:before="0" w:after="0"/>
              <w:jc w:val="left"/>
              <w:rPr>
                <w:rFonts w:ascii="Times New Roman" w:hAnsi="Times New Roman"/>
                <w:b/>
                <w:sz w:val="24"/>
                <w:u w:val="single"/>
              </w:rPr>
            </w:pPr>
            <w:r w:rsidRPr="00661595">
              <w:rPr>
                <w:rFonts w:ascii="Times New Roman" w:hAnsi="Times New Roman"/>
                <w:sz w:val="24"/>
                <w:lang w:eastAsia="es-ES_tradnl"/>
              </w:rPr>
              <w:t xml:space="preserve">Total risk-weighted exposure amount calculated </w:t>
            </w:r>
            <w:r w:rsidR="00BB22D4" w:rsidRPr="00661595">
              <w:rPr>
                <w:rFonts w:ascii="Times New Roman" w:hAnsi="Times New Roman"/>
                <w:sz w:val="24"/>
                <w:lang w:eastAsia="es-ES_tradnl"/>
              </w:rPr>
              <w:t>in accordance with</w:t>
            </w:r>
            <w:r w:rsidRPr="00661595">
              <w:rPr>
                <w:rFonts w:ascii="Times New Roman" w:hAnsi="Times New Roman"/>
                <w:sz w:val="24"/>
                <w:lang w:eastAsia="es-ES_tradnl"/>
              </w:rPr>
              <w:t xml:space="preserve"> </w:t>
            </w:r>
            <w:r w:rsidR="002409C1" w:rsidRPr="00661595">
              <w:rPr>
                <w:rFonts w:ascii="Times New Roman" w:hAnsi="Times New Roman"/>
                <w:sz w:val="24"/>
                <w:lang w:eastAsia="es-ES_tradnl"/>
              </w:rPr>
              <w:t xml:space="preserve">Section 3 of Chapter 5 of Title II of </w:t>
            </w:r>
            <w:r w:rsidRPr="00661595">
              <w:rPr>
                <w:rFonts w:ascii="Times New Roman" w:hAnsi="Times New Roman"/>
                <w:sz w:val="24"/>
                <w:lang w:eastAsia="es-ES_tradnl"/>
              </w:rPr>
              <w:t xml:space="preserve">Part Three </w:t>
            </w:r>
            <w:r w:rsidR="00C7103D" w:rsidRPr="00661595">
              <w:rPr>
                <w:rFonts w:ascii="Times New Roman" w:hAnsi="Times New Roman"/>
                <w:sz w:val="24"/>
                <w:lang w:eastAsia="es-ES_tradnl"/>
              </w:rPr>
              <w:t>CRR</w:t>
            </w:r>
            <w:r w:rsidR="002409C1" w:rsidRPr="00661595">
              <w:rPr>
                <w:rFonts w:ascii="Times New Roman" w:hAnsi="Times New Roman"/>
                <w:sz w:val="24"/>
                <w:lang w:eastAsia="es-ES_tradnl"/>
              </w:rPr>
              <w:t>,</w:t>
            </w:r>
            <w:r w:rsidRPr="00661595">
              <w:rPr>
                <w:rFonts w:ascii="Times New Roman" w:hAnsi="Times New Roman"/>
                <w:sz w:val="24"/>
                <w:lang w:eastAsia="es-ES_tradnl"/>
              </w:rPr>
              <w:t xml:space="preserve"> </w:t>
            </w:r>
            <w:r w:rsidR="00654A02" w:rsidRPr="00661595">
              <w:rPr>
                <w:rFonts w:ascii="Times New Roman" w:hAnsi="Times New Roman"/>
                <w:sz w:val="24"/>
                <w:lang w:eastAsia="es-ES_tradnl"/>
              </w:rPr>
              <w:t xml:space="preserve">considering the total risk weight </w:t>
            </w:r>
            <w:r w:rsidRPr="00661595">
              <w:rPr>
                <w:rFonts w:ascii="Times New Roman" w:hAnsi="Times New Roman"/>
                <w:sz w:val="24"/>
                <w:lang w:eastAsia="es-ES_tradnl"/>
              </w:rPr>
              <w:t xml:space="preserve">as specified in Article 247(6) </w:t>
            </w:r>
            <w:r w:rsidR="00C7103D" w:rsidRPr="00661595">
              <w:rPr>
                <w:rFonts w:ascii="Times New Roman" w:hAnsi="Times New Roman"/>
                <w:sz w:val="24"/>
                <w:lang w:eastAsia="es-ES_tradnl"/>
              </w:rPr>
              <w:t>CRR</w:t>
            </w:r>
            <w:r w:rsidRPr="00661595">
              <w:rPr>
                <w:rFonts w:ascii="Times New Roman" w:hAnsi="Times New Roman"/>
                <w:sz w:val="24"/>
                <w:lang w:eastAsia="es-ES_tradnl"/>
              </w:rPr>
              <w:t>.</w:t>
            </w:r>
          </w:p>
          <w:p w:rsidR="00E026FB" w:rsidRPr="00661595" w:rsidRDefault="00E026FB" w:rsidP="00E10B85">
            <w:pPr>
              <w:spacing w:before="0" w:after="0"/>
              <w:jc w:val="left"/>
              <w:rPr>
                <w:rFonts w:ascii="Times New Roman" w:hAnsi="Times New Roman"/>
                <w:b/>
                <w:sz w:val="24"/>
                <w:u w:val="single"/>
                <w:lang w:eastAsia="es-ES_tradnl"/>
              </w:rPr>
            </w:pPr>
          </w:p>
        </w:tc>
      </w:tr>
      <w:tr w:rsidR="00E026FB" w:rsidRPr="00661595" w:rsidTr="00E10B85">
        <w:tc>
          <w:tcPr>
            <w:tcW w:w="1568" w:type="dxa"/>
          </w:tcPr>
          <w:p w:rsidR="00E026FB" w:rsidRPr="00661595" w:rsidRDefault="00E026FB"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0930</w:t>
            </w:r>
          </w:p>
        </w:tc>
        <w:tc>
          <w:tcPr>
            <w:tcW w:w="7436" w:type="dxa"/>
          </w:tcPr>
          <w:p w:rsidR="00E026FB" w:rsidRPr="00661595" w:rsidRDefault="00E026FB" w:rsidP="00E10B85">
            <w:pPr>
              <w:spacing w:before="0" w:after="0"/>
              <w:jc w:val="left"/>
              <w:rPr>
                <w:rFonts w:ascii="Times New Roman" w:hAnsi="Times New Roman"/>
                <w:b/>
                <w:sz w:val="24"/>
                <w:u w:val="single"/>
              </w:rPr>
            </w:pPr>
            <w:r w:rsidRPr="00661595">
              <w:rPr>
                <w:rFonts w:ascii="Times New Roman" w:hAnsi="Times New Roman"/>
                <w:b/>
                <w:sz w:val="24"/>
                <w:u w:val="single"/>
              </w:rPr>
              <w:t>MEMORANDUM ITEM: RISK WEIGHTED EXPOSURE AMOUNT CORRESPONDING TO THE OUTFLOWS FROM SECURITISATIONS TO OTHER EXPOSURE CLASSES</w:t>
            </w:r>
          </w:p>
          <w:p w:rsidR="00E026FB" w:rsidRPr="00661595" w:rsidRDefault="00E026FB" w:rsidP="00E10B85">
            <w:pPr>
              <w:spacing w:before="0" w:after="0"/>
              <w:jc w:val="left"/>
              <w:rPr>
                <w:rFonts w:ascii="Times New Roman" w:hAnsi="Times New Roman"/>
                <w:sz w:val="24"/>
              </w:rPr>
            </w:pPr>
          </w:p>
          <w:p w:rsidR="00E026FB" w:rsidRPr="00661595" w:rsidRDefault="00E026FB" w:rsidP="00E10B85">
            <w:pPr>
              <w:spacing w:before="0" w:after="0"/>
              <w:rPr>
                <w:rFonts w:ascii="Times New Roman" w:hAnsi="Times New Roman"/>
                <w:sz w:val="24"/>
              </w:rPr>
            </w:pPr>
            <w:r w:rsidRPr="00661595">
              <w:rPr>
                <w:rFonts w:ascii="Times New Roman" w:hAnsi="Times New Roman"/>
                <w:sz w:val="24"/>
              </w:rPr>
              <w:t>Risk weighted exposure amount stemming from exposures redistributed to the risk mitigant provider, and therefore computed in the corresponding template, that are considered in the computation of the cap for securitisation positions.</w:t>
            </w:r>
          </w:p>
          <w:p w:rsidR="00E026FB" w:rsidRPr="00661595" w:rsidRDefault="00E026FB" w:rsidP="00E10B85">
            <w:pPr>
              <w:spacing w:before="0" w:after="0"/>
              <w:jc w:val="left"/>
              <w:rPr>
                <w:rFonts w:ascii="Times New Roman" w:hAnsi="Times New Roman"/>
                <w:sz w:val="24"/>
              </w:rPr>
            </w:pPr>
          </w:p>
        </w:tc>
      </w:tr>
    </w:tbl>
    <w:p w:rsidR="00E026FB" w:rsidRPr="00661595" w:rsidRDefault="00E026FB" w:rsidP="00E026FB">
      <w:pPr>
        <w:spacing w:before="0" w:after="0"/>
        <w:rPr>
          <w:rFonts w:ascii="Times New Roman" w:hAnsi="Times New Roman"/>
          <w:sz w:val="24"/>
        </w:rPr>
      </w:pPr>
    </w:p>
    <w:p w:rsidR="00E026FB" w:rsidRPr="00661595" w:rsidRDefault="00E026FB" w:rsidP="00E026FB">
      <w:pPr>
        <w:spacing w:before="0" w:after="0"/>
        <w:rPr>
          <w:rFonts w:ascii="Times New Roman" w:hAnsi="Times New Roman"/>
          <w:sz w:val="24"/>
        </w:rPr>
      </w:pPr>
    </w:p>
    <w:p w:rsidR="00E026FB" w:rsidRPr="00661595" w:rsidRDefault="00D11E4C" w:rsidP="00487A02">
      <w:pPr>
        <w:pStyle w:val="InstructionsText2"/>
        <w:numPr>
          <w:ilvl w:val="0"/>
          <w:numId w:val="0"/>
        </w:numPr>
        <w:ind w:left="1353" w:hanging="360"/>
      </w:pPr>
      <w:fldSimple w:instr=" seq paragraphs ">
        <w:r w:rsidR="00771068">
          <w:rPr>
            <w:noProof/>
          </w:rPr>
          <w:t>109</w:t>
        </w:r>
      </w:fldSimple>
      <w:r w:rsidR="00E026FB" w:rsidRPr="00661595">
        <w:t>.</w:t>
      </w:r>
      <w:r w:rsidR="00E026FB" w:rsidRPr="00661595">
        <w:tab/>
      </w:r>
      <w:r w:rsidR="005C14B0" w:rsidRPr="00661595">
        <w:t xml:space="preserve"> </w:t>
      </w:r>
      <w:r w:rsidR="00E026FB" w:rsidRPr="00661595">
        <w:t>The template is divided into three major blocks of rows which gather data on the originated / sponsored / retained or purchased exposures by originators, investors and sponsors. For each of them, the information</w:t>
      </w:r>
      <w:r w:rsidR="009E42EE" w:rsidRPr="00661595">
        <w:t xml:space="preserve"> shall be</w:t>
      </w:r>
      <w:r w:rsidR="00E026FB" w:rsidRPr="00661595">
        <w:t xml:space="preserve"> broken down by on-balance sheet items and off-balance sheet items and derivatives, as well as if it is subject to differentiated capital treatment or not.</w:t>
      </w:r>
    </w:p>
    <w:p w:rsidR="00E026FB" w:rsidRPr="00661595" w:rsidRDefault="00D11E4C" w:rsidP="00487A02">
      <w:pPr>
        <w:pStyle w:val="InstructionsText2"/>
        <w:numPr>
          <w:ilvl w:val="0"/>
          <w:numId w:val="0"/>
        </w:numPr>
        <w:ind w:left="1353" w:hanging="360"/>
      </w:pPr>
      <w:fldSimple w:instr=" seq paragraphs ">
        <w:r w:rsidR="00771068">
          <w:rPr>
            <w:noProof/>
          </w:rPr>
          <w:t>110</w:t>
        </w:r>
      </w:fldSimple>
      <w:r w:rsidR="00E026FB" w:rsidRPr="00661595">
        <w:t>.</w:t>
      </w:r>
      <w:r w:rsidR="005C14B0" w:rsidRPr="00661595">
        <w:t xml:space="preserve"> </w:t>
      </w:r>
      <w:r w:rsidR="00E026FB" w:rsidRPr="00661595">
        <w:t xml:space="preserve">Positions treated </w:t>
      </w:r>
      <w:r w:rsidR="00BB22D4" w:rsidRPr="00661595">
        <w:t>in accordance with</w:t>
      </w:r>
      <w:r w:rsidR="00E026FB" w:rsidRPr="00661595">
        <w:t xml:space="preserve"> the SEC-ERBA and unrated positions (exposures at reporting date) </w:t>
      </w:r>
      <w:r w:rsidR="009E42EE" w:rsidRPr="00661595">
        <w:t>shall be</w:t>
      </w:r>
      <w:r w:rsidR="00E026FB" w:rsidRPr="00661595">
        <w:t xml:space="preserve"> broken down </w:t>
      </w:r>
      <w:r w:rsidR="00BB22D4" w:rsidRPr="00661595">
        <w:t>in accordance with</w:t>
      </w:r>
      <w:r w:rsidR="00E026FB" w:rsidRPr="00661595">
        <w:t xml:space="preserve"> the credit quality steps applied at inception (last block of rows). Originators, sponsors as well as investors shall report this information.</w:t>
      </w:r>
    </w:p>
    <w:p w:rsidR="00E026FB" w:rsidRPr="00661595" w:rsidRDefault="00E026FB" w:rsidP="00E026FB">
      <w:pPr>
        <w:spacing w:before="0" w:after="0"/>
        <w:rPr>
          <w:rFonts w:ascii="Times New Roman" w:hAnsi="Times New Roman"/>
          <w:sz w:val="24"/>
          <w:lang w:eastAsia="de-DE"/>
        </w:rPr>
      </w:pPr>
    </w:p>
    <w:tbl>
      <w:tblPr>
        <w:tblW w:w="9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6"/>
        <w:gridCol w:w="7889"/>
      </w:tblGrid>
      <w:tr w:rsidR="00E026FB" w:rsidRPr="00661595" w:rsidTr="00E10B85">
        <w:tc>
          <w:tcPr>
            <w:tcW w:w="9145" w:type="dxa"/>
            <w:gridSpan w:val="2"/>
            <w:shd w:val="clear" w:color="auto" w:fill="CCCCCC"/>
          </w:tcPr>
          <w:p w:rsidR="00E026FB" w:rsidRPr="00661595" w:rsidRDefault="00E026FB" w:rsidP="00E10B85">
            <w:pPr>
              <w:autoSpaceDE w:val="0"/>
              <w:autoSpaceDN w:val="0"/>
              <w:adjustRightInd w:val="0"/>
              <w:spacing w:before="0" w:after="0"/>
              <w:rPr>
                <w:rFonts w:ascii="Times New Roman" w:hAnsi="Times New Roman"/>
                <w:bCs/>
                <w:sz w:val="24"/>
                <w:lang w:eastAsia="nl-BE"/>
              </w:rPr>
            </w:pPr>
          </w:p>
          <w:p w:rsidR="00E026FB" w:rsidRPr="00661595" w:rsidRDefault="00E026FB" w:rsidP="00E10B85">
            <w:pPr>
              <w:autoSpaceDE w:val="0"/>
              <w:autoSpaceDN w:val="0"/>
              <w:adjustRightInd w:val="0"/>
              <w:spacing w:before="0" w:after="0"/>
              <w:rPr>
                <w:rFonts w:ascii="Times New Roman" w:hAnsi="Times New Roman"/>
                <w:b/>
                <w:bCs/>
                <w:sz w:val="24"/>
                <w:lang w:eastAsia="nl-BE"/>
              </w:rPr>
            </w:pPr>
            <w:r w:rsidRPr="00661595">
              <w:rPr>
                <w:rFonts w:ascii="Times New Roman" w:hAnsi="Times New Roman"/>
                <w:b/>
                <w:bCs/>
                <w:sz w:val="24"/>
                <w:lang w:eastAsia="nl-BE"/>
              </w:rPr>
              <w:t>Rows</w:t>
            </w:r>
          </w:p>
          <w:p w:rsidR="00E026FB" w:rsidRPr="00661595" w:rsidRDefault="00E026FB" w:rsidP="00E10B85">
            <w:pPr>
              <w:autoSpaceDE w:val="0"/>
              <w:autoSpaceDN w:val="0"/>
              <w:adjustRightInd w:val="0"/>
              <w:spacing w:before="0" w:after="0"/>
              <w:rPr>
                <w:rFonts w:ascii="Times New Roman" w:hAnsi="Times New Roman"/>
                <w:bCs/>
                <w:sz w:val="24"/>
                <w:lang w:eastAsia="nl-BE"/>
              </w:rPr>
            </w:pPr>
          </w:p>
        </w:tc>
      </w:tr>
      <w:tr w:rsidR="00E026FB" w:rsidRPr="00661595" w:rsidTr="00E10B85">
        <w:tc>
          <w:tcPr>
            <w:tcW w:w="1256" w:type="dxa"/>
          </w:tcPr>
          <w:p w:rsidR="00E026FB" w:rsidRPr="00661595" w:rsidRDefault="00E026FB"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0010</w:t>
            </w:r>
          </w:p>
        </w:tc>
        <w:tc>
          <w:tcPr>
            <w:tcW w:w="7889" w:type="dxa"/>
          </w:tcPr>
          <w:p w:rsidR="00E026FB" w:rsidRPr="00661595" w:rsidRDefault="00E026FB" w:rsidP="00E10B85">
            <w:pPr>
              <w:autoSpaceDE w:val="0"/>
              <w:autoSpaceDN w:val="0"/>
              <w:adjustRightInd w:val="0"/>
              <w:spacing w:before="0" w:after="0"/>
              <w:jc w:val="left"/>
              <w:rPr>
                <w:rFonts w:ascii="Times New Roman" w:hAnsi="Times New Roman"/>
                <w:b/>
                <w:sz w:val="24"/>
                <w:u w:val="single"/>
                <w:lang w:eastAsia="es-ES_tradnl"/>
              </w:rPr>
            </w:pPr>
            <w:r w:rsidRPr="00661595">
              <w:rPr>
                <w:rFonts w:ascii="Times New Roman" w:hAnsi="Times New Roman"/>
                <w:b/>
                <w:sz w:val="24"/>
                <w:u w:val="single"/>
                <w:lang w:eastAsia="es-ES_tradnl"/>
              </w:rPr>
              <w:t xml:space="preserve">TOTAL EXPOSURES </w:t>
            </w:r>
          </w:p>
          <w:p w:rsidR="00E026FB" w:rsidRPr="00661595" w:rsidRDefault="00E026FB" w:rsidP="00E10B85">
            <w:pPr>
              <w:autoSpaceDE w:val="0"/>
              <w:autoSpaceDN w:val="0"/>
              <w:adjustRightInd w:val="0"/>
              <w:spacing w:before="0" w:after="0"/>
              <w:jc w:val="left"/>
              <w:rPr>
                <w:rFonts w:ascii="Times New Roman" w:hAnsi="Times New Roman"/>
                <w:sz w:val="24"/>
                <w:lang w:eastAsia="es-ES_tradnl"/>
              </w:rPr>
            </w:pPr>
          </w:p>
          <w:p w:rsidR="00E026FB" w:rsidRPr="00661595" w:rsidRDefault="00E026FB" w:rsidP="00E10B85">
            <w:pPr>
              <w:autoSpaceDE w:val="0"/>
              <w:autoSpaceDN w:val="0"/>
              <w:adjustRightInd w:val="0"/>
              <w:spacing w:before="0" w:after="0"/>
              <w:rPr>
                <w:rFonts w:ascii="Times New Roman" w:hAnsi="Times New Roman"/>
                <w:sz w:val="24"/>
                <w:lang w:eastAsia="es-ES_tradnl"/>
              </w:rPr>
            </w:pPr>
            <w:r w:rsidRPr="00661595">
              <w:rPr>
                <w:rFonts w:ascii="Times New Roman" w:hAnsi="Times New Roman"/>
                <w:sz w:val="24"/>
                <w:lang w:eastAsia="es-ES_tradnl"/>
              </w:rPr>
              <w:t>Total exposures refer to the total amount of outstanding securitisations and re-securitisations. This row summarises all the information reported by originators, sponsors and investors in subsequent rows.</w:t>
            </w:r>
          </w:p>
          <w:p w:rsidR="00E026FB" w:rsidRPr="00661595" w:rsidRDefault="00E026FB" w:rsidP="00E10B85">
            <w:pPr>
              <w:autoSpaceDE w:val="0"/>
              <w:autoSpaceDN w:val="0"/>
              <w:adjustRightInd w:val="0"/>
              <w:spacing w:before="0" w:after="0"/>
              <w:rPr>
                <w:rFonts w:ascii="Times New Roman" w:hAnsi="Times New Roman"/>
                <w:b/>
                <w:bCs/>
                <w:sz w:val="24"/>
                <w:u w:val="single"/>
                <w:lang w:eastAsia="nl-BE"/>
              </w:rPr>
            </w:pPr>
          </w:p>
        </w:tc>
      </w:tr>
      <w:tr w:rsidR="00E026FB" w:rsidRPr="00661595" w:rsidTr="00E10B85">
        <w:tc>
          <w:tcPr>
            <w:tcW w:w="1256" w:type="dxa"/>
          </w:tcPr>
          <w:p w:rsidR="00E026FB" w:rsidRPr="00661595" w:rsidRDefault="00E026FB"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0020</w:t>
            </w:r>
          </w:p>
        </w:tc>
        <w:tc>
          <w:tcPr>
            <w:tcW w:w="7889" w:type="dxa"/>
          </w:tcPr>
          <w:p w:rsidR="00E026FB" w:rsidRPr="00661595" w:rsidRDefault="00E026FB" w:rsidP="00E10B85">
            <w:pPr>
              <w:autoSpaceDE w:val="0"/>
              <w:autoSpaceDN w:val="0"/>
              <w:adjustRightInd w:val="0"/>
              <w:spacing w:before="0" w:after="0"/>
              <w:jc w:val="left"/>
              <w:rPr>
                <w:rFonts w:ascii="Times New Roman" w:hAnsi="Times New Roman"/>
                <w:b/>
                <w:sz w:val="24"/>
                <w:u w:val="single"/>
                <w:lang w:eastAsia="es-ES_tradnl"/>
              </w:rPr>
            </w:pPr>
            <w:r w:rsidRPr="00661595">
              <w:rPr>
                <w:rFonts w:ascii="Times New Roman" w:hAnsi="Times New Roman"/>
                <w:b/>
                <w:sz w:val="24"/>
                <w:u w:val="single"/>
                <w:lang w:eastAsia="es-ES_tradnl"/>
              </w:rPr>
              <w:t>SECURITISATION</w:t>
            </w:r>
            <w:r w:rsidR="006259C7" w:rsidRPr="00661595">
              <w:rPr>
                <w:rFonts w:ascii="Times New Roman" w:hAnsi="Times New Roman"/>
                <w:b/>
                <w:sz w:val="24"/>
                <w:u w:val="single"/>
                <w:lang w:eastAsia="es-ES_tradnl"/>
              </w:rPr>
              <w:t xml:space="preserve"> POSITIONS</w:t>
            </w:r>
          </w:p>
          <w:p w:rsidR="00E026FB" w:rsidRPr="00661595" w:rsidRDefault="00E026FB" w:rsidP="00E10B85">
            <w:pPr>
              <w:autoSpaceDE w:val="0"/>
              <w:autoSpaceDN w:val="0"/>
              <w:adjustRightInd w:val="0"/>
              <w:spacing w:before="0" w:after="0"/>
              <w:jc w:val="left"/>
              <w:rPr>
                <w:rFonts w:ascii="Times New Roman" w:hAnsi="Times New Roman"/>
                <w:b/>
                <w:sz w:val="24"/>
                <w:u w:val="single"/>
                <w:lang w:eastAsia="es-ES_tradnl"/>
              </w:rPr>
            </w:pPr>
          </w:p>
          <w:p w:rsidR="00E026FB" w:rsidRPr="00661595" w:rsidRDefault="00E026FB" w:rsidP="00E10B85">
            <w:pPr>
              <w:autoSpaceDE w:val="0"/>
              <w:autoSpaceDN w:val="0"/>
              <w:adjustRightInd w:val="0"/>
              <w:spacing w:before="0" w:after="0"/>
              <w:jc w:val="left"/>
              <w:rPr>
                <w:rFonts w:ascii="Times New Roman" w:hAnsi="Times New Roman"/>
                <w:sz w:val="24"/>
                <w:lang w:eastAsia="es-ES_tradnl"/>
              </w:rPr>
            </w:pPr>
            <w:r w:rsidRPr="00661595">
              <w:rPr>
                <w:rFonts w:ascii="Times New Roman" w:hAnsi="Times New Roman"/>
                <w:sz w:val="24"/>
                <w:lang w:eastAsia="es-ES_tradnl"/>
              </w:rPr>
              <w:t>Total amount of outstanding securitisation positions</w:t>
            </w:r>
            <w:r w:rsidR="002409C1" w:rsidRPr="00661595">
              <w:rPr>
                <w:rFonts w:ascii="Times New Roman" w:hAnsi="Times New Roman"/>
                <w:sz w:val="24"/>
                <w:lang w:eastAsia="es-ES_tradnl"/>
              </w:rPr>
              <w:t xml:space="preserve">, as defined </w:t>
            </w:r>
            <w:r w:rsidRPr="00661595">
              <w:rPr>
                <w:rFonts w:ascii="Times New Roman" w:hAnsi="Times New Roman"/>
                <w:sz w:val="24"/>
                <w:lang w:eastAsia="es-ES_tradnl"/>
              </w:rPr>
              <w:t>in</w:t>
            </w:r>
            <w:r w:rsidR="00F57A08" w:rsidRPr="00661595">
              <w:rPr>
                <w:rFonts w:ascii="Times New Roman" w:hAnsi="Times New Roman"/>
                <w:sz w:val="24"/>
                <w:lang w:eastAsia="es-ES_tradnl"/>
              </w:rPr>
              <w:t xml:space="preserve"> point (62) of</w:t>
            </w:r>
            <w:r w:rsidRPr="00661595">
              <w:rPr>
                <w:rFonts w:ascii="Times New Roman" w:hAnsi="Times New Roman"/>
                <w:sz w:val="24"/>
                <w:lang w:eastAsia="es-ES_tradnl"/>
              </w:rPr>
              <w:t xml:space="preserve"> Article 4(1) </w:t>
            </w:r>
            <w:r w:rsidR="00C7103D" w:rsidRPr="00661595">
              <w:rPr>
                <w:rFonts w:ascii="Times New Roman" w:hAnsi="Times New Roman"/>
                <w:sz w:val="24"/>
                <w:lang w:eastAsia="es-ES_tradnl"/>
              </w:rPr>
              <w:t>CRR</w:t>
            </w:r>
            <w:r w:rsidR="002409C1" w:rsidRPr="00661595">
              <w:rPr>
                <w:rFonts w:ascii="Times New Roman" w:hAnsi="Times New Roman"/>
                <w:sz w:val="24"/>
                <w:lang w:eastAsia="es-ES_tradnl"/>
              </w:rPr>
              <w:t>,</w:t>
            </w:r>
            <w:r w:rsidRPr="00661595">
              <w:rPr>
                <w:rFonts w:ascii="Times New Roman" w:hAnsi="Times New Roman"/>
                <w:sz w:val="24"/>
                <w:lang w:eastAsia="es-ES_tradnl"/>
              </w:rPr>
              <w:t xml:space="preserve"> which are not re-securitisations </w:t>
            </w:r>
            <w:r w:rsidR="002409C1" w:rsidRPr="00661595">
              <w:rPr>
                <w:rFonts w:ascii="Times New Roman" w:hAnsi="Times New Roman"/>
                <w:sz w:val="24"/>
                <w:lang w:eastAsia="es-ES_tradnl"/>
              </w:rPr>
              <w:t xml:space="preserve">as defined </w:t>
            </w:r>
            <w:r w:rsidRPr="00661595">
              <w:rPr>
                <w:rFonts w:ascii="Times New Roman" w:hAnsi="Times New Roman"/>
                <w:sz w:val="24"/>
                <w:lang w:eastAsia="es-ES_tradnl"/>
              </w:rPr>
              <w:t xml:space="preserve">in </w:t>
            </w:r>
            <w:r w:rsidR="00F57A08" w:rsidRPr="00661595">
              <w:rPr>
                <w:rFonts w:ascii="Times New Roman" w:hAnsi="Times New Roman"/>
                <w:sz w:val="24"/>
                <w:lang w:eastAsia="es-ES_tradnl"/>
              </w:rPr>
              <w:t xml:space="preserve">point (63) of </w:t>
            </w:r>
            <w:r w:rsidRPr="00661595">
              <w:rPr>
                <w:rFonts w:ascii="Times New Roman" w:hAnsi="Times New Roman"/>
                <w:sz w:val="24"/>
                <w:lang w:eastAsia="es-ES_tradnl"/>
              </w:rPr>
              <w:t>Article</w:t>
            </w:r>
            <w:r w:rsidR="002409C1" w:rsidRPr="00661595">
              <w:rPr>
                <w:rFonts w:ascii="Times New Roman" w:hAnsi="Times New Roman"/>
                <w:sz w:val="24"/>
                <w:lang w:eastAsia="es-ES_tradnl"/>
              </w:rPr>
              <w:t> </w:t>
            </w:r>
            <w:r w:rsidRPr="00661595">
              <w:rPr>
                <w:rFonts w:ascii="Times New Roman" w:hAnsi="Times New Roman"/>
                <w:sz w:val="24"/>
                <w:lang w:eastAsia="es-ES_tradnl"/>
              </w:rPr>
              <w:t xml:space="preserve">4(1) </w:t>
            </w:r>
            <w:r w:rsidR="00C7103D" w:rsidRPr="00661595">
              <w:rPr>
                <w:rFonts w:ascii="Times New Roman" w:hAnsi="Times New Roman"/>
                <w:sz w:val="24"/>
                <w:lang w:eastAsia="es-ES_tradnl"/>
              </w:rPr>
              <w:t>CRR</w:t>
            </w:r>
            <w:r w:rsidRPr="00661595">
              <w:rPr>
                <w:rFonts w:ascii="Times New Roman" w:hAnsi="Times New Roman"/>
                <w:sz w:val="24"/>
                <w:lang w:eastAsia="es-ES_tradnl"/>
              </w:rPr>
              <w:t>.</w:t>
            </w:r>
          </w:p>
          <w:p w:rsidR="00E026FB" w:rsidRPr="00661595" w:rsidDel="002866DB" w:rsidRDefault="00E026FB" w:rsidP="00E10B85">
            <w:pPr>
              <w:autoSpaceDE w:val="0"/>
              <w:autoSpaceDN w:val="0"/>
              <w:adjustRightInd w:val="0"/>
              <w:spacing w:before="0" w:after="0"/>
              <w:jc w:val="left"/>
              <w:rPr>
                <w:rFonts w:ascii="Times New Roman" w:hAnsi="Times New Roman"/>
                <w:b/>
                <w:sz w:val="24"/>
                <w:u w:val="single"/>
                <w:lang w:eastAsia="es-ES_tradnl"/>
              </w:rPr>
            </w:pPr>
          </w:p>
        </w:tc>
      </w:tr>
      <w:tr w:rsidR="00E026FB" w:rsidRPr="00661595" w:rsidTr="00E10B85">
        <w:tc>
          <w:tcPr>
            <w:tcW w:w="1256" w:type="dxa"/>
          </w:tcPr>
          <w:p w:rsidR="00E026FB" w:rsidRPr="00661595" w:rsidRDefault="00E026FB"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0030</w:t>
            </w:r>
          </w:p>
        </w:tc>
        <w:tc>
          <w:tcPr>
            <w:tcW w:w="7889" w:type="dxa"/>
          </w:tcPr>
          <w:p w:rsidR="00E026FB" w:rsidRPr="00661595" w:rsidRDefault="00E026FB" w:rsidP="00E10B85">
            <w:pPr>
              <w:autoSpaceDE w:val="0"/>
              <w:autoSpaceDN w:val="0"/>
              <w:adjustRightInd w:val="0"/>
              <w:spacing w:before="0" w:after="0"/>
              <w:jc w:val="left"/>
              <w:rPr>
                <w:rFonts w:ascii="Times New Roman" w:hAnsi="Times New Roman"/>
                <w:b/>
                <w:sz w:val="24"/>
                <w:u w:val="single"/>
                <w:lang w:eastAsia="es-ES_tradnl"/>
              </w:rPr>
            </w:pPr>
            <w:r w:rsidRPr="00661595">
              <w:rPr>
                <w:rFonts w:ascii="Times New Roman" w:hAnsi="Times New Roman"/>
                <w:b/>
                <w:sz w:val="24"/>
                <w:u w:val="single"/>
                <w:lang w:eastAsia="es-ES_tradnl"/>
              </w:rPr>
              <w:t>QUALIFYING FOR DIFFERENTIATED CAPITAL TREATMENT</w:t>
            </w:r>
          </w:p>
          <w:p w:rsidR="00E026FB" w:rsidRPr="00661595" w:rsidRDefault="00E026FB" w:rsidP="00E10B85">
            <w:pPr>
              <w:autoSpaceDE w:val="0"/>
              <w:autoSpaceDN w:val="0"/>
              <w:adjustRightInd w:val="0"/>
              <w:spacing w:before="0" w:after="0"/>
              <w:jc w:val="left"/>
              <w:rPr>
                <w:rFonts w:ascii="Times New Roman" w:hAnsi="Times New Roman"/>
                <w:b/>
                <w:sz w:val="24"/>
                <w:u w:val="single"/>
                <w:lang w:eastAsia="es-ES_tradnl"/>
              </w:rPr>
            </w:pPr>
          </w:p>
          <w:p w:rsidR="00E026FB" w:rsidRPr="00661595" w:rsidRDefault="00E026FB" w:rsidP="00E10B85">
            <w:pPr>
              <w:autoSpaceDE w:val="0"/>
              <w:autoSpaceDN w:val="0"/>
              <w:adjustRightInd w:val="0"/>
              <w:spacing w:before="0" w:after="0"/>
              <w:jc w:val="left"/>
              <w:rPr>
                <w:rFonts w:ascii="Times New Roman" w:hAnsi="Times New Roman"/>
                <w:sz w:val="24"/>
                <w:lang w:eastAsia="es-ES_tradnl"/>
              </w:rPr>
            </w:pPr>
            <w:r w:rsidRPr="00661595">
              <w:rPr>
                <w:rFonts w:ascii="Times New Roman" w:hAnsi="Times New Roman"/>
                <w:sz w:val="24"/>
                <w:lang w:eastAsia="es-ES_tradnl"/>
              </w:rPr>
              <w:t>Total amount of securit</w:t>
            </w:r>
            <w:r w:rsidR="009E42EE" w:rsidRPr="00661595">
              <w:rPr>
                <w:rFonts w:ascii="Times New Roman" w:hAnsi="Times New Roman"/>
                <w:sz w:val="24"/>
                <w:lang w:eastAsia="es-ES_tradnl"/>
              </w:rPr>
              <w:t>i</w:t>
            </w:r>
            <w:r w:rsidRPr="00661595">
              <w:rPr>
                <w:rFonts w:ascii="Times New Roman" w:hAnsi="Times New Roman"/>
                <w:sz w:val="24"/>
                <w:lang w:eastAsia="es-ES_tradnl"/>
              </w:rPr>
              <w:t xml:space="preserve">sation positions which fulfil the criteria of Article 243 or 270 </w:t>
            </w:r>
            <w:r w:rsidR="00C7103D" w:rsidRPr="00661595">
              <w:rPr>
                <w:rFonts w:ascii="Times New Roman" w:hAnsi="Times New Roman"/>
                <w:sz w:val="24"/>
                <w:lang w:eastAsia="es-ES_tradnl"/>
              </w:rPr>
              <w:t>CRR</w:t>
            </w:r>
            <w:r w:rsidRPr="00661595">
              <w:rPr>
                <w:rFonts w:ascii="Times New Roman" w:hAnsi="Times New Roman"/>
                <w:sz w:val="24"/>
                <w:lang w:eastAsia="es-ES_tradnl"/>
              </w:rPr>
              <w:t xml:space="preserve"> and therefore qualify for differentiated capital treatment.</w:t>
            </w:r>
          </w:p>
          <w:p w:rsidR="00E026FB" w:rsidRPr="00661595" w:rsidDel="002866DB" w:rsidRDefault="00E026FB" w:rsidP="00E10B85">
            <w:pPr>
              <w:autoSpaceDE w:val="0"/>
              <w:autoSpaceDN w:val="0"/>
              <w:adjustRightInd w:val="0"/>
              <w:spacing w:before="0" w:after="0"/>
              <w:jc w:val="left"/>
              <w:rPr>
                <w:rFonts w:ascii="Times New Roman" w:hAnsi="Times New Roman"/>
                <w:b/>
                <w:sz w:val="24"/>
                <w:u w:val="single"/>
                <w:lang w:eastAsia="es-ES_tradnl"/>
              </w:rPr>
            </w:pPr>
          </w:p>
        </w:tc>
      </w:tr>
      <w:tr w:rsidR="00E026FB" w:rsidRPr="00661595" w:rsidTr="00E10B85">
        <w:tc>
          <w:tcPr>
            <w:tcW w:w="1256" w:type="dxa"/>
          </w:tcPr>
          <w:p w:rsidR="00E026FB" w:rsidRPr="00661595" w:rsidRDefault="00E026FB"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0040</w:t>
            </w:r>
          </w:p>
        </w:tc>
        <w:tc>
          <w:tcPr>
            <w:tcW w:w="7889" w:type="dxa"/>
          </w:tcPr>
          <w:p w:rsidR="00E026FB" w:rsidRPr="00661595" w:rsidRDefault="00E026FB" w:rsidP="00E10B85">
            <w:pPr>
              <w:autoSpaceDE w:val="0"/>
              <w:autoSpaceDN w:val="0"/>
              <w:adjustRightInd w:val="0"/>
              <w:spacing w:before="0" w:after="0"/>
              <w:jc w:val="left"/>
              <w:rPr>
                <w:rFonts w:ascii="Times New Roman" w:hAnsi="Times New Roman"/>
                <w:b/>
                <w:sz w:val="24"/>
                <w:u w:val="single"/>
                <w:lang w:eastAsia="es-ES_tradnl"/>
              </w:rPr>
            </w:pPr>
            <w:r w:rsidRPr="00661595">
              <w:rPr>
                <w:rFonts w:ascii="Times New Roman" w:hAnsi="Times New Roman"/>
                <w:b/>
                <w:sz w:val="24"/>
                <w:u w:val="single"/>
                <w:lang w:eastAsia="es-ES_tradnl"/>
              </w:rPr>
              <w:t xml:space="preserve">STS EXPOSURES </w:t>
            </w:r>
          </w:p>
          <w:p w:rsidR="00E026FB" w:rsidRPr="00661595" w:rsidRDefault="00E026FB" w:rsidP="00E10B85">
            <w:pPr>
              <w:autoSpaceDE w:val="0"/>
              <w:autoSpaceDN w:val="0"/>
              <w:adjustRightInd w:val="0"/>
              <w:spacing w:before="0" w:after="0"/>
              <w:jc w:val="left"/>
              <w:rPr>
                <w:rFonts w:ascii="Times New Roman" w:hAnsi="Times New Roman"/>
                <w:b/>
                <w:sz w:val="24"/>
                <w:u w:val="single"/>
                <w:lang w:eastAsia="es-ES_tradnl"/>
              </w:rPr>
            </w:pPr>
          </w:p>
          <w:p w:rsidR="00E026FB" w:rsidRPr="00661595" w:rsidRDefault="00E026FB" w:rsidP="00E10B85">
            <w:pPr>
              <w:autoSpaceDE w:val="0"/>
              <w:autoSpaceDN w:val="0"/>
              <w:adjustRightInd w:val="0"/>
              <w:spacing w:before="0" w:after="0"/>
              <w:jc w:val="left"/>
              <w:rPr>
                <w:rFonts w:ascii="Times New Roman" w:hAnsi="Times New Roman"/>
                <w:sz w:val="24"/>
                <w:lang w:eastAsia="es-ES_tradnl"/>
              </w:rPr>
            </w:pPr>
            <w:r w:rsidRPr="00661595">
              <w:rPr>
                <w:rFonts w:ascii="Times New Roman" w:hAnsi="Times New Roman"/>
                <w:sz w:val="24"/>
                <w:lang w:eastAsia="es-ES_tradnl"/>
              </w:rPr>
              <w:t>Total amount of STS securit</w:t>
            </w:r>
            <w:r w:rsidR="009E42EE" w:rsidRPr="00661595">
              <w:rPr>
                <w:rFonts w:ascii="Times New Roman" w:hAnsi="Times New Roman"/>
                <w:sz w:val="24"/>
                <w:lang w:eastAsia="es-ES_tradnl"/>
              </w:rPr>
              <w:t>i</w:t>
            </w:r>
            <w:r w:rsidRPr="00661595">
              <w:rPr>
                <w:rFonts w:ascii="Times New Roman" w:hAnsi="Times New Roman"/>
                <w:sz w:val="24"/>
                <w:lang w:eastAsia="es-ES_tradnl"/>
              </w:rPr>
              <w:t xml:space="preserve">sation positions </w:t>
            </w:r>
            <w:r w:rsidR="00A16FFF" w:rsidRPr="00661595">
              <w:rPr>
                <w:rFonts w:ascii="Times New Roman" w:hAnsi="Times New Roman"/>
                <w:sz w:val="24"/>
                <w:lang w:eastAsia="es-ES_tradnl"/>
              </w:rPr>
              <w:t>that meet</w:t>
            </w:r>
            <w:r w:rsidRPr="00661595">
              <w:rPr>
                <w:rFonts w:ascii="Times New Roman" w:hAnsi="Times New Roman"/>
                <w:sz w:val="24"/>
                <w:lang w:eastAsia="es-ES_tradnl"/>
              </w:rPr>
              <w:t xml:space="preserve"> the </w:t>
            </w:r>
            <w:r w:rsidR="00A16FFF" w:rsidRPr="00661595">
              <w:rPr>
                <w:rFonts w:ascii="Times New Roman" w:hAnsi="Times New Roman"/>
                <w:sz w:val="24"/>
                <w:lang w:eastAsia="es-ES_tradnl"/>
              </w:rPr>
              <w:t xml:space="preserve">requirements </w:t>
            </w:r>
            <w:r w:rsidRPr="00661595">
              <w:rPr>
                <w:rFonts w:ascii="Times New Roman" w:hAnsi="Times New Roman"/>
                <w:sz w:val="24"/>
                <w:lang w:eastAsia="es-ES_tradnl"/>
              </w:rPr>
              <w:t xml:space="preserve">set </w:t>
            </w:r>
            <w:r w:rsidR="002409C1" w:rsidRPr="00661595">
              <w:rPr>
                <w:rFonts w:ascii="Times New Roman" w:hAnsi="Times New Roman"/>
                <w:sz w:val="24"/>
                <w:lang w:eastAsia="es-ES_tradnl"/>
              </w:rPr>
              <w:t xml:space="preserve">out </w:t>
            </w:r>
            <w:r w:rsidRPr="00661595">
              <w:rPr>
                <w:rFonts w:ascii="Times New Roman" w:hAnsi="Times New Roman"/>
                <w:sz w:val="24"/>
                <w:lang w:eastAsia="es-ES_tradnl"/>
              </w:rPr>
              <w:t xml:space="preserve">in Article 243 </w:t>
            </w:r>
            <w:r w:rsidR="00C7103D" w:rsidRPr="00661595">
              <w:rPr>
                <w:rFonts w:ascii="Times New Roman" w:hAnsi="Times New Roman"/>
                <w:sz w:val="24"/>
                <w:lang w:eastAsia="es-ES_tradnl"/>
              </w:rPr>
              <w:t>CRR</w:t>
            </w:r>
            <w:r w:rsidRPr="00661595">
              <w:rPr>
                <w:rFonts w:ascii="Times New Roman" w:hAnsi="Times New Roman"/>
                <w:sz w:val="24"/>
                <w:lang w:eastAsia="es-ES_tradnl"/>
              </w:rPr>
              <w:t>.</w:t>
            </w:r>
          </w:p>
          <w:p w:rsidR="00E026FB" w:rsidRPr="00661595" w:rsidDel="002866DB" w:rsidRDefault="00E026FB" w:rsidP="00E10B85">
            <w:pPr>
              <w:autoSpaceDE w:val="0"/>
              <w:autoSpaceDN w:val="0"/>
              <w:adjustRightInd w:val="0"/>
              <w:spacing w:before="0" w:after="0"/>
              <w:jc w:val="left"/>
              <w:rPr>
                <w:rFonts w:ascii="Times New Roman" w:hAnsi="Times New Roman"/>
                <w:b/>
                <w:sz w:val="24"/>
                <w:u w:val="single"/>
                <w:lang w:eastAsia="es-ES_tradnl"/>
              </w:rPr>
            </w:pPr>
          </w:p>
        </w:tc>
      </w:tr>
      <w:tr w:rsidR="00E026FB" w:rsidRPr="00661595" w:rsidTr="00E10B85">
        <w:tc>
          <w:tcPr>
            <w:tcW w:w="1256" w:type="dxa"/>
          </w:tcPr>
          <w:p w:rsidR="00E026FB" w:rsidRPr="00661595" w:rsidRDefault="00E026FB"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0050</w:t>
            </w:r>
          </w:p>
        </w:tc>
        <w:tc>
          <w:tcPr>
            <w:tcW w:w="7889" w:type="dxa"/>
          </w:tcPr>
          <w:p w:rsidR="00E026FB" w:rsidRPr="00661595" w:rsidRDefault="00E026FB" w:rsidP="00E10B85">
            <w:pPr>
              <w:autoSpaceDE w:val="0"/>
              <w:autoSpaceDN w:val="0"/>
              <w:adjustRightInd w:val="0"/>
              <w:spacing w:before="0" w:after="0"/>
              <w:jc w:val="left"/>
              <w:rPr>
                <w:rFonts w:ascii="Times New Roman" w:hAnsi="Times New Roman"/>
                <w:b/>
                <w:sz w:val="24"/>
                <w:u w:val="single"/>
                <w:lang w:eastAsia="es-ES_tradnl"/>
              </w:rPr>
            </w:pPr>
            <w:r w:rsidRPr="00661595">
              <w:rPr>
                <w:rFonts w:ascii="Times New Roman" w:hAnsi="Times New Roman"/>
                <w:b/>
                <w:sz w:val="24"/>
                <w:u w:val="single"/>
                <w:lang w:eastAsia="es-ES_tradnl"/>
              </w:rPr>
              <w:t xml:space="preserve">SENIOR POSITION IN SMEs SECURITISATIONS </w:t>
            </w:r>
          </w:p>
          <w:p w:rsidR="00E026FB" w:rsidRPr="00661595" w:rsidRDefault="00E026FB" w:rsidP="00E10B85">
            <w:pPr>
              <w:autoSpaceDE w:val="0"/>
              <w:autoSpaceDN w:val="0"/>
              <w:adjustRightInd w:val="0"/>
              <w:spacing w:before="0" w:after="0"/>
              <w:jc w:val="left"/>
              <w:rPr>
                <w:rFonts w:ascii="Times New Roman" w:hAnsi="Times New Roman"/>
                <w:b/>
                <w:sz w:val="24"/>
                <w:u w:val="single"/>
                <w:lang w:eastAsia="es-ES_tradnl"/>
              </w:rPr>
            </w:pPr>
          </w:p>
          <w:p w:rsidR="00E026FB" w:rsidRPr="00661595" w:rsidRDefault="00E026FB" w:rsidP="00E10B85">
            <w:pPr>
              <w:autoSpaceDE w:val="0"/>
              <w:autoSpaceDN w:val="0"/>
              <w:adjustRightInd w:val="0"/>
              <w:spacing w:before="0" w:after="0"/>
              <w:jc w:val="left"/>
              <w:rPr>
                <w:rFonts w:ascii="Times New Roman" w:hAnsi="Times New Roman"/>
                <w:sz w:val="24"/>
                <w:lang w:eastAsia="es-ES_tradnl"/>
              </w:rPr>
            </w:pPr>
            <w:r w:rsidRPr="00661595">
              <w:rPr>
                <w:rFonts w:ascii="Times New Roman" w:hAnsi="Times New Roman"/>
                <w:sz w:val="24"/>
                <w:lang w:eastAsia="es-ES_tradnl"/>
              </w:rPr>
              <w:t>Total amount of senior securit</w:t>
            </w:r>
            <w:r w:rsidR="009E42EE" w:rsidRPr="00661595">
              <w:rPr>
                <w:rFonts w:ascii="Times New Roman" w:hAnsi="Times New Roman"/>
                <w:sz w:val="24"/>
                <w:lang w:eastAsia="es-ES_tradnl"/>
              </w:rPr>
              <w:t>i</w:t>
            </w:r>
            <w:r w:rsidRPr="00661595">
              <w:rPr>
                <w:rFonts w:ascii="Times New Roman" w:hAnsi="Times New Roman"/>
                <w:sz w:val="24"/>
                <w:lang w:eastAsia="es-ES_tradnl"/>
              </w:rPr>
              <w:t>sation positions in SMEs</w:t>
            </w:r>
            <w:r w:rsidR="001C6166" w:rsidRPr="00661595">
              <w:rPr>
                <w:rFonts w:ascii="Times New Roman" w:hAnsi="Times New Roman"/>
                <w:sz w:val="24"/>
                <w:lang w:eastAsia="es-ES_tradnl"/>
              </w:rPr>
              <w:t xml:space="preserve"> which meet </w:t>
            </w:r>
            <w:r w:rsidRPr="00661595">
              <w:rPr>
                <w:rFonts w:ascii="Times New Roman" w:hAnsi="Times New Roman"/>
                <w:sz w:val="24"/>
                <w:lang w:eastAsia="es-ES_tradnl"/>
              </w:rPr>
              <w:t xml:space="preserve">the </w:t>
            </w:r>
            <w:r w:rsidR="001C6166" w:rsidRPr="00661595">
              <w:rPr>
                <w:rFonts w:ascii="Times New Roman" w:hAnsi="Times New Roman"/>
                <w:sz w:val="24"/>
                <w:lang w:eastAsia="es-ES_tradnl"/>
              </w:rPr>
              <w:t xml:space="preserve">conditions </w:t>
            </w:r>
            <w:r w:rsidRPr="00661595">
              <w:rPr>
                <w:rFonts w:ascii="Times New Roman" w:hAnsi="Times New Roman"/>
                <w:sz w:val="24"/>
                <w:lang w:eastAsia="es-ES_tradnl"/>
              </w:rPr>
              <w:t xml:space="preserve">set </w:t>
            </w:r>
            <w:r w:rsidR="002409C1" w:rsidRPr="00661595">
              <w:rPr>
                <w:rFonts w:ascii="Times New Roman" w:hAnsi="Times New Roman"/>
                <w:sz w:val="24"/>
                <w:lang w:eastAsia="es-ES_tradnl"/>
              </w:rPr>
              <w:t xml:space="preserve">out </w:t>
            </w:r>
            <w:r w:rsidRPr="00661595">
              <w:rPr>
                <w:rFonts w:ascii="Times New Roman" w:hAnsi="Times New Roman"/>
                <w:sz w:val="24"/>
                <w:lang w:eastAsia="es-ES_tradnl"/>
              </w:rPr>
              <w:t xml:space="preserve">in Article 270 </w:t>
            </w:r>
            <w:r w:rsidR="00C7103D" w:rsidRPr="00661595">
              <w:rPr>
                <w:rFonts w:ascii="Times New Roman" w:hAnsi="Times New Roman"/>
                <w:sz w:val="24"/>
                <w:lang w:eastAsia="es-ES_tradnl"/>
              </w:rPr>
              <w:t>CRR</w:t>
            </w:r>
            <w:r w:rsidRPr="00661595">
              <w:rPr>
                <w:rFonts w:ascii="Times New Roman" w:hAnsi="Times New Roman"/>
                <w:sz w:val="24"/>
                <w:lang w:eastAsia="es-ES_tradnl"/>
              </w:rPr>
              <w:t>.</w:t>
            </w:r>
          </w:p>
          <w:p w:rsidR="00E026FB" w:rsidRPr="00661595" w:rsidDel="002866DB" w:rsidRDefault="00E026FB" w:rsidP="00E10B85">
            <w:pPr>
              <w:autoSpaceDE w:val="0"/>
              <w:autoSpaceDN w:val="0"/>
              <w:adjustRightInd w:val="0"/>
              <w:spacing w:before="0" w:after="0"/>
              <w:jc w:val="left"/>
              <w:rPr>
                <w:rFonts w:ascii="Times New Roman" w:hAnsi="Times New Roman"/>
                <w:b/>
                <w:sz w:val="24"/>
                <w:u w:val="single"/>
                <w:lang w:eastAsia="es-ES_tradnl"/>
              </w:rPr>
            </w:pPr>
          </w:p>
        </w:tc>
      </w:tr>
      <w:tr w:rsidR="00E026FB" w:rsidRPr="00661595" w:rsidTr="00E10B85">
        <w:tc>
          <w:tcPr>
            <w:tcW w:w="1256" w:type="dxa"/>
          </w:tcPr>
          <w:p w:rsidR="00E026FB" w:rsidRPr="00661595" w:rsidRDefault="00E026FB"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0060, 0120, 0170, 0240, 0290, 0360 and 0410</w:t>
            </w:r>
          </w:p>
        </w:tc>
        <w:tc>
          <w:tcPr>
            <w:tcW w:w="7889" w:type="dxa"/>
          </w:tcPr>
          <w:p w:rsidR="00E026FB" w:rsidRPr="00661595" w:rsidRDefault="00E026FB" w:rsidP="00E10B85">
            <w:pPr>
              <w:autoSpaceDE w:val="0"/>
              <w:autoSpaceDN w:val="0"/>
              <w:adjustRightInd w:val="0"/>
              <w:spacing w:before="0" w:after="0"/>
              <w:jc w:val="left"/>
              <w:rPr>
                <w:rFonts w:ascii="Times New Roman" w:hAnsi="Times New Roman"/>
                <w:b/>
                <w:sz w:val="24"/>
                <w:u w:val="single"/>
                <w:lang w:eastAsia="es-ES_tradnl"/>
              </w:rPr>
            </w:pPr>
            <w:r w:rsidRPr="00661595">
              <w:rPr>
                <w:rFonts w:ascii="Times New Roman" w:hAnsi="Times New Roman"/>
                <w:b/>
                <w:sz w:val="24"/>
                <w:u w:val="single"/>
                <w:lang w:eastAsia="es-ES_tradnl"/>
              </w:rPr>
              <w:t>NOT QUALIFYING FOR DIFFERENTIATED CAPITAL TREATMENT</w:t>
            </w:r>
          </w:p>
          <w:p w:rsidR="00E026FB" w:rsidRPr="00661595" w:rsidRDefault="00E026FB" w:rsidP="00E10B85">
            <w:pPr>
              <w:autoSpaceDE w:val="0"/>
              <w:autoSpaceDN w:val="0"/>
              <w:adjustRightInd w:val="0"/>
              <w:spacing w:before="0" w:after="0"/>
              <w:jc w:val="left"/>
              <w:rPr>
                <w:rFonts w:ascii="Times New Roman" w:hAnsi="Times New Roman"/>
                <w:b/>
                <w:sz w:val="24"/>
                <w:u w:val="single"/>
                <w:lang w:eastAsia="es-ES_tradnl"/>
              </w:rPr>
            </w:pPr>
          </w:p>
          <w:p w:rsidR="00192744" w:rsidRPr="00661595" w:rsidRDefault="002409C1" w:rsidP="001E0C80">
            <w:pPr>
              <w:autoSpaceDE w:val="0"/>
              <w:autoSpaceDN w:val="0"/>
              <w:adjustRightInd w:val="0"/>
              <w:spacing w:before="0" w:after="0"/>
              <w:jc w:val="left"/>
              <w:rPr>
                <w:rFonts w:ascii="Times New Roman" w:hAnsi="Times New Roman"/>
                <w:sz w:val="24"/>
                <w:lang w:eastAsia="es-ES_tradnl"/>
              </w:rPr>
            </w:pPr>
            <w:r w:rsidRPr="00661595">
              <w:rPr>
                <w:rFonts w:ascii="Times New Roman" w:hAnsi="Times New Roman"/>
                <w:sz w:val="24"/>
                <w:lang w:eastAsia="es-ES_tradnl"/>
              </w:rPr>
              <w:t xml:space="preserve">Paragraphs 1, 4, 5 and 6 of </w:t>
            </w:r>
            <w:r w:rsidR="001E0C80" w:rsidRPr="00661595">
              <w:rPr>
                <w:rFonts w:ascii="Times New Roman" w:hAnsi="Times New Roman"/>
                <w:sz w:val="24"/>
                <w:lang w:eastAsia="es-ES_tradnl"/>
              </w:rPr>
              <w:t>Article 254</w:t>
            </w:r>
            <w:r w:rsidRPr="00661595">
              <w:rPr>
                <w:rFonts w:ascii="Times New Roman" w:hAnsi="Times New Roman"/>
                <w:sz w:val="24"/>
                <w:lang w:eastAsia="es-ES_tradnl"/>
              </w:rPr>
              <w:t xml:space="preserve"> and</w:t>
            </w:r>
            <w:r w:rsidR="001E0C80" w:rsidRPr="00661595">
              <w:rPr>
                <w:rFonts w:ascii="Times New Roman" w:hAnsi="Times New Roman"/>
                <w:sz w:val="24"/>
                <w:lang w:eastAsia="es-ES_tradnl"/>
              </w:rPr>
              <w:t xml:space="preserve"> Articles 259, 261, 263, 265, 266 and 269 CRR</w:t>
            </w:r>
          </w:p>
          <w:p w:rsidR="00192744" w:rsidRPr="00661595" w:rsidRDefault="00192744" w:rsidP="00192744">
            <w:pPr>
              <w:autoSpaceDE w:val="0"/>
              <w:autoSpaceDN w:val="0"/>
              <w:adjustRightInd w:val="0"/>
              <w:spacing w:before="0" w:after="0"/>
              <w:jc w:val="left"/>
              <w:rPr>
                <w:rFonts w:ascii="Times New Roman" w:hAnsi="Times New Roman"/>
                <w:sz w:val="24"/>
                <w:lang w:eastAsia="es-ES_tradnl"/>
              </w:rPr>
            </w:pPr>
          </w:p>
          <w:p w:rsidR="00E026FB" w:rsidRPr="00661595" w:rsidRDefault="00E026FB" w:rsidP="00E10B85">
            <w:pPr>
              <w:autoSpaceDE w:val="0"/>
              <w:autoSpaceDN w:val="0"/>
              <w:adjustRightInd w:val="0"/>
              <w:spacing w:before="0" w:after="0"/>
              <w:jc w:val="left"/>
              <w:rPr>
                <w:rFonts w:ascii="Times New Roman" w:hAnsi="Times New Roman"/>
                <w:sz w:val="24"/>
                <w:lang w:eastAsia="es-ES_tradnl"/>
              </w:rPr>
            </w:pPr>
            <w:r w:rsidRPr="00661595">
              <w:rPr>
                <w:rFonts w:ascii="Times New Roman" w:hAnsi="Times New Roman"/>
                <w:sz w:val="24"/>
                <w:lang w:eastAsia="es-ES_tradnl"/>
              </w:rPr>
              <w:t>Total amount of securit</w:t>
            </w:r>
            <w:r w:rsidR="009E42EE" w:rsidRPr="00661595">
              <w:rPr>
                <w:rFonts w:ascii="Times New Roman" w:hAnsi="Times New Roman"/>
                <w:sz w:val="24"/>
                <w:lang w:eastAsia="es-ES_tradnl"/>
              </w:rPr>
              <w:t>i</w:t>
            </w:r>
            <w:r w:rsidRPr="00661595">
              <w:rPr>
                <w:rFonts w:ascii="Times New Roman" w:hAnsi="Times New Roman"/>
                <w:sz w:val="24"/>
                <w:lang w:eastAsia="es-ES_tradnl"/>
              </w:rPr>
              <w:t>sation positions which do not qualify for differentiated capital treatment.</w:t>
            </w:r>
          </w:p>
          <w:p w:rsidR="00E026FB" w:rsidRPr="00661595" w:rsidRDefault="00E026FB" w:rsidP="00E10B85">
            <w:pPr>
              <w:autoSpaceDE w:val="0"/>
              <w:autoSpaceDN w:val="0"/>
              <w:adjustRightInd w:val="0"/>
              <w:spacing w:before="0" w:after="0"/>
              <w:jc w:val="left"/>
              <w:rPr>
                <w:rFonts w:ascii="Times New Roman" w:hAnsi="Times New Roman"/>
                <w:b/>
                <w:sz w:val="24"/>
                <w:u w:val="single"/>
                <w:lang w:eastAsia="es-ES_tradnl"/>
              </w:rPr>
            </w:pPr>
          </w:p>
        </w:tc>
      </w:tr>
      <w:tr w:rsidR="00E026FB" w:rsidRPr="00661595" w:rsidTr="00E10B85">
        <w:tc>
          <w:tcPr>
            <w:tcW w:w="1256" w:type="dxa"/>
          </w:tcPr>
          <w:p w:rsidR="00E026FB" w:rsidRPr="00661595" w:rsidRDefault="00E026FB"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0070, 0190, 0310 and 0430</w:t>
            </w:r>
          </w:p>
        </w:tc>
        <w:tc>
          <w:tcPr>
            <w:tcW w:w="7889" w:type="dxa"/>
          </w:tcPr>
          <w:p w:rsidR="00E026FB" w:rsidRPr="00661595" w:rsidRDefault="00E026FB" w:rsidP="00E10B85">
            <w:pPr>
              <w:autoSpaceDE w:val="0"/>
              <w:autoSpaceDN w:val="0"/>
              <w:adjustRightInd w:val="0"/>
              <w:spacing w:before="0" w:after="0"/>
              <w:jc w:val="left"/>
              <w:rPr>
                <w:rFonts w:ascii="Times New Roman" w:hAnsi="Times New Roman"/>
                <w:b/>
                <w:sz w:val="24"/>
                <w:u w:val="single"/>
                <w:lang w:eastAsia="es-ES_tradnl"/>
              </w:rPr>
            </w:pPr>
            <w:r w:rsidRPr="00661595">
              <w:rPr>
                <w:rFonts w:ascii="Times New Roman" w:hAnsi="Times New Roman"/>
                <w:b/>
                <w:sz w:val="24"/>
                <w:u w:val="single"/>
                <w:lang w:eastAsia="es-ES_tradnl"/>
              </w:rPr>
              <w:t>RE-SECURITISATION</w:t>
            </w:r>
            <w:r w:rsidR="006259C7" w:rsidRPr="00661595">
              <w:rPr>
                <w:rFonts w:ascii="Times New Roman" w:hAnsi="Times New Roman"/>
                <w:b/>
                <w:sz w:val="24"/>
                <w:u w:val="single"/>
                <w:lang w:eastAsia="es-ES_tradnl"/>
              </w:rPr>
              <w:t xml:space="preserve"> POSITIONS</w:t>
            </w:r>
          </w:p>
          <w:p w:rsidR="00E026FB" w:rsidRPr="00661595" w:rsidRDefault="00E026FB" w:rsidP="00E10B85">
            <w:pPr>
              <w:autoSpaceDE w:val="0"/>
              <w:autoSpaceDN w:val="0"/>
              <w:adjustRightInd w:val="0"/>
              <w:spacing w:before="0" w:after="0"/>
              <w:jc w:val="left"/>
              <w:rPr>
                <w:rFonts w:ascii="Times New Roman" w:hAnsi="Times New Roman"/>
                <w:b/>
                <w:sz w:val="24"/>
                <w:u w:val="single"/>
                <w:lang w:eastAsia="es-ES_tradnl"/>
              </w:rPr>
            </w:pPr>
          </w:p>
          <w:p w:rsidR="00E026FB" w:rsidRPr="00661595" w:rsidRDefault="00E026FB" w:rsidP="0052490C">
            <w:pPr>
              <w:autoSpaceDE w:val="0"/>
              <w:autoSpaceDN w:val="0"/>
              <w:adjustRightInd w:val="0"/>
              <w:spacing w:before="0" w:after="0"/>
              <w:rPr>
                <w:rFonts w:ascii="Times New Roman" w:hAnsi="Times New Roman"/>
                <w:sz w:val="24"/>
                <w:lang w:eastAsia="es-ES_tradnl"/>
              </w:rPr>
            </w:pPr>
            <w:r w:rsidRPr="00661595">
              <w:rPr>
                <w:rFonts w:ascii="Times New Roman" w:hAnsi="Times New Roman"/>
                <w:sz w:val="24"/>
                <w:lang w:eastAsia="es-ES_tradnl"/>
              </w:rPr>
              <w:t xml:space="preserve">Total amount of outstanding </w:t>
            </w:r>
            <w:r w:rsidR="002409C1" w:rsidRPr="00661595">
              <w:rPr>
                <w:rFonts w:ascii="Times New Roman" w:hAnsi="Times New Roman"/>
                <w:sz w:val="24"/>
                <w:lang w:eastAsia="es-ES_tradnl"/>
              </w:rPr>
              <w:t xml:space="preserve">re-securitisations positions as defined </w:t>
            </w:r>
            <w:r w:rsidR="0052490C" w:rsidRPr="00661595">
              <w:rPr>
                <w:rFonts w:ascii="Times New Roman" w:hAnsi="Times New Roman"/>
                <w:sz w:val="24"/>
                <w:lang w:eastAsia="es-ES_tradnl"/>
              </w:rPr>
              <w:t>in point</w:t>
            </w:r>
            <w:r w:rsidR="002409C1" w:rsidRPr="00661595">
              <w:rPr>
                <w:rFonts w:ascii="Times New Roman" w:hAnsi="Times New Roman"/>
                <w:sz w:val="24"/>
                <w:lang w:eastAsia="es-ES_tradnl"/>
              </w:rPr>
              <w:t xml:space="preserve"> (64) of </w:t>
            </w:r>
            <w:r w:rsidRPr="00661595">
              <w:rPr>
                <w:rFonts w:ascii="Times New Roman" w:hAnsi="Times New Roman"/>
                <w:sz w:val="24"/>
                <w:lang w:eastAsia="es-ES_tradnl"/>
              </w:rPr>
              <w:t xml:space="preserve">Article 4(1) </w:t>
            </w:r>
            <w:r w:rsidR="00C7103D" w:rsidRPr="00661595">
              <w:rPr>
                <w:rFonts w:ascii="Times New Roman" w:hAnsi="Times New Roman"/>
                <w:sz w:val="24"/>
                <w:lang w:eastAsia="es-ES_tradnl"/>
              </w:rPr>
              <w:t>CRR</w:t>
            </w:r>
            <w:r w:rsidRPr="00661595">
              <w:rPr>
                <w:rFonts w:ascii="Times New Roman" w:hAnsi="Times New Roman"/>
                <w:sz w:val="24"/>
                <w:lang w:eastAsia="es-ES_tradnl"/>
              </w:rPr>
              <w:t>.</w:t>
            </w:r>
          </w:p>
          <w:p w:rsidR="00E026FB" w:rsidRPr="00661595" w:rsidRDefault="00E026FB" w:rsidP="00E10B85">
            <w:pPr>
              <w:autoSpaceDE w:val="0"/>
              <w:autoSpaceDN w:val="0"/>
              <w:adjustRightInd w:val="0"/>
              <w:spacing w:before="0" w:after="0"/>
              <w:jc w:val="left"/>
              <w:rPr>
                <w:rFonts w:ascii="Times New Roman" w:hAnsi="Times New Roman"/>
                <w:b/>
                <w:sz w:val="24"/>
                <w:u w:val="single"/>
                <w:lang w:eastAsia="es-ES_tradnl"/>
              </w:rPr>
            </w:pPr>
          </w:p>
        </w:tc>
      </w:tr>
      <w:tr w:rsidR="00E026FB" w:rsidRPr="00661595" w:rsidTr="00E10B85">
        <w:tc>
          <w:tcPr>
            <w:tcW w:w="1256" w:type="dxa"/>
          </w:tcPr>
          <w:p w:rsidR="00E026FB" w:rsidRPr="00661595" w:rsidRDefault="00E026FB"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0080</w:t>
            </w:r>
          </w:p>
        </w:tc>
        <w:tc>
          <w:tcPr>
            <w:tcW w:w="7889" w:type="dxa"/>
          </w:tcPr>
          <w:p w:rsidR="00E026FB" w:rsidRPr="00661595" w:rsidRDefault="00E026FB" w:rsidP="00E10B85">
            <w:pPr>
              <w:autoSpaceDE w:val="0"/>
              <w:autoSpaceDN w:val="0"/>
              <w:adjustRightInd w:val="0"/>
              <w:spacing w:before="0" w:after="0"/>
              <w:jc w:val="left"/>
              <w:rPr>
                <w:rFonts w:ascii="Times New Roman" w:hAnsi="Times New Roman"/>
                <w:b/>
                <w:sz w:val="24"/>
                <w:u w:val="single"/>
                <w:lang w:eastAsia="es-ES_tradnl"/>
              </w:rPr>
            </w:pPr>
            <w:r w:rsidRPr="00661595">
              <w:rPr>
                <w:rFonts w:ascii="Times New Roman" w:hAnsi="Times New Roman"/>
                <w:b/>
                <w:sz w:val="24"/>
                <w:u w:val="single"/>
                <w:lang w:eastAsia="es-ES_tradnl"/>
              </w:rPr>
              <w:t xml:space="preserve">ORIGINATOR: TOTAL EXPOSURES </w:t>
            </w:r>
          </w:p>
          <w:p w:rsidR="00E026FB" w:rsidRPr="00661595" w:rsidRDefault="00E026FB" w:rsidP="00E10B85">
            <w:pPr>
              <w:autoSpaceDE w:val="0"/>
              <w:autoSpaceDN w:val="0"/>
              <w:adjustRightInd w:val="0"/>
              <w:spacing w:before="0" w:after="0"/>
              <w:jc w:val="left"/>
              <w:rPr>
                <w:rFonts w:ascii="Times New Roman" w:hAnsi="Times New Roman"/>
                <w:sz w:val="24"/>
                <w:lang w:eastAsia="es-ES_tradnl"/>
              </w:rPr>
            </w:pPr>
          </w:p>
          <w:p w:rsidR="00E026FB" w:rsidRPr="00661595" w:rsidRDefault="00E026FB" w:rsidP="00E10B85">
            <w:pPr>
              <w:autoSpaceDE w:val="0"/>
              <w:autoSpaceDN w:val="0"/>
              <w:adjustRightInd w:val="0"/>
              <w:spacing w:before="0" w:after="0"/>
              <w:rPr>
                <w:rFonts w:ascii="Times New Roman" w:hAnsi="Times New Roman"/>
                <w:sz w:val="24"/>
              </w:rPr>
            </w:pPr>
            <w:r w:rsidRPr="00661595">
              <w:rPr>
                <w:rFonts w:ascii="Times New Roman" w:hAnsi="Times New Roman"/>
                <w:sz w:val="24"/>
                <w:lang w:eastAsia="es-ES_tradnl"/>
              </w:rPr>
              <w:t xml:space="preserve">This row summarises information on on-balance items and off-balance sheet items and derivatives of those securitisation and re-securitisation positions for which the institution plays the role of originator, as defined </w:t>
            </w:r>
            <w:r w:rsidR="002409C1" w:rsidRPr="00661595">
              <w:rPr>
                <w:rFonts w:ascii="Times New Roman" w:hAnsi="Times New Roman"/>
                <w:sz w:val="24"/>
                <w:lang w:eastAsia="es-ES_tradnl"/>
              </w:rPr>
              <w:t>in</w:t>
            </w:r>
            <w:r w:rsidRPr="00661595">
              <w:rPr>
                <w:rFonts w:ascii="Times New Roman" w:hAnsi="Times New Roman"/>
                <w:sz w:val="24"/>
                <w:lang w:eastAsia="es-ES_tradnl"/>
              </w:rPr>
              <w:t xml:space="preserve"> </w:t>
            </w:r>
            <w:r w:rsidR="002A09D5" w:rsidRPr="00661595">
              <w:rPr>
                <w:rFonts w:ascii="Times New Roman" w:hAnsi="Times New Roman"/>
                <w:sz w:val="24"/>
                <w:lang w:eastAsia="es-ES_tradnl"/>
              </w:rPr>
              <w:t xml:space="preserve">point (13) of </w:t>
            </w:r>
            <w:r w:rsidRPr="00661595">
              <w:rPr>
                <w:rFonts w:ascii="Times New Roman" w:hAnsi="Times New Roman"/>
                <w:sz w:val="24"/>
              </w:rPr>
              <w:t xml:space="preserve">Article 4(1) </w:t>
            </w:r>
            <w:r w:rsidR="00C7103D" w:rsidRPr="00661595">
              <w:rPr>
                <w:rFonts w:ascii="Times New Roman" w:hAnsi="Times New Roman"/>
                <w:sz w:val="24"/>
              </w:rPr>
              <w:t>CRR</w:t>
            </w:r>
            <w:r w:rsidRPr="00661595">
              <w:rPr>
                <w:rFonts w:ascii="Times New Roman" w:hAnsi="Times New Roman"/>
                <w:sz w:val="24"/>
              </w:rPr>
              <w:t>.</w:t>
            </w:r>
          </w:p>
          <w:p w:rsidR="00E026FB" w:rsidRPr="00661595" w:rsidRDefault="00E026FB" w:rsidP="00E10B85">
            <w:pPr>
              <w:autoSpaceDE w:val="0"/>
              <w:autoSpaceDN w:val="0"/>
              <w:adjustRightInd w:val="0"/>
              <w:spacing w:before="0" w:after="0"/>
              <w:rPr>
                <w:rFonts w:ascii="Times New Roman" w:hAnsi="Times New Roman"/>
                <w:b/>
                <w:sz w:val="24"/>
                <w:u w:val="single"/>
                <w:lang w:eastAsia="es-ES_tradnl"/>
              </w:rPr>
            </w:pPr>
            <w:r w:rsidRPr="00661595">
              <w:rPr>
                <w:rFonts w:ascii="Times New Roman" w:hAnsi="Times New Roman"/>
                <w:b/>
                <w:sz w:val="24"/>
                <w:u w:val="single"/>
                <w:lang w:eastAsia="es-ES_tradnl"/>
              </w:rPr>
              <w:t xml:space="preserve"> </w:t>
            </w:r>
          </w:p>
        </w:tc>
      </w:tr>
      <w:tr w:rsidR="00E026FB" w:rsidRPr="00661595" w:rsidTr="00E10B85">
        <w:tc>
          <w:tcPr>
            <w:tcW w:w="1256" w:type="dxa"/>
          </w:tcPr>
          <w:p w:rsidR="00E026FB" w:rsidRPr="00661595" w:rsidRDefault="00E026FB"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0090-0130, 0210-0250 and 0330-0370</w:t>
            </w:r>
          </w:p>
        </w:tc>
        <w:tc>
          <w:tcPr>
            <w:tcW w:w="7889" w:type="dxa"/>
          </w:tcPr>
          <w:p w:rsidR="00E026FB" w:rsidRPr="00661595" w:rsidRDefault="00E026FB" w:rsidP="00E10B85">
            <w:pPr>
              <w:autoSpaceDE w:val="0"/>
              <w:autoSpaceDN w:val="0"/>
              <w:adjustRightInd w:val="0"/>
              <w:spacing w:before="0" w:after="0"/>
              <w:jc w:val="left"/>
              <w:rPr>
                <w:rFonts w:ascii="Times New Roman" w:hAnsi="Times New Roman"/>
                <w:b/>
                <w:sz w:val="24"/>
                <w:u w:val="single"/>
                <w:lang w:eastAsia="es-ES_tradnl"/>
              </w:rPr>
            </w:pPr>
            <w:r w:rsidRPr="00661595">
              <w:rPr>
                <w:rFonts w:ascii="Times New Roman" w:hAnsi="Times New Roman"/>
                <w:b/>
                <w:sz w:val="24"/>
                <w:u w:val="single"/>
                <w:lang w:eastAsia="es-ES_tradnl"/>
              </w:rPr>
              <w:t>SECURITISATION</w:t>
            </w:r>
            <w:r w:rsidR="006259C7" w:rsidRPr="00661595">
              <w:rPr>
                <w:rFonts w:ascii="Times New Roman" w:hAnsi="Times New Roman"/>
                <w:b/>
                <w:sz w:val="24"/>
                <w:u w:val="single"/>
                <w:lang w:eastAsia="es-ES_tradnl"/>
              </w:rPr>
              <w:t xml:space="preserve"> POSITIONS</w:t>
            </w:r>
            <w:r w:rsidRPr="00661595">
              <w:rPr>
                <w:rFonts w:ascii="Times New Roman" w:hAnsi="Times New Roman"/>
                <w:b/>
                <w:sz w:val="24"/>
                <w:u w:val="single"/>
                <w:lang w:eastAsia="es-ES_tradnl"/>
              </w:rPr>
              <w:t xml:space="preserve">: ON-BALANCE SHEET ITEMS </w:t>
            </w:r>
          </w:p>
          <w:p w:rsidR="00E026FB" w:rsidRPr="00661595" w:rsidRDefault="00E026FB" w:rsidP="00E10B85">
            <w:pPr>
              <w:autoSpaceDE w:val="0"/>
              <w:autoSpaceDN w:val="0"/>
              <w:adjustRightInd w:val="0"/>
              <w:spacing w:before="0" w:after="0"/>
              <w:jc w:val="left"/>
              <w:rPr>
                <w:rFonts w:ascii="Times New Roman" w:hAnsi="Times New Roman"/>
                <w:sz w:val="24"/>
                <w:lang w:eastAsia="es-ES_tradnl"/>
              </w:rPr>
            </w:pPr>
          </w:p>
          <w:p w:rsidR="00E026FB" w:rsidRPr="00661595" w:rsidRDefault="00BB22D4"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In accordance with</w:t>
            </w:r>
            <w:r w:rsidR="00ED1379" w:rsidRPr="00661595">
              <w:rPr>
                <w:rFonts w:ascii="Times New Roman" w:hAnsi="Times New Roman"/>
                <w:sz w:val="24"/>
              </w:rPr>
              <w:t xml:space="preserve"> </w:t>
            </w:r>
            <w:r w:rsidR="001E0C80" w:rsidRPr="00661595">
              <w:rPr>
                <w:rFonts w:ascii="Times New Roman" w:hAnsi="Times New Roman"/>
                <w:sz w:val="24"/>
              </w:rPr>
              <w:t xml:space="preserve">point (a) of </w:t>
            </w:r>
            <w:r w:rsidR="00D21B29" w:rsidRPr="00661595">
              <w:rPr>
                <w:rFonts w:ascii="Times New Roman" w:hAnsi="Times New Roman"/>
                <w:sz w:val="24"/>
              </w:rPr>
              <w:t>Article</w:t>
            </w:r>
            <w:r w:rsidR="00E026FB" w:rsidRPr="00661595">
              <w:rPr>
                <w:rFonts w:ascii="Times New Roman" w:hAnsi="Times New Roman"/>
                <w:sz w:val="24"/>
              </w:rPr>
              <w:t xml:space="preserve"> 248(1) </w:t>
            </w:r>
            <w:r w:rsidR="00C7103D" w:rsidRPr="00661595">
              <w:rPr>
                <w:rFonts w:ascii="Times New Roman" w:hAnsi="Times New Roman"/>
                <w:sz w:val="24"/>
              </w:rPr>
              <w:t>CRR</w:t>
            </w:r>
            <w:r w:rsidR="00ED1379" w:rsidRPr="00661595">
              <w:rPr>
                <w:rFonts w:ascii="Times New Roman" w:hAnsi="Times New Roman"/>
                <w:sz w:val="24"/>
              </w:rPr>
              <w:t>,</w:t>
            </w:r>
            <w:r w:rsidR="00E026FB" w:rsidRPr="00661595">
              <w:rPr>
                <w:rFonts w:ascii="Times New Roman" w:hAnsi="Times New Roman"/>
                <w:sz w:val="24"/>
              </w:rPr>
              <w:t xml:space="preserve"> the exposure value of an on-balance sheet securitisation position shall be its accounting value remaining after</w:t>
            </w:r>
            <w:r w:rsidR="009E42EE" w:rsidRPr="00661595">
              <w:rPr>
                <w:rFonts w:ascii="Times New Roman" w:hAnsi="Times New Roman"/>
                <w:sz w:val="24"/>
              </w:rPr>
              <w:t xml:space="preserve"> </w:t>
            </w:r>
            <w:r w:rsidR="00E026FB" w:rsidRPr="00661595">
              <w:rPr>
                <w:rFonts w:ascii="Times New Roman" w:hAnsi="Times New Roman"/>
                <w:sz w:val="24"/>
              </w:rPr>
              <w:t>any relevant specific credit risk adjustments on the securitisation position have been applied in accordance with Article</w:t>
            </w:r>
            <w:r w:rsidR="002409C1" w:rsidRPr="00661595">
              <w:rPr>
                <w:rFonts w:ascii="Times New Roman" w:hAnsi="Times New Roman"/>
                <w:sz w:val="24"/>
              </w:rPr>
              <w:t> </w:t>
            </w:r>
            <w:r w:rsidR="00E026FB" w:rsidRPr="00661595">
              <w:rPr>
                <w:rFonts w:ascii="Times New Roman" w:hAnsi="Times New Roman"/>
                <w:sz w:val="24"/>
              </w:rPr>
              <w:t>110</w:t>
            </w:r>
            <w:r w:rsidR="002A09D5" w:rsidRPr="00661595">
              <w:rPr>
                <w:rFonts w:ascii="Times New Roman" w:hAnsi="Times New Roman"/>
                <w:sz w:val="24"/>
              </w:rPr>
              <w:t xml:space="preserve"> CRR</w:t>
            </w:r>
            <w:r w:rsidR="00E026FB" w:rsidRPr="00661595">
              <w:rPr>
                <w:rFonts w:ascii="Times New Roman" w:hAnsi="Times New Roman"/>
                <w:sz w:val="24"/>
              </w:rPr>
              <w:t>.</w:t>
            </w:r>
          </w:p>
          <w:p w:rsidR="00E026FB" w:rsidRPr="00661595" w:rsidRDefault="00E026FB" w:rsidP="00E10B85">
            <w:pPr>
              <w:autoSpaceDE w:val="0"/>
              <w:autoSpaceDN w:val="0"/>
              <w:adjustRightInd w:val="0"/>
              <w:spacing w:before="0" w:after="0"/>
              <w:rPr>
                <w:rFonts w:ascii="Times New Roman" w:hAnsi="Times New Roman"/>
                <w:sz w:val="24"/>
                <w:lang w:eastAsia="es-ES_tradnl"/>
              </w:rPr>
            </w:pPr>
            <w:r w:rsidRPr="00661595">
              <w:rPr>
                <w:rFonts w:ascii="Times New Roman" w:hAnsi="Times New Roman"/>
                <w:sz w:val="24"/>
              </w:rPr>
              <w:t xml:space="preserve">On-balance sheet items </w:t>
            </w:r>
            <w:r w:rsidR="009E42EE" w:rsidRPr="00661595">
              <w:rPr>
                <w:rFonts w:ascii="Times New Roman" w:hAnsi="Times New Roman"/>
                <w:sz w:val="24"/>
              </w:rPr>
              <w:t>shall be</w:t>
            </w:r>
            <w:r w:rsidRPr="00661595">
              <w:rPr>
                <w:rFonts w:ascii="Times New Roman" w:hAnsi="Times New Roman"/>
                <w:sz w:val="24"/>
              </w:rPr>
              <w:t xml:space="preserve"> broken down to capture information regarding application of differentiated capital treatment</w:t>
            </w:r>
            <w:r w:rsidR="002409C1" w:rsidRPr="00661595">
              <w:rPr>
                <w:rFonts w:ascii="Times New Roman" w:hAnsi="Times New Roman"/>
                <w:sz w:val="24"/>
              </w:rPr>
              <w:t>, as referred to in</w:t>
            </w:r>
            <w:r w:rsidRPr="00661595">
              <w:rPr>
                <w:rFonts w:ascii="Times New Roman" w:hAnsi="Times New Roman"/>
                <w:sz w:val="24"/>
              </w:rPr>
              <w:t xml:space="preserve"> Article 243 </w:t>
            </w:r>
            <w:r w:rsidR="00C7103D" w:rsidRPr="00661595">
              <w:rPr>
                <w:rFonts w:ascii="Times New Roman" w:hAnsi="Times New Roman"/>
                <w:sz w:val="24"/>
              </w:rPr>
              <w:t>CRR</w:t>
            </w:r>
            <w:r w:rsidR="002409C1" w:rsidRPr="00661595">
              <w:rPr>
                <w:rFonts w:ascii="Times New Roman" w:hAnsi="Times New Roman"/>
                <w:sz w:val="24"/>
              </w:rPr>
              <w:t>,</w:t>
            </w:r>
            <w:r w:rsidRPr="00661595">
              <w:rPr>
                <w:rFonts w:ascii="Times New Roman" w:hAnsi="Times New Roman"/>
                <w:sz w:val="24"/>
              </w:rPr>
              <w:t xml:space="preserve"> in rows 0100 and 0120 and </w:t>
            </w:r>
            <w:r w:rsidR="001C6166" w:rsidRPr="00661595">
              <w:rPr>
                <w:rFonts w:ascii="Times New Roman" w:hAnsi="Times New Roman"/>
                <w:sz w:val="24"/>
              </w:rPr>
              <w:t xml:space="preserve">on </w:t>
            </w:r>
            <w:r w:rsidRPr="00661595">
              <w:rPr>
                <w:rFonts w:ascii="Times New Roman" w:hAnsi="Times New Roman"/>
                <w:sz w:val="24"/>
              </w:rPr>
              <w:t>the total amount of senior securitisation positions</w:t>
            </w:r>
            <w:r w:rsidR="002409C1" w:rsidRPr="00661595">
              <w:rPr>
                <w:rFonts w:ascii="Times New Roman" w:hAnsi="Times New Roman"/>
                <w:sz w:val="24"/>
              </w:rPr>
              <w:t>,</w:t>
            </w:r>
            <w:r w:rsidRPr="00661595">
              <w:rPr>
                <w:rFonts w:ascii="Times New Roman" w:hAnsi="Times New Roman"/>
                <w:sz w:val="24"/>
              </w:rPr>
              <w:t xml:space="preserve"> </w:t>
            </w:r>
            <w:r w:rsidR="002409C1" w:rsidRPr="00661595">
              <w:rPr>
                <w:rFonts w:ascii="Times New Roman" w:hAnsi="Times New Roman"/>
                <w:sz w:val="24"/>
              </w:rPr>
              <w:t xml:space="preserve">as defined in </w:t>
            </w:r>
            <w:r w:rsidRPr="00661595">
              <w:rPr>
                <w:rFonts w:ascii="Times New Roman" w:hAnsi="Times New Roman"/>
                <w:sz w:val="24"/>
              </w:rPr>
              <w:t xml:space="preserve">Article 242(6) </w:t>
            </w:r>
            <w:r w:rsidR="00C7103D" w:rsidRPr="00661595">
              <w:rPr>
                <w:rFonts w:ascii="Times New Roman" w:hAnsi="Times New Roman"/>
                <w:sz w:val="24"/>
              </w:rPr>
              <w:t>CRR</w:t>
            </w:r>
            <w:r w:rsidR="002409C1" w:rsidRPr="00661595">
              <w:rPr>
                <w:rFonts w:ascii="Times New Roman" w:hAnsi="Times New Roman"/>
                <w:sz w:val="24"/>
              </w:rPr>
              <w:t>,</w:t>
            </w:r>
            <w:r w:rsidRPr="00661595">
              <w:rPr>
                <w:rFonts w:ascii="Times New Roman" w:hAnsi="Times New Roman"/>
                <w:sz w:val="24"/>
              </w:rPr>
              <w:t xml:space="preserve"> in rows 0110 and 0130.</w:t>
            </w:r>
          </w:p>
          <w:p w:rsidR="00E026FB" w:rsidRPr="00661595" w:rsidRDefault="00E026FB" w:rsidP="00E10B85">
            <w:pPr>
              <w:autoSpaceDE w:val="0"/>
              <w:autoSpaceDN w:val="0"/>
              <w:adjustRightInd w:val="0"/>
              <w:spacing w:before="0" w:after="0"/>
              <w:rPr>
                <w:rFonts w:ascii="Times New Roman" w:hAnsi="Times New Roman"/>
                <w:b/>
                <w:sz w:val="24"/>
                <w:u w:val="single"/>
                <w:lang w:eastAsia="es-ES_tradnl"/>
              </w:rPr>
            </w:pPr>
          </w:p>
        </w:tc>
      </w:tr>
      <w:tr w:rsidR="00E026FB" w:rsidRPr="00661595" w:rsidTr="00E10B85">
        <w:tc>
          <w:tcPr>
            <w:tcW w:w="1256" w:type="dxa"/>
          </w:tcPr>
          <w:p w:rsidR="00E026FB" w:rsidRPr="00661595" w:rsidRDefault="00E026FB"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0100, 0220 and 0340</w:t>
            </w:r>
          </w:p>
        </w:tc>
        <w:tc>
          <w:tcPr>
            <w:tcW w:w="7889" w:type="dxa"/>
          </w:tcPr>
          <w:p w:rsidR="00E026FB" w:rsidRPr="00661595" w:rsidRDefault="00E026FB" w:rsidP="00E10B85">
            <w:pPr>
              <w:autoSpaceDE w:val="0"/>
              <w:autoSpaceDN w:val="0"/>
              <w:adjustRightInd w:val="0"/>
              <w:spacing w:before="0" w:after="0"/>
              <w:jc w:val="left"/>
              <w:rPr>
                <w:rFonts w:ascii="Times New Roman" w:hAnsi="Times New Roman"/>
                <w:b/>
                <w:sz w:val="24"/>
                <w:u w:val="single"/>
                <w:lang w:eastAsia="es-ES_tradnl"/>
              </w:rPr>
            </w:pPr>
            <w:r w:rsidRPr="00661595">
              <w:rPr>
                <w:rFonts w:ascii="Times New Roman" w:hAnsi="Times New Roman"/>
                <w:b/>
                <w:sz w:val="24"/>
                <w:u w:val="single"/>
                <w:lang w:eastAsia="es-ES_tradnl"/>
              </w:rPr>
              <w:t>QUALIFYING FOR DIFFERENTIATED CAPITAL TREATMENT</w:t>
            </w:r>
          </w:p>
          <w:p w:rsidR="00E026FB" w:rsidRPr="00661595" w:rsidRDefault="00E026FB" w:rsidP="00E10B85">
            <w:pPr>
              <w:autoSpaceDE w:val="0"/>
              <w:autoSpaceDN w:val="0"/>
              <w:adjustRightInd w:val="0"/>
              <w:spacing w:before="0" w:after="0"/>
              <w:jc w:val="left"/>
              <w:rPr>
                <w:rFonts w:ascii="Times New Roman" w:hAnsi="Times New Roman"/>
                <w:b/>
                <w:sz w:val="24"/>
                <w:u w:val="single"/>
                <w:lang w:eastAsia="es-ES_tradnl"/>
              </w:rPr>
            </w:pPr>
          </w:p>
          <w:p w:rsidR="00E026FB" w:rsidRPr="00661595" w:rsidRDefault="00E026FB" w:rsidP="00E10B85">
            <w:pPr>
              <w:autoSpaceDE w:val="0"/>
              <w:autoSpaceDN w:val="0"/>
              <w:adjustRightInd w:val="0"/>
              <w:spacing w:before="0" w:after="0"/>
              <w:jc w:val="left"/>
              <w:rPr>
                <w:rFonts w:ascii="Times New Roman" w:hAnsi="Times New Roman"/>
                <w:sz w:val="24"/>
                <w:lang w:eastAsia="es-ES_tradnl"/>
              </w:rPr>
            </w:pPr>
            <w:r w:rsidRPr="00661595">
              <w:rPr>
                <w:rFonts w:ascii="Times New Roman" w:hAnsi="Times New Roman"/>
                <w:sz w:val="24"/>
                <w:lang w:eastAsia="es-ES_tradnl"/>
              </w:rPr>
              <w:t xml:space="preserve">Total amount of securitisation positions which fulfil the criteria of Article 243 </w:t>
            </w:r>
            <w:r w:rsidR="00C7103D" w:rsidRPr="00661595">
              <w:rPr>
                <w:rFonts w:ascii="Times New Roman" w:hAnsi="Times New Roman"/>
                <w:sz w:val="24"/>
                <w:lang w:eastAsia="es-ES_tradnl"/>
              </w:rPr>
              <w:t>CRR</w:t>
            </w:r>
            <w:r w:rsidRPr="00661595">
              <w:rPr>
                <w:rFonts w:ascii="Times New Roman" w:hAnsi="Times New Roman"/>
                <w:sz w:val="24"/>
                <w:lang w:eastAsia="es-ES_tradnl"/>
              </w:rPr>
              <w:t xml:space="preserve"> and therefore qualify for differentiated capital treatment.</w:t>
            </w:r>
          </w:p>
          <w:p w:rsidR="00E026FB" w:rsidRPr="00661595" w:rsidRDefault="00E026FB" w:rsidP="00E10B85">
            <w:pPr>
              <w:autoSpaceDE w:val="0"/>
              <w:autoSpaceDN w:val="0"/>
              <w:adjustRightInd w:val="0"/>
              <w:spacing w:before="0" w:after="0"/>
              <w:jc w:val="left"/>
              <w:rPr>
                <w:rFonts w:ascii="Times New Roman" w:hAnsi="Times New Roman"/>
                <w:b/>
                <w:sz w:val="24"/>
                <w:u w:val="single"/>
                <w:lang w:eastAsia="es-ES_tradnl"/>
              </w:rPr>
            </w:pPr>
          </w:p>
        </w:tc>
      </w:tr>
      <w:tr w:rsidR="00E026FB" w:rsidRPr="00661595" w:rsidTr="00E10B85">
        <w:tc>
          <w:tcPr>
            <w:tcW w:w="1256" w:type="dxa"/>
          </w:tcPr>
          <w:p w:rsidR="00E026FB" w:rsidRPr="00661595" w:rsidRDefault="00E026FB"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0110, 0130, 0160, 0180, 0230, 0250, 0280, 0300, 0350, 0370, 400 and 420</w:t>
            </w:r>
          </w:p>
        </w:tc>
        <w:tc>
          <w:tcPr>
            <w:tcW w:w="7889" w:type="dxa"/>
          </w:tcPr>
          <w:p w:rsidR="00E026FB" w:rsidRPr="00661595" w:rsidRDefault="00E026FB" w:rsidP="00E10B85">
            <w:pPr>
              <w:autoSpaceDE w:val="0"/>
              <w:autoSpaceDN w:val="0"/>
              <w:adjustRightInd w:val="0"/>
              <w:spacing w:before="0" w:after="0"/>
              <w:jc w:val="left"/>
              <w:rPr>
                <w:rFonts w:ascii="Times New Roman" w:hAnsi="Times New Roman"/>
                <w:b/>
                <w:sz w:val="24"/>
                <w:u w:val="single"/>
                <w:lang w:eastAsia="es-ES_tradnl"/>
              </w:rPr>
            </w:pPr>
            <w:r w:rsidRPr="00661595">
              <w:rPr>
                <w:rFonts w:ascii="Times New Roman" w:hAnsi="Times New Roman"/>
                <w:b/>
                <w:sz w:val="24"/>
                <w:u w:val="single"/>
                <w:lang w:eastAsia="es-ES_tradnl"/>
              </w:rPr>
              <w:t>OF WHICH: SENIOR EXPOSURES</w:t>
            </w:r>
          </w:p>
          <w:p w:rsidR="00E026FB" w:rsidRPr="00661595" w:rsidRDefault="00E026FB" w:rsidP="00E10B85">
            <w:pPr>
              <w:autoSpaceDE w:val="0"/>
              <w:autoSpaceDN w:val="0"/>
              <w:adjustRightInd w:val="0"/>
              <w:spacing w:before="0" w:after="0"/>
              <w:jc w:val="left"/>
              <w:rPr>
                <w:rFonts w:ascii="Times New Roman" w:hAnsi="Times New Roman"/>
                <w:b/>
                <w:sz w:val="24"/>
                <w:u w:val="single"/>
                <w:lang w:eastAsia="es-ES_tradnl"/>
              </w:rPr>
            </w:pPr>
          </w:p>
          <w:p w:rsidR="00E026FB" w:rsidRPr="00661595" w:rsidRDefault="00E026FB" w:rsidP="00E10B85">
            <w:pPr>
              <w:autoSpaceDE w:val="0"/>
              <w:autoSpaceDN w:val="0"/>
              <w:adjustRightInd w:val="0"/>
              <w:spacing w:before="0" w:after="0"/>
              <w:jc w:val="left"/>
              <w:rPr>
                <w:rFonts w:ascii="Times New Roman" w:hAnsi="Times New Roman"/>
                <w:sz w:val="24"/>
                <w:lang w:eastAsia="es-ES_tradnl"/>
              </w:rPr>
            </w:pPr>
            <w:r w:rsidRPr="00661595">
              <w:rPr>
                <w:rFonts w:ascii="Times New Roman" w:hAnsi="Times New Roman"/>
                <w:sz w:val="24"/>
                <w:lang w:eastAsia="es-ES_tradnl"/>
              </w:rPr>
              <w:t>Total amount of senior securit</w:t>
            </w:r>
            <w:r w:rsidR="009E42EE" w:rsidRPr="00661595">
              <w:rPr>
                <w:rFonts w:ascii="Times New Roman" w:hAnsi="Times New Roman"/>
                <w:sz w:val="24"/>
                <w:lang w:eastAsia="es-ES_tradnl"/>
              </w:rPr>
              <w:t>i</w:t>
            </w:r>
            <w:r w:rsidRPr="00661595">
              <w:rPr>
                <w:rFonts w:ascii="Times New Roman" w:hAnsi="Times New Roman"/>
                <w:sz w:val="24"/>
                <w:lang w:eastAsia="es-ES_tradnl"/>
              </w:rPr>
              <w:t xml:space="preserve">sation positions </w:t>
            </w:r>
            <w:r w:rsidR="002409C1" w:rsidRPr="00661595">
              <w:rPr>
                <w:rFonts w:ascii="Times New Roman" w:hAnsi="Times New Roman"/>
                <w:sz w:val="24"/>
                <w:lang w:eastAsia="es-ES_tradnl"/>
              </w:rPr>
              <w:t xml:space="preserve"> as defined in </w:t>
            </w:r>
            <w:r w:rsidRPr="00661595">
              <w:rPr>
                <w:rFonts w:ascii="Times New Roman" w:hAnsi="Times New Roman"/>
                <w:sz w:val="24"/>
                <w:lang w:eastAsia="es-ES_tradnl"/>
              </w:rPr>
              <w:t xml:space="preserve">Article 242(6) </w:t>
            </w:r>
            <w:r w:rsidR="00C7103D" w:rsidRPr="00661595">
              <w:rPr>
                <w:rFonts w:ascii="Times New Roman" w:hAnsi="Times New Roman"/>
                <w:sz w:val="24"/>
                <w:lang w:eastAsia="es-ES_tradnl"/>
              </w:rPr>
              <w:t>CRR</w:t>
            </w:r>
            <w:r w:rsidRPr="00661595">
              <w:rPr>
                <w:rFonts w:ascii="Times New Roman" w:hAnsi="Times New Roman"/>
                <w:sz w:val="24"/>
                <w:lang w:eastAsia="es-ES_tradnl"/>
              </w:rPr>
              <w:t>.</w:t>
            </w:r>
          </w:p>
          <w:p w:rsidR="00E026FB" w:rsidRPr="00661595" w:rsidRDefault="00E026FB" w:rsidP="00E10B85">
            <w:pPr>
              <w:autoSpaceDE w:val="0"/>
              <w:autoSpaceDN w:val="0"/>
              <w:adjustRightInd w:val="0"/>
              <w:spacing w:before="0" w:after="0"/>
              <w:jc w:val="left"/>
              <w:rPr>
                <w:rFonts w:ascii="Times New Roman" w:hAnsi="Times New Roman"/>
                <w:b/>
                <w:sz w:val="24"/>
                <w:u w:val="single"/>
                <w:lang w:eastAsia="es-ES_tradnl"/>
              </w:rPr>
            </w:pPr>
          </w:p>
        </w:tc>
      </w:tr>
      <w:tr w:rsidR="00E026FB" w:rsidRPr="00661595" w:rsidTr="00E10B85">
        <w:tc>
          <w:tcPr>
            <w:tcW w:w="1256" w:type="dxa"/>
          </w:tcPr>
          <w:p w:rsidR="00E026FB" w:rsidRPr="00661595" w:rsidRDefault="00E026FB"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0140-0180, 0260-0300 and 0380-0420</w:t>
            </w:r>
          </w:p>
        </w:tc>
        <w:tc>
          <w:tcPr>
            <w:tcW w:w="7889" w:type="dxa"/>
          </w:tcPr>
          <w:p w:rsidR="00E026FB" w:rsidRPr="00661595" w:rsidRDefault="00E026FB" w:rsidP="00E10B85">
            <w:pPr>
              <w:spacing w:before="0" w:after="0"/>
              <w:rPr>
                <w:rFonts w:ascii="Times New Roman" w:hAnsi="Times New Roman"/>
                <w:b/>
                <w:sz w:val="24"/>
                <w:u w:val="single"/>
                <w:lang w:eastAsia="es-ES_tradnl"/>
              </w:rPr>
            </w:pPr>
            <w:r w:rsidRPr="00661595">
              <w:rPr>
                <w:rFonts w:ascii="Times New Roman" w:hAnsi="Times New Roman"/>
                <w:b/>
                <w:sz w:val="24"/>
                <w:u w:val="single"/>
                <w:lang w:eastAsia="es-ES_tradnl"/>
              </w:rPr>
              <w:t>SECURITISATION</w:t>
            </w:r>
            <w:r w:rsidR="006259C7" w:rsidRPr="00661595">
              <w:rPr>
                <w:rFonts w:ascii="Times New Roman" w:hAnsi="Times New Roman"/>
                <w:b/>
                <w:sz w:val="24"/>
                <w:u w:val="single"/>
                <w:lang w:eastAsia="es-ES_tradnl"/>
              </w:rPr>
              <w:t xml:space="preserve"> POSITIONS</w:t>
            </w:r>
            <w:r w:rsidRPr="00661595">
              <w:rPr>
                <w:rFonts w:ascii="Times New Roman" w:hAnsi="Times New Roman"/>
                <w:b/>
                <w:sz w:val="24"/>
                <w:u w:val="single"/>
                <w:lang w:eastAsia="es-ES_tradnl"/>
              </w:rPr>
              <w:t>: OFF-BALANCE SHEET ITEMS AND DERIVATIVES</w:t>
            </w:r>
          </w:p>
          <w:p w:rsidR="00E026FB" w:rsidRPr="00661595" w:rsidRDefault="00E026FB" w:rsidP="00E10B85">
            <w:pPr>
              <w:autoSpaceDE w:val="0"/>
              <w:autoSpaceDN w:val="0"/>
              <w:adjustRightInd w:val="0"/>
              <w:spacing w:before="0" w:after="0"/>
              <w:jc w:val="left"/>
              <w:rPr>
                <w:rFonts w:ascii="Times New Roman" w:hAnsi="Times New Roman"/>
                <w:sz w:val="24"/>
                <w:lang w:eastAsia="es-ES_tradnl"/>
              </w:rPr>
            </w:pPr>
          </w:p>
          <w:p w:rsidR="00E026FB" w:rsidRPr="00661595" w:rsidRDefault="00E026FB" w:rsidP="00E10B85">
            <w:pPr>
              <w:autoSpaceDE w:val="0"/>
              <w:autoSpaceDN w:val="0"/>
              <w:adjustRightInd w:val="0"/>
              <w:spacing w:before="0" w:after="0"/>
              <w:rPr>
                <w:rFonts w:ascii="Times New Roman" w:hAnsi="Times New Roman"/>
                <w:i/>
                <w:sz w:val="24"/>
                <w:lang w:eastAsia="es-ES_tradnl"/>
              </w:rPr>
            </w:pPr>
            <w:r w:rsidRPr="00661595">
              <w:rPr>
                <w:rFonts w:ascii="Times New Roman" w:hAnsi="Times New Roman"/>
                <w:sz w:val="24"/>
              </w:rPr>
              <w:t xml:space="preserve">These rows </w:t>
            </w:r>
            <w:r w:rsidR="002409C1" w:rsidRPr="00661595">
              <w:rPr>
                <w:rFonts w:ascii="Times New Roman" w:hAnsi="Times New Roman"/>
                <w:sz w:val="24"/>
              </w:rPr>
              <w:t xml:space="preserve">shall </w:t>
            </w:r>
            <w:r w:rsidRPr="00661595">
              <w:rPr>
                <w:rFonts w:ascii="Times New Roman" w:hAnsi="Times New Roman"/>
                <w:sz w:val="24"/>
              </w:rPr>
              <w:t xml:space="preserve">gather information on off-balance sheet items and derivatives securitisation positions subject to a conversion factor under the securitisation framework. </w:t>
            </w:r>
            <w:r w:rsidRPr="00661595">
              <w:rPr>
                <w:rFonts w:ascii="Times New Roman" w:hAnsi="Times New Roman"/>
                <w:sz w:val="24"/>
                <w:lang w:eastAsia="es-ES_tradnl"/>
              </w:rPr>
              <w:t>The exposure value of an off-balance sheet securitisation position shall be its nominal value, less any specific credit risk adjustment of that securitisation position, multiplied by a 100% conversion factor unless otherwise specified.</w:t>
            </w:r>
          </w:p>
          <w:p w:rsidR="00E026FB" w:rsidRPr="00661595" w:rsidRDefault="00E026FB" w:rsidP="00E10B85">
            <w:pPr>
              <w:autoSpaceDE w:val="0"/>
              <w:autoSpaceDN w:val="0"/>
              <w:adjustRightInd w:val="0"/>
              <w:spacing w:before="0" w:after="0"/>
              <w:rPr>
                <w:rFonts w:ascii="Times New Roman" w:hAnsi="Times New Roman"/>
                <w:i/>
                <w:sz w:val="24"/>
              </w:rPr>
            </w:pPr>
          </w:p>
          <w:p w:rsidR="00E026FB" w:rsidRPr="00661595" w:rsidRDefault="00E026FB"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 xml:space="preserve">Off-balance sheet securitisation positions arising from a derivative instrument listed in Annex II </w:t>
            </w:r>
            <w:r w:rsidR="002409C1" w:rsidRPr="00661595">
              <w:rPr>
                <w:rFonts w:ascii="Times New Roman" w:hAnsi="Times New Roman"/>
                <w:sz w:val="24"/>
              </w:rPr>
              <w:t xml:space="preserve">to </w:t>
            </w:r>
            <w:r w:rsidR="002A09D5" w:rsidRPr="00661595">
              <w:rPr>
                <w:rFonts w:ascii="Times New Roman" w:hAnsi="Times New Roman"/>
                <w:sz w:val="24"/>
              </w:rPr>
              <w:t xml:space="preserve">the </w:t>
            </w:r>
            <w:r w:rsidR="00C7103D" w:rsidRPr="00661595">
              <w:rPr>
                <w:rFonts w:ascii="Times New Roman" w:hAnsi="Times New Roman"/>
                <w:sz w:val="24"/>
              </w:rPr>
              <w:t>CRR</w:t>
            </w:r>
            <w:r w:rsidRPr="00661595">
              <w:rPr>
                <w:rFonts w:ascii="Times New Roman" w:hAnsi="Times New Roman"/>
                <w:sz w:val="24"/>
              </w:rPr>
              <w:t xml:space="preserve">, shall be determined in accordance </w:t>
            </w:r>
            <w:r w:rsidR="002409C1" w:rsidRPr="00661595">
              <w:rPr>
                <w:rFonts w:ascii="Times New Roman" w:hAnsi="Times New Roman"/>
                <w:sz w:val="24"/>
              </w:rPr>
              <w:t>with Chapter 6</w:t>
            </w:r>
            <w:r w:rsidRPr="00661595">
              <w:rPr>
                <w:rFonts w:ascii="Times New Roman" w:hAnsi="Times New Roman"/>
                <w:sz w:val="24"/>
              </w:rPr>
              <w:t xml:space="preserve"> </w:t>
            </w:r>
            <w:r w:rsidR="002409C1" w:rsidRPr="00661595">
              <w:rPr>
                <w:rFonts w:ascii="Times New Roman" w:hAnsi="Times New Roman"/>
                <w:sz w:val="24"/>
              </w:rPr>
              <w:t xml:space="preserve">of Title II of </w:t>
            </w:r>
            <w:r w:rsidRPr="00661595">
              <w:rPr>
                <w:rFonts w:ascii="Times New Roman" w:hAnsi="Times New Roman"/>
                <w:sz w:val="24"/>
              </w:rPr>
              <w:t xml:space="preserve">Part Three </w:t>
            </w:r>
            <w:r w:rsidR="00C7103D" w:rsidRPr="00661595">
              <w:rPr>
                <w:rFonts w:ascii="Times New Roman" w:hAnsi="Times New Roman"/>
                <w:sz w:val="24"/>
              </w:rPr>
              <w:t>CRR</w:t>
            </w:r>
            <w:r w:rsidRPr="00661595">
              <w:rPr>
                <w:rFonts w:ascii="Times New Roman" w:hAnsi="Times New Roman"/>
                <w:sz w:val="24"/>
              </w:rPr>
              <w:t xml:space="preserve">. </w:t>
            </w:r>
            <w:r w:rsidRPr="00661595">
              <w:rPr>
                <w:rFonts w:ascii="Times New Roman" w:hAnsi="Times New Roman"/>
                <w:sz w:val="24"/>
                <w:lang w:eastAsia="es-ES_tradnl"/>
              </w:rPr>
              <w:t xml:space="preserve">The exposure value for the counterparty credit risk of a derivative instrument listed in Annex II </w:t>
            </w:r>
            <w:r w:rsidR="002409C1" w:rsidRPr="00661595">
              <w:rPr>
                <w:rFonts w:ascii="Times New Roman" w:hAnsi="Times New Roman"/>
                <w:sz w:val="24"/>
                <w:lang w:eastAsia="es-ES_tradnl"/>
              </w:rPr>
              <w:t xml:space="preserve">to </w:t>
            </w:r>
            <w:r w:rsidR="002A09D5" w:rsidRPr="00661595">
              <w:rPr>
                <w:rFonts w:ascii="Times New Roman" w:hAnsi="Times New Roman"/>
                <w:sz w:val="24"/>
                <w:lang w:eastAsia="es-ES_tradnl"/>
              </w:rPr>
              <w:t xml:space="preserve">the </w:t>
            </w:r>
            <w:r w:rsidR="00C7103D" w:rsidRPr="00661595">
              <w:rPr>
                <w:rFonts w:ascii="Times New Roman" w:hAnsi="Times New Roman"/>
                <w:sz w:val="24"/>
                <w:lang w:eastAsia="es-ES_tradnl"/>
              </w:rPr>
              <w:t>CRR</w:t>
            </w:r>
            <w:r w:rsidRPr="00661595">
              <w:rPr>
                <w:rFonts w:ascii="Times New Roman" w:hAnsi="Times New Roman"/>
                <w:sz w:val="24"/>
              </w:rPr>
              <w:t xml:space="preserve"> shall be determined in accordance </w:t>
            </w:r>
            <w:r w:rsidR="002409C1" w:rsidRPr="00661595">
              <w:rPr>
                <w:rFonts w:ascii="Times New Roman" w:hAnsi="Times New Roman"/>
                <w:sz w:val="24"/>
              </w:rPr>
              <w:t>with</w:t>
            </w:r>
            <w:r w:rsidRPr="00661595">
              <w:rPr>
                <w:rFonts w:ascii="Times New Roman" w:hAnsi="Times New Roman"/>
                <w:sz w:val="24"/>
              </w:rPr>
              <w:t xml:space="preserve"> </w:t>
            </w:r>
            <w:r w:rsidR="002409C1" w:rsidRPr="00661595">
              <w:rPr>
                <w:rFonts w:ascii="Times New Roman" w:hAnsi="Times New Roman"/>
                <w:sz w:val="24"/>
              </w:rPr>
              <w:t xml:space="preserve">Chapter 6 of Title II of </w:t>
            </w:r>
            <w:r w:rsidRPr="00661595">
              <w:rPr>
                <w:rFonts w:ascii="Times New Roman" w:hAnsi="Times New Roman"/>
                <w:sz w:val="24"/>
              </w:rPr>
              <w:t xml:space="preserve">Part Three </w:t>
            </w:r>
            <w:r w:rsidR="00C7103D" w:rsidRPr="00661595">
              <w:rPr>
                <w:rFonts w:ascii="Times New Roman" w:hAnsi="Times New Roman"/>
                <w:sz w:val="24"/>
              </w:rPr>
              <w:t>CRR</w:t>
            </w:r>
            <w:r w:rsidRPr="00661595">
              <w:rPr>
                <w:rFonts w:ascii="Times New Roman" w:hAnsi="Times New Roman"/>
                <w:sz w:val="24"/>
              </w:rPr>
              <w:t xml:space="preserve">. </w:t>
            </w:r>
          </w:p>
          <w:p w:rsidR="00E026FB" w:rsidRPr="00661595" w:rsidRDefault="00E026FB" w:rsidP="00E10B85">
            <w:pPr>
              <w:autoSpaceDE w:val="0"/>
              <w:autoSpaceDN w:val="0"/>
              <w:adjustRightInd w:val="0"/>
              <w:spacing w:before="0" w:after="0"/>
              <w:rPr>
                <w:rFonts w:ascii="Times New Roman" w:hAnsi="Times New Roman"/>
                <w:sz w:val="24"/>
              </w:rPr>
            </w:pPr>
          </w:p>
          <w:p w:rsidR="00E026FB" w:rsidRPr="00661595" w:rsidRDefault="00E026FB"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For liquidity facilities, credit facilities and servicer cash advances, institutions shall provide the undrawn amount.</w:t>
            </w:r>
          </w:p>
          <w:p w:rsidR="00E026FB" w:rsidRPr="00661595" w:rsidRDefault="00E026FB" w:rsidP="00E10B85">
            <w:pPr>
              <w:autoSpaceDE w:val="0"/>
              <w:autoSpaceDN w:val="0"/>
              <w:adjustRightInd w:val="0"/>
              <w:spacing w:before="0" w:after="0"/>
              <w:rPr>
                <w:rFonts w:ascii="Times New Roman" w:hAnsi="Times New Roman"/>
                <w:sz w:val="24"/>
              </w:rPr>
            </w:pPr>
          </w:p>
          <w:p w:rsidR="00E026FB" w:rsidRPr="00661595" w:rsidRDefault="00E026FB"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For interest rate and currency swaps</w:t>
            </w:r>
            <w:r w:rsidR="002409C1" w:rsidRPr="00661595">
              <w:rPr>
                <w:rFonts w:ascii="Times New Roman" w:hAnsi="Times New Roman"/>
                <w:sz w:val="24"/>
              </w:rPr>
              <w:t>,</w:t>
            </w:r>
            <w:r w:rsidRPr="00661595">
              <w:rPr>
                <w:rFonts w:ascii="Times New Roman" w:hAnsi="Times New Roman"/>
                <w:sz w:val="24"/>
              </w:rPr>
              <w:t xml:space="preserve"> the exposure value (</w:t>
            </w:r>
            <w:r w:rsidR="002409C1" w:rsidRPr="00661595">
              <w:rPr>
                <w:rFonts w:ascii="Times New Roman" w:hAnsi="Times New Roman"/>
                <w:sz w:val="24"/>
              </w:rPr>
              <w:t xml:space="preserve">calculated </w:t>
            </w:r>
            <w:r w:rsidR="00BB22D4" w:rsidRPr="00661595">
              <w:rPr>
                <w:rFonts w:ascii="Times New Roman" w:hAnsi="Times New Roman"/>
                <w:sz w:val="24"/>
              </w:rPr>
              <w:t>in accordance with</w:t>
            </w:r>
            <w:r w:rsidRPr="00661595">
              <w:rPr>
                <w:rFonts w:ascii="Times New Roman" w:hAnsi="Times New Roman"/>
                <w:sz w:val="24"/>
              </w:rPr>
              <w:t xml:space="preserve"> Article 248(1) </w:t>
            </w:r>
            <w:r w:rsidR="00C7103D" w:rsidRPr="00661595">
              <w:rPr>
                <w:rFonts w:ascii="Times New Roman" w:hAnsi="Times New Roman"/>
                <w:sz w:val="24"/>
              </w:rPr>
              <w:t>CRR</w:t>
            </w:r>
            <w:r w:rsidRPr="00661595">
              <w:rPr>
                <w:rFonts w:ascii="Times New Roman" w:hAnsi="Times New Roman"/>
                <w:sz w:val="24"/>
              </w:rPr>
              <w:t>)</w:t>
            </w:r>
            <w:r w:rsidR="009E42EE" w:rsidRPr="00661595">
              <w:rPr>
                <w:rFonts w:ascii="Times New Roman" w:hAnsi="Times New Roman"/>
                <w:sz w:val="24"/>
              </w:rPr>
              <w:t xml:space="preserve"> shall be provided</w:t>
            </w:r>
            <w:r w:rsidRPr="00661595">
              <w:rPr>
                <w:rFonts w:ascii="Times New Roman" w:hAnsi="Times New Roman"/>
                <w:sz w:val="24"/>
              </w:rPr>
              <w:t>.</w:t>
            </w:r>
          </w:p>
          <w:p w:rsidR="00E026FB" w:rsidRPr="00661595" w:rsidRDefault="00E026FB" w:rsidP="00E10B85">
            <w:pPr>
              <w:autoSpaceDE w:val="0"/>
              <w:autoSpaceDN w:val="0"/>
              <w:adjustRightInd w:val="0"/>
              <w:spacing w:before="0" w:after="0"/>
              <w:rPr>
                <w:rFonts w:ascii="Times New Roman" w:hAnsi="Times New Roman"/>
                <w:sz w:val="24"/>
              </w:rPr>
            </w:pPr>
          </w:p>
          <w:p w:rsidR="00E026FB" w:rsidRPr="00661595" w:rsidRDefault="00E026FB"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 xml:space="preserve">Off-balance sheet items and derivatives </w:t>
            </w:r>
            <w:r w:rsidR="009E42EE" w:rsidRPr="00661595">
              <w:rPr>
                <w:rFonts w:ascii="Times New Roman" w:hAnsi="Times New Roman"/>
                <w:sz w:val="24"/>
              </w:rPr>
              <w:t>shall be</w:t>
            </w:r>
            <w:r w:rsidRPr="00661595">
              <w:rPr>
                <w:rFonts w:ascii="Times New Roman" w:hAnsi="Times New Roman"/>
                <w:sz w:val="24"/>
              </w:rPr>
              <w:t xml:space="preserve"> broken down to capture information regarding </w:t>
            </w:r>
            <w:r w:rsidR="002409C1" w:rsidRPr="00661595">
              <w:rPr>
                <w:rFonts w:ascii="Times New Roman" w:hAnsi="Times New Roman"/>
                <w:sz w:val="24"/>
              </w:rPr>
              <w:t xml:space="preserve">the </w:t>
            </w:r>
            <w:r w:rsidRPr="00661595">
              <w:rPr>
                <w:rFonts w:ascii="Times New Roman" w:hAnsi="Times New Roman"/>
                <w:sz w:val="24"/>
              </w:rPr>
              <w:t>application of differentiated capital treatment</w:t>
            </w:r>
            <w:r w:rsidR="001C6166" w:rsidRPr="00661595">
              <w:rPr>
                <w:rFonts w:ascii="Times New Roman" w:hAnsi="Times New Roman"/>
                <w:sz w:val="24"/>
              </w:rPr>
              <w:t>,</w:t>
            </w:r>
            <w:r w:rsidRPr="00661595">
              <w:rPr>
                <w:rFonts w:ascii="Times New Roman" w:hAnsi="Times New Roman"/>
                <w:sz w:val="24"/>
              </w:rPr>
              <w:t xml:space="preserve"> </w:t>
            </w:r>
            <w:r w:rsidR="001C6166" w:rsidRPr="00661595">
              <w:rPr>
                <w:rFonts w:ascii="Times New Roman" w:hAnsi="Times New Roman"/>
                <w:sz w:val="24"/>
                <w:lang w:eastAsia="es-ES_tradnl"/>
              </w:rPr>
              <w:t>as referred</w:t>
            </w:r>
            <w:r w:rsidR="00F17B2E" w:rsidRPr="00661595">
              <w:rPr>
                <w:rFonts w:ascii="Times New Roman" w:hAnsi="Times New Roman"/>
                <w:sz w:val="24"/>
                <w:lang w:eastAsia="es-ES_tradnl"/>
              </w:rPr>
              <w:t xml:space="preserve"> to</w:t>
            </w:r>
            <w:r w:rsidR="001C6166" w:rsidRPr="00661595">
              <w:rPr>
                <w:rFonts w:ascii="Times New Roman" w:hAnsi="Times New Roman"/>
                <w:sz w:val="24"/>
                <w:lang w:eastAsia="es-ES_tradnl"/>
              </w:rPr>
              <w:t xml:space="preserve"> in</w:t>
            </w:r>
            <w:r w:rsidRPr="00661595">
              <w:rPr>
                <w:rFonts w:ascii="Times New Roman" w:hAnsi="Times New Roman"/>
                <w:sz w:val="24"/>
              </w:rPr>
              <w:t xml:space="preserve"> Article 270 </w:t>
            </w:r>
            <w:r w:rsidR="00C7103D" w:rsidRPr="00661595">
              <w:rPr>
                <w:rFonts w:ascii="Times New Roman" w:hAnsi="Times New Roman"/>
                <w:sz w:val="24"/>
              </w:rPr>
              <w:t>CRR</w:t>
            </w:r>
            <w:r w:rsidR="001C6166" w:rsidRPr="00661595">
              <w:rPr>
                <w:rFonts w:ascii="Times New Roman" w:hAnsi="Times New Roman"/>
                <w:sz w:val="24"/>
              </w:rPr>
              <w:t>,</w:t>
            </w:r>
            <w:r w:rsidRPr="00661595">
              <w:rPr>
                <w:rFonts w:ascii="Times New Roman" w:hAnsi="Times New Roman"/>
                <w:sz w:val="24"/>
              </w:rPr>
              <w:t xml:space="preserve"> in rows 0150 and 0170 and </w:t>
            </w:r>
            <w:r w:rsidR="001C6166" w:rsidRPr="00661595">
              <w:rPr>
                <w:rFonts w:ascii="Times New Roman" w:hAnsi="Times New Roman"/>
                <w:sz w:val="24"/>
              </w:rPr>
              <w:t xml:space="preserve">on </w:t>
            </w:r>
            <w:r w:rsidRPr="00661595">
              <w:rPr>
                <w:rFonts w:ascii="Times New Roman" w:hAnsi="Times New Roman"/>
                <w:sz w:val="24"/>
              </w:rPr>
              <w:t>the total amount of senior securitisation positions</w:t>
            </w:r>
            <w:r w:rsidR="002409C1" w:rsidRPr="00661595">
              <w:rPr>
                <w:rFonts w:ascii="Times New Roman" w:hAnsi="Times New Roman"/>
                <w:sz w:val="24"/>
              </w:rPr>
              <w:t>, as defined in</w:t>
            </w:r>
            <w:r w:rsidRPr="00661595">
              <w:rPr>
                <w:rFonts w:ascii="Times New Roman" w:hAnsi="Times New Roman"/>
                <w:sz w:val="24"/>
              </w:rPr>
              <w:t xml:space="preserve"> Article 242(6) </w:t>
            </w:r>
            <w:r w:rsidR="00C7103D" w:rsidRPr="00661595">
              <w:rPr>
                <w:rFonts w:ascii="Times New Roman" w:hAnsi="Times New Roman"/>
                <w:sz w:val="24"/>
              </w:rPr>
              <w:t>CRR</w:t>
            </w:r>
            <w:r w:rsidR="002409C1" w:rsidRPr="00661595">
              <w:rPr>
                <w:rFonts w:ascii="Times New Roman" w:hAnsi="Times New Roman"/>
                <w:sz w:val="24"/>
              </w:rPr>
              <w:t>,</w:t>
            </w:r>
            <w:r w:rsidRPr="00661595">
              <w:rPr>
                <w:rFonts w:ascii="Times New Roman" w:hAnsi="Times New Roman"/>
                <w:sz w:val="24"/>
              </w:rPr>
              <w:t xml:space="preserve"> in rows 0160 and 0180. The same legal references as for rows 0100 to 0130 </w:t>
            </w:r>
            <w:r w:rsidR="002409C1" w:rsidRPr="00661595">
              <w:rPr>
                <w:rFonts w:ascii="Times New Roman" w:hAnsi="Times New Roman"/>
                <w:sz w:val="24"/>
              </w:rPr>
              <w:t xml:space="preserve">shall </w:t>
            </w:r>
            <w:r w:rsidRPr="00661595">
              <w:rPr>
                <w:rFonts w:ascii="Times New Roman" w:hAnsi="Times New Roman"/>
                <w:sz w:val="24"/>
              </w:rPr>
              <w:t>apply.</w:t>
            </w:r>
          </w:p>
          <w:p w:rsidR="00E026FB" w:rsidRPr="00661595" w:rsidRDefault="00E026FB" w:rsidP="00E10B85">
            <w:pPr>
              <w:autoSpaceDE w:val="0"/>
              <w:autoSpaceDN w:val="0"/>
              <w:adjustRightInd w:val="0"/>
              <w:spacing w:before="0" w:after="0"/>
              <w:rPr>
                <w:rFonts w:ascii="Times New Roman" w:hAnsi="Times New Roman"/>
                <w:bCs/>
                <w:sz w:val="24"/>
                <w:lang w:eastAsia="nl-BE"/>
              </w:rPr>
            </w:pPr>
          </w:p>
        </w:tc>
      </w:tr>
      <w:tr w:rsidR="00E026FB" w:rsidRPr="00661595" w:rsidTr="00E10B85">
        <w:tc>
          <w:tcPr>
            <w:tcW w:w="1256" w:type="dxa"/>
          </w:tcPr>
          <w:p w:rsidR="00E026FB" w:rsidRPr="00661595" w:rsidRDefault="00E026FB"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0150, 0270 and 0390</w:t>
            </w:r>
          </w:p>
        </w:tc>
        <w:tc>
          <w:tcPr>
            <w:tcW w:w="7889" w:type="dxa"/>
          </w:tcPr>
          <w:p w:rsidR="00E026FB" w:rsidRPr="00661595" w:rsidRDefault="00E026FB" w:rsidP="00E10B85">
            <w:pPr>
              <w:autoSpaceDE w:val="0"/>
              <w:autoSpaceDN w:val="0"/>
              <w:adjustRightInd w:val="0"/>
              <w:spacing w:before="0" w:after="0"/>
              <w:jc w:val="left"/>
              <w:rPr>
                <w:rFonts w:ascii="Times New Roman" w:hAnsi="Times New Roman"/>
                <w:b/>
                <w:sz w:val="24"/>
                <w:u w:val="single"/>
                <w:lang w:eastAsia="es-ES_tradnl"/>
              </w:rPr>
            </w:pPr>
            <w:r w:rsidRPr="00661595">
              <w:rPr>
                <w:rFonts w:ascii="Times New Roman" w:hAnsi="Times New Roman"/>
                <w:b/>
                <w:sz w:val="24"/>
                <w:u w:val="single"/>
                <w:lang w:eastAsia="es-ES_tradnl"/>
              </w:rPr>
              <w:t>QUALIFYING FOR DIFFERENTIATED CAPITAL TREATMENT</w:t>
            </w:r>
          </w:p>
          <w:p w:rsidR="00E026FB" w:rsidRPr="00661595" w:rsidRDefault="00E026FB" w:rsidP="00E10B85">
            <w:pPr>
              <w:autoSpaceDE w:val="0"/>
              <w:autoSpaceDN w:val="0"/>
              <w:adjustRightInd w:val="0"/>
              <w:spacing w:before="0" w:after="0"/>
              <w:jc w:val="left"/>
              <w:rPr>
                <w:rFonts w:ascii="Times New Roman" w:hAnsi="Times New Roman"/>
                <w:b/>
                <w:sz w:val="24"/>
                <w:u w:val="single"/>
                <w:lang w:eastAsia="es-ES_tradnl"/>
              </w:rPr>
            </w:pPr>
          </w:p>
          <w:p w:rsidR="00E026FB" w:rsidRPr="00661595" w:rsidRDefault="00E026FB" w:rsidP="00E10B85">
            <w:pPr>
              <w:autoSpaceDE w:val="0"/>
              <w:autoSpaceDN w:val="0"/>
              <w:adjustRightInd w:val="0"/>
              <w:spacing w:before="0" w:after="0"/>
              <w:jc w:val="left"/>
              <w:rPr>
                <w:rFonts w:ascii="Times New Roman" w:hAnsi="Times New Roman"/>
                <w:sz w:val="24"/>
                <w:lang w:eastAsia="es-ES_tradnl"/>
              </w:rPr>
            </w:pPr>
            <w:r w:rsidRPr="00661595">
              <w:rPr>
                <w:rFonts w:ascii="Times New Roman" w:hAnsi="Times New Roman"/>
                <w:sz w:val="24"/>
                <w:lang w:eastAsia="es-ES_tradnl"/>
              </w:rPr>
              <w:t xml:space="preserve">Total amount of securitisation positions which fulfil the criteria of Article 243 or Article 270 </w:t>
            </w:r>
            <w:r w:rsidR="00C7103D" w:rsidRPr="00661595">
              <w:rPr>
                <w:rFonts w:ascii="Times New Roman" w:hAnsi="Times New Roman"/>
                <w:sz w:val="24"/>
                <w:lang w:eastAsia="es-ES_tradnl"/>
              </w:rPr>
              <w:t>CRR</w:t>
            </w:r>
            <w:r w:rsidRPr="00661595">
              <w:rPr>
                <w:rFonts w:ascii="Times New Roman" w:hAnsi="Times New Roman"/>
                <w:sz w:val="24"/>
                <w:lang w:eastAsia="es-ES_tradnl"/>
              </w:rPr>
              <w:t xml:space="preserve"> and therefore qualify for differentiated capital treatment.</w:t>
            </w:r>
          </w:p>
          <w:p w:rsidR="00E026FB" w:rsidRPr="00661595" w:rsidRDefault="00E026FB" w:rsidP="00E10B85">
            <w:pPr>
              <w:spacing w:before="0" w:after="0"/>
              <w:rPr>
                <w:rFonts w:ascii="Times New Roman" w:hAnsi="Times New Roman"/>
                <w:b/>
                <w:sz w:val="24"/>
                <w:u w:val="single"/>
                <w:lang w:eastAsia="es-ES_tradnl"/>
              </w:rPr>
            </w:pPr>
          </w:p>
        </w:tc>
      </w:tr>
      <w:tr w:rsidR="00E026FB" w:rsidRPr="00661595" w:rsidTr="00E10B85">
        <w:tc>
          <w:tcPr>
            <w:tcW w:w="1256" w:type="dxa"/>
          </w:tcPr>
          <w:p w:rsidR="00E026FB" w:rsidRPr="00661595" w:rsidRDefault="00E026FB"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0200</w:t>
            </w:r>
          </w:p>
        </w:tc>
        <w:tc>
          <w:tcPr>
            <w:tcW w:w="7889" w:type="dxa"/>
          </w:tcPr>
          <w:p w:rsidR="00E026FB" w:rsidRPr="00661595" w:rsidRDefault="00E026FB" w:rsidP="00E10B85">
            <w:pPr>
              <w:autoSpaceDE w:val="0"/>
              <w:autoSpaceDN w:val="0"/>
              <w:adjustRightInd w:val="0"/>
              <w:spacing w:before="0" w:after="0"/>
              <w:jc w:val="left"/>
              <w:rPr>
                <w:rFonts w:ascii="Times New Roman" w:hAnsi="Times New Roman"/>
                <w:b/>
                <w:sz w:val="24"/>
                <w:u w:val="single"/>
                <w:lang w:eastAsia="es-ES_tradnl"/>
              </w:rPr>
            </w:pPr>
            <w:r w:rsidRPr="00661595">
              <w:rPr>
                <w:rFonts w:ascii="Times New Roman" w:hAnsi="Times New Roman"/>
                <w:b/>
                <w:sz w:val="24"/>
                <w:u w:val="single"/>
                <w:lang w:eastAsia="es-ES_tradnl"/>
              </w:rPr>
              <w:t xml:space="preserve">INVESTOR: TOTAL EXPOSURES </w:t>
            </w:r>
          </w:p>
          <w:p w:rsidR="00E026FB" w:rsidRPr="00661595" w:rsidRDefault="00E026FB" w:rsidP="00E10B85">
            <w:pPr>
              <w:autoSpaceDE w:val="0"/>
              <w:autoSpaceDN w:val="0"/>
              <w:adjustRightInd w:val="0"/>
              <w:spacing w:before="0" w:after="0"/>
              <w:jc w:val="left"/>
              <w:rPr>
                <w:rFonts w:ascii="Times New Roman" w:hAnsi="Times New Roman"/>
                <w:sz w:val="24"/>
                <w:lang w:eastAsia="es-ES_tradnl"/>
              </w:rPr>
            </w:pPr>
          </w:p>
          <w:p w:rsidR="00E026FB" w:rsidRPr="00661595" w:rsidRDefault="00E026FB" w:rsidP="00E10B85">
            <w:pPr>
              <w:autoSpaceDE w:val="0"/>
              <w:autoSpaceDN w:val="0"/>
              <w:adjustRightInd w:val="0"/>
              <w:spacing w:before="0" w:after="0"/>
              <w:rPr>
                <w:rStyle w:val="FormatvorlageInstructionsTabelleText"/>
                <w:rFonts w:ascii="Times New Roman" w:hAnsi="Times New Roman"/>
                <w:sz w:val="24"/>
              </w:rPr>
            </w:pPr>
            <w:r w:rsidRPr="00661595">
              <w:rPr>
                <w:rStyle w:val="FormatvorlageInstructionsTabelleText"/>
                <w:rFonts w:ascii="Times New Roman" w:hAnsi="Times New Roman"/>
                <w:sz w:val="24"/>
              </w:rPr>
              <w:t xml:space="preserve">This row summarises information on on-balance and off-balance sheet items and derivatives of those securitisation </w:t>
            </w:r>
            <w:r w:rsidRPr="00661595">
              <w:rPr>
                <w:rFonts w:ascii="Times New Roman" w:hAnsi="Times New Roman"/>
                <w:sz w:val="24"/>
                <w:lang w:eastAsia="es-ES_tradnl"/>
              </w:rPr>
              <w:t>and re-securitisation</w:t>
            </w:r>
            <w:r w:rsidRPr="00661595">
              <w:rPr>
                <w:rStyle w:val="FormatvorlageInstructionsTabelleText"/>
                <w:rFonts w:ascii="Times New Roman" w:hAnsi="Times New Roman"/>
                <w:sz w:val="24"/>
              </w:rPr>
              <w:t xml:space="preserve"> positions for which the institution plays the role of </w:t>
            </w:r>
            <w:r w:rsidR="00133396" w:rsidRPr="00661595">
              <w:rPr>
                <w:rStyle w:val="FormatvorlageInstructionsTabelleText"/>
                <w:rFonts w:ascii="Times New Roman" w:hAnsi="Times New Roman"/>
                <w:sz w:val="24"/>
              </w:rPr>
              <w:t xml:space="preserve">an </w:t>
            </w:r>
            <w:r w:rsidRPr="00661595">
              <w:rPr>
                <w:rStyle w:val="FormatvorlageInstructionsTabelleText"/>
                <w:rFonts w:ascii="Times New Roman" w:hAnsi="Times New Roman"/>
                <w:sz w:val="24"/>
              </w:rPr>
              <w:t xml:space="preserve">investor. </w:t>
            </w:r>
          </w:p>
          <w:p w:rsidR="00E026FB" w:rsidRPr="00661595" w:rsidRDefault="00E026FB" w:rsidP="00E10B85">
            <w:pPr>
              <w:autoSpaceDE w:val="0"/>
              <w:autoSpaceDN w:val="0"/>
              <w:adjustRightInd w:val="0"/>
              <w:spacing w:before="0" w:after="0"/>
              <w:rPr>
                <w:rStyle w:val="FormatvorlageInstructionsTabelleText"/>
                <w:rFonts w:ascii="Times New Roman" w:hAnsi="Times New Roman"/>
                <w:sz w:val="24"/>
              </w:rPr>
            </w:pPr>
          </w:p>
          <w:p w:rsidR="00E026FB" w:rsidRPr="00661595" w:rsidRDefault="00E20FAC" w:rsidP="00E10B85">
            <w:pPr>
              <w:autoSpaceDE w:val="0"/>
              <w:autoSpaceDN w:val="0"/>
              <w:adjustRightInd w:val="0"/>
              <w:spacing w:before="0" w:after="0"/>
              <w:rPr>
                <w:rStyle w:val="FormatvorlageInstructionsTabelleText"/>
                <w:rFonts w:ascii="Times New Roman" w:hAnsi="Times New Roman"/>
                <w:sz w:val="24"/>
              </w:rPr>
            </w:pPr>
            <w:r w:rsidRPr="00661595">
              <w:rPr>
                <w:rStyle w:val="FormatvorlageInstructionsTabelleText"/>
                <w:rFonts w:ascii="Times New Roman" w:hAnsi="Times New Roman"/>
                <w:sz w:val="24"/>
              </w:rPr>
              <w:t>For the purposes of</w:t>
            </w:r>
            <w:r w:rsidR="00037FCC" w:rsidRPr="00661595">
              <w:rPr>
                <w:rStyle w:val="FormatvorlageInstructionsTabelleText"/>
                <w:rFonts w:ascii="Times New Roman" w:hAnsi="Times New Roman"/>
                <w:sz w:val="24"/>
              </w:rPr>
              <w:t xml:space="preserve"> this template</w:t>
            </w:r>
            <w:r w:rsidR="00133396" w:rsidRPr="00661595">
              <w:rPr>
                <w:rStyle w:val="FormatvorlageInstructionsTabelleText"/>
                <w:rFonts w:ascii="Times New Roman" w:hAnsi="Times New Roman"/>
                <w:sz w:val="24"/>
              </w:rPr>
              <w:t>,</w:t>
            </w:r>
            <w:r w:rsidRPr="00661595">
              <w:rPr>
                <w:rStyle w:val="FormatvorlageInstructionsTabelleText"/>
                <w:rFonts w:ascii="Times New Roman" w:hAnsi="Times New Roman"/>
                <w:sz w:val="24"/>
              </w:rPr>
              <w:t xml:space="preserve"> </w:t>
            </w:r>
            <w:r w:rsidR="00133396" w:rsidRPr="00661595">
              <w:rPr>
                <w:rStyle w:val="FormatvorlageInstructionsTabelleText"/>
                <w:rFonts w:ascii="Times New Roman" w:hAnsi="Times New Roman"/>
                <w:sz w:val="24"/>
              </w:rPr>
              <w:t xml:space="preserve">an </w:t>
            </w:r>
            <w:r w:rsidRPr="00661595">
              <w:rPr>
                <w:rStyle w:val="FormatvorlageInstructionsTabelleText"/>
                <w:rFonts w:ascii="Times New Roman" w:hAnsi="Times New Roman"/>
                <w:sz w:val="24"/>
              </w:rPr>
              <w:t>investor</w:t>
            </w:r>
            <w:r w:rsidR="00E026FB" w:rsidRPr="00661595">
              <w:rPr>
                <w:rStyle w:val="FormatvorlageInstructionsTabelleText"/>
                <w:rFonts w:ascii="Times New Roman" w:hAnsi="Times New Roman"/>
                <w:sz w:val="24"/>
              </w:rPr>
              <w:t xml:space="preserve"> shall be understood as an institution that holds a securitisation position in a securitisation transaction for which it is neither originator</w:t>
            </w:r>
            <w:r w:rsidR="00370576" w:rsidRPr="00661595">
              <w:rPr>
                <w:rStyle w:val="FormatvorlageInstructionsTabelleText"/>
                <w:rFonts w:ascii="Times New Roman" w:hAnsi="Times New Roman"/>
                <w:sz w:val="24"/>
              </w:rPr>
              <w:t xml:space="preserve"> nor</w:t>
            </w:r>
            <w:r w:rsidR="00E026FB" w:rsidRPr="00661595">
              <w:rPr>
                <w:rStyle w:val="FormatvorlageInstructionsTabelleText"/>
                <w:rFonts w:ascii="Times New Roman" w:hAnsi="Times New Roman"/>
                <w:sz w:val="24"/>
              </w:rPr>
              <w:t xml:space="preserve"> sponsor</w:t>
            </w:r>
            <w:r w:rsidR="00370576" w:rsidRPr="00661595">
              <w:rPr>
                <w:rStyle w:val="FormatvorlageInstructionsTabelleText"/>
                <w:rFonts w:ascii="Times New Roman" w:hAnsi="Times New Roman"/>
                <w:sz w:val="24"/>
              </w:rPr>
              <w:t>.</w:t>
            </w:r>
          </w:p>
          <w:p w:rsidR="00E026FB" w:rsidRPr="00661595" w:rsidRDefault="00E026FB" w:rsidP="00E10B85">
            <w:pPr>
              <w:autoSpaceDE w:val="0"/>
              <w:autoSpaceDN w:val="0"/>
              <w:adjustRightInd w:val="0"/>
              <w:spacing w:before="0" w:after="0"/>
              <w:jc w:val="left"/>
              <w:rPr>
                <w:rFonts w:ascii="Times New Roman" w:hAnsi="Times New Roman"/>
                <w:b/>
                <w:sz w:val="24"/>
                <w:u w:val="single"/>
                <w:lang w:eastAsia="es-ES_tradnl"/>
              </w:rPr>
            </w:pPr>
          </w:p>
        </w:tc>
      </w:tr>
      <w:tr w:rsidR="00E026FB" w:rsidRPr="00661595" w:rsidTr="00E10B85">
        <w:tc>
          <w:tcPr>
            <w:tcW w:w="1256" w:type="dxa"/>
          </w:tcPr>
          <w:p w:rsidR="00E026FB" w:rsidRPr="00661595" w:rsidRDefault="00E026FB"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0320</w:t>
            </w:r>
          </w:p>
        </w:tc>
        <w:tc>
          <w:tcPr>
            <w:tcW w:w="7889" w:type="dxa"/>
          </w:tcPr>
          <w:p w:rsidR="00E026FB" w:rsidRPr="00661595" w:rsidRDefault="00E026FB" w:rsidP="00E10B85">
            <w:pPr>
              <w:autoSpaceDE w:val="0"/>
              <w:autoSpaceDN w:val="0"/>
              <w:adjustRightInd w:val="0"/>
              <w:spacing w:before="0" w:after="0"/>
              <w:jc w:val="left"/>
              <w:rPr>
                <w:rFonts w:ascii="Times New Roman" w:hAnsi="Times New Roman"/>
                <w:b/>
                <w:sz w:val="24"/>
                <w:u w:val="single"/>
                <w:lang w:eastAsia="es-ES_tradnl"/>
              </w:rPr>
            </w:pPr>
            <w:r w:rsidRPr="00661595">
              <w:rPr>
                <w:rFonts w:ascii="Times New Roman" w:hAnsi="Times New Roman"/>
                <w:b/>
                <w:sz w:val="24"/>
                <w:u w:val="single"/>
                <w:lang w:eastAsia="es-ES_tradnl"/>
              </w:rPr>
              <w:t xml:space="preserve">SPONSOR: TOTAL EXPOSURES </w:t>
            </w:r>
          </w:p>
          <w:p w:rsidR="00E026FB" w:rsidRPr="00661595" w:rsidRDefault="00E026FB" w:rsidP="00E10B85">
            <w:pPr>
              <w:autoSpaceDE w:val="0"/>
              <w:autoSpaceDN w:val="0"/>
              <w:adjustRightInd w:val="0"/>
              <w:spacing w:before="0" w:after="0"/>
              <w:jc w:val="left"/>
              <w:rPr>
                <w:rFonts w:ascii="Times New Roman" w:hAnsi="Times New Roman"/>
                <w:sz w:val="24"/>
                <w:lang w:eastAsia="es-ES_tradnl"/>
              </w:rPr>
            </w:pPr>
          </w:p>
          <w:p w:rsidR="00E026FB" w:rsidRPr="00661595" w:rsidRDefault="00E026FB" w:rsidP="00E10B85">
            <w:pPr>
              <w:autoSpaceDE w:val="0"/>
              <w:autoSpaceDN w:val="0"/>
              <w:adjustRightInd w:val="0"/>
              <w:spacing w:before="0" w:after="0"/>
              <w:rPr>
                <w:rFonts w:ascii="Times New Roman" w:hAnsi="Times New Roman"/>
                <w:sz w:val="24"/>
              </w:rPr>
            </w:pPr>
            <w:r w:rsidRPr="00661595">
              <w:rPr>
                <w:rFonts w:ascii="Times New Roman" w:hAnsi="Times New Roman"/>
                <w:sz w:val="24"/>
                <w:lang w:eastAsia="es-ES_tradnl"/>
              </w:rPr>
              <w:t>This row summari</w:t>
            </w:r>
            <w:r w:rsidR="00C7103D" w:rsidRPr="00661595">
              <w:rPr>
                <w:rFonts w:ascii="Times New Roman" w:hAnsi="Times New Roman"/>
                <w:sz w:val="24"/>
                <w:lang w:eastAsia="es-ES_tradnl"/>
              </w:rPr>
              <w:t>s</w:t>
            </w:r>
            <w:r w:rsidRPr="00661595">
              <w:rPr>
                <w:rFonts w:ascii="Times New Roman" w:hAnsi="Times New Roman"/>
                <w:sz w:val="24"/>
                <w:lang w:eastAsia="es-ES_tradnl"/>
              </w:rPr>
              <w:t xml:space="preserve">es information on on-balance and off-balance sheet items and derivatives of those securitisation and re-securitisation positions for which the institution plays the role of a sponsor, as defined </w:t>
            </w:r>
            <w:r w:rsidR="002409C1" w:rsidRPr="00661595">
              <w:rPr>
                <w:rFonts w:ascii="Times New Roman" w:hAnsi="Times New Roman"/>
                <w:sz w:val="24"/>
                <w:lang w:eastAsia="es-ES_tradnl"/>
              </w:rPr>
              <w:t>in</w:t>
            </w:r>
            <w:r w:rsidRPr="00661595">
              <w:rPr>
                <w:rFonts w:ascii="Times New Roman" w:hAnsi="Times New Roman"/>
                <w:sz w:val="24"/>
                <w:lang w:eastAsia="es-ES_tradnl"/>
              </w:rPr>
              <w:t xml:space="preserve"> </w:t>
            </w:r>
            <w:r w:rsidR="00F17B2E" w:rsidRPr="00661595">
              <w:rPr>
                <w:rFonts w:ascii="Times New Roman" w:hAnsi="Times New Roman"/>
                <w:sz w:val="24"/>
                <w:lang w:eastAsia="es-ES_tradnl"/>
              </w:rPr>
              <w:t xml:space="preserve">point (14) of </w:t>
            </w:r>
            <w:r w:rsidRPr="00661595">
              <w:rPr>
                <w:rFonts w:ascii="Times New Roman" w:hAnsi="Times New Roman"/>
                <w:sz w:val="24"/>
              </w:rPr>
              <w:t xml:space="preserve">Article 4(1) </w:t>
            </w:r>
            <w:r w:rsidR="00C7103D" w:rsidRPr="00661595">
              <w:rPr>
                <w:rFonts w:ascii="Times New Roman" w:hAnsi="Times New Roman"/>
                <w:sz w:val="24"/>
              </w:rPr>
              <w:t>CRR</w:t>
            </w:r>
            <w:r w:rsidRPr="00661595">
              <w:rPr>
                <w:rFonts w:ascii="Times New Roman" w:hAnsi="Times New Roman"/>
                <w:sz w:val="24"/>
              </w:rPr>
              <w:t>. If a sponsor is also securitising its own assets, it shall fill in the originator's rows with the information regarding its own securitised assets.</w:t>
            </w:r>
          </w:p>
          <w:p w:rsidR="00E026FB" w:rsidRPr="00661595" w:rsidRDefault="00E026FB" w:rsidP="00E10B85">
            <w:pPr>
              <w:autoSpaceDE w:val="0"/>
              <w:autoSpaceDN w:val="0"/>
              <w:adjustRightInd w:val="0"/>
              <w:spacing w:before="0" w:after="0"/>
              <w:rPr>
                <w:rFonts w:ascii="Times New Roman" w:hAnsi="Times New Roman"/>
                <w:sz w:val="24"/>
                <w:lang w:eastAsia="es-ES_tradnl"/>
              </w:rPr>
            </w:pPr>
          </w:p>
        </w:tc>
      </w:tr>
      <w:tr w:rsidR="00E026FB" w:rsidRPr="00661595" w:rsidTr="00E10B85">
        <w:tc>
          <w:tcPr>
            <w:tcW w:w="1256" w:type="dxa"/>
          </w:tcPr>
          <w:p w:rsidR="00E026FB" w:rsidRPr="00661595" w:rsidRDefault="00E026FB"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0440-0670</w:t>
            </w:r>
          </w:p>
        </w:tc>
        <w:tc>
          <w:tcPr>
            <w:tcW w:w="7889" w:type="dxa"/>
          </w:tcPr>
          <w:p w:rsidR="00E026FB" w:rsidRPr="00661595" w:rsidRDefault="00E026FB" w:rsidP="00E10B85">
            <w:pPr>
              <w:autoSpaceDE w:val="0"/>
              <w:autoSpaceDN w:val="0"/>
              <w:adjustRightInd w:val="0"/>
              <w:spacing w:before="0" w:after="0"/>
              <w:jc w:val="left"/>
              <w:rPr>
                <w:rFonts w:ascii="Times New Roman" w:hAnsi="Times New Roman"/>
                <w:b/>
                <w:sz w:val="24"/>
                <w:u w:val="single"/>
                <w:lang w:eastAsia="es-ES_tradnl"/>
              </w:rPr>
            </w:pPr>
            <w:r w:rsidRPr="00661595">
              <w:rPr>
                <w:rFonts w:ascii="Times New Roman" w:hAnsi="Times New Roman"/>
                <w:b/>
                <w:sz w:val="24"/>
                <w:u w:val="single"/>
                <w:lang w:eastAsia="es-ES_tradnl"/>
              </w:rPr>
              <w:t xml:space="preserve">BREAKDOWN OF OUTSTANDING POSITIONS </w:t>
            </w:r>
            <w:r w:rsidR="00F17B2E" w:rsidRPr="00661595">
              <w:rPr>
                <w:rFonts w:ascii="Times New Roman" w:hAnsi="Times New Roman"/>
                <w:b/>
                <w:sz w:val="24"/>
                <w:u w:val="single"/>
                <w:lang w:eastAsia="es-ES_tradnl"/>
              </w:rPr>
              <w:t>BY</w:t>
            </w:r>
            <w:r w:rsidRPr="00661595">
              <w:rPr>
                <w:rFonts w:ascii="Times New Roman" w:hAnsi="Times New Roman"/>
                <w:b/>
                <w:sz w:val="24"/>
                <w:u w:val="single"/>
                <w:lang w:eastAsia="es-ES_tradnl"/>
              </w:rPr>
              <w:t xml:space="preserve"> CQS AT INCEPTION</w:t>
            </w:r>
          </w:p>
          <w:p w:rsidR="00E026FB" w:rsidRPr="00661595" w:rsidRDefault="00E026FB" w:rsidP="00E10B85">
            <w:pPr>
              <w:autoSpaceDE w:val="0"/>
              <w:autoSpaceDN w:val="0"/>
              <w:adjustRightInd w:val="0"/>
              <w:spacing w:before="0" w:after="0"/>
              <w:jc w:val="left"/>
              <w:rPr>
                <w:rFonts w:ascii="Times New Roman" w:hAnsi="Times New Roman"/>
                <w:b/>
                <w:sz w:val="24"/>
                <w:u w:val="single"/>
                <w:lang w:eastAsia="es-ES_tradnl"/>
              </w:rPr>
            </w:pPr>
          </w:p>
          <w:p w:rsidR="00E026FB" w:rsidRPr="00661595" w:rsidRDefault="00E026FB" w:rsidP="00E10B85">
            <w:pPr>
              <w:autoSpaceDE w:val="0"/>
              <w:autoSpaceDN w:val="0"/>
              <w:adjustRightInd w:val="0"/>
              <w:spacing w:before="0" w:after="0"/>
              <w:rPr>
                <w:rFonts w:ascii="Times New Roman" w:hAnsi="Times New Roman"/>
                <w:sz w:val="24"/>
                <w:lang w:eastAsia="es-ES_tradnl"/>
              </w:rPr>
            </w:pPr>
            <w:r w:rsidRPr="00661595">
              <w:rPr>
                <w:rFonts w:ascii="Times New Roman" w:hAnsi="Times New Roman"/>
                <w:sz w:val="24"/>
                <w:lang w:eastAsia="es-ES_tradnl"/>
              </w:rPr>
              <w:t xml:space="preserve">These rows gather information on </w:t>
            </w:r>
            <w:r w:rsidR="00583884" w:rsidRPr="00661595">
              <w:rPr>
                <w:rFonts w:ascii="Times New Roman" w:hAnsi="Times New Roman"/>
                <w:sz w:val="24"/>
                <w:lang w:eastAsia="es-ES_tradnl"/>
              </w:rPr>
              <w:t xml:space="preserve">outstanding positions (at reporting date) for which a credit quality step </w:t>
            </w:r>
            <w:r w:rsidRPr="00661595">
              <w:rPr>
                <w:rFonts w:ascii="Times New Roman" w:hAnsi="Times New Roman"/>
                <w:sz w:val="24"/>
                <w:lang w:eastAsia="es-ES_tradnl"/>
              </w:rPr>
              <w:t>(</w:t>
            </w:r>
            <w:r w:rsidR="00F17B2E" w:rsidRPr="00661595">
              <w:rPr>
                <w:rFonts w:ascii="Times New Roman" w:hAnsi="Times New Roman"/>
                <w:sz w:val="24"/>
                <w:lang w:eastAsia="es-ES_tradnl"/>
              </w:rPr>
              <w:t xml:space="preserve">as </w:t>
            </w:r>
            <w:r w:rsidR="00133396" w:rsidRPr="00661595">
              <w:rPr>
                <w:rFonts w:ascii="Times New Roman" w:hAnsi="Times New Roman"/>
                <w:sz w:val="24"/>
                <w:lang w:eastAsia="es-ES_tradnl"/>
              </w:rPr>
              <w:t xml:space="preserve">laid down </w:t>
            </w:r>
            <w:r w:rsidRPr="00661595">
              <w:rPr>
                <w:rFonts w:ascii="Times New Roman" w:hAnsi="Times New Roman"/>
                <w:sz w:val="24"/>
                <w:lang w:eastAsia="es-ES_tradnl"/>
              </w:rPr>
              <w:t xml:space="preserve">in </w:t>
            </w:r>
            <w:r w:rsidR="00133396" w:rsidRPr="00661595">
              <w:rPr>
                <w:rFonts w:ascii="Times New Roman" w:hAnsi="Times New Roman"/>
                <w:sz w:val="24"/>
                <w:lang w:eastAsia="es-ES_tradnl"/>
              </w:rPr>
              <w:t xml:space="preserve">Tables 1 and 2 of </w:t>
            </w:r>
            <w:r w:rsidRPr="00661595">
              <w:rPr>
                <w:rFonts w:ascii="Times New Roman" w:hAnsi="Times New Roman"/>
                <w:sz w:val="24"/>
                <w:lang w:eastAsia="es-ES_tradnl"/>
              </w:rPr>
              <w:t xml:space="preserve">Article 263 and </w:t>
            </w:r>
            <w:r w:rsidR="00133396" w:rsidRPr="00661595">
              <w:rPr>
                <w:rFonts w:ascii="Times New Roman" w:hAnsi="Times New Roman"/>
                <w:sz w:val="24"/>
                <w:lang w:eastAsia="es-ES_tradnl"/>
              </w:rPr>
              <w:t xml:space="preserve">Tables 3 and 4 of Article </w:t>
            </w:r>
            <w:r w:rsidRPr="00661595">
              <w:rPr>
                <w:rFonts w:ascii="Times New Roman" w:hAnsi="Times New Roman"/>
                <w:sz w:val="24"/>
                <w:lang w:eastAsia="es-ES_tradnl"/>
              </w:rPr>
              <w:t xml:space="preserve">264 </w:t>
            </w:r>
            <w:r w:rsidR="00C7103D" w:rsidRPr="00661595">
              <w:rPr>
                <w:rFonts w:ascii="Times New Roman" w:hAnsi="Times New Roman"/>
                <w:sz w:val="24"/>
                <w:lang w:eastAsia="es-ES_tradnl"/>
              </w:rPr>
              <w:t>CRR</w:t>
            </w:r>
            <w:r w:rsidRPr="00661595">
              <w:rPr>
                <w:rFonts w:ascii="Times New Roman" w:hAnsi="Times New Roman"/>
                <w:sz w:val="24"/>
                <w:lang w:eastAsia="es-ES_tradnl"/>
              </w:rPr>
              <w:t xml:space="preserve">) </w:t>
            </w:r>
            <w:r w:rsidR="00F17B2E" w:rsidRPr="00661595">
              <w:rPr>
                <w:rFonts w:ascii="Times New Roman" w:hAnsi="Times New Roman"/>
                <w:sz w:val="24"/>
                <w:lang w:eastAsia="es-ES_tradnl"/>
              </w:rPr>
              <w:t xml:space="preserve">was determined </w:t>
            </w:r>
            <w:r w:rsidRPr="00661595">
              <w:rPr>
                <w:rFonts w:ascii="Times New Roman" w:hAnsi="Times New Roman"/>
                <w:sz w:val="24"/>
                <w:lang w:eastAsia="es-ES_tradnl"/>
              </w:rPr>
              <w:t xml:space="preserve">at origination date (inception). </w:t>
            </w:r>
            <w:r w:rsidR="00192744" w:rsidRPr="00661595">
              <w:rPr>
                <w:rFonts w:ascii="Times New Roman" w:hAnsi="Times New Roman"/>
                <w:sz w:val="24"/>
                <w:lang w:eastAsia="es-ES_tradnl"/>
              </w:rPr>
              <w:t xml:space="preserve">For securitisations positions treated under IAA, the CQS </w:t>
            </w:r>
            <w:r w:rsidR="00133396" w:rsidRPr="00661595">
              <w:rPr>
                <w:rFonts w:ascii="Times New Roman" w:hAnsi="Times New Roman"/>
                <w:sz w:val="24"/>
                <w:lang w:eastAsia="es-ES_tradnl"/>
              </w:rPr>
              <w:t xml:space="preserve">shall </w:t>
            </w:r>
            <w:r w:rsidR="00192744" w:rsidRPr="00661595">
              <w:rPr>
                <w:rFonts w:ascii="Times New Roman" w:hAnsi="Times New Roman"/>
                <w:sz w:val="24"/>
                <w:lang w:eastAsia="es-ES_tradnl"/>
              </w:rPr>
              <w:t xml:space="preserve">be the one at the time an IAA rating was first assigned. </w:t>
            </w:r>
            <w:r w:rsidRPr="00661595">
              <w:rPr>
                <w:rFonts w:ascii="Times New Roman" w:hAnsi="Times New Roman"/>
                <w:sz w:val="24"/>
                <w:lang w:eastAsia="es-ES_tradnl"/>
              </w:rPr>
              <w:t>In the absence of this information, the earliest CQS-equivalent data available shall be reported.</w:t>
            </w:r>
          </w:p>
          <w:p w:rsidR="00E026FB" w:rsidRPr="00661595" w:rsidRDefault="00E026FB" w:rsidP="00E10B85">
            <w:pPr>
              <w:autoSpaceDE w:val="0"/>
              <w:autoSpaceDN w:val="0"/>
              <w:adjustRightInd w:val="0"/>
              <w:spacing w:before="0" w:after="0"/>
              <w:jc w:val="left"/>
              <w:rPr>
                <w:rFonts w:ascii="Times New Roman" w:hAnsi="Times New Roman"/>
                <w:sz w:val="24"/>
                <w:lang w:eastAsia="es-ES_tradnl"/>
              </w:rPr>
            </w:pPr>
          </w:p>
          <w:p w:rsidR="00E026FB" w:rsidRPr="00661595" w:rsidRDefault="00E026FB" w:rsidP="00E10B85">
            <w:pPr>
              <w:autoSpaceDE w:val="0"/>
              <w:autoSpaceDN w:val="0"/>
              <w:adjustRightInd w:val="0"/>
              <w:spacing w:before="0" w:after="0"/>
              <w:rPr>
                <w:rFonts w:ascii="Times New Roman" w:hAnsi="Times New Roman"/>
                <w:sz w:val="24"/>
                <w:lang w:eastAsia="es-ES_tradnl"/>
              </w:rPr>
            </w:pPr>
            <w:r w:rsidRPr="00661595">
              <w:rPr>
                <w:rFonts w:ascii="Times New Roman" w:hAnsi="Times New Roman"/>
                <w:sz w:val="24"/>
                <w:lang w:eastAsia="es-ES_tradnl"/>
              </w:rPr>
              <w:t>These rows are only to be reported for columns 0180-0210, 0280, 0350-0640</w:t>
            </w:r>
            <w:r w:rsidR="00342C4B" w:rsidRPr="00661595">
              <w:rPr>
                <w:rFonts w:ascii="Times New Roman" w:hAnsi="Times New Roman"/>
                <w:sz w:val="24"/>
                <w:lang w:eastAsia="es-ES_tradnl"/>
              </w:rPr>
              <w:t xml:space="preserve">, </w:t>
            </w:r>
            <w:r w:rsidRPr="00661595">
              <w:rPr>
                <w:rFonts w:ascii="Times New Roman" w:hAnsi="Times New Roman"/>
                <w:sz w:val="24"/>
                <w:lang w:eastAsia="es-ES_tradnl"/>
              </w:rPr>
              <w:t>0700-0720, 074</w:t>
            </w:r>
            <w:r w:rsidR="00342C4B" w:rsidRPr="00661595">
              <w:rPr>
                <w:rFonts w:ascii="Times New Roman" w:hAnsi="Times New Roman"/>
                <w:sz w:val="24"/>
                <w:lang w:eastAsia="es-ES_tradnl"/>
              </w:rPr>
              <w:t>0</w:t>
            </w:r>
            <w:r w:rsidRPr="00661595">
              <w:rPr>
                <w:rFonts w:ascii="Times New Roman" w:hAnsi="Times New Roman"/>
                <w:sz w:val="24"/>
                <w:lang w:eastAsia="es-ES_tradnl"/>
              </w:rPr>
              <w:t>, 0760-0830 and 0850.</w:t>
            </w:r>
          </w:p>
          <w:p w:rsidR="00E026FB" w:rsidRPr="00661595" w:rsidRDefault="00E026FB" w:rsidP="00E10B85">
            <w:pPr>
              <w:autoSpaceDE w:val="0"/>
              <w:autoSpaceDN w:val="0"/>
              <w:adjustRightInd w:val="0"/>
              <w:spacing w:before="0" w:after="0"/>
              <w:jc w:val="left"/>
              <w:rPr>
                <w:rFonts w:ascii="Times New Roman" w:hAnsi="Times New Roman"/>
                <w:b/>
                <w:sz w:val="24"/>
                <w:u w:val="single"/>
                <w:lang w:eastAsia="es-ES_tradnl"/>
              </w:rPr>
            </w:pPr>
          </w:p>
        </w:tc>
      </w:tr>
    </w:tbl>
    <w:p w:rsidR="00E026FB" w:rsidRPr="00661595" w:rsidRDefault="00E026FB" w:rsidP="00612780">
      <w:pPr>
        <w:autoSpaceDE w:val="0"/>
        <w:autoSpaceDN w:val="0"/>
        <w:adjustRightInd w:val="0"/>
        <w:spacing w:before="0" w:after="0"/>
        <w:jc w:val="left"/>
        <w:rPr>
          <w:rFonts w:ascii="Times New Roman" w:hAnsi="Times New Roman"/>
          <w:sz w:val="24"/>
          <w:lang w:eastAsia="es-ES_tradnl"/>
        </w:rPr>
      </w:pPr>
    </w:p>
    <w:p w:rsidR="00612780"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418" w:name="_Toc239157390"/>
      <w:bookmarkStart w:id="419" w:name="_Toc310415046"/>
      <w:bookmarkStart w:id="420" w:name="_Toc360188381"/>
      <w:bookmarkStart w:id="421" w:name="_Toc473560932"/>
      <w:bookmarkStart w:id="422" w:name="_Toc57831586"/>
      <w:r w:rsidRPr="00661595">
        <w:rPr>
          <w:rFonts w:ascii="Times New Roman" w:hAnsi="Times New Roman" w:cs="Times New Roman"/>
          <w:sz w:val="24"/>
          <w:u w:val="none"/>
          <w:lang w:val="en-GB"/>
        </w:rPr>
        <w:t>3.</w:t>
      </w:r>
      <w:r w:rsidR="00A2220F" w:rsidRPr="00661595">
        <w:rPr>
          <w:rFonts w:ascii="Times New Roman" w:hAnsi="Times New Roman" w:cs="Times New Roman"/>
          <w:sz w:val="24"/>
          <w:u w:val="none"/>
          <w:lang w:val="en-GB"/>
        </w:rPr>
        <w:t>8</w:t>
      </w:r>
      <w:r w:rsidRPr="00661595">
        <w:rPr>
          <w:rFonts w:ascii="Times New Roman" w:hAnsi="Times New Roman" w:cs="Times New Roman"/>
          <w:sz w:val="24"/>
          <w:u w:val="none"/>
          <w:lang w:val="en-GB"/>
        </w:rPr>
        <w:t>.</w:t>
      </w:r>
      <w:r w:rsidRPr="00661595">
        <w:rPr>
          <w:rFonts w:ascii="Times New Roman" w:hAnsi="Times New Roman" w:cs="Times New Roman"/>
          <w:sz w:val="24"/>
          <w:u w:val="none"/>
          <w:lang w:val="en-GB"/>
        </w:rPr>
        <w:tab/>
      </w:r>
      <w:bookmarkEnd w:id="418"/>
      <w:r w:rsidR="00612780" w:rsidRPr="00661595">
        <w:rPr>
          <w:rFonts w:ascii="Times New Roman" w:hAnsi="Times New Roman" w:cs="Times New Roman"/>
          <w:sz w:val="24"/>
          <w:lang w:val="en-GB"/>
        </w:rPr>
        <w:t>Detailed information on securitisations</w:t>
      </w:r>
      <w:bookmarkEnd w:id="419"/>
      <w:bookmarkEnd w:id="420"/>
      <w:r w:rsidR="009769DE" w:rsidRPr="00661595">
        <w:rPr>
          <w:rFonts w:ascii="Times New Roman" w:hAnsi="Times New Roman" w:cs="Times New Roman"/>
          <w:sz w:val="24"/>
          <w:lang w:val="en-GB"/>
        </w:rPr>
        <w:t xml:space="preserve"> (SEC DETAILS)</w:t>
      </w:r>
      <w:bookmarkEnd w:id="421"/>
      <w:bookmarkEnd w:id="422"/>
    </w:p>
    <w:p w:rsidR="00612780" w:rsidRPr="00661595" w:rsidRDefault="00A2220F" w:rsidP="0023700C">
      <w:pPr>
        <w:pStyle w:val="Instructionsberschrift2"/>
        <w:numPr>
          <w:ilvl w:val="0"/>
          <w:numId w:val="0"/>
        </w:numPr>
        <w:ind w:left="357" w:hanging="357"/>
        <w:rPr>
          <w:rFonts w:ascii="Times New Roman" w:hAnsi="Times New Roman" w:cs="Times New Roman"/>
          <w:sz w:val="24"/>
          <w:u w:val="none"/>
          <w:lang w:val="en-GB"/>
        </w:rPr>
      </w:pPr>
      <w:bookmarkStart w:id="423" w:name="_Toc310415047"/>
      <w:bookmarkStart w:id="424" w:name="_Toc360188382"/>
      <w:bookmarkStart w:id="425" w:name="_Toc473560933"/>
      <w:bookmarkStart w:id="426" w:name="_Toc57831587"/>
      <w:r w:rsidRPr="00661595">
        <w:rPr>
          <w:rFonts w:ascii="Times New Roman" w:hAnsi="Times New Roman" w:cs="Times New Roman"/>
          <w:sz w:val="24"/>
          <w:u w:val="none"/>
          <w:lang w:val="en-GB"/>
        </w:rPr>
        <w:t>3.8</w:t>
      </w:r>
      <w:r w:rsidR="00125707" w:rsidRPr="00661595">
        <w:rPr>
          <w:rFonts w:ascii="Times New Roman" w:hAnsi="Times New Roman" w:cs="Times New Roman"/>
          <w:sz w:val="24"/>
          <w:u w:val="none"/>
          <w:lang w:val="en-GB"/>
        </w:rPr>
        <w:t>.1.</w:t>
      </w:r>
      <w:r w:rsidR="00125707" w:rsidRPr="00661595">
        <w:rPr>
          <w:rFonts w:ascii="Times New Roman" w:hAnsi="Times New Roman" w:cs="Times New Roman"/>
          <w:sz w:val="24"/>
          <w:u w:val="none"/>
          <w:lang w:val="en-GB"/>
        </w:rPr>
        <w:tab/>
      </w:r>
      <w:r w:rsidR="00062A1F" w:rsidRPr="00661595">
        <w:rPr>
          <w:rFonts w:ascii="Times New Roman" w:hAnsi="Times New Roman" w:cs="Times New Roman"/>
          <w:sz w:val="24"/>
          <w:u w:val="none"/>
          <w:lang w:val="en-GB"/>
        </w:rPr>
        <w:t>Scope of the SEC DETAILS template</w:t>
      </w:r>
      <w:bookmarkEnd w:id="423"/>
      <w:bookmarkEnd w:id="424"/>
      <w:bookmarkEnd w:id="425"/>
      <w:bookmarkEnd w:id="426"/>
    </w:p>
    <w:bookmarkStart w:id="427" w:name="_Toc310415048"/>
    <w:bookmarkStart w:id="428" w:name="_Toc360188383"/>
    <w:bookmarkStart w:id="429" w:name="_Toc473560934"/>
    <w:p w:rsidR="00062A1F" w:rsidRPr="00661595" w:rsidRDefault="00771068" w:rsidP="00487A02">
      <w:pPr>
        <w:pStyle w:val="InstructionsText2"/>
        <w:numPr>
          <w:ilvl w:val="0"/>
          <w:numId w:val="0"/>
        </w:numPr>
        <w:ind w:left="1353" w:hanging="360"/>
      </w:pPr>
      <w:r>
        <w:fldChar w:fldCharType="begin"/>
      </w:r>
      <w:r>
        <w:instrText xml:space="preserve"> seq paragraphs </w:instrText>
      </w:r>
      <w:r>
        <w:fldChar w:fldCharType="separate"/>
      </w:r>
      <w:r>
        <w:rPr>
          <w:noProof/>
        </w:rPr>
        <w:t>111</w:t>
      </w:r>
      <w:r>
        <w:fldChar w:fldCharType="end"/>
      </w:r>
      <w:r w:rsidR="00062A1F" w:rsidRPr="00661595">
        <w:t>.</w:t>
      </w:r>
      <w:r w:rsidR="00062A1F" w:rsidRPr="00661595">
        <w:tab/>
      </w:r>
      <w:r w:rsidR="005C14B0" w:rsidRPr="00661595">
        <w:t xml:space="preserve"> </w:t>
      </w:r>
      <w:r w:rsidR="00062A1F" w:rsidRPr="00661595">
        <w:t xml:space="preserve">These templates gather information on a transaction basis (versus the aggregate information reported in CR SEC, MKR SA SEC, MKR SA CTP, CA1 and CA2 templates) on all securitisations the reporting institution is involved in. The main features of each securitisation, such as the nature of the underlying pool and the own funds requirements shall be reported. </w:t>
      </w:r>
    </w:p>
    <w:p w:rsidR="00062A1F" w:rsidRPr="00661595" w:rsidRDefault="00D11E4C" w:rsidP="00487A02">
      <w:pPr>
        <w:pStyle w:val="InstructionsText2"/>
        <w:numPr>
          <w:ilvl w:val="0"/>
          <w:numId w:val="0"/>
        </w:numPr>
        <w:ind w:left="1353" w:hanging="360"/>
      </w:pPr>
      <w:fldSimple w:instr=" seq paragraphs ">
        <w:r w:rsidR="00771068">
          <w:rPr>
            <w:noProof/>
          </w:rPr>
          <w:t>112</w:t>
        </w:r>
      </w:fldSimple>
      <w:r w:rsidR="00062A1F" w:rsidRPr="00661595">
        <w:t>.</w:t>
      </w:r>
      <w:r w:rsidR="00062A1F" w:rsidRPr="00661595">
        <w:tab/>
      </w:r>
      <w:r w:rsidR="005C14B0" w:rsidRPr="00661595">
        <w:t xml:space="preserve"> </w:t>
      </w:r>
      <w:r w:rsidR="00062A1F" w:rsidRPr="00661595">
        <w:t>These template are to be reported for:</w:t>
      </w:r>
    </w:p>
    <w:p w:rsidR="002409C1" w:rsidRPr="00661595" w:rsidRDefault="00062A1F" w:rsidP="00487A02">
      <w:pPr>
        <w:pStyle w:val="InstructionsText2"/>
        <w:numPr>
          <w:ilvl w:val="0"/>
          <w:numId w:val="0"/>
        </w:numPr>
        <w:ind w:left="1353" w:hanging="360"/>
      </w:pPr>
      <w:r w:rsidRPr="00661595">
        <w:t>a.</w:t>
      </w:r>
      <w:r w:rsidRPr="00661595">
        <w:tab/>
        <w:t xml:space="preserve">Securitisations originated / sponsored by the reporting institution, including where it holds no position in the securitisation. In cases where </w:t>
      </w:r>
      <w:r w:rsidR="00E20FAC" w:rsidRPr="00661595">
        <w:t>institutions</w:t>
      </w:r>
      <w:r w:rsidRPr="00661595">
        <w:t xml:space="preserve"> hold at least one position in the securitisation, regardless of whether there has been a significant risk transfer or not, institutions shall report information on all the positions they hold (either in the banking book or trading book). Positions held include those positions retained due to Article 6 of Regulation (EU) 2017/2402 and</w:t>
      </w:r>
      <w:r w:rsidR="00F17B2E" w:rsidRPr="00661595">
        <w:t>, where</w:t>
      </w:r>
      <w:r w:rsidRPr="00661595">
        <w:t xml:space="preserve"> Article 43(6) of th</w:t>
      </w:r>
      <w:r w:rsidR="002409C1" w:rsidRPr="00661595">
        <w:t>at</w:t>
      </w:r>
      <w:r w:rsidRPr="00661595">
        <w:t xml:space="preserve"> Regulation applies, Article 405 </w:t>
      </w:r>
      <w:r w:rsidR="00C7103D" w:rsidRPr="00661595">
        <w:t>CRR</w:t>
      </w:r>
      <w:r w:rsidRPr="00661595">
        <w:t xml:space="preserve"> in the version applicable on 31 December 2018</w:t>
      </w:r>
      <w:r w:rsidR="00F17B2E" w:rsidRPr="00661595">
        <w:t>.</w:t>
      </w:r>
    </w:p>
    <w:p w:rsidR="00062A1F" w:rsidRPr="00661595" w:rsidRDefault="00062A1F" w:rsidP="00487A02">
      <w:pPr>
        <w:pStyle w:val="InstructionsText2"/>
        <w:numPr>
          <w:ilvl w:val="0"/>
          <w:numId w:val="0"/>
        </w:numPr>
        <w:ind w:left="1353" w:hanging="360"/>
      </w:pPr>
      <w:r w:rsidRPr="00661595">
        <w:t>b.</w:t>
      </w:r>
      <w:r w:rsidRPr="00661595">
        <w:tab/>
        <w:t>Securitisations, the ultimate underlying of which are financial liabilities originally issued by the reporting institution and (partially) acquired by a securitisation vehicle. Th</w:t>
      </w:r>
      <w:r w:rsidR="002409C1" w:rsidRPr="00661595">
        <w:t>at</w:t>
      </w:r>
      <w:r w:rsidRPr="00661595">
        <w:t xml:space="preserve"> underlying could include covered bonds or other liabilities and shall be identified as such in column </w:t>
      </w:r>
      <w:r w:rsidR="006E0E76" w:rsidRPr="00661595">
        <w:t>0</w:t>
      </w:r>
      <w:r w:rsidRPr="00661595">
        <w:t>160.</w:t>
      </w:r>
    </w:p>
    <w:p w:rsidR="00062A1F" w:rsidRPr="00661595" w:rsidRDefault="002409C1" w:rsidP="00487A02">
      <w:pPr>
        <w:pStyle w:val="InstructionsText2"/>
        <w:numPr>
          <w:ilvl w:val="0"/>
          <w:numId w:val="0"/>
        </w:numPr>
        <w:ind w:left="1353" w:hanging="360"/>
      </w:pPr>
      <w:r w:rsidRPr="00661595">
        <w:t>c</w:t>
      </w:r>
      <w:r w:rsidR="00062A1F" w:rsidRPr="00661595">
        <w:t>.</w:t>
      </w:r>
      <w:r w:rsidR="00062A1F" w:rsidRPr="00661595">
        <w:tab/>
        <w:t>Positions held in securitisations where the reporting institution is neither originator nor sponsor (i.e. investors and original lenders).</w:t>
      </w:r>
    </w:p>
    <w:p w:rsidR="00062A1F" w:rsidRPr="00661595" w:rsidRDefault="00D11E4C" w:rsidP="00487A02">
      <w:pPr>
        <w:pStyle w:val="InstructionsText2"/>
        <w:numPr>
          <w:ilvl w:val="0"/>
          <w:numId w:val="0"/>
        </w:numPr>
        <w:ind w:left="1353" w:hanging="360"/>
      </w:pPr>
      <w:fldSimple w:instr=" seq paragraphs ">
        <w:r w:rsidR="00771068">
          <w:rPr>
            <w:noProof/>
          </w:rPr>
          <w:t>113</w:t>
        </w:r>
      </w:fldSimple>
      <w:r w:rsidR="00062A1F" w:rsidRPr="00661595">
        <w:t>.</w:t>
      </w:r>
      <w:r w:rsidR="00062A1F" w:rsidRPr="00661595">
        <w:tab/>
      </w:r>
      <w:r w:rsidR="005C14B0" w:rsidRPr="00661595">
        <w:t xml:space="preserve"> </w:t>
      </w:r>
      <w:r w:rsidR="00062A1F" w:rsidRPr="00661595">
        <w:t>These templates shall be reported by consolidated groups and stand-alone institutions</w:t>
      </w:r>
      <w:r w:rsidR="00062A1F" w:rsidRPr="00661595">
        <w:footnoteReference w:id="12"/>
      </w:r>
      <w:r w:rsidR="00062A1F" w:rsidRPr="00661595">
        <w:t xml:space="preserve"> located in the same country where they are subject to own funds requirements. In case of securitisations involving more than one entity of the same consolidated group, the entity-by-entity detail breakdown shall be provided. </w:t>
      </w:r>
    </w:p>
    <w:p w:rsidR="00062A1F" w:rsidRPr="00661595" w:rsidRDefault="00D11E4C" w:rsidP="00487A02">
      <w:pPr>
        <w:pStyle w:val="InstructionsText2"/>
        <w:numPr>
          <w:ilvl w:val="0"/>
          <w:numId w:val="0"/>
        </w:numPr>
        <w:ind w:left="1353" w:hanging="360"/>
      </w:pPr>
      <w:fldSimple w:instr=" seq paragraphs ">
        <w:r w:rsidR="00771068">
          <w:rPr>
            <w:noProof/>
          </w:rPr>
          <w:t>114</w:t>
        </w:r>
      </w:fldSimple>
      <w:r w:rsidR="00062A1F" w:rsidRPr="00661595">
        <w:t>.</w:t>
      </w:r>
      <w:r w:rsidR="00062A1F" w:rsidRPr="00661595">
        <w:tab/>
      </w:r>
      <w:r w:rsidR="005C14B0" w:rsidRPr="00661595">
        <w:t xml:space="preserve"> </w:t>
      </w:r>
      <w:r w:rsidR="002409C1" w:rsidRPr="00661595">
        <w:t>Because of</w:t>
      </w:r>
      <w:r w:rsidR="00062A1F" w:rsidRPr="00661595">
        <w:t xml:space="preserve"> Article 5 of Regulation (EU) 2017/2402, which establishes that institutions investing in securitisation positions shall acquire a great deal of information on them in order to comply with due diligence requirements</w:t>
      </w:r>
      <w:r w:rsidR="002409C1" w:rsidRPr="00661595">
        <w:t>,</w:t>
      </w:r>
      <w:r w:rsidR="00062A1F" w:rsidRPr="00661595">
        <w:t xml:space="preserve"> the reporting scope of the template </w:t>
      </w:r>
      <w:r w:rsidR="002409C1" w:rsidRPr="00661595">
        <w:t>shall be</w:t>
      </w:r>
      <w:r w:rsidR="00062A1F" w:rsidRPr="00661595">
        <w:t xml:space="preserve"> applied to investors</w:t>
      </w:r>
      <w:r w:rsidR="002409C1" w:rsidRPr="00661595">
        <w:t xml:space="preserve"> to a limited extent</w:t>
      </w:r>
      <w:r w:rsidR="00062A1F" w:rsidRPr="00661595">
        <w:t>. In particular, they shall report columns 0</w:t>
      </w:r>
      <w:r w:rsidR="006E0E76" w:rsidRPr="00661595">
        <w:t>0</w:t>
      </w:r>
      <w:r w:rsidR="00062A1F" w:rsidRPr="00661595">
        <w:t>10-0</w:t>
      </w:r>
      <w:r w:rsidR="006E0E76" w:rsidRPr="00661595">
        <w:t>0</w:t>
      </w:r>
      <w:r w:rsidR="00062A1F" w:rsidRPr="00661595">
        <w:t>40; 0</w:t>
      </w:r>
      <w:r w:rsidR="006E0E76" w:rsidRPr="00661595">
        <w:t>0</w:t>
      </w:r>
      <w:r w:rsidR="00062A1F" w:rsidRPr="00661595">
        <w:t>70-</w:t>
      </w:r>
      <w:r w:rsidR="006E0E76" w:rsidRPr="00661595">
        <w:t>0</w:t>
      </w:r>
      <w:r w:rsidR="00062A1F" w:rsidRPr="00661595">
        <w:t xml:space="preserve">110; </w:t>
      </w:r>
      <w:r w:rsidR="006E0E76" w:rsidRPr="00661595">
        <w:t>0</w:t>
      </w:r>
      <w:r w:rsidR="0027034D" w:rsidRPr="00661595">
        <w:t>160</w:t>
      </w:r>
      <w:r w:rsidR="00062A1F" w:rsidRPr="00661595">
        <w:t xml:space="preserve">; </w:t>
      </w:r>
      <w:r w:rsidR="006E0E76" w:rsidRPr="00661595">
        <w:t>0</w:t>
      </w:r>
      <w:r w:rsidR="00062A1F" w:rsidRPr="00661595">
        <w:t xml:space="preserve">190; </w:t>
      </w:r>
      <w:r w:rsidR="006E0E76" w:rsidRPr="00661595">
        <w:t>0</w:t>
      </w:r>
      <w:r w:rsidR="00062A1F" w:rsidRPr="00661595">
        <w:t>290-</w:t>
      </w:r>
      <w:r w:rsidR="006E0E76" w:rsidRPr="00661595">
        <w:t>0</w:t>
      </w:r>
      <w:r w:rsidR="00062A1F" w:rsidRPr="00661595">
        <w:t xml:space="preserve">300; </w:t>
      </w:r>
      <w:r w:rsidR="006E0E76" w:rsidRPr="00661595">
        <w:t>0</w:t>
      </w:r>
      <w:r w:rsidR="00062A1F" w:rsidRPr="00661595">
        <w:t>310-</w:t>
      </w:r>
      <w:r w:rsidR="006E0E76" w:rsidRPr="00661595">
        <w:t>0</w:t>
      </w:r>
      <w:r w:rsidR="00062A1F" w:rsidRPr="00661595">
        <w:t>470.</w:t>
      </w:r>
    </w:p>
    <w:p w:rsidR="00062A1F" w:rsidRPr="00661595" w:rsidRDefault="00D11E4C" w:rsidP="00487A02">
      <w:pPr>
        <w:pStyle w:val="InstructionsText2"/>
        <w:numPr>
          <w:ilvl w:val="0"/>
          <w:numId w:val="0"/>
        </w:numPr>
        <w:ind w:left="1353" w:hanging="360"/>
      </w:pPr>
      <w:fldSimple w:instr=" seq paragraphs ">
        <w:r w:rsidR="00771068">
          <w:rPr>
            <w:noProof/>
          </w:rPr>
          <w:t>115</w:t>
        </w:r>
      </w:fldSimple>
      <w:r w:rsidR="00062A1F" w:rsidRPr="00661595">
        <w:t>.</w:t>
      </w:r>
      <w:r w:rsidR="00062A1F" w:rsidRPr="00661595">
        <w:tab/>
      </w:r>
      <w:r w:rsidR="005C14B0" w:rsidRPr="00661595">
        <w:t xml:space="preserve"> </w:t>
      </w:r>
      <w:r w:rsidR="00062A1F" w:rsidRPr="00661595">
        <w:t>Institutions playing the role of original lenders (not performing also the role of originators</w:t>
      </w:r>
      <w:r w:rsidR="00370576" w:rsidRPr="00661595">
        <w:t xml:space="preserve"> </w:t>
      </w:r>
      <w:r w:rsidR="00062A1F" w:rsidRPr="00661595">
        <w:t>or sponsors</w:t>
      </w:r>
      <w:r w:rsidR="00370576" w:rsidRPr="00661595">
        <w:t xml:space="preserve"> </w:t>
      </w:r>
      <w:r w:rsidR="00062A1F" w:rsidRPr="00661595">
        <w:t>in the same securitisation) shall generally report the template to the same extent as investors.</w:t>
      </w:r>
    </w:p>
    <w:p w:rsidR="00062A1F" w:rsidRPr="00661595" w:rsidRDefault="00A2220F" w:rsidP="003B3533">
      <w:pPr>
        <w:pStyle w:val="Instructionsberschrift2"/>
        <w:numPr>
          <w:ilvl w:val="0"/>
          <w:numId w:val="0"/>
        </w:numPr>
        <w:ind w:left="357" w:hanging="357"/>
        <w:rPr>
          <w:rFonts w:ascii="Times New Roman" w:hAnsi="Times New Roman" w:cs="Times New Roman"/>
          <w:sz w:val="24"/>
          <w:u w:val="none"/>
          <w:lang w:val="en-GB"/>
        </w:rPr>
      </w:pPr>
      <w:bookmarkStart w:id="430" w:name="_Toc522019892"/>
      <w:bookmarkStart w:id="431" w:name="_Toc57831588"/>
      <w:r w:rsidRPr="00661595">
        <w:rPr>
          <w:rFonts w:ascii="Times New Roman" w:hAnsi="Times New Roman" w:cs="Times New Roman"/>
          <w:sz w:val="24"/>
          <w:u w:val="none"/>
          <w:lang w:val="en-GB"/>
        </w:rPr>
        <w:t>3.8</w:t>
      </w:r>
      <w:r w:rsidR="00062A1F" w:rsidRPr="00661595">
        <w:rPr>
          <w:rFonts w:ascii="Times New Roman" w:hAnsi="Times New Roman" w:cs="Times New Roman"/>
          <w:sz w:val="24"/>
          <w:u w:val="none"/>
          <w:lang w:val="en-GB"/>
        </w:rPr>
        <w:t>.2 Breakdown of the SEC DETAILS template</w:t>
      </w:r>
      <w:bookmarkEnd w:id="430"/>
      <w:bookmarkEnd w:id="431"/>
    </w:p>
    <w:p w:rsidR="00062A1F" w:rsidRPr="00661595" w:rsidRDefault="00D11E4C" w:rsidP="00487A02">
      <w:pPr>
        <w:pStyle w:val="InstructionsText2"/>
        <w:numPr>
          <w:ilvl w:val="0"/>
          <w:numId w:val="0"/>
        </w:numPr>
        <w:ind w:left="1353" w:hanging="360"/>
      </w:pPr>
      <w:fldSimple w:instr=" seq paragraphs ">
        <w:r w:rsidR="00771068">
          <w:rPr>
            <w:noProof/>
          </w:rPr>
          <w:t>116</w:t>
        </w:r>
      </w:fldSimple>
      <w:r w:rsidR="00062A1F" w:rsidRPr="00661595">
        <w:t xml:space="preserve">. The SEC DETAILS consists of two templates. SEC DETAILS provides a general overview of the securitisations and SEC DETAILS 2 provides a breakdown of the same securitisations by approach applied. </w:t>
      </w:r>
    </w:p>
    <w:p w:rsidR="00062A1F" w:rsidRPr="00661595" w:rsidRDefault="00D11E4C" w:rsidP="00487A02">
      <w:pPr>
        <w:pStyle w:val="InstructionsText2"/>
        <w:numPr>
          <w:ilvl w:val="0"/>
          <w:numId w:val="0"/>
        </w:numPr>
        <w:ind w:left="1353" w:hanging="360"/>
      </w:pPr>
      <w:fldSimple w:instr=" seq paragraphs ">
        <w:r w:rsidR="00771068">
          <w:rPr>
            <w:noProof/>
          </w:rPr>
          <w:t>117</w:t>
        </w:r>
      </w:fldSimple>
      <w:r w:rsidR="00062A1F" w:rsidRPr="00661595">
        <w:t>. Securitisation positions in the trading book s</w:t>
      </w:r>
      <w:r w:rsidR="00E20FAC" w:rsidRPr="00661595">
        <w:t xml:space="preserve">hall </w:t>
      </w:r>
      <w:r w:rsidR="00062A1F" w:rsidRPr="00661595">
        <w:t xml:space="preserve">only be reported in columns </w:t>
      </w:r>
      <w:r w:rsidR="006E0E76" w:rsidRPr="00661595">
        <w:t>0</w:t>
      </w:r>
      <w:r w:rsidR="00062A1F" w:rsidRPr="00661595">
        <w:t>005-</w:t>
      </w:r>
      <w:r w:rsidR="006E0E76" w:rsidRPr="00661595">
        <w:t>0</w:t>
      </w:r>
      <w:r w:rsidR="00062A1F" w:rsidRPr="00661595">
        <w:t xml:space="preserve">020, </w:t>
      </w:r>
      <w:r w:rsidR="006E0E76" w:rsidRPr="00661595">
        <w:t>0</w:t>
      </w:r>
      <w:r w:rsidR="00062A1F" w:rsidRPr="00661595">
        <w:t xml:space="preserve">420, </w:t>
      </w:r>
      <w:r w:rsidR="006E0E76" w:rsidRPr="00661595">
        <w:t>0</w:t>
      </w:r>
      <w:r w:rsidR="00062A1F" w:rsidRPr="00661595">
        <w:t xml:space="preserve">430, </w:t>
      </w:r>
      <w:r w:rsidR="006E0E76" w:rsidRPr="00661595">
        <w:t>0</w:t>
      </w:r>
      <w:r w:rsidR="00C94812" w:rsidRPr="00661595">
        <w:t xml:space="preserve">431, </w:t>
      </w:r>
      <w:r w:rsidR="006E0E76" w:rsidRPr="00661595">
        <w:t>0</w:t>
      </w:r>
      <w:r w:rsidR="00C94812" w:rsidRPr="00661595">
        <w:t xml:space="preserve">432, </w:t>
      </w:r>
      <w:r w:rsidR="006E0E76" w:rsidRPr="00661595">
        <w:t>0</w:t>
      </w:r>
      <w:r w:rsidR="00062A1F" w:rsidRPr="00661595">
        <w:t xml:space="preserve">440 and </w:t>
      </w:r>
      <w:r w:rsidR="006E0E76" w:rsidRPr="00661595">
        <w:t>0</w:t>
      </w:r>
      <w:r w:rsidR="00062A1F" w:rsidRPr="00661595">
        <w:t>450-</w:t>
      </w:r>
      <w:r w:rsidR="006E0E76" w:rsidRPr="00661595">
        <w:t>0</w:t>
      </w:r>
      <w:r w:rsidR="00062A1F" w:rsidRPr="00661595">
        <w:t xml:space="preserve">470. For columns </w:t>
      </w:r>
      <w:r w:rsidR="006E0E76" w:rsidRPr="00661595">
        <w:t>0</w:t>
      </w:r>
      <w:r w:rsidR="00062A1F" w:rsidRPr="00661595">
        <w:t xml:space="preserve">420, </w:t>
      </w:r>
      <w:r w:rsidR="006E0E76" w:rsidRPr="00661595">
        <w:t>0</w:t>
      </w:r>
      <w:r w:rsidR="00062A1F" w:rsidRPr="00661595">
        <w:t xml:space="preserve">430 and </w:t>
      </w:r>
      <w:r w:rsidR="006E0E76" w:rsidRPr="00661595">
        <w:t>0</w:t>
      </w:r>
      <w:r w:rsidR="00062A1F" w:rsidRPr="00661595">
        <w:t>440</w:t>
      </w:r>
      <w:r w:rsidR="002409C1" w:rsidRPr="00661595">
        <w:t>,</w:t>
      </w:r>
      <w:r w:rsidR="00062A1F" w:rsidRPr="00661595">
        <w:t xml:space="preserve"> </w:t>
      </w:r>
      <w:r w:rsidR="00E20FAC" w:rsidRPr="00661595">
        <w:t>institutions shall</w:t>
      </w:r>
      <w:r w:rsidR="00062A1F" w:rsidRPr="00661595">
        <w:t xml:space="preserve"> take into account the RW corresponding to the own fund</w:t>
      </w:r>
      <w:r w:rsidR="00E20FAC" w:rsidRPr="00661595">
        <w:t>s</w:t>
      </w:r>
      <w:r w:rsidR="00062A1F" w:rsidRPr="00661595">
        <w:t xml:space="preserve"> requirement of the net position. </w:t>
      </w:r>
    </w:p>
    <w:p w:rsidR="00612780" w:rsidRPr="00661595" w:rsidRDefault="00A2220F">
      <w:pPr>
        <w:pStyle w:val="Instructionsberschrift2"/>
        <w:numPr>
          <w:ilvl w:val="0"/>
          <w:numId w:val="0"/>
        </w:numPr>
        <w:ind w:left="357" w:hanging="357"/>
        <w:rPr>
          <w:rFonts w:ascii="Times New Roman" w:hAnsi="Times New Roman" w:cs="Times New Roman"/>
          <w:sz w:val="24"/>
          <w:u w:val="none"/>
          <w:lang w:val="en-GB"/>
        </w:rPr>
      </w:pPr>
      <w:bookmarkStart w:id="432" w:name="_Toc57831589"/>
      <w:r w:rsidRPr="00661595">
        <w:rPr>
          <w:rFonts w:ascii="Times New Roman" w:hAnsi="Times New Roman" w:cs="Times New Roman"/>
          <w:sz w:val="24"/>
          <w:u w:val="none"/>
          <w:lang w:val="en-GB"/>
        </w:rPr>
        <w:t>3.8</w:t>
      </w:r>
      <w:r w:rsidR="00FC6275" w:rsidRPr="00661595">
        <w:rPr>
          <w:rFonts w:ascii="Times New Roman" w:hAnsi="Times New Roman" w:cs="Times New Roman"/>
          <w:sz w:val="24"/>
          <w:u w:val="none"/>
          <w:lang w:val="en-GB"/>
        </w:rPr>
        <w:t>.3 C 14.00 – Detailed information on securitisations (SEC DETAILS)</w:t>
      </w:r>
      <w:bookmarkEnd w:id="427"/>
      <w:bookmarkEnd w:id="428"/>
      <w:bookmarkEnd w:id="429"/>
      <w:bookmarkEnd w:id="432"/>
    </w:p>
    <w:tbl>
      <w:tblPr>
        <w:tblW w:w="90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1"/>
        <w:gridCol w:w="7903"/>
      </w:tblGrid>
      <w:tr w:rsidR="00C55547" w:rsidRPr="00661595" w:rsidTr="00E10B85">
        <w:tc>
          <w:tcPr>
            <w:tcW w:w="9004" w:type="dxa"/>
            <w:gridSpan w:val="2"/>
            <w:shd w:val="clear" w:color="auto" w:fill="CCCCCC"/>
          </w:tcPr>
          <w:p w:rsidR="00C55547" w:rsidRPr="00661595" w:rsidRDefault="00C55547" w:rsidP="00E10B85">
            <w:pPr>
              <w:autoSpaceDE w:val="0"/>
              <w:autoSpaceDN w:val="0"/>
              <w:adjustRightInd w:val="0"/>
              <w:spacing w:before="0" w:after="0"/>
              <w:rPr>
                <w:rFonts w:ascii="Times New Roman" w:hAnsi="Times New Roman"/>
                <w:bCs/>
                <w:sz w:val="24"/>
                <w:lang w:eastAsia="nl-BE"/>
              </w:rPr>
            </w:pPr>
          </w:p>
          <w:p w:rsidR="00C55547" w:rsidRPr="00661595" w:rsidRDefault="00C55547" w:rsidP="00E10B85">
            <w:pPr>
              <w:autoSpaceDE w:val="0"/>
              <w:autoSpaceDN w:val="0"/>
              <w:adjustRightInd w:val="0"/>
              <w:spacing w:before="0" w:after="0"/>
              <w:rPr>
                <w:rFonts w:ascii="Times New Roman" w:hAnsi="Times New Roman"/>
                <w:b/>
                <w:bCs/>
                <w:sz w:val="24"/>
                <w:lang w:eastAsia="nl-BE"/>
              </w:rPr>
            </w:pPr>
            <w:r w:rsidRPr="00661595">
              <w:rPr>
                <w:rFonts w:ascii="Times New Roman" w:hAnsi="Times New Roman"/>
                <w:b/>
                <w:sz w:val="24"/>
                <w:lang w:eastAsia="de-DE"/>
              </w:rPr>
              <w:t>Columns</w:t>
            </w:r>
          </w:p>
          <w:p w:rsidR="00C55547" w:rsidRPr="00661595" w:rsidRDefault="00C55547" w:rsidP="00E10B85">
            <w:pPr>
              <w:autoSpaceDE w:val="0"/>
              <w:autoSpaceDN w:val="0"/>
              <w:adjustRightInd w:val="0"/>
              <w:spacing w:before="0" w:after="0"/>
              <w:rPr>
                <w:rFonts w:ascii="Times New Roman" w:hAnsi="Times New Roman"/>
                <w:bCs/>
                <w:sz w:val="24"/>
                <w:lang w:eastAsia="nl-BE"/>
              </w:rPr>
            </w:pPr>
          </w:p>
        </w:tc>
      </w:tr>
      <w:tr w:rsidR="00C55547" w:rsidRPr="00661595" w:rsidTr="00E10B85">
        <w:tc>
          <w:tcPr>
            <w:tcW w:w="1101" w:type="dxa"/>
          </w:tcPr>
          <w:p w:rsidR="00C55547" w:rsidRPr="00661595" w:rsidRDefault="00C55547"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w:t>
            </w:r>
            <w:r w:rsidR="006E0E76" w:rsidRPr="00661595">
              <w:rPr>
                <w:rFonts w:ascii="Times New Roman" w:hAnsi="Times New Roman"/>
                <w:bCs/>
                <w:sz w:val="24"/>
                <w:lang w:eastAsia="nl-BE"/>
              </w:rPr>
              <w:t>0</w:t>
            </w:r>
            <w:r w:rsidRPr="00661595">
              <w:rPr>
                <w:rFonts w:ascii="Times New Roman" w:hAnsi="Times New Roman"/>
                <w:bCs/>
                <w:sz w:val="24"/>
                <w:lang w:eastAsia="nl-BE"/>
              </w:rPr>
              <w:t>10</w:t>
            </w:r>
          </w:p>
        </w:tc>
        <w:tc>
          <w:tcPr>
            <w:tcW w:w="7903" w:type="dxa"/>
          </w:tcPr>
          <w:p w:rsidR="00C55547" w:rsidRPr="00661595" w:rsidRDefault="00C55547" w:rsidP="00E10B85">
            <w:pPr>
              <w:spacing w:before="0" w:after="0"/>
              <w:jc w:val="left"/>
              <w:rPr>
                <w:rFonts w:ascii="Times New Roman" w:hAnsi="Times New Roman"/>
                <w:b/>
                <w:sz w:val="24"/>
                <w:u w:val="single"/>
              </w:rPr>
            </w:pPr>
            <w:r w:rsidRPr="00661595">
              <w:rPr>
                <w:rFonts w:ascii="Times New Roman" w:hAnsi="Times New Roman"/>
                <w:b/>
                <w:sz w:val="24"/>
                <w:u w:val="single"/>
              </w:rPr>
              <w:t>INTERNAL CODE</w:t>
            </w:r>
          </w:p>
          <w:p w:rsidR="00C55547" w:rsidRPr="00661595" w:rsidRDefault="00C55547" w:rsidP="00E10B85">
            <w:pPr>
              <w:spacing w:before="0" w:after="0"/>
              <w:jc w:val="left"/>
              <w:rPr>
                <w:rFonts w:ascii="Times New Roman" w:hAnsi="Times New Roman"/>
                <w:sz w:val="24"/>
              </w:rPr>
            </w:pPr>
          </w:p>
          <w:p w:rsidR="006C5A49" w:rsidRDefault="00D956C2" w:rsidP="00D956C2">
            <w:pPr>
              <w:autoSpaceDE w:val="0"/>
              <w:autoSpaceDN w:val="0"/>
              <w:adjustRightInd w:val="0"/>
              <w:spacing w:before="0" w:after="0"/>
              <w:rPr>
                <w:rFonts w:ascii="Times New Roman" w:hAnsi="Times New Roman"/>
                <w:sz w:val="24"/>
              </w:rPr>
            </w:pPr>
            <w:r w:rsidRPr="00661595">
              <w:rPr>
                <w:rFonts w:ascii="Times New Roman" w:hAnsi="Times New Roman"/>
                <w:sz w:val="24"/>
              </w:rPr>
              <w:t>Internal (alpha-numerical) code used by the institution to identify the securitisation</w:t>
            </w:r>
          </w:p>
          <w:p w:rsidR="006C5A49" w:rsidRDefault="006C5A49" w:rsidP="00D956C2">
            <w:pPr>
              <w:autoSpaceDE w:val="0"/>
              <w:autoSpaceDN w:val="0"/>
              <w:adjustRightInd w:val="0"/>
              <w:spacing w:before="0" w:after="0"/>
              <w:rPr>
                <w:rFonts w:ascii="Times New Roman" w:hAnsi="Times New Roman"/>
                <w:sz w:val="24"/>
              </w:rPr>
            </w:pPr>
          </w:p>
          <w:p w:rsidR="00D956C2" w:rsidRPr="00661595" w:rsidRDefault="00D956C2" w:rsidP="00D956C2">
            <w:pPr>
              <w:autoSpaceDE w:val="0"/>
              <w:autoSpaceDN w:val="0"/>
              <w:adjustRightInd w:val="0"/>
              <w:spacing w:before="0" w:after="0"/>
              <w:rPr>
                <w:rFonts w:ascii="Times New Roman" w:hAnsi="Times New Roman"/>
                <w:sz w:val="24"/>
              </w:rPr>
            </w:pPr>
            <w:r w:rsidRPr="00661595">
              <w:rPr>
                <w:rFonts w:ascii="Times New Roman" w:hAnsi="Times New Roman"/>
                <w:sz w:val="24"/>
              </w:rPr>
              <w:t>The internal code shall be associated to the identifier of the securitisation transaction.</w:t>
            </w:r>
          </w:p>
          <w:p w:rsidR="00C55547" w:rsidRPr="00661595" w:rsidRDefault="00C55547" w:rsidP="00E10B85">
            <w:pPr>
              <w:autoSpaceDE w:val="0"/>
              <w:autoSpaceDN w:val="0"/>
              <w:adjustRightInd w:val="0"/>
              <w:spacing w:before="0" w:after="0"/>
              <w:jc w:val="left"/>
              <w:rPr>
                <w:rFonts w:ascii="Times New Roman" w:hAnsi="Times New Roman"/>
                <w:bCs/>
                <w:sz w:val="24"/>
                <w:lang w:eastAsia="nl-BE"/>
              </w:rPr>
            </w:pPr>
          </w:p>
        </w:tc>
      </w:tr>
      <w:tr w:rsidR="00C55547" w:rsidRPr="00661595" w:rsidTr="00E10B85">
        <w:tc>
          <w:tcPr>
            <w:tcW w:w="1101" w:type="dxa"/>
          </w:tcPr>
          <w:p w:rsidR="00C55547" w:rsidRPr="00661595" w:rsidRDefault="00C55547"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sz w:val="24"/>
              </w:rPr>
              <w:t>0</w:t>
            </w:r>
            <w:r w:rsidR="006E0E76" w:rsidRPr="00661595">
              <w:rPr>
                <w:rFonts w:ascii="Times New Roman" w:hAnsi="Times New Roman"/>
                <w:sz w:val="24"/>
              </w:rPr>
              <w:t>0</w:t>
            </w:r>
            <w:r w:rsidRPr="00661595">
              <w:rPr>
                <w:rFonts w:ascii="Times New Roman" w:hAnsi="Times New Roman"/>
                <w:sz w:val="24"/>
              </w:rPr>
              <w:t>20</w:t>
            </w:r>
          </w:p>
        </w:tc>
        <w:tc>
          <w:tcPr>
            <w:tcW w:w="7903" w:type="dxa"/>
          </w:tcPr>
          <w:p w:rsidR="00C55547" w:rsidRPr="00661595" w:rsidRDefault="00C55547" w:rsidP="00E10B85">
            <w:pPr>
              <w:autoSpaceDE w:val="0"/>
              <w:autoSpaceDN w:val="0"/>
              <w:adjustRightInd w:val="0"/>
              <w:spacing w:before="0" w:after="0"/>
              <w:jc w:val="left"/>
              <w:rPr>
                <w:rFonts w:ascii="Times New Roman" w:hAnsi="Times New Roman"/>
                <w:b/>
                <w:sz w:val="24"/>
                <w:u w:val="single"/>
              </w:rPr>
            </w:pPr>
            <w:r w:rsidRPr="00661595">
              <w:rPr>
                <w:rFonts w:ascii="Times New Roman" w:hAnsi="Times New Roman"/>
                <w:b/>
                <w:sz w:val="24"/>
                <w:u w:val="single"/>
              </w:rPr>
              <w:t>IDENTIFIER OF THE SECURITISATION</w:t>
            </w:r>
            <w:r w:rsidRPr="00661595">
              <w:rPr>
                <w:rFonts w:ascii="Times New Roman" w:hAnsi="Times New Roman"/>
                <w:b/>
                <w:sz w:val="24"/>
              </w:rPr>
              <w:t xml:space="preserve"> (Code/Name)</w:t>
            </w:r>
          </w:p>
          <w:p w:rsidR="00C55547" w:rsidRPr="00661595" w:rsidRDefault="00C55547" w:rsidP="00E10B85">
            <w:pPr>
              <w:spacing w:before="0" w:after="0"/>
              <w:jc w:val="left"/>
              <w:rPr>
                <w:rFonts w:ascii="Times New Roman" w:hAnsi="Times New Roman"/>
                <w:sz w:val="24"/>
              </w:rPr>
            </w:pPr>
          </w:p>
          <w:p w:rsidR="006C5A49" w:rsidRDefault="00C55547"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 xml:space="preserve">Code used for the legal registration of the securitisation </w:t>
            </w:r>
            <w:r w:rsidR="00D956C2" w:rsidRPr="00661595">
              <w:rPr>
                <w:rFonts w:ascii="Times New Roman" w:hAnsi="Times New Roman"/>
                <w:sz w:val="24"/>
              </w:rPr>
              <w:t xml:space="preserve">transaction </w:t>
            </w:r>
            <w:r w:rsidRPr="00661595">
              <w:rPr>
                <w:rFonts w:ascii="Times New Roman" w:hAnsi="Times New Roman"/>
                <w:sz w:val="24"/>
              </w:rPr>
              <w:t xml:space="preserve">or, if not available, the name by which the securitisation </w:t>
            </w:r>
            <w:r w:rsidR="00D956C2" w:rsidRPr="00661595">
              <w:rPr>
                <w:rFonts w:ascii="Times New Roman" w:hAnsi="Times New Roman"/>
                <w:sz w:val="24"/>
              </w:rPr>
              <w:t xml:space="preserve">transaction </w:t>
            </w:r>
            <w:r w:rsidRPr="00661595">
              <w:rPr>
                <w:rFonts w:ascii="Times New Roman" w:hAnsi="Times New Roman"/>
                <w:sz w:val="24"/>
              </w:rPr>
              <w:t xml:space="preserve">is known in the market, or within the institution in case of an internal or private securitisation </w:t>
            </w:r>
          </w:p>
          <w:p w:rsidR="006C5A49" w:rsidRDefault="006C5A49" w:rsidP="00E10B85">
            <w:pPr>
              <w:autoSpaceDE w:val="0"/>
              <w:autoSpaceDN w:val="0"/>
              <w:adjustRightInd w:val="0"/>
              <w:spacing w:before="0" w:after="0"/>
              <w:rPr>
                <w:rFonts w:ascii="Times New Roman" w:hAnsi="Times New Roman"/>
                <w:sz w:val="24"/>
              </w:rPr>
            </w:pPr>
          </w:p>
          <w:p w:rsidR="00C55547" w:rsidRPr="00661595" w:rsidRDefault="00C55547"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Whe</w:t>
            </w:r>
            <w:r w:rsidR="002409C1" w:rsidRPr="00661595">
              <w:rPr>
                <w:rFonts w:ascii="Times New Roman" w:hAnsi="Times New Roman"/>
                <w:sz w:val="24"/>
              </w:rPr>
              <w:t>re</w:t>
            </w:r>
            <w:r w:rsidRPr="00661595">
              <w:rPr>
                <w:rFonts w:ascii="Times New Roman" w:hAnsi="Times New Roman"/>
                <w:sz w:val="24"/>
              </w:rPr>
              <w:t xml:space="preserve"> the International Securities Identification Number -ISIN- is available (i.e. for public transactions)</w:t>
            </w:r>
            <w:r w:rsidR="002409C1" w:rsidRPr="00661595">
              <w:rPr>
                <w:rFonts w:ascii="Times New Roman" w:hAnsi="Times New Roman"/>
                <w:sz w:val="24"/>
              </w:rPr>
              <w:t>,</w:t>
            </w:r>
            <w:r w:rsidRPr="00661595">
              <w:rPr>
                <w:rFonts w:ascii="Times New Roman" w:hAnsi="Times New Roman"/>
                <w:sz w:val="24"/>
              </w:rPr>
              <w:t xml:space="preserve"> the characters that are common to all tranches of the securitisation shall be reported in this column.</w:t>
            </w:r>
          </w:p>
          <w:p w:rsidR="00C55547" w:rsidRPr="00661595" w:rsidRDefault="00C55547" w:rsidP="00E10B85">
            <w:pPr>
              <w:autoSpaceDE w:val="0"/>
              <w:autoSpaceDN w:val="0"/>
              <w:adjustRightInd w:val="0"/>
              <w:spacing w:before="0" w:after="0"/>
              <w:jc w:val="left"/>
              <w:rPr>
                <w:rFonts w:ascii="Times New Roman" w:hAnsi="Times New Roman"/>
                <w:bCs/>
                <w:sz w:val="24"/>
                <w:lang w:eastAsia="nl-BE"/>
              </w:rPr>
            </w:pPr>
          </w:p>
        </w:tc>
      </w:tr>
      <w:tr w:rsidR="00C55547" w:rsidRPr="00661595" w:rsidTr="00E10B85">
        <w:tc>
          <w:tcPr>
            <w:tcW w:w="1101" w:type="dxa"/>
          </w:tcPr>
          <w:p w:rsidR="00C55547" w:rsidRPr="00661595" w:rsidRDefault="00C55547"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0</w:t>
            </w:r>
            <w:r w:rsidR="006E0E76" w:rsidRPr="00661595">
              <w:rPr>
                <w:rFonts w:ascii="Times New Roman" w:hAnsi="Times New Roman"/>
                <w:sz w:val="24"/>
              </w:rPr>
              <w:t>0</w:t>
            </w:r>
            <w:r w:rsidRPr="00661595">
              <w:rPr>
                <w:rFonts w:ascii="Times New Roman" w:hAnsi="Times New Roman"/>
                <w:sz w:val="24"/>
              </w:rPr>
              <w:t>21</w:t>
            </w:r>
          </w:p>
        </w:tc>
        <w:tc>
          <w:tcPr>
            <w:tcW w:w="7903" w:type="dxa"/>
          </w:tcPr>
          <w:p w:rsidR="00C55547" w:rsidRPr="00661595" w:rsidRDefault="00C55547" w:rsidP="00E10B85">
            <w:pPr>
              <w:autoSpaceDE w:val="0"/>
              <w:autoSpaceDN w:val="0"/>
              <w:adjustRightInd w:val="0"/>
              <w:spacing w:before="0" w:after="0"/>
              <w:jc w:val="left"/>
              <w:rPr>
                <w:rFonts w:ascii="Times New Roman" w:hAnsi="Times New Roman"/>
                <w:b/>
                <w:sz w:val="24"/>
                <w:u w:val="single"/>
              </w:rPr>
            </w:pPr>
            <w:r w:rsidRPr="00661595">
              <w:rPr>
                <w:rFonts w:ascii="Times New Roman" w:hAnsi="Times New Roman"/>
                <w:b/>
                <w:sz w:val="24"/>
                <w:u w:val="single"/>
              </w:rPr>
              <w:t>INTRA-GROUP, PRIVATE OR PUBLIC SECURITISATION?</w:t>
            </w:r>
          </w:p>
          <w:p w:rsidR="00C55547" w:rsidRPr="00661595" w:rsidRDefault="00C55547" w:rsidP="00E10B85">
            <w:pPr>
              <w:autoSpaceDE w:val="0"/>
              <w:autoSpaceDN w:val="0"/>
              <w:adjustRightInd w:val="0"/>
              <w:spacing w:before="0" w:after="0"/>
              <w:jc w:val="left"/>
              <w:rPr>
                <w:rFonts w:ascii="Times New Roman" w:hAnsi="Times New Roman"/>
                <w:b/>
                <w:sz w:val="24"/>
                <w:u w:val="single"/>
              </w:rPr>
            </w:pPr>
          </w:p>
          <w:p w:rsidR="00C55547" w:rsidRPr="00661595" w:rsidRDefault="00C55547" w:rsidP="00E10B85">
            <w:pPr>
              <w:autoSpaceDE w:val="0"/>
              <w:autoSpaceDN w:val="0"/>
              <w:adjustRightInd w:val="0"/>
              <w:spacing w:before="0" w:after="0"/>
              <w:jc w:val="left"/>
              <w:rPr>
                <w:rFonts w:ascii="Times New Roman" w:hAnsi="Times New Roman"/>
                <w:sz w:val="24"/>
              </w:rPr>
            </w:pPr>
            <w:r w:rsidRPr="00661595">
              <w:rPr>
                <w:rFonts w:ascii="Times New Roman" w:hAnsi="Times New Roman"/>
                <w:sz w:val="24"/>
              </w:rPr>
              <w:t>This column identifies whether the securitisation is an intra-group, private or public securitisation</w:t>
            </w:r>
            <w:r w:rsidR="006C5A49">
              <w:rPr>
                <w:rFonts w:ascii="Times New Roman" w:hAnsi="Times New Roman"/>
                <w:sz w:val="24"/>
              </w:rPr>
              <w:t>.</w:t>
            </w:r>
          </w:p>
          <w:p w:rsidR="00C55547" w:rsidRPr="00661595" w:rsidRDefault="00C55547" w:rsidP="00E10B85">
            <w:pPr>
              <w:autoSpaceDE w:val="0"/>
              <w:autoSpaceDN w:val="0"/>
              <w:adjustRightInd w:val="0"/>
              <w:spacing w:before="0" w:after="0"/>
              <w:jc w:val="left"/>
              <w:rPr>
                <w:rFonts w:ascii="Times New Roman" w:hAnsi="Times New Roman"/>
                <w:sz w:val="24"/>
              </w:rPr>
            </w:pPr>
          </w:p>
          <w:p w:rsidR="00C55547" w:rsidRPr="00661595" w:rsidRDefault="00E20FAC" w:rsidP="00E10B85">
            <w:pPr>
              <w:autoSpaceDE w:val="0"/>
              <w:autoSpaceDN w:val="0"/>
              <w:adjustRightInd w:val="0"/>
              <w:spacing w:before="0" w:after="0"/>
              <w:jc w:val="left"/>
              <w:rPr>
                <w:rFonts w:ascii="Times New Roman" w:hAnsi="Times New Roman"/>
                <w:sz w:val="24"/>
              </w:rPr>
            </w:pPr>
            <w:r w:rsidRPr="00661595">
              <w:rPr>
                <w:rFonts w:ascii="Times New Roman" w:hAnsi="Times New Roman"/>
                <w:sz w:val="24"/>
              </w:rPr>
              <w:t>Institutions shall r</w:t>
            </w:r>
            <w:r w:rsidR="00C55547" w:rsidRPr="00661595">
              <w:rPr>
                <w:rFonts w:ascii="Times New Roman" w:hAnsi="Times New Roman"/>
                <w:sz w:val="24"/>
              </w:rPr>
              <w:t>eport one of the following abbreviations:</w:t>
            </w:r>
          </w:p>
          <w:p w:rsidR="00C55547" w:rsidRPr="00661595" w:rsidRDefault="00C55547" w:rsidP="00E10B85">
            <w:pPr>
              <w:autoSpaceDE w:val="0"/>
              <w:autoSpaceDN w:val="0"/>
              <w:adjustRightInd w:val="0"/>
              <w:spacing w:before="0" w:after="0"/>
              <w:jc w:val="left"/>
              <w:rPr>
                <w:rFonts w:ascii="Times New Roman" w:hAnsi="Times New Roman"/>
                <w:sz w:val="24"/>
              </w:rPr>
            </w:pPr>
          </w:p>
          <w:p w:rsidR="00C55547" w:rsidRPr="00661595" w:rsidRDefault="00C55547" w:rsidP="00F66371">
            <w:pPr>
              <w:pStyle w:val="ListParagraph"/>
              <w:numPr>
                <w:ilvl w:val="0"/>
                <w:numId w:val="34"/>
              </w:numPr>
              <w:autoSpaceDE w:val="0"/>
              <w:autoSpaceDN w:val="0"/>
              <w:adjustRightInd w:val="0"/>
              <w:spacing w:before="0" w:after="0"/>
              <w:jc w:val="left"/>
              <w:rPr>
                <w:rFonts w:ascii="Times New Roman" w:hAnsi="Times New Roman"/>
                <w:sz w:val="24"/>
              </w:rPr>
            </w:pPr>
            <w:r w:rsidRPr="00661595">
              <w:rPr>
                <w:rFonts w:ascii="Times New Roman" w:hAnsi="Times New Roman"/>
                <w:sz w:val="24"/>
              </w:rPr>
              <w:t>‘PRI’ for Private</w:t>
            </w:r>
            <w:r w:rsidR="006C5A49">
              <w:rPr>
                <w:rFonts w:ascii="Times New Roman" w:hAnsi="Times New Roman"/>
                <w:sz w:val="24"/>
              </w:rPr>
              <w:t>;</w:t>
            </w:r>
          </w:p>
          <w:p w:rsidR="00BF67D7" w:rsidRPr="00661595" w:rsidRDefault="00BF67D7" w:rsidP="00F66371">
            <w:pPr>
              <w:pStyle w:val="ListParagraph"/>
              <w:numPr>
                <w:ilvl w:val="0"/>
                <w:numId w:val="34"/>
              </w:numPr>
              <w:autoSpaceDE w:val="0"/>
              <w:autoSpaceDN w:val="0"/>
              <w:adjustRightInd w:val="0"/>
              <w:spacing w:before="0" w:after="0"/>
              <w:jc w:val="left"/>
              <w:rPr>
                <w:rFonts w:ascii="Times New Roman" w:hAnsi="Times New Roman"/>
                <w:sz w:val="24"/>
              </w:rPr>
            </w:pPr>
            <w:r w:rsidRPr="00661595">
              <w:rPr>
                <w:rFonts w:ascii="Times New Roman" w:hAnsi="Times New Roman"/>
                <w:sz w:val="24"/>
              </w:rPr>
              <w:t>‘</w:t>
            </w:r>
            <w:r w:rsidR="00C55547" w:rsidRPr="00661595">
              <w:rPr>
                <w:rFonts w:ascii="Times New Roman" w:hAnsi="Times New Roman"/>
                <w:sz w:val="24"/>
              </w:rPr>
              <w:t>INT’ for Intra-group</w:t>
            </w:r>
            <w:r w:rsidR="006C5A49">
              <w:rPr>
                <w:rFonts w:ascii="Times New Roman" w:hAnsi="Times New Roman"/>
                <w:sz w:val="24"/>
              </w:rPr>
              <w:t>;</w:t>
            </w:r>
          </w:p>
          <w:p w:rsidR="00C55547" w:rsidRPr="00661595" w:rsidRDefault="00C55547" w:rsidP="00F66371">
            <w:pPr>
              <w:pStyle w:val="ListParagraph"/>
              <w:numPr>
                <w:ilvl w:val="0"/>
                <w:numId w:val="34"/>
              </w:numPr>
              <w:autoSpaceDE w:val="0"/>
              <w:autoSpaceDN w:val="0"/>
              <w:adjustRightInd w:val="0"/>
              <w:spacing w:before="0" w:after="0"/>
              <w:jc w:val="left"/>
              <w:rPr>
                <w:rFonts w:ascii="Times New Roman" w:hAnsi="Times New Roman"/>
                <w:sz w:val="24"/>
              </w:rPr>
            </w:pPr>
            <w:r w:rsidRPr="00661595">
              <w:rPr>
                <w:rFonts w:ascii="Times New Roman" w:hAnsi="Times New Roman"/>
                <w:sz w:val="24"/>
              </w:rPr>
              <w:t>‘PUB’ for Public.</w:t>
            </w:r>
          </w:p>
          <w:p w:rsidR="00C55547" w:rsidRPr="00661595" w:rsidRDefault="00C55547" w:rsidP="00E10B85">
            <w:pPr>
              <w:autoSpaceDE w:val="0"/>
              <w:autoSpaceDN w:val="0"/>
              <w:adjustRightInd w:val="0"/>
              <w:spacing w:before="0" w:after="0"/>
              <w:jc w:val="left"/>
              <w:rPr>
                <w:rFonts w:ascii="Times New Roman" w:hAnsi="Times New Roman"/>
                <w:b/>
                <w:sz w:val="24"/>
                <w:u w:val="single"/>
              </w:rPr>
            </w:pPr>
          </w:p>
        </w:tc>
      </w:tr>
      <w:tr w:rsidR="00C55547" w:rsidRPr="00661595" w:rsidTr="00E10B85">
        <w:tc>
          <w:tcPr>
            <w:tcW w:w="1101" w:type="dxa"/>
            <w:shd w:val="clear" w:color="auto" w:fill="auto"/>
          </w:tcPr>
          <w:p w:rsidR="00C55547" w:rsidRPr="00661595" w:rsidRDefault="006E0E76"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w:t>
            </w:r>
            <w:r w:rsidR="00C55547" w:rsidRPr="00661595">
              <w:rPr>
                <w:rFonts w:ascii="Times New Roman" w:hAnsi="Times New Roman"/>
                <w:bCs/>
                <w:sz w:val="24"/>
                <w:lang w:eastAsia="nl-BE"/>
              </w:rPr>
              <w:t>110</w:t>
            </w:r>
          </w:p>
        </w:tc>
        <w:tc>
          <w:tcPr>
            <w:tcW w:w="7903" w:type="dxa"/>
            <w:shd w:val="clear" w:color="auto" w:fill="auto"/>
          </w:tcPr>
          <w:p w:rsidR="00C55547" w:rsidRPr="00661595" w:rsidRDefault="00C55547" w:rsidP="00E10B85">
            <w:pPr>
              <w:spacing w:before="0" w:after="0"/>
              <w:jc w:val="left"/>
              <w:rPr>
                <w:rFonts w:ascii="Times New Roman" w:hAnsi="Times New Roman"/>
                <w:b/>
                <w:sz w:val="24"/>
                <w:u w:val="single"/>
              </w:rPr>
            </w:pPr>
            <w:r w:rsidRPr="00661595">
              <w:rPr>
                <w:rFonts w:ascii="Times New Roman" w:hAnsi="Times New Roman"/>
                <w:b/>
                <w:sz w:val="24"/>
                <w:u w:val="single"/>
              </w:rPr>
              <w:t>ROLE OF THE INSTITUTION: (ORIGINATOR / SPONSOR / ORIGINAL LENDER / INVESTOR)</w:t>
            </w:r>
          </w:p>
          <w:p w:rsidR="00C55547" w:rsidRPr="00661595" w:rsidRDefault="00C55547" w:rsidP="00E10B85">
            <w:pPr>
              <w:autoSpaceDE w:val="0"/>
              <w:autoSpaceDN w:val="0"/>
              <w:adjustRightInd w:val="0"/>
              <w:spacing w:before="0" w:after="0"/>
              <w:jc w:val="left"/>
              <w:rPr>
                <w:rFonts w:ascii="Times New Roman" w:hAnsi="Times New Roman"/>
                <w:sz w:val="24"/>
              </w:rPr>
            </w:pPr>
          </w:p>
          <w:p w:rsidR="00C55547" w:rsidRPr="00661595" w:rsidRDefault="00E20FAC" w:rsidP="00E10B85">
            <w:pPr>
              <w:autoSpaceDE w:val="0"/>
              <w:autoSpaceDN w:val="0"/>
              <w:adjustRightInd w:val="0"/>
              <w:spacing w:before="0" w:after="0"/>
              <w:jc w:val="left"/>
              <w:rPr>
                <w:rFonts w:ascii="Times New Roman" w:hAnsi="Times New Roman"/>
                <w:sz w:val="24"/>
              </w:rPr>
            </w:pPr>
            <w:r w:rsidRPr="00661595">
              <w:rPr>
                <w:rFonts w:ascii="Times New Roman" w:hAnsi="Times New Roman"/>
                <w:sz w:val="24"/>
              </w:rPr>
              <w:t>Institutions shall r</w:t>
            </w:r>
            <w:r w:rsidR="00C55547" w:rsidRPr="00661595">
              <w:rPr>
                <w:rFonts w:ascii="Times New Roman" w:hAnsi="Times New Roman"/>
                <w:sz w:val="24"/>
              </w:rPr>
              <w:t xml:space="preserve">eport the following abbreviations: </w:t>
            </w:r>
          </w:p>
          <w:p w:rsidR="00C55547" w:rsidRPr="00661595" w:rsidRDefault="00C55547" w:rsidP="00E10B85">
            <w:pPr>
              <w:autoSpaceDE w:val="0"/>
              <w:autoSpaceDN w:val="0"/>
              <w:adjustRightInd w:val="0"/>
              <w:spacing w:before="0" w:after="0"/>
              <w:jc w:val="left"/>
              <w:rPr>
                <w:rFonts w:ascii="Times New Roman" w:hAnsi="Times New Roman"/>
                <w:sz w:val="24"/>
              </w:rPr>
            </w:pPr>
            <w:r w:rsidRPr="00661595">
              <w:rPr>
                <w:rFonts w:ascii="Times New Roman" w:hAnsi="Times New Roman"/>
                <w:sz w:val="24"/>
              </w:rPr>
              <w:t>- ‘O’ for Originator;</w:t>
            </w:r>
          </w:p>
          <w:p w:rsidR="00C55547" w:rsidRPr="00661595" w:rsidRDefault="00C55547" w:rsidP="00E10B85">
            <w:pPr>
              <w:autoSpaceDE w:val="0"/>
              <w:autoSpaceDN w:val="0"/>
              <w:adjustRightInd w:val="0"/>
              <w:spacing w:before="0" w:after="0"/>
              <w:jc w:val="left"/>
              <w:rPr>
                <w:rFonts w:ascii="Times New Roman" w:hAnsi="Times New Roman"/>
                <w:sz w:val="24"/>
              </w:rPr>
            </w:pPr>
            <w:r w:rsidRPr="00661595">
              <w:rPr>
                <w:rFonts w:ascii="Times New Roman" w:hAnsi="Times New Roman"/>
                <w:sz w:val="24"/>
              </w:rPr>
              <w:t>- ‘S’ for Sponsor;</w:t>
            </w:r>
          </w:p>
          <w:p w:rsidR="00C55547" w:rsidRPr="00661595" w:rsidRDefault="00C55547" w:rsidP="00E10B85">
            <w:pPr>
              <w:autoSpaceDE w:val="0"/>
              <w:autoSpaceDN w:val="0"/>
              <w:adjustRightInd w:val="0"/>
              <w:spacing w:before="0" w:after="0"/>
              <w:jc w:val="left"/>
              <w:rPr>
                <w:rFonts w:ascii="Times New Roman" w:hAnsi="Times New Roman"/>
                <w:sz w:val="24"/>
              </w:rPr>
            </w:pPr>
            <w:r w:rsidRPr="00661595">
              <w:rPr>
                <w:rFonts w:ascii="Times New Roman" w:hAnsi="Times New Roman"/>
                <w:sz w:val="24"/>
              </w:rPr>
              <w:t xml:space="preserve">- ‘I’ for Investor. </w:t>
            </w:r>
          </w:p>
          <w:p w:rsidR="00C55547" w:rsidRPr="00661595" w:rsidRDefault="00C55547" w:rsidP="00E10B85">
            <w:pPr>
              <w:autoSpaceDE w:val="0"/>
              <w:autoSpaceDN w:val="0"/>
              <w:adjustRightInd w:val="0"/>
              <w:spacing w:before="0" w:after="0"/>
              <w:jc w:val="left"/>
              <w:rPr>
                <w:rFonts w:ascii="Times New Roman" w:hAnsi="Times New Roman"/>
                <w:sz w:val="24"/>
              </w:rPr>
            </w:pPr>
            <w:r w:rsidRPr="00661595">
              <w:rPr>
                <w:rFonts w:ascii="Times New Roman" w:hAnsi="Times New Roman"/>
                <w:sz w:val="24"/>
              </w:rPr>
              <w:t>- ‘L’ for Original Lender</w:t>
            </w:r>
            <w:r w:rsidR="006C5A49">
              <w:rPr>
                <w:rFonts w:ascii="Times New Roman" w:hAnsi="Times New Roman"/>
                <w:sz w:val="24"/>
              </w:rPr>
              <w:t>.</w:t>
            </w:r>
          </w:p>
          <w:p w:rsidR="00C55547" w:rsidRPr="00661595" w:rsidRDefault="00C55547" w:rsidP="00E10B85">
            <w:pPr>
              <w:autoSpaceDE w:val="0"/>
              <w:autoSpaceDN w:val="0"/>
              <w:adjustRightInd w:val="0"/>
              <w:spacing w:before="0" w:after="0"/>
              <w:jc w:val="left"/>
              <w:rPr>
                <w:rFonts w:ascii="Times New Roman" w:hAnsi="Times New Roman"/>
                <w:sz w:val="24"/>
              </w:rPr>
            </w:pPr>
          </w:p>
          <w:p w:rsidR="00C55547" w:rsidRPr="00661595" w:rsidRDefault="00E20FAC" w:rsidP="00E10B85">
            <w:pPr>
              <w:autoSpaceDE w:val="0"/>
              <w:autoSpaceDN w:val="0"/>
              <w:adjustRightInd w:val="0"/>
              <w:spacing w:before="0" w:after="0"/>
              <w:jc w:val="left"/>
              <w:rPr>
                <w:rFonts w:ascii="Times New Roman" w:hAnsi="Times New Roman"/>
                <w:sz w:val="24"/>
              </w:rPr>
            </w:pPr>
            <w:r w:rsidRPr="00661595">
              <w:rPr>
                <w:rFonts w:ascii="Times New Roman" w:hAnsi="Times New Roman"/>
                <w:sz w:val="24"/>
              </w:rPr>
              <w:t xml:space="preserve">Originator </w:t>
            </w:r>
            <w:r w:rsidR="002409C1" w:rsidRPr="00661595">
              <w:rPr>
                <w:rFonts w:ascii="Times New Roman" w:hAnsi="Times New Roman"/>
                <w:sz w:val="24"/>
              </w:rPr>
              <w:t xml:space="preserve">as defined in </w:t>
            </w:r>
            <w:r w:rsidR="001C6166" w:rsidRPr="00661595">
              <w:rPr>
                <w:rFonts w:ascii="Times New Roman" w:hAnsi="Times New Roman"/>
                <w:sz w:val="24"/>
              </w:rPr>
              <w:t xml:space="preserve">point (13) of </w:t>
            </w:r>
            <w:r w:rsidR="002409C1" w:rsidRPr="00661595">
              <w:rPr>
                <w:rFonts w:ascii="Times New Roman" w:hAnsi="Times New Roman"/>
                <w:sz w:val="24"/>
              </w:rPr>
              <w:t xml:space="preserve">Article 4(1) CRR </w:t>
            </w:r>
            <w:r w:rsidRPr="00661595">
              <w:rPr>
                <w:rFonts w:ascii="Times New Roman" w:hAnsi="Times New Roman"/>
                <w:sz w:val="24"/>
              </w:rPr>
              <w:t>and Sponsor as</w:t>
            </w:r>
            <w:r w:rsidR="00C55547" w:rsidRPr="00661595">
              <w:rPr>
                <w:rFonts w:ascii="Times New Roman" w:hAnsi="Times New Roman"/>
                <w:sz w:val="24"/>
              </w:rPr>
              <w:t xml:space="preserve"> defin</w:t>
            </w:r>
            <w:r w:rsidRPr="00661595">
              <w:rPr>
                <w:rFonts w:ascii="Times New Roman" w:hAnsi="Times New Roman"/>
                <w:sz w:val="24"/>
              </w:rPr>
              <w:t>ed</w:t>
            </w:r>
            <w:r w:rsidR="002409C1" w:rsidRPr="00661595">
              <w:rPr>
                <w:rFonts w:ascii="Times New Roman" w:hAnsi="Times New Roman"/>
                <w:sz w:val="24"/>
              </w:rPr>
              <w:t xml:space="preserve"> in</w:t>
            </w:r>
            <w:r w:rsidR="00C55547" w:rsidRPr="00661595">
              <w:rPr>
                <w:rFonts w:ascii="Times New Roman" w:hAnsi="Times New Roman"/>
                <w:sz w:val="24"/>
              </w:rPr>
              <w:t xml:space="preserve"> </w:t>
            </w:r>
            <w:r w:rsidR="001C6166" w:rsidRPr="00661595">
              <w:rPr>
                <w:rFonts w:ascii="Times New Roman" w:hAnsi="Times New Roman"/>
                <w:sz w:val="24"/>
              </w:rPr>
              <w:t xml:space="preserve">point (14) of </w:t>
            </w:r>
            <w:r w:rsidR="00C55547" w:rsidRPr="00661595">
              <w:rPr>
                <w:rFonts w:ascii="Times New Roman" w:hAnsi="Times New Roman"/>
                <w:sz w:val="24"/>
              </w:rPr>
              <w:t>Article 4(1)</w:t>
            </w:r>
            <w:r w:rsidR="00882103" w:rsidRPr="00661595">
              <w:rPr>
                <w:rFonts w:ascii="Times New Roman" w:hAnsi="Times New Roman"/>
                <w:sz w:val="24"/>
              </w:rPr>
              <w:t xml:space="preserve"> </w:t>
            </w:r>
            <w:r w:rsidR="00C7103D" w:rsidRPr="00661595">
              <w:rPr>
                <w:rFonts w:ascii="Times New Roman" w:hAnsi="Times New Roman"/>
                <w:sz w:val="24"/>
              </w:rPr>
              <w:t>CRR</w:t>
            </w:r>
            <w:r w:rsidR="00C55547" w:rsidRPr="00661595">
              <w:rPr>
                <w:rFonts w:ascii="Times New Roman" w:hAnsi="Times New Roman"/>
                <w:sz w:val="24"/>
              </w:rPr>
              <w:t>. Investors are assumed to be those institutions to which Article 5 of Regulation (EU) 2017/2402</w:t>
            </w:r>
            <w:r w:rsidR="002409C1" w:rsidRPr="00661595">
              <w:rPr>
                <w:rFonts w:ascii="Times New Roman" w:hAnsi="Times New Roman"/>
                <w:sz w:val="24"/>
              </w:rPr>
              <w:t xml:space="preserve"> applies</w:t>
            </w:r>
            <w:r w:rsidR="00C55547" w:rsidRPr="00661595">
              <w:rPr>
                <w:rFonts w:ascii="Times New Roman" w:hAnsi="Times New Roman"/>
                <w:sz w:val="24"/>
              </w:rPr>
              <w:t>. In case Article 43(5) of Regulation (EU) 2017/2402 applies, Article</w:t>
            </w:r>
            <w:r w:rsidR="001C6166" w:rsidRPr="00661595">
              <w:rPr>
                <w:rFonts w:ascii="Times New Roman" w:hAnsi="Times New Roman"/>
                <w:sz w:val="24"/>
              </w:rPr>
              <w:t>s</w:t>
            </w:r>
            <w:r w:rsidR="00C55547" w:rsidRPr="00661595">
              <w:rPr>
                <w:rFonts w:ascii="Times New Roman" w:hAnsi="Times New Roman"/>
                <w:sz w:val="24"/>
              </w:rPr>
              <w:t xml:space="preserve"> 406 and 407 </w:t>
            </w:r>
            <w:r w:rsidR="00C7103D" w:rsidRPr="00661595">
              <w:rPr>
                <w:rFonts w:ascii="Times New Roman" w:hAnsi="Times New Roman"/>
                <w:sz w:val="24"/>
              </w:rPr>
              <w:t>CRR</w:t>
            </w:r>
            <w:r w:rsidR="00C55547" w:rsidRPr="00661595">
              <w:rPr>
                <w:rFonts w:ascii="Times New Roman" w:hAnsi="Times New Roman"/>
                <w:sz w:val="24"/>
              </w:rPr>
              <w:t xml:space="preserve"> in the version applicable on 31 December 2018</w:t>
            </w:r>
            <w:r w:rsidR="001C6166" w:rsidRPr="00661595">
              <w:rPr>
                <w:rFonts w:ascii="Times New Roman" w:hAnsi="Times New Roman"/>
                <w:sz w:val="24"/>
              </w:rPr>
              <w:t xml:space="preserve"> shall apply</w:t>
            </w:r>
            <w:r w:rsidR="00C55547" w:rsidRPr="00661595">
              <w:rPr>
                <w:rFonts w:ascii="Times New Roman" w:hAnsi="Times New Roman"/>
                <w:sz w:val="24"/>
              </w:rPr>
              <w:t>.</w:t>
            </w:r>
          </w:p>
          <w:p w:rsidR="00C55547" w:rsidRPr="00661595" w:rsidRDefault="00C55547" w:rsidP="00E10B85">
            <w:pPr>
              <w:autoSpaceDE w:val="0"/>
              <w:autoSpaceDN w:val="0"/>
              <w:adjustRightInd w:val="0"/>
              <w:spacing w:before="0" w:after="0"/>
              <w:jc w:val="left"/>
              <w:rPr>
                <w:rFonts w:ascii="Times New Roman" w:hAnsi="Times New Roman"/>
                <w:sz w:val="24"/>
              </w:rPr>
            </w:pPr>
          </w:p>
        </w:tc>
      </w:tr>
      <w:tr w:rsidR="00C55547" w:rsidRPr="00661595" w:rsidTr="00E10B85">
        <w:tc>
          <w:tcPr>
            <w:tcW w:w="1101" w:type="dxa"/>
          </w:tcPr>
          <w:p w:rsidR="00C55547" w:rsidRPr="00661595" w:rsidRDefault="00C55547"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sz w:val="24"/>
              </w:rPr>
              <w:t>0</w:t>
            </w:r>
            <w:r w:rsidR="006E0E76" w:rsidRPr="00661595">
              <w:rPr>
                <w:rFonts w:ascii="Times New Roman" w:hAnsi="Times New Roman"/>
                <w:sz w:val="24"/>
              </w:rPr>
              <w:t>0</w:t>
            </w:r>
            <w:r w:rsidRPr="00661595">
              <w:rPr>
                <w:rFonts w:ascii="Times New Roman" w:hAnsi="Times New Roman"/>
                <w:sz w:val="24"/>
              </w:rPr>
              <w:t>30</w:t>
            </w:r>
          </w:p>
        </w:tc>
        <w:tc>
          <w:tcPr>
            <w:tcW w:w="7903" w:type="dxa"/>
          </w:tcPr>
          <w:p w:rsidR="00C55547" w:rsidRPr="00661595" w:rsidRDefault="00C55547" w:rsidP="00E10B85">
            <w:pPr>
              <w:autoSpaceDE w:val="0"/>
              <w:autoSpaceDN w:val="0"/>
              <w:adjustRightInd w:val="0"/>
              <w:spacing w:before="0" w:after="0"/>
              <w:jc w:val="left"/>
              <w:rPr>
                <w:rFonts w:ascii="Times New Roman" w:hAnsi="Times New Roman"/>
                <w:b/>
                <w:sz w:val="24"/>
                <w:u w:val="single"/>
              </w:rPr>
            </w:pPr>
            <w:r w:rsidRPr="00661595">
              <w:rPr>
                <w:rFonts w:ascii="Times New Roman" w:hAnsi="Times New Roman"/>
                <w:b/>
                <w:sz w:val="24"/>
                <w:u w:val="single"/>
              </w:rPr>
              <w:t>IDENTIFIER OF THE ORIGINATOR</w:t>
            </w:r>
            <w:r w:rsidRPr="00661595">
              <w:rPr>
                <w:rFonts w:ascii="Times New Roman" w:hAnsi="Times New Roman"/>
                <w:b/>
                <w:sz w:val="24"/>
              </w:rPr>
              <w:t xml:space="preserve"> (Code/Name)</w:t>
            </w:r>
          </w:p>
          <w:p w:rsidR="00C55547" w:rsidRPr="00661595" w:rsidRDefault="00C55547" w:rsidP="00E10B85">
            <w:pPr>
              <w:autoSpaceDE w:val="0"/>
              <w:autoSpaceDN w:val="0"/>
              <w:adjustRightInd w:val="0"/>
              <w:spacing w:before="0" w:after="0"/>
              <w:jc w:val="left"/>
              <w:rPr>
                <w:rFonts w:ascii="Times New Roman" w:hAnsi="Times New Roman"/>
                <w:sz w:val="24"/>
              </w:rPr>
            </w:pPr>
          </w:p>
          <w:p w:rsidR="00C55547" w:rsidRPr="00661595" w:rsidRDefault="00C55547"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 xml:space="preserve">The LEI code applicable to the originator, or, if not available, the code given by the supervisory authority to the originator or, if that is not available, the name of the institution itself shall be reported </w:t>
            </w:r>
            <w:r w:rsidR="007F1970" w:rsidRPr="00661595">
              <w:rPr>
                <w:rFonts w:ascii="Times New Roman" w:hAnsi="Times New Roman"/>
                <w:sz w:val="24"/>
              </w:rPr>
              <w:t>in</w:t>
            </w:r>
            <w:r w:rsidRPr="00661595">
              <w:rPr>
                <w:rFonts w:ascii="Times New Roman" w:hAnsi="Times New Roman"/>
                <w:sz w:val="24"/>
              </w:rPr>
              <w:t xml:space="preserve"> this column.</w:t>
            </w:r>
          </w:p>
          <w:p w:rsidR="00C55547" w:rsidRPr="00661595" w:rsidRDefault="00C55547" w:rsidP="00E10B85">
            <w:pPr>
              <w:autoSpaceDE w:val="0"/>
              <w:autoSpaceDN w:val="0"/>
              <w:adjustRightInd w:val="0"/>
              <w:spacing w:before="0" w:after="0"/>
              <w:rPr>
                <w:rFonts w:ascii="Times New Roman" w:hAnsi="Times New Roman"/>
                <w:sz w:val="24"/>
              </w:rPr>
            </w:pPr>
          </w:p>
          <w:p w:rsidR="00C55547" w:rsidRPr="00661595" w:rsidRDefault="00C55547"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 xml:space="preserve">In the case of multi-seller securitisations where the reporting </w:t>
            </w:r>
            <w:r w:rsidR="00E20FAC" w:rsidRPr="00661595">
              <w:rPr>
                <w:rFonts w:ascii="Times New Roman" w:hAnsi="Times New Roman"/>
                <w:sz w:val="24"/>
              </w:rPr>
              <w:t>institution</w:t>
            </w:r>
            <w:r w:rsidRPr="00661595">
              <w:rPr>
                <w:rFonts w:ascii="Times New Roman" w:hAnsi="Times New Roman"/>
                <w:sz w:val="24"/>
              </w:rPr>
              <w:t xml:space="preserve"> is involved as originator, sponsor or original lender, the reporting </w:t>
            </w:r>
            <w:r w:rsidR="00E20FAC" w:rsidRPr="00661595">
              <w:rPr>
                <w:rFonts w:ascii="Times New Roman" w:hAnsi="Times New Roman"/>
                <w:sz w:val="24"/>
              </w:rPr>
              <w:t>institution</w:t>
            </w:r>
            <w:r w:rsidRPr="00661595">
              <w:rPr>
                <w:rFonts w:ascii="Times New Roman" w:hAnsi="Times New Roman"/>
                <w:sz w:val="24"/>
              </w:rPr>
              <w:t xml:space="preserve"> shall provide the identifier of all the entities within its consolidated group that are involved (as originator, sponsor or original lender) in the transaction. </w:t>
            </w:r>
            <w:r w:rsidR="00E20FAC" w:rsidRPr="00661595">
              <w:rPr>
                <w:rFonts w:ascii="Times New Roman" w:hAnsi="Times New Roman"/>
                <w:sz w:val="24"/>
              </w:rPr>
              <w:t>If</w:t>
            </w:r>
            <w:r w:rsidRPr="00661595">
              <w:rPr>
                <w:rFonts w:ascii="Times New Roman" w:hAnsi="Times New Roman"/>
                <w:sz w:val="24"/>
              </w:rPr>
              <w:t xml:space="preserve"> the code is not available or is not known by the reporting </w:t>
            </w:r>
            <w:r w:rsidR="00E20FAC" w:rsidRPr="00661595">
              <w:rPr>
                <w:rFonts w:ascii="Times New Roman" w:hAnsi="Times New Roman"/>
                <w:sz w:val="24"/>
              </w:rPr>
              <w:t>institution,</w:t>
            </w:r>
            <w:r w:rsidRPr="00661595">
              <w:rPr>
                <w:rFonts w:ascii="Times New Roman" w:hAnsi="Times New Roman"/>
                <w:sz w:val="24"/>
              </w:rPr>
              <w:t xml:space="preserve"> the name of the institution shall be reported.</w:t>
            </w:r>
          </w:p>
          <w:p w:rsidR="00C55547" w:rsidRPr="00661595" w:rsidRDefault="00C55547" w:rsidP="00E10B85">
            <w:pPr>
              <w:autoSpaceDE w:val="0"/>
              <w:autoSpaceDN w:val="0"/>
              <w:adjustRightInd w:val="0"/>
              <w:spacing w:before="0" w:after="0"/>
              <w:rPr>
                <w:rFonts w:ascii="Times New Roman" w:hAnsi="Times New Roman"/>
                <w:sz w:val="24"/>
              </w:rPr>
            </w:pPr>
          </w:p>
          <w:p w:rsidR="00C55547" w:rsidRPr="00661595" w:rsidRDefault="00C55547"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 xml:space="preserve">In the case of multi-seller securitisations where the reporting </w:t>
            </w:r>
            <w:r w:rsidR="00E20FAC" w:rsidRPr="00661595">
              <w:rPr>
                <w:rFonts w:ascii="Times New Roman" w:hAnsi="Times New Roman"/>
                <w:sz w:val="24"/>
              </w:rPr>
              <w:t>institution</w:t>
            </w:r>
            <w:r w:rsidRPr="00661595">
              <w:rPr>
                <w:rFonts w:ascii="Times New Roman" w:hAnsi="Times New Roman"/>
                <w:sz w:val="24"/>
              </w:rPr>
              <w:t xml:space="preserve"> holds a position in the securitisation as an investor, </w:t>
            </w:r>
            <w:r w:rsidR="007F1970" w:rsidRPr="00661595">
              <w:rPr>
                <w:rFonts w:ascii="Times New Roman" w:hAnsi="Times New Roman"/>
                <w:sz w:val="24"/>
              </w:rPr>
              <w:t>the reporting institution</w:t>
            </w:r>
            <w:r w:rsidRPr="00661595">
              <w:rPr>
                <w:rFonts w:ascii="Times New Roman" w:hAnsi="Times New Roman"/>
                <w:sz w:val="24"/>
              </w:rPr>
              <w:t xml:space="preserve"> sh</w:t>
            </w:r>
            <w:r w:rsidR="00E20FAC" w:rsidRPr="00661595">
              <w:rPr>
                <w:rFonts w:ascii="Times New Roman" w:hAnsi="Times New Roman"/>
                <w:sz w:val="24"/>
              </w:rPr>
              <w:t>all</w:t>
            </w:r>
            <w:r w:rsidRPr="00661595">
              <w:rPr>
                <w:rFonts w:ascii="Times New Roman" w:hAnsi="Times New Roman"/>
                <w:sz w:val="24"/>
              </w:rPr>
              <w:t xml:space="preserve"> provide the identifier of all the different originators involved in the securitisation, or, if not available, the names of the different originators.</w:t>
            </w:r>
            <w:r w:rsidR="007F1970" w:rsidRPr="00661595">
              <w:rPr>
                <w:rFonts w:ascii="Times New Roman" w:hAnsi="Times New Roman"/>
                <w:sz w:val="24"/>
              </w:rPr>
              <w:t xml:space="preserve"> Where</w:t>
            </w:r>
            <w:r w:rsidRPr="00661595">
              <w:rPr>
                <w:rFonts w:ascii="Times New Roman" w:hAnsi="Times New Roman"/>
                <w:sz w:val="24"/>
              </w:rPr>
              <w:t xml:space="preserve"> the names are not known by the reporting </w:t>
            </w:r>
            <w:r w:rsidR="00E20FAC" w:rsidRPr="00661595">
              <w:rPr>
                <w:rFonts w:ascii="Times New Roman" w:hAnsi="Times New Roman"/>
                <w:sz w:val="24"/>
              </w:rPr>
              <w:t>institution</w:t>
            </w:r>
            <w:r w:rsidRPr="00661595">
              <w:rPr>
                <w:rFonts w:ascii="Times New Roman" w:hAnsi="Times New Roman"/>
                <w:sz w:val="24"/>
              </w:rPr>
              <w:t xml:space="preserve">, </w:t>
            </w:r>
            <w:r w:rsidR="007F1970" w:rsidRPr="00661595">
              <w:rPr>
                <w:rFonts w:ascii="Times New Roman" w:hAnsi="Times New Roman"/>
                <w:sz w:val="24"/>
              </w:rPr>
              <w:t>the reporting institution</w:t>
            </w:r>
            <w:r w:rsidRPr="00661595">
              <w:rPr>
                <w:rFonts w:ascii="Times New Roman" w:hAnsi="Times New Roman"/>
                <w:sz w:val="24"/>
              </w:rPr>
              <w:t xml:space="preserve"> sh</w:t>
            </w:r>
            <w:r w:rsidR="00E20FAC" w:rsidRPr="00661595">
              <w:rPr>
                <w:rFonts w:ascii="Times New Roman" w:hAnsi="Times New Roman"/>
                <w:sz w:val="24"/>
              </w:rPr>
              <w:t>all</w:t>
            </w:r>
            <w:r w:rsidRPr="00661595">
              <w:rPr>
                <w:rFonts w:ascii="Times New Roman" w:hAnsi="Times New Roman"/>
                <w:sz w:val="24"/>
              </w:rPr>
              <w:t xml:space="preserve"> report that the securitisation is ‘multi-seller’.</w:t>
            </w:r>
          </w:p>
          <w:p w:rsidR="00C55547" w:rsidRPr="00661595" w:rsidRDefault="00C55547" w:rsidP="00E10B85">
            <w:pPr>
              <w:autoSpaceDE w:val="0"/>
              <w:autoSpaceDN w:val="0"/>
              <w:adjustRightInd w:val="0"/>
              <w:spacing w:before="0" w:after="0"/>
              <w:rPr>
                <w:rFonts w:ascii="Times New Roman" w:hAnsi="Times New Roman"/>
                <w:sz w:val="24"/>
              </w:rPr>
            </w:pPr>
          </w:p>
          <w:p w:rsidR="00C55547" w:rsidRPr="00661595" w:rsidRDefault="00C55547" w:rsidP="00E10B85">
            <w:pPr>
              <w:autoSpaceDE w:val="0"/>
              <w:autoSpaceDN w:val="0"/>
              <w:adjustRightInd w:val="0"/>
              <w:spacing w:before="0" w:after="0"/>
              <w:rPr>
                <w:rFonts w:ascii="Times New Roman" w:hAnsi="Times New Roman"/>
                <w:bCs/>
                <w:sz w:val="24"/>
                <w:lang w:eastAsia="nl-BE"/>
              </w:rPr>
            </w:pPr>
          </w:p>
        </w:tc>
      </w:tr>
      <w:tr w:rsidR="00C55547" w:rsidRPr="00661595" w:rsidTr="00E10B85">
        <w:tc>
          <w:tcPr>
            <w:tcW w:w="1101" w:type="dxa"/>
          </w:tcPr>
          <w:p w:rsidR="00C55547" w:rsidRPr="00661595" w:rsidRDefault="00C55547"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w:t>
            </w:r>
            <w:r w:rsidR="006E0E76" w:rsidRPr="00661595">
              <w:rPr>
                <w:rFonts w:ascii="Times New Roman" w:hAnsi="Times New Roman"/>
                <w:bCs/>
                <w:sz w:val="24"/>
                <w:lang w:eastAsia="nl-BE"/>
              </w:rPr>
              <w:t>0</w:t>
            </w:r>
            <w:r w:rsidRPr="00661595">
              <w:rPr>
                <w:rFonts w:ascii="Times New Roman" w:hAnsi="Times New Roman"/>
                <w:bCs/>
                <w:sz w:val="24"/>
                <w:lang w:eastAsia="nl-BE"/>
              </w:rPr>
              <w:t>40</w:t>
            </w:r>
          </w:p>
        </w:tc>
        <w:tc>
          <w:tcPr>
            <w:tcW w:w="7903" w:type="dxa"/>
          </w:tcPr>
          <w:p w:rsidR="00C55547" w:rsidRPr="00661595" w:rsidRDefault="00C55547" w:rsidP="00E10B85">
            <w:pPr>
              <w:spacing w:before="0" w:after="0"/>
              <w:jc w:val="left"/>
              <w:rPr>
                <w:rFonts w:ascii="Times New Roman" w:hAnsi="Times New Roman"/>
                <w:b/>
                <w:sz w:val="24"/>
                <w:u w:val="single"/>
              </w:rPr>
            </w:pPr>
            <w:r w:rsidRPr="00661595">
              <w:rPr>
                <w:rFonts w:ascii="Times New Roman" w:hAnsi="Times New Roman"/>
                <w:b/>
                <w:sz w:val="24"/>
                <w:u w:val="single"/>
              </w:rPr>
              <w:t xml:space="preserve">SECURITISATION TYPE: (TRADITIONAL / SYNTHETIC / ABCP PROGRAMME / ABCP TRANSACTION) </w:t>
            </w:r>
          </w:p>
          <w:p w:rsidR="00C55547" w:rsidRPr="00661595" w:rsidRDefault="00C55547" w:rsidP="00E10B85">
            <w:pPr>
              <w:spacing w:before="0" w:after="0"/>
              <w:jc w:val="left"/>
              <w:rPr>
                <w:rFonts w:ascii="Times New Roman" w:hAnsi="Times New Roman"/>
                <w:sz w:val="24"/>
              </w:rPr>
            </w:pPr>
          </w:p>
          <w:p w:rsidR="00C55547" w:rsidRPr="00661595" w:rsidRDefault="00E20FAC" w:rsidP="00E10B85">
            <w:pPr>
              <w:autoSpaceDE w:val="0"/>
              <w:autoSpaceDN w:val="0"/>
              <w:adjustRightInd w:val="0"/>
              <w:spacing w:before="0" w:after="0"/>
              <w:jc w:val="left"/>
              <w:rPr>
                <w:rFonts w:ascii="Times New Roman" w:hAnsi="Times New Roman"/>
                <w:sz w:val="24"/>
              </w:rPr>
            </w:pPr>
            <w:r w:rsidRPr="00661595">
              <w:rPr>
                <w:rFonts w:ascii="Times New Roman" w:hAnsi="Times New Roman"/>
                <w:sz w:val="24"/>
              </w:rPr>
              <w:t>Institutions shall r</w:t>
            </w:r>
            <w:r w:rsidR="00C55547" w:rsidRPr="00661595">
              <w:rPr>
                <w:rFonts w:ascii="Times New Roman" w:hAnsi="Times New Roman"/>
                <w:sz w:val="24"/>
              </w:rPr>
              <w:t>eport the following abbreviations:</w:t>
            </w:r>
            <w:r w:rsidR="00C55547" w:rsidRPr="00661595">
              <w:rPr>
                <w:rFonts w:ascii="Times New Roman" w:hAnsi="Times New Roman"/>
                <w:sz w:val="24"/>
              </w:rPr>
              <w:br/>
              <w:t>- ‘AP’ for ABCP programme;</w:t>
            </w:r>
          </w:p>
          <w:p w:rsidR="00C55547" w:rsidRPr="00661595" w:rsidRDefault="00C55547" w:rsidP="00E10B85">
            <w:pPr>
              <w:autoSpaceDE w:val="0"/>
              <w:autoSpaceDN w:val="0"/>
              <w:adjustRightInd w:val="0"/>
              <w:spacing w:before="0" w:after="0"/>
              <w:jc w:val="left"/>
              <w:rPr>
                <w:rFonts w:ascii="Times New Roman" w:hAnsi="Times New Roman"/>
                <w:sz w:val="24"/>
              </w:rPr>
            </w:pPr>
            <w:r w:rsidRPr="00661595">
              <w:rPr>
                <w:rFonts w:ascii="Times New Roman" w:hAnsi="Times New Roman"/>
                <w:sz w:val="24"/>
              </w:rPr>
              <w:t>- ‘AT’ for ABCP transaction;</w:t>
            </w:r>
          </w:p>
          <w:p w:rsidR="00C55547" w:rsidRPr="00661595" w:rsidRDefault="00C55547" w:rsidP="00E10B85">
            <w:pPr>
              <w:autoSpaceDE w:val="0"/>
              <w:autoSpaceDN w:val="0"/>
              <w:adjustRightInd w:val="0"/>
              <w:spacing w:before="0" w:after="0"/>
              <w:jc w:val="left"/>
              <w:rPr>
                <w:rFonts w:ascii="Times New Roman" w:hAnsi="Times New Roman"/>
                <w:sz w:val="24"/>
              </w:rPr>
            </w:pPr>
            <w:r w:rsidRPr="00661595">
              <w:rPr>
                <w:rFonts w:ascii="Times New Roman" w:hAnsi="Times New Roman"/>
                <w:sz w:val="24"/>
              </w:rPr>
              <w:t>- ‘T’ for Traditional;</w:t>
            </w:r>
          </w:p>
          <w:p w:rsidR="00C55547" w:rsidRPr="00661595" w:rsidRDefault="00C55547" w:rsidP="00E10B85">
            <w:pPr>
              <w:autoSpaceDE w:val="0"/>
              <w:autoSpaceDN w:val="0"/>
              <w:adjustRightInd w:val="0"/>
              <w:spacing w:before="0" w:after="0"/>
              <w:jc w:val="left"/>
              <w:rPr>
                <w:rFonts w:ascii="Times New Roman" w:hAnsi="Times New Roman"/>
                <w:sz w:val="24"/>
              </w:rPr>
            </w:pPr>
            <w:r w:rsidRPr="00661595">
              <w:rPr>
                <w:rFonts w:ascii="Times New Roman" w:hAnsi="Times New Roman"/>
                <w:sz w:val="24"/>
              </w:rPr>
              <w:t xml:space="preserve">- ‘S’ for Synthetic. </w:t>
            </w:r>
          </w:p>
          <w:p w:rsidR="00C55547" w:rsidRPr="00661595" w:rsidRDefault="00C55547" w:rsidP="00E10B85">
            <w:pPr>
              <w:autoSpaceDE w:val="0"/>
              <w:autoSpaceDN w:val="0"/>
              <w:adjustRightInd w:val="0"/>
              <w:spacing w:before="0" w:after="0"/>
              <w:jc w:val="left"/>
              <w:rPr>
                <w:rFonts w:ascii="Times New Roman" w:hAnsi="Times New Roman"/>
                <w:sz w:val="24"/>
              </w:rPr>
            </w:pPr>
          </w:p>
          <w:p w:rsidR="00C55547" w:rsidRPr="00661595" w:rsidRDefault="00C55547"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 xml:space="preserve">The definitions of ‘Asset Backed Commercial Paper Programme’, ‘Asset Backed Commercial Paper Transaction’, ‘traditional securitisation’ and ‘synthetic securitisation’ are provided in </w:t>
            </w:r>
            <w:r w:rsidR="007F1970" w:rsidRPr="00661595">
              <w:rPr>
                <w:rFonts w:ascii="Times New Roman" w:hAnsi="Times New Roman"/>
                <w:sz w:val="24"/>
              </w:rPr>
              <w:t xml:space="preserve">points (11) to (14) of </w:t>
            </w:r>
            <w:r w:rsidRPr="00661595">
              <w:rPr>
                <w:rFonts w:ascii="Times New Roman" w:hAnsi="Times New Roman"/>
                <w:sz w:val="24"/>
              </w:rPr>
              <w:t>Article 242</w:t>
            </w:r>
            <w:r w:rsidR="00882103" w:rsidRPr="00661595">
              <w:rPr>
                <w:rFonts w:ascii="Times New Roman" w:hAnsi="Times New Roman"/>
                <w:sz w:val="24"/>
              </w:rPr>
              <w:t xml:space="preserve"> </w:t>
            </w:r>
            <w:r w:rsidRPr="00661595">
              <w:rPr>
                <w:rFonts w:ascii="Times New Roman" w:hAnsi="Times New Roman"/>
                <w:sz w:val="24"/>
              </w:rPr>
              <w:t>CRR.</w:t>
            </w:r>
          </w:p>
          <w:p w:rsidR="00C55547" w:rsidRPr="00661595" w:rsidRDefault="00C55547" w:rsidP="00E10B85">
            <w:pPr>
              <w:autoSpaceDE w:val="0"/>
              <w:autoSpaceDN w:val="0"/>
              <w:adjustRightInd w:val="0"/>
              <w:spacing w:before="0" w:after="0"/>
              <w:jc w:val="left"/>
              <w:rPr>
                <w:rFonts w:ascii="Times New Roman" w:hAnsi="Times New Roman"/>
                <w:sz w:val="24"/>
              </w:rPr>
            </w:pPr>
          </w:p>
        </w:tc>
      </w:tr>
      <w:tr w:rsidR="00C55547" w:rsidRPr="00661595" w:rsidTr="00E10B85">
        <w:tc>
          <w:tcPr>
            <w:tcW w:w="1101" w:type="dxa"/>
          </w:tcPr>
          <w:p w:rsidR="00C55547" w:rsidRPr="00661595" w:rsidRDefault="00C55547"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sz w:val="24"/>
              </w:rPr>
              <w:t>0</w:t>
            </w:r>
            <w:r w:rsidR="006E0E76" w:rsidRPr="00661595">
              <w:rPr>
                <w:rFonts w:ascii="Times New Roman" w:hAnsi="Times New Roman"/>
                <w:sz w:val="24"/>
              </w:rPr>
              <w:t>0</w:t>
            </w:r>
            <w:r w:rsidRPr="00661595">
              <w:rPr>
                <w:rFonts w:ascii="Times New Roman" w:hAnsi="Times New Roman"/>
                <w:sz w:val="24"/>
              </w:rPr>
              <w:t>51</w:t>
            </w:r>
          </w:p>
        </w:tc>
        <w:tc>
          <w:tcPr>
            <w:tcW w:w="7903" w:type="dxa"/>
          </w:tcPr>
          <w:p w:rsidR="00C55547" w:rsidRPr="00661595" w:rsidRDefault="00C55547" w:rsidP="00E10B85">
            <w:pPr>
              <w:autoSpaceDE w:val="0"/>
              <w:autoSpaceDN w:val="0"/>
              <w:adjustRightInd w:val="0"/>
              <w:spacing w:before="0" w:after="0"/>
              <w:jc w:val="left"/>
              <w:rPr>
                <w:rFonts w:ascii="Times New Roman" w:hAnsi="Times New Roman"/>
                <w:b/>
                <w:sz w:val="24"/>
                <w:u w:val="single"/>
              </w:rPr>
            </w:pPr>
            <w:r w:rsidRPr="00661595">
              <w:rPr>
                <w:rFonts w:ascii="Times New Roman" w:hAnsi="Times New Roman"/>
                <w:b/>
                <w:sz w:val="24"/>
                <w:u w:val="single"/>
              </w:rPr>
              <w:t>ACCOUNTING TREATMENT: SECURITISED EXPOSURES ARE KEPT OR REMOVED FROM THE BALANCE SHEET?</w:t>
            </w:r>
          </w:p>
          <w:p w:rsidR="00C55547" w:rsidRPr="00661595" w:rsidRDefault="00C55547" w:rsidP="00E10B85">
            <w:pPr>
              <w:autoSpaceDE w:val="0"/>
              <w:autoSpaceDN w:val="0"/>
              <w:adjustRightInd w:val="0"/>
              <w:spacing w:before="0" w:after="0"/>
              <w:jc w:val="left"/>
              <w:rPr>
                <w:rFonts w:ascii="Times New Roman" w:hAnsi="Times New Roman"/>
                <w:sz w:val="24"/>
              </w:rPr>
            </w:pPr>
          </w:p>
          <w:p w:rsidR="00C55547" w:rsidRPr="00661595" w:rsidRDefault="00784A19" w:rsidP="00E10B85">
            <w:pPr>
              <w:autoSpaceDE w:val="0"/>
              <w:autoSpaceDN w:val="0"/>
              <w:adjustRightInd w:val="0"/>
              <w:spacing w:before="0" w:after="0"/>
              <w:jc w:val="left"/>
              <w:rPr>
                <w:rFonts w:ascii="Times New Roman" w:hAnsi="Times New Roman"/>
                <w:sz w:val="24"/>
              </w:rPr>
            </w:pPr>
            <w:r w:rsidRPr="00661595">
              <w:rPr>
                <w:rFonts w:ascii="Times New Roman" w:hAnsi="Times New Roman"/>
                <w:sz w:val="24"/>
              </w:rPr>
              <w:t>Institutions as o</w:t>
            </w:r>
            <w:r w:rsidR="00C55547" w:rsidRPr="00661595">
              <w:rPr>
                <w:rFonts w:ascii="Times New Roman" w:hAnsi="Times New Roman"/>
                <w:sz w:val="24"/>
              </w:rPr>
              <w:t>riginators, sponsors and original lenders shall report one of the following abbreviations:</w:t>
            </w:r>
          </w:p>
          <w:p w:rsidR="00C55547" w:rsidRPr="00661595" w:rsidRDefault="00C55547" w:rsidP="00E10B85">
            <w:pPr>
              <w:autoSpaceDE w:val="0"/>
              <w:autoSpaceDN w:val="0"/>
              <w:adjustRightInd w:val="0"/>
              <w:spacing w:before="0" w:after="0"/>
              <w:ind w:left="1440" w:hanging="1440"/>
              <w:jc w:val="left"/>
              <w:rPr>
                <w:rFonts w:ascii="Times New Roman" w:hAnsi="Times New Roman"/>
                <w:sz w:val="24"/>
              </w:rPr>
            </w:pPr>
            <w:r w:rsidRPr="00661595">
              <w:rPr>
                <w:rFonts w:ascii="Times New Roman" w:hAnsi="Times New Roman"/>
                <w:sz w:val="24"/>
              </w:rPr>
              <w:t>- ‘K’ if entirely recognised</w:t>
            </w:r>
            <w:r w:rsidR="007F1970" w:rsidRPr="00661595">
              <w:rPr>
                <w:rFonts w:ascii="Times New Roman" w:hAnsi="Times New Roman"/>
                <w:sz w:val="24"/>
              </w:rPr>
              <w:t>;</w:t>
            </w:r>
          </w:p>
          <w:p w:rsidR="00C55547" w:rsidRPr="00661595" w:rsidRDefault="00C55547" w:rsidP="00E10B85">
            <w:pPr>
              <w:autoSpaceDE w:val="0"/>
              <w:autoSpaceDN w:val="0"/>
              <w:adjustRightInd w:val="0"/>
              <w:spacing w:before="0" w:after="0"/>
              <w:jc w:val="left"/>
              <w:rPr>
                <w:rFonts w:ascii="Times New Roman" w:hAnsi="Times New Roman"/>
                <w:sz w:val="24"/>
              </w:rPr>
            </w:pPr>
            <w:r w:rsidRPr="00661595">
              <w:rPr>
                <w:rFonts w:ascii="Times New Roman" w:hAnsi="Times New Roman"/>
                <w:sz w:val="24"/>
              </w:rPr>
              <w:t>- ‘P’ if partially derecognised</w:t>
            </w:r>
            <w:r w:rsidR="007F1970" w:rsidRPr="00661595">
              <w:rPr>
                <w:rFonts w:ascii="Times New Roman" w:hAnsi="Times New Roman"/>
                <w:sz w:val="24"/>
              </w:rPr>
              <w:t>;</w:t>
            </w:r>
          </w:p>
          <w:p w:rsidR="00C55547" w:rsidRPr="00661595" w:rsidRDefault="00C55547" w:rsidP="00E10B85">
            <w:pPr>
              <w:autoSpaceDE w:val="0"/>
              <w:autoSpaceDN w:val="0"/>
              <w:adjustRightInd w:val="0"/>
              <w:spacing w:before="0" w:after="0"/>
              <w:jc w:val="left"/>
              <w:rPr>
                <w:rFonts w:ascii="Times New Roman" w:hAnsi="Times New Roman"/>
                <w:sz w:val="24"/>
              </w:rPr>
            </w:pPr>
            <w:r w:rsidRPr="00661595">
              <w:rPr>
                <w:rFonts w:ascii="Times New Roman" w:hAnsi="Times New Roman"/>
                <w:sz w:val="24"/>
              </w:rPr>
              <w:t>- ‘R’ if entirely derecognised</w:t>
            </w:r>
            <w:r w:rsidR="007F1970" w:rsidRPr="00661595">
              <w:rPr>
                <w:rFonts w:ascii="Times New Roman" w:hAnsi="Times New Roman"/>
                <w:sz w:val="24"/>
              </w:rPr>
              <w:t>;</w:t>
            </w:r>
          </w:p>
          <w:p w:rsidR="00C55547" w:rsidRPr="00661595" w:rsidRDefault="00C55547" w:rsidP="00E10B85">
            <w:pPr>
              <w:autoSpaceDE w:val="0"/>
              <w:autoSpaceDN w:val="0"/>
              <w:adjustRightInd w:val="0"/>
              <w:spacing w:before="0" w:after="0"/>
              <w:jc w:val="left"/>
              <w:rPr>
                <w:rFonts w:ascii="Times New Roman" w:hAnsi="Times New Roman"/>
                <w:sz w:val="24"/>
              </w:rPr>
            </w:pPr>
            <w:r w:rsidRPr="00661595">
              <w:rPr>
                <w:rFonts w:ascii="Times New Roman" w:hAnsi="Times New Roman"/>
                <w:sz w:val="24"/>
              </w:rPr>
              <w:t>- ‘N’ if not applicable.</w:t>
            </w:r>
          </w:p>
          <w:p w:rsidR="00C55547" w:rsidRPr="00661595" w:rsidRDefault="00C55547" w:rsidP="00E10B85">
            <w:pPr>
              <w:autoSpaceDE w:val="0"/>
              <w:autoSpaceDN w:val="0"/>
              <w:adjustRightInd w:val="0"/>
              <w:spacing w:before="0" w:after="0"/>
              <w:jc w:val="left"/>
              <w:rPr>
                <w:rFonts w:ascii="Times New Roman" w:hAnsi="Times New Roman"/>
                <w:sz w:val="24"/>
              </w:rPr>
            </w:pPr>
          </w:p>
          <w:p w:rsidR="00C55547" w:rsidRPr="00661595" w:rsidRDefault="00C55547"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 xml:space="preserve">This column summarises the accounting treatment of the transaction. Significant risk transfer (SRT) under Articles 244 and 245 </w:t>
            </w:r>
            <w:r w:rsidR="00C7103D" w:rsidRPr="00661595">
              <w:rPr>
                <w:rFonts w:ascii="Times New Roman" w:hAnsi="Times New Roman"/>
                <w:sz w:val="24"/>
              </w:rPr>
              <w:t>CRR</w:t>
            </w:r>
            <w:r w:rsidR="007F1970" w:rsidRPr="00661595">
              <w:rPr>
                <w:rFonts w:ascii="Times New Roman" w:hAnsi="Times New Roman"/>
                <w:sz w:val="24"/>
              </w:rPr>
              <w:t xml:space="preserve"> shall</w:t>
            </w:r>
            <w:r w:rsidRPr="00661595">
              <w:rPr>
                <w:rFonts w:ascii="Times New Roman" w:hAnsi="Times New Roman"/>
                <w:sz w:val="24"/>
              </w:rPr>
              <w:t xml:space="preserve"> not affect the accounting treatment of the transaction under the relevant accounting framework.</w:t>
            </w:r>
          </w:p>
          <w:p w:rsidR="007F1970" w:rsidRPr="00661595" w:rsidRDefault="007F1970" w:rsidP="00E10B85">
            <w:pPr>
              <w:autoSpaceDE w:val="0"/>
              <w:autoSpaceDN w:val="0"/>
              <w:adjustRightInd w:val="0"/>
              <w:spacing w:before="0" w:after="0"/>
              <w:rPr>
                <w:rFonts w:ascii="Times New Roman" w:hAnsi="Times New Roman"/>
                <w:sz w:val="24"/>
              </w:rPr>
            </w:pPr>
          </w:p>
          <w:p w:rsidR="00C55547" w:rsidRPr="00661595" w:rsidRDefault="00C55547"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 xml:space="preserve">In </w:t>
            </w:r>
            <w:r w:rsidR="005E5070" w:rsidRPr="00661595">
              <w:rPr>
                <w:rFonts w:ascii="Times New Roman" w:hAnsi="Times New Roman"/>
                <w:sz w:val="24"/>
              </w:rPr>
              <w:t xml:space="preserve">the </w:t>
            </w:r>
            <w:r w:rsidRPr="00661595">
              <w:rPr>
                <w:rFonts w:ascii="Times New Roman" w:hAnsi="Times New Roman"/>
                <w:sz w:val="24"/>
              </w:rPr>
              <w:t>case of securitisations of liabilities</w:t>
            </w:r>
            <w:r w:rsidR="005E5070" w:rsidRPr="00661595">
              <w:rPr>
                <w:rFonts w:ascii="Times New Roman" w:hAnsi="Times New Roman"/>
                <w:sz w:val="24"/>
              </w:rPr>
              <w:t>,</w:t>
            </w:r>
            <w:r w:rsidRPr="00661595">
              <w:rPr>
                <w:rFonts w:ascii="Times New Roman" w:hAnsi="Times New Roman"/>
                <w:sz w:val="24"/>
              </w:rPr>
              <w:t xml:space="preserve"> originators shall not report this column.</w:t>
            </w:r>
          </w:p>
          <w:p w:rsidR="00C55547" w:rsidRPr="00661595" w:rsidRDefault="00C55547"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Option ‘P’ (partially removed) shall be reported whe</w:t>
            </w:r>
            <w:r w:rsidR="007F1970" w:rsidRPr="00661595">
              <w:rPr>
                <w:rFonts w:ascii="Times New Roman" w:hAnsi="Times New Roman"/>
                <w:sz w:val="24"/>
              </w:rPr>
              <w:t>re</w:t>
            </w:r>
            <w:r w:rsidRPr="00661595">
              <w:rPr>
                <w:rFonts w:ascii="Times New Roman" w:hAnsi="Times New Roman"/>
                <w:sz w:val="24"/>
              </w:rPr>
              <w:t xml:space="preserve"> the securitised assets are recognised in the balance sheet to the extent of the reporting entity’</w:t>
            </w:r>
            <w:r w:rsidR="007F1970" w:rsidRPr="00661595">
              <w:rPr>
                <w:rFonts w:ascii="Times New Roman" w:hAnsi="Times New Roman"/>
                <w:sz w:val="24"/>
              </w:rPr>
              <w:t>s</w:t>
            </w:r>
            <w:r w:rsidRPr="00661595">
              <w:rPr>
                <w:rFonts w:ascii="Times New Roman" w:hAnsi="Times New Roman"/>
                <w:sz w:val="24"/>
              </w:rPr>
              <w:t xml:space="preserve"> continuing involvement in accordance with IFRS 9.3.2.16 – 3.2.21.</w:t>
            </w:r>
          </w:p>
          <w:p w:rsidR="00C55547" w:rsidRPr="00661595" w:rsidRDefault="00C55547" w:rsidP="00E10B85">
            <w:pPr>
              <w:autoSpaceDE w:val="0"/>
              <w:autoSpaceDN w:val="0"/>
              <w:adjustRightInd w:val="0"/>
              <w:spacing w:before="0" w:after="0"/>
              <w:jc w:val="left"/>
              <w:rPr>
                <w:rFonts w:ascii="Times New Roman" w:hAnsi="Times New Roman"/>
                <w:bCs/>
                <w:sz w:val="24"/>
                <w:lang w:eastAsia="nl-BE"/>
              </w:rPr>
            </w:pPr>
          </w:p>
        </w:tc>
      </w:tr>
      <w:tr w:rsidR="00C55547" w:rsidRPr="00661595" w:rsidTr="00E10B85">
        <w:tc>
          <w:tcPr>
            <w:tcW w:w="1101" w:type="dxa"/>
          </w:tcPr>
          <w:p w:rsidR="00C55547" w:rsidRPr="00661595" w:rsidRDefault="00C55547"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sz w:val="24"/>
              </w:rPr>
              <w:t>0</w:t>
            </w:r>
            <w:r w:rsidR="006E0E76" w:rsidRPr="00661595">
              <w:rPr>
                <w:rFonts w:ascii="Times New Roman" w:hAnsi="Times New Roman"/>
                <w:sz w:val="24"/>
              </w:rPr>
              <w:t>0</w:t>
            </w:r>
            <w:r w:rsidRPr="00661595">
              <w:rPr>
                <w:rFonts w:ascii="Times New Roman" w:hAnsi="Times New Roman"/>
                <w:sz w:val="24"/>
              </w:rPr>
              <w:t>60</w:t>
            </w:r>
          </w:p>
        </w:tc>
        <w:tc>
          <w:tcPr>
            <w:tcW w:w="7903" w:type="dxa"/>
          </w:tcPr>
          <w:p w:rsidR="00C55547" w:rsidRPr="00661595" w:rsidRDefault="00C55547" w:rsidP="00E10B85">
            <w:pPr>
              <w:spacing w:before="0" w:after="0"/>
              <w:jc w:val="left"/>
              <w:rPr>
                <w:rFonts w:ascii="Times New Roman" w:hAnsi="Times New Roman"/>
                <w:b/>
                <w:sz w:val="24"/>
                <w:u w:val="single"/>
              </w:rPr>
            </w:pPr>
            <w:r w:rsidRPr="00661595">
              <w:rPr>
                <w:rFonts w:ascii="Times New Roman" w:hAnsi="Times New Roman"/>
                <w:b/>
                <w:sz w:val="24"/>
                <w:u w:val="single"/>
              </w:rPr>
              <w:t>SOLVENCY TREATMENT: SECURITISATION POSITIONS SUBJECT TO OWN FUNDS REQUIREMENTS?</w:t>
            </w:r>
          </w:p>
          <w:p w:rsidR="00C55547" w:rsidRPr="00661595" w:rsidRDefault="00C55547" w:rsidP="00E10B85">
            <w:pPr>
              <w:autoSpaceDE w:val="0"/>
              <w:autoSpaceDN w:val="0"/>
              <w:adjustRightInd w:val="0"/>
              <w:spacing w:before="0" w:after="0"/>
              <w:jc w:val="left"/>
              <w:rPr>
                <w:rFonts w:ascii="Times New Roman" w:hAnsi="Times New Roman"/>
                <w:sz w:val="24"/>
              </w:rPr>
            </w:pPr>
          </w:p>
          <w:p w:rsidR="006C5A49" w:rsidRDefault="006C5A49" w:rsidP="006C5A49">
            <w:pPr>
              <w:autoSpaceDE w:val="0"/>
              <w:autoSpaceDN w:val="0"/>
              <w:adjustRightInd w:val="0"/>
              <w:spacing w:before="0" w:after="0"/>
              <w:rPr>
                <w:rFonts w:ascii="Times New Roman" w:hAnsi="Times New Roman"/>
                <w:sz w:val="24"/>
              </w:rPr>
            </w:pPr>
            <w:r w:rsidRPr="00661595">
              <w:rPr>
                <w:rFonts w:ascii="Times New Roman" w:hAnsi="Times New Roman"/>
                <w:sz w:val="24"/>
              </w:rPr>
              <w:t>Articles 109, 244 and 245 CRR</w:t>
            </w:r>
          </w:p>
          <w:p w:rsidR="006C5A49" w:rsidRPr="00661595" w:rsidRDefault="006C5A49" w:rsidP="006C5A49">
            <w:pPr>
              <w:autoSpaceDE w:val="0"/>
              <w:autoSpaceDN w:val="0"/>
              <w:adjustRightInd w:val="0"/>
              <w:spacing w:before="0" w:after="0"/>
              <w:rPr>
                <w:rFonts w:ascii="Times New Roman" w:hAnsi="Times New Roman"/>
                <w:sz w:val="24"/>
              </w:rPr>
            </w:pPr>
          </w:p>
          <w:p w:rsidR="00C55547" w:rsidRPr="00661595" w:rsidRDefault="00C55547" w:rsidP="00E10B85">
            <w:pPr>
              <w:autoSpaceDE w:val="0"/>
              <w:autoSpaceDN w:val="0"/>
              <w:adjustRightInd w:val="0"/>
              <w:spacing w:before="0" w:after="0"/>
              <w:jc w:val="left"/>
              <w:rPr>
                <w:rFonts w:ascii="Times New Roman" w:hAnsi="Times New Roman"/>
                <w:sz w:val="24"/>
              </w:rPr>
            </w:pPr>
            <w:r w:rsidRPr="00661595">
              <w:rPr>
                <w:rFonts w:ascii="Times New Roman" w:hAnsi="Times New Roman"/>
                <w:sz w:val="24"/>
              </w:rPr>
              <w:t xml:space="preserve">Originators, only, shall report the following abbreviations: </w:t>
            </w:r>
          </w:p>
          <w:p w:rsidR="00C55547" w:rsidRPr="00661595" w:rsidRDefault="00C55547" w:rsidP="00E10B85">
            <w:pPr>
              <w:autoSpaceDE w:val="0"/>
              <w:autoSpaceDN w:val="0"/>
              <w:adjustRightInd w:val="0"/>
              <w:spacing w:before="0" w:after="0"/>
              <w:jc w:val="left"/>
              <w:rPr>
                <w:rFonts w:ascii="Times New Roman" w:hAnsi="Times New Roman"/>
                <w:sz w:val="24"/>
              </w:rPr>
            </w:pPr>
            <w:r w:rsidRPr="00661595">
              <w:rPr>
                <w:rFonts w:ascii="Times New Roman" w:hAnsi="Times New Roman"/>
                <w:sz w:val="24"/>
              </w:rPr>
              <w:t>- ‘N’ not subject to own funds requirements;</w:t>
            </w:r>
          </w:p>
          <w:p w:rsidR="00C55547" w:rsidRPr="00661595" w:rsidRDefault="00C55547" w:rsidP="00E10B85">
            <w:pPr>
              <w:autoSpaceDE w:val="0"/>
              <w:autoSpaceDN w:val="0"/>
              <w:adjustRightInd w:val="0"/>
              <w:spacing w:before="0" w:after="0"/>
              <w:jc w:val="left"/>
              <w:rPr>
                <w:rFonts w:ascii="Times New Roman" w:hAnsi="Times New Roman"/>
                <w:sz w:val="24"/>
              </w:rPr>
            </w:pPr>
            <w:r w:rsidRPr="00661595">
              <w:rPr>
                <w:rFonts w:ascii="Times New Roman" w:hAnsi="Times New Roman"/>
                <w:sz w:val="24"/>
              </w:rPr>
              <w:t>- ‘B’ banking book;</w:t>
            </w:r>
          </w:p>
          <w:p w:rsidR="00C55547" w:rsidRPr="00661595" w:rsidRDefault="00C55547" w:rsidP="00E10B85">
            <w:pPr>
              <w:autoSpaceDE w:val="0"/>
              <w:autoSpaceDN w:val="0"/>
              <w:adjustRightInd w:val="0"/>
              <w:spacing w:before="0" w:after="0"/>
              <w:jc w:val="left"/>
              <w:rPr>
                <w:rFonts w:ascii="Times New Roman" w:hAnsi="Times New Roman"/>
                <w:sz w:val="24"/>
              </w:rPr>
            </w:pPr>
            <w:r w:rsidRPr="00661595">
              <w:rPr>
                <w:rFonts w:ascii="Times New Roman" w:hAnsi="Times New Roman"/>
                <w:sz w:val="24"/>
              </w:rPr>
              <w:t>- ‘T’ trading book;</w:t>
            </w:r>
          </w:p>
          <w:p w:rsidR="00C55547" w:rsidRPr="00661595" w:rsidRDefault="00C55547" w:rsidP="00E10B85">
            <w:pPr>
              <w:autoSpaceDE w:val="0"/>
              <w:autoSpaceDN w:val="0"/>
              <w:adjustRightInd w:val="0"/>
              <w:spacing w:before="0" w:after="0"/>
              <w:jc w:val="left"/>
              <w:rPr>
                <w:rFonts w:ascii="Times New Roman" w:hAnsi="Times New Roman"/>
                <w:sz w:val="24"/>
              </w:rPr>
            </w:pPr>
            <w:r w:rsidRPr="00661595">
              <w:rPr>
                <w:rFonts w:ascii="Times New Roman" w:hAnsi="Times New Roman"/>
                <w:sz w:val="24"/>
              </w:rPr>
              <w:t>- ‘A’ partly in both books.</w:t>
            </w:r>
          </w:p>
          <w:p w:rsidR="00C55547" w:rsidRPr="00661595" w:rsidRDefault="00C55547" w:rsidP="00E10B85">
            <w:pPr>
              <w:autoSpaceDE w:val="0"/>
              <w:autoSpaceDN w:val="0"/>
              <w:adjustRightInd w:val="0"/>
              <w:spacing w:before="0" w:after="0"/>
              <w:rPr>
                <w:rFonts w:ascii="Times New Roman" w:hAnsi="Times New Roman"/>
                <w:sz w:val="24"/>
              </w:rPr>
            </w:pPr>
          </w:p>
          <w:p w:rsidR="00C55547" w:rsidRPr="00661595" w:rsidRDefault="00C55547"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 xml:space="preserve">This column </w:t>
            </w:r>
            <w:r w:rsidR="006C5A49">
              <w:rPr>
                <w:rFonts w:ascii="Times New Roman" w:hAnsi="Times New Roman"/>
                <w:sz w:val="24"/>
              </w:rPr>
              <w:t xml:space="preserve">shall </w:t>
            </w:r>
            <w:r w:rsidRPr="00661595">
              <w:rPr>
                <w:rFonts w:ascii="Times New Roman" w:hAnsi="Times New Roman"/>
                <w:sz w:val="24"/>
              </w:rPr>
              <w:t xml:space="preserve">summarise the solvency treatment of the securitisation scheme by the originator. It </w:t>
            </w:r>
            <w:r w:rsidR="006C5A49">
              <w:rPr>
                <w:rFonts w:ascii="Times New Roman" w:hAnsi="Times New Roman"/>
                <w:sz w:val="24"/>
              </w:rPr>
              <w:t xml:space="preserve">shall </w:t>
            </w:r>
            <w:r w:rsidRPr="00661595">
              <w:rPr>
                <w:rFonts w:ascii="Times New Roman" w:hAnsi="Times New Roman"/>
                <w:sz w:val="24"/>
              </w:rPr>
              <w:t>indicate whether own funds requirements are c</w:t>
            </w:r>
            <w:r w:rsidR="007F1970" w:rsidRPr="00661595">
              <w:rPr>
                <w:rFonts w:ascii="Times New Roman" w:hAnsi="Times New Roman"/>
                <w:sz w:val="24"/>
              </w:rPr>
              <w:t>alculated</w:t>
            </w:r>
            <w:r w:rsidRPr="00661595">
              <w:rPr>
                <w:rFonts w:ascii="Times New Roman" w:hAnsi="Times New Roman"/>
                <w:sz w:val="24"/>
              </w:rPr>
              <w:t xml:space="preserve"> </w:t>
            </w:r>
            <w:r w:rsidR="001C6166" w:rsidRPr="00661595">
              <w:rPr>
                <w:rFonts w:ascii="Times New Roman" w:hAnsi="Times New Roman"/>
                <w:sz w:val="24"/>
              </w:rPr>
              <w:t>on the basis of</w:t>
            </w:r>
            <w:r w:rsidRPr="00661595">
              <w:rPr>
                <w:rFonts w:ascii="Times New Roman" w:hAnsi="Times New Roman"/>
                <w:sz w:val="24"/>
              </w:rPr>
              <w:t xml:space="preserve"> securitised exposures or securitisation positions (banking book/trading book). </w:t>
            </w:r>
          </w:p>
          <w:p w:rsidR="00C55547" w:rsidRPr="00661595" w:rsidRDefault="00C55547" w:rsidP="00E10B85">
            <w:pPr>
              <w:autoSpaceDE w:val="0"/>
              <w:autoSpaceDN w:val="0"/>
              <w:adjustRightInd w:val="0"/>
              <w:spacing w:before="0" w:after="0"/>
              <w:rPr>
                <w:rFonts w:ascii="Times New Roman" w:hAnsi="Times New Roman"/>
                <w:sz w:val="24"/>
              </w:rPr>
            </w:pPr>
          </w:p>
          <w:p w:rsidR="00C55547" w:rsidRPr="00661595" w:rsidRDefault="007F1970"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Where</w:t>
            </w:r>
            <w:r w:rsidR="00C55547" w:rsidRPr="00661595">
              <w:rPr>
                <w:rFonts w:ascii="Times New Roman" w:hAnsi="Times New Roman"/>
                <w:sz w:val="24"/>
              </w:rPr>
              <w:t xml:space="preserve"> own funds requirements are based on </w:t>
            </w:r>
            <w:r w:rsidR="00C55547" w:rsidRPr="00661595">
              <w:rPr>
                <w:rFonts w:ascii="Times New Roman" w:hAnsi="Times New Roman"/>
                <w:i/>
                <w:sz w:val="24"/>
              </w:rPr>
              <w:t>securitised exposures</w:t>
            </w:r>
            <w:r w:rsidR="00C55547" w:rsidRPr="00661595">
              <w:rPr>
                <w:rFonts w:ascii="Times New Roman" w:hAnsi="Times New Roman"/>
                <w:sz w:val="24"/>
              </w:rPr>
              <w:t xml:space="preserve"> (</w:t>
            </w:r>
            <w:r w:rsidR="00882103" w:rsidRPr="00661595">
              <w:rPr>
                <w:rFonts w:ascii="Times New Roman" w:hAnsi="Times New Roman"/>
                <w:sz w:val="24"/>
              </w:rPr>
              <w:t>as no</w:t>
            </w:r>
            <w:r w:rsidR="00C55547" w:rsidRPr="00661595">
              <w:rPr>
                <w:rFonts w:ascii="Times New Roman" w:hAnsi="Times New Roman"/>
                <w:sz w:val="24"/>
              </w:rPr>
              <w:t xml:space="preserve"> significant risk transfer</w:t>
            </w:r>
            <w:r w:rsidR="00882103" w:rsidRPr="00661595">
              <w:rPr>
                <w:rFonts w:ascii="Times New Roman" w:hAnsi="Times New Roman"/>
                <w:sz w:val="24"/>
              </w:rPr>
              <w:t xml:space="preserve"> was achieved</w:t>
            </w:r>
            <w:r w:rsidR="00C55547" w:rsidRPr="00661595">
              <w:rPr>
                <w:rFonts w:ascii="Times New Roman" w:hAnsi="Times New Roman"/>
                <w:sz w:val="24"/>
              </w:rPr>
              <w:t>) the c</w:t>
            </w:r>
            <w:r w:rsidRPr="00661595">
              <w:rPr>
                <w:rFonts w:ascii="Times New Roman" w:hAnsi="Times New Roman"/>
                <w:sz w:val="24"/>
              </w:rPr>
              <w:t>alculation</w:t>
            </w:r>
            <w:r w:rsidR="00C55547" w:rsidRPr="00661595">
              <w:rPr>
                <w:rFonts w:ascii="Times New Roman" w:hAnsi="Times New Roman"/>
                <w:sz w:val="24"/>
              </w:rPr>
              <w:t xml:space="preserve"> of own funds requirements for credit risk shall be reported in the CR SA template,</w:t>
            </w:r>
            <w:r w:rsidR="00882103" w:rsidRPr="00661595">
              <w:rPr>
                <w:rFonts w:ascii="Times New Roman" w:hAnsi="Times New Roman"/>
                <w:sz w:val="24"/>
              </w:rPr>
              <w:t xml:space="preserve"> </w:t>
            </w:r>
            <w:r w:rsidR="00C55547" w:rsidRPr="00661595">
              <w:rPr>
                <w:rFonts w:ascii="Times New Roman" w:hAnsi="Times New Roman"/>
                <w:sz w:val="24"/>
              </w:rPr>
              <w:t>for those securitised exposures for which</w:t>
            </w:r>
            <w:r w:rsidRPr="00661595">
              <w:rPr>
                <w:rFonts w:ascii="Times New Roman" w:hAnsi="Times New Roman"/>
                <w:sz w:val="24"/>
              </w:rPr>
              <w:t xml:space="preserve"> </w:t>
            </w:r>
            <w:r w:rsidR="00C55547" w:rsidRPr="00661595">
              <w:rPr>
                <w:rFonts w:ascii="Times New Roman" w:hAnsi="Times New Roman"/>
                <w:sz w:val="24"/>
              </w:rPr>
              <w:t>the Standardised Approach is used, or in the CR IRB template for those securitised exposures for which the Internal Ratings Based Approach is used by the institution.</w:t>
            </w:r>
          </w:p>
          <w:p w:rsidR="00C55547" w:rsidRPr="00661595" w:rsidRDefault="00C55547" w:rsidP="00E10B85">
            <w:pPr>
              <w:autoSpaceDE w:val="0"/>
              <w:autoSpaceDN w:val="0"/>
              <w:adjustRightInd w:val="0"/>
              <w:spacing w:before="0" w:after="0"/>
              <w:rPr>
                <w:rFonts w:ascii="Times New Roman" w:hAnsi="Times New Roman"/>
                <w:sz w:val="24"/>
              </w:rPr>
            </w:pPr>
          </w:p>
          <w:p w:rsidR="00C55547" w:rsidRDefault="00C55547"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 xml:space="preserve">Conversely, </w:t>
            </w:r>
            <w:r w:rsidR="007F1970" w:rsidRPr="00661595">
              <w:rPr>
                <w:rFonts w:ascii="Times New Roman" w:hAnsi="Times New Roman"/>
                <w:sz w:val="24"/>
              </w:rPr>
              <w:t>where</w:t>
            </w:r>
            <w:r w:rsidRPr="00661595">
              <w:rPr>
                <w:rFonts w:ascii="Times New Roman" w:hAnsi="Times New Roman"/>
                <w:sz w:val="24"/>
              </w:rPr>
              <w:t xml:space="preserve"> own funds requirements are based on </w:t>
            </w:r>
            <w:r w:rsidRPr="00661595">
              <w:rPr>
                <w:rFonts w:ascii="Times New Roman" w:hAnsi="Times New Roman"/>
                <w:i/>
                <w:sz w:val="24"/>
              </w:rPr>
              <w:t>securitisation positions held in the banking book</w:t>
            </w:r>
            <w:r w:rsidRPr="00661595">
              <w:rPr>
                <w:rFonts w:ascii="Times New Roman" w:hAnsi="Times New Roman"/>
                <w:sz w:val="24"/>
              </w:rPr>
              <w:t xml:space="preserve"> (</w:t>
            </w:r>
            <w:r w:rsidR="00882103" w:rsidRPr="00661595">
              <w:rPr>
                <w:rFonts w:ascii="Times New Roman" w:hAnsi="Times New Roman"/>
                <w:sz w:val="24"/>
              </w:rPr>
              <w:t>as a</w:t>
            </w:r>
            <w:r w:rsidRPr="00661595">
              <w:rPr>
                <w:rFonts w:ascii="Times New Roman" w:hAnsi="Times New Roman"/>
                <w:sz w:val="24"/>
              </w:rPr>
              <w:t xml:space="preserve"> significant risk transfer</w:t>
            </w:r>
            <w:r w:rsidR="00882103" w:rsidRPr="00661595">
              <w:rPr>
                <w:rFonts w:ascii="Times New Roman" w:hAnsi="Times New Roman"/>
                <w:sz w:val="24"/>
              </w:rPr>
              <w:t xml:space="preserve"> was achieved</w:t>
            </w:r>
            <w:r w:rsidRPr="00661595">
              <w:rPr>
                <w:rFonts w:ascii="Times New Roman" w:hAnsi="Times New Roman"/>
                <w:sz w:val="24"/>
              </w:rPr>
              <w:t>)</w:t>
            </w:r>
            <w:r w:rsidR="007F1970" w:rsidRPr="00661595">
              <w:rPr>
                <w:rFonts w:ascii="Times New Roman" w:hAnsi="Times New Roman"/>
                <w:sz w:val="24"/>
              </w:rPr>
              <w:t>,</w:t>
            </w:r>
            <w:r w:rsidRPr="00661595">
              <w:rPr>
                <w:rFonts w:ascii="Times New Roman" w:hAnsi="Times New Roman"/>
                <w:sz w:val="24"/>
              </w:rPr>
              <w:t xml:space="preserve"> the </w:t>
            </w:r>
            <w:r w:rsidR="00882103" w:rsidRPr="00661595">
              <w:rPr>
                <w:rFonts w:ascii="Times New Roman" w:hAnsi="Times New Roman"/>
                <w:sz w:val="24"/>
              </w:rPr>
              <w:t xml:space="preserve">information on the </w:t>
            </w:r>
            <w:r w:rsidRPr="00661595">
              <w:rPr>
                <w:rFonts w:ascii="Times New Roman" w:hAnsi="Times New Roman"/>
                <w:sz w:val="24"/>
              </w:rPr>
              <w:t>c</w:t>
            </w:r>
            <w:r w:rsidR="007F1970" w:rsidRPr="00661595">
              <w:rPr>
                <w:rFonts w:ascii="Times New Roman" w:hAnsi="Times New Roman"/>
                <w:sz w:val="24"/>
              </w:rPr>
              <w:t>alculation</w:t>
            </w:r>
            <w:r w:rsidRPr="00661595">
              <w:rPr>
                <w:rFonts w:ascii="Times New Roman" w:hAnsi="Times New Roman"/>
                <w:sz w:val="24"/>
              </w:rPr>
              <w:t xml:space="preserve"> of own funds requirements for credit risk shall be reported in the CR SEC template. In case of </w:t>
            </w:r>
            <w:r w:rsidRPr="00661595">
              <w:rPr>
                <w:rFonts w:ascii="Times New Roman" w:hAnsi="Times New Roman"/>
                <w:i/>
                <w:sz w:val="24"/>
              </w:rPr>
              <w:t>securitisation positions held in the trading book</w:t>
            </w:r>
            <w:r w:rsidR="007F1970" w:rsidRPr="00661595">
              <w:rPr>
                <w:rFonts w:ascii="Times New Roman" w:hAnsi="Times New Roman"/>
                <w:sz w:val="24"/>
              </w:rPr>
              <w:t>,</w:t>
            </w:r>
            <w:r w:rsidRPr="00661595">
              <w:rPr>
                <w:rFonts w:ascii="Times New Roman" w:hAnsi="Times New Roman"/>
                <w:i/>
                <w:sz w:val="24"/>
              </w:rPr>
              <w:t xml:space="preserve"> </w:t>
            </w:r>
            <w:r w:rsidRPr="00661595">
              <w:rPr>
                <w:rFonts w:ascii="Times New Roman" w:hAnsi="Times New Roman"/>
                <w:sz w:val="24"/>
              </w:rPr>
              <w:t xml:space="preserve">the </w:t>
            </w:r>
            <w:r w:rsidR="00882103" w:rsidRPr="00661595">
              <w:rPr>
                <w:rFonts w:ascii="Times New Roman" w:hAnsi="Times New Roman"/>
                <w:sz w:val="24"/>
              </w:rPr>
              <w:t xml:space="preserve">information on the </w:t>
            </w:r>
            <w:r w:rsidRPr="00661595">
              <w:rPr>
                <w:rFonts w:ascii="Times New Roman" w:hAnsi="Times New Roman"/>
                <w:sz w:val="24"/>
              </w:rPr>
              <w:t>c</w:t>
            </w:r>
            <w:r w:rsidR="007F1970" w:rsidRPr="00661595">
              <w:rPr>
                <w:rFonts w:ascii="Times New Roman" w:hAnsi="Times New Roman"/>
                <w:sz w:val="24"/>
              </w:rPr>
              <w:t>alculation</w:t>
            </w:r>
            <w:r w:rsidRPr="00661595">
              <w:rPr>
                <w:rFonts w:ascii="Times New Roman" w:hAnsi="Times New Roman"/>
                <w:sz w:val="24"/>
              </w:rPr>
              <w:t xml:space="preserve"> of own funds requirements for market risk shall be reported in the MKR SA TDI (standardised general position risk) and in the MKR SA SEC or MKR SA CTP (standardised specific position risk) or in the MKR IM (internal models) templates.</w:t>
            </w:r>
          </w:p>
          <w:p w:rsidR="006C5A49" w:rsidRPr="00661595" w:rsidRDefault="006C5A49" w:rsidP="00E10B85">
            <w:pPr>
              <w:autoSpaceDE w:val="0"/>
              <w:autoSpaceDN w:val="0"/>
              <w:adjustRightInd w:val="0"/>
              <w:spacing w:before="0" w:after="0"/>
              <w:rPr>
                <w:rFonts w:ascii="Times New Roman" w:hAnsi="Times New Roman"/>
                <w:sz w:val="24"/>
              </w:rPr>
            </w:pPr>
          </w:p>
          <w:p w:rsidR="00C55547" w:rsidRPr="00661595" w:rsidRDefault="00C55547"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In the case of the securitisations of liabilities</w:t>
            </w:r>
            <w:r w:rsidR="007F1970" w:rsidRPr="00661595">
              <w:rPr>
                <w:rFonts w:ascii="Times New Roman" w:hAnsi="Times New Roman"/>
                <w:sz w:val="24"/>
              </w:rPr>
              <w:t>,</w:t>
            </w:r>
            <w:r w:rsidRPr="00661595">
              <w:rPr>
                <w:rFonts w:ascii="Times New Roman" w:hAnsi="Times New Roman"/>
                <w:sz w:val="24"/>
              </w:rPr>
              <w:t xml:space="preserve"> originators shall not report this column.</w:t>
            </w:r>
          </w:p>
          <w:p w:rsidR="00C55547" w:rsidRPr="00661595" w:rsidRDefault="00C55547" w:rsidP="00E10B85">
            <w:pPr>
              <w:autoSpaceDE w:val="0"/>
              <w:autoSpaceDN w:val="0"/>
              <w:adjustRightInd w:val="0"/>
              <w:spacing w:before="0" w:after="0"/>
              <w:jc w:val="left"/>
              <w:rPr>
                <w:rFonts w:ascii="Times New Roman" w:hAnsi="Times New Roman"/>
                <w:bCs/>
                <w:sz w:val="24"/>
                <w:lang w:eastAsia="nl-BE"/>
              </w:rPr>
            </w:pPr>
          </w:p>
        </w:tc>
      </w:tr>
      <w:tr w:rsidR="00C55547" w:rsidRPr="00661595" w:rsidTr="00E10B85">
        <w:tc>
          <w:tcPr>
            <w:tcW w:w="1101" w:type="dxa"/>
          </w:tcPr>
          <w:p w:rsidR="00C55547" w:rsidRPr="00661595" w:rsidRDefault="00C55547"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0</w:t>
            </w:r>
            <w:r w:rsidR="006E0E76" w:rsidRPr="00661595">
              <w:rPr>
                <w:rFonts w:ascii="Times New Roman" w:hAnsi="Times New Roman"/>
                <w:sz w:val="24"/>
              </w:rPr>
              <w:t>0</w:t>
            </w:r>
            <w:r w:rsidRPr="00661595">
              <w:rPr>
                <w:rFonts w:ascii="Times New Roman" w:hAnsi="Times New Roman"/>
                <w:sz w:val="24"/>
              </w:rPr>
              <w:t>61</w:t>
            </w:r>
          </w:p>
        </w:tc>
        <w:tc>
          <w:tcPr>
            <w:tcW w:w="7903" w:type="dxa"/>
          </w:tcPr>
          <w:p w:rsidR="00C55547" w:rsidRPr="00661595" w:rsidRDefault="00C55547" w:rsidP="00E10B85">
            <w:pPr>
              <w:autoSpaceDE w:val="0"/>
              <w:autoSpaceDN w:val="0"/>
              <w:adjustRightInd w:val="0"/>
              <w:spacing w:before="0" w:after="0"/>
              <w:jc w:val="left"/>
              <w:rPr>
                <w:rFonts w:ascii="Times New Roman" w:hAnsi="Times New Roman"/>
                <w:b/>
                <w:sz w:val="24"/>
                <w:u w:val="single"/>
              </w:rPr>
            </w:pPr>
            <w:r w:rsidRPr="00661595">
              <w:rPr>
                <w:rFonts w:ascii="Times New Roman" w:hAnsi="Times New Roman"/>
                <w:b/>
                <w:sz w:val="24"/>
                <w:u w:val="single"/>
              </w:rPr>
              <w:t>SIGNIFICANT RISK TRANSFER</w:t>
            </w:r>
          </w:p>
          <w:p w:rsidR="00C55547" w:rsidRPr="00661595" w:rsidRDefault="00C55547" w:rsidP="00E10B85">
            <w:pPr>
              <w:autoSpaceDE w:val="0"/>
              <w:autoSpaceDN w:val="0"/>
              <w:adjustRightInd w:val="0"/>
              <w:spacing w:before="0" w:after="0"/>
              <w:jc w:val="left"/>
              <w:rPr>
                <w:rFonts w:ascii="Times New Roman" w:hAnsi="Times New Roman"/>
                <w:b/>
                <w:sz w:val="24"/>
                <w:u w:val="single"/>
              </w:rPr>
            </w:pPr>
          </w:p>
          <w:p w:rsidR="00C55547" w:rsidRPr="00661595" w:rsidRDefault="00C55547" w:rsidP="00E10B85">
            <w:pPr>
              <w:autoSpaceDE w:val="0"/>
              <w:autoSpaceDN w:val="0"/>
              <w:adjustRightInd w:val="0"/>
              <w:spacing w:before="0" w:after="0"/>
              <w:jc w:val="left"/>
              <w:rPr>
                <w:rFonts w:ascii="Times New Roman" w:hAnsi="Times New Roman"/>
                <w:sz w:val="24"/>
              </w:rPr>
            </w:pPr>
            <w:r w:rsidRPr="00661595">
              <w:rPr>
                <w:rFonts w:ascii="Times New Roman" w:hAnsi="Times New Roman"/>
                <w:sz w:val="24"/>
              </w:rPr>
              <w:t>Originators, only, shall report the following abbreviations:</w:t>
            </w:r>
          </w:p>
          <w:p w:rsidR="00C55547" w:rsidRPr="00661595" w:rsidRDefault="00C55547" w:rsidP="00E10B85">
            <w:pPr>
              <w:autoSpaceDE w:val="0"/>
              <w:autoSpaceDN w:val="0"/>
              <w:adjustRightInd w:val="0"/>
              <w:spacing w:before="0" w:after="0"/>
              <w:jc w:val="left"/>
              <w:rPr>
                <w:rFonts w:ascii="Times New Roman" w:hAnsi="Times New Roman"/>
                <w:sz w:val="24"/>
              </w:rPr>
            </w:pPr>
            <w:r w:rsidRPr="00661595">
              <w:rPr>
                <w:rFonts w:ascii="Times New Roman" w:hAnsi="Times New Roman"/>
                <w:sz w:val="24"/>
              </w:rPr>
              <w:t xml:space="preserve">- 'N' Not applied for SRT and the </w:t>
            </w:r>
            <w:r w:rsidR="005C5136" w:rsidRPr="00661595">
              <w:rPr>
                <w:rFonts w:ascii="Times New Roman" w:hAnsi="Times New Roman"/>
                <w:sz w:val="24"/>
              </w:rPr>
              <w:t xml:space="preserve">reporting entity </w:t>
            </w:r>
            <w:r w:rsidRPr="00661595">
              <w:rPr>
                <w:rFonts w:ascii="Times New Roman" w:hAnsi="Times New Roman"/>
                <w:sz w:val="24"/>
              </w:rPr>
              <w:t>risk weights its securitised exposures</w:t>
            </w:r>
            <w:r w:rsidR="006C5A49">
              <w:rPr>
                <w:rFonts w:ascii="Times New Roman" w:hAnsi="Times New Roman"/>
                <w:sz w:val="24"/>
              </w:rPr>
              <w:t>;</w:t>
            </w:r>
          </w:p>
          <w:p w:rsidR="00C55547" w:rsidRPr="00661595" w:rsidRDefault="00C55547" w:rsidP="00E10B85">
            <w:pPr>
              <w:autoSpaceDE w:val="0"/>
              <w:autoSpaceDN w:val="0"/>
              <w:adjustRightInd w:val="0"/>
              <w:spacing w:before="0" w:after="0"/>
              <w:jc w:val="left"/>
              <w:rPr>
                <w:rFonts w:ascii="Times New Roman" w:hAnsi="Times New Roman"/>
                <w:sz w:val="24"/>
              </w:rPr>
            </w:pPr>
            <w:r w:rsidRPr="00661595">
              <w:rPr>
                <w:rFonts w:ascii="Times New Roman" w:hAnsi="Times New Roman"/>
                <w:sz w:val="24"/>
              </w:rPr>
              <w:t xml:space="preserve">- 'A' Achieved SRT under </w:t>
            </w:r>
            <w:r w:rsidR="001E0C80" w:rsidRPr="00661595">
              <w:rPr>
                <w:rFonts w:ascii="Times New Roman" w:hAnsi="Times New Roman"/>
                <w:sz w:val="24"/>
              </w:rPr>
              <w:t xml:space="preserve">point (a) of </w:t>
            </w:r>
            <w:r w:rsidRPr="00661595">
              <w:rPr>
                <w:rFonts w:ascii="Times New Roman" w:hAnsi="Times New Roman"/>
                <w:sz w:val="24"/>
              </w:rPr>
              <w:t xml:space="preserve">Article 244(2) or </w:t>
            </w:r>
            <w:r w:rsidR="001E0C80" w:rsidRPr="00661595">
              <w:rPr>
                <w:rFonts w:ascii="Times New Roman" w:hAnsi="Times New Roman"/>
                <w:sz w:val="24"/>
              </w:rPr>
              <w:t xml:space="preserve">point (a) of Article </w:t>
            </w:r>
            <w:r w:rsidRPr="00661595">
              <w:rPr>
                <w:rFonts w:ascii="Times New Roman" w:hAnsi="Times New Roman"/>
                <w:sz w:val="24"/>
              </w:rPr>
              <w:t xml:space="preserve">245(2) </w:t>
            </w:r>
            <w:r w:rsidR="00C7103D" w:rsidRPr="00661595">
              <w:rPr>
                <w:rFonts w:ascii="Times New Roman" w:hAnsi="Times New Roman"/>
                <w:sz w:val="24"/>
              </w:rPr>
              <w:t>CRR</w:t>
            </w:r>
            <w:r w:rsidR="001E0C80" w:rsidRPr="00661595">
              <w:rPr>
                <w:rFonts w:ascii="Times New Roman" w:hAnsi="Times New Roman"/>
                <w:sz w:val="24"/>
              </w:rPr>
              <w:t>;</w:t>
            </w:r>
          </w:p>
          <w:p w:rsidR="00C55547" w:rsidRPr="00661595" w:rsidRDefault="00C55547" w:rsidP="00E10B85">
            <w:pPr>
              <w:autoSpaceDE w:val="0"/>
              <w:autoSpaceDN w:val="0"/>
              <w:adjustRightInd w:val="0"/>
              <w:spacing w:before="0" w:after="0"/>
              <w:jc w:val="left"/>
              <w:rPr>
                <w:rFonts w:ascii="Times New Roman" w:hAnsi="Times New Roman"/>
                <w:sz w:val="24"/>
              </w:rPr>
            </w:pPr>
            <w:r w:rsidRPr="00661595">
              <w:rPr>
                <w:rFonts w:ascii="Times New Roman" w:hAnsi="Times New Roman"/>
                <w:sz w:val="24"/>
              </w:rPr>
              <w:t xml:space="preserve">- 'B' Achieved SRT under </w:t>
            </w:r>
            <w:r w:rsidR="001E0C80" w:rsidRPr="00661595">
              <w:rPr>
                <w:rFonts w:ascii="Times New Roman" w:hAnsi="Times New Roman"/>
                <w:sz w:val="24"/>
              </w:rPr>
              <w:t xml:space="preserve">point (b) of Article 244(2) or point (b) of Article 245(2) </w:t>
            </w:r>
            <w:r w:rsidR="00C7103D" w:rsidRPr="00661595">
              <w:rPr>
                <w:rFonts w:ascii="Times New Roman" w:hAnsi="Times New Roman"/>
                <w:sz w:val="24"/>
              </w:rPr>
              <w:t>CRR</w:t>
            </w:r>
            <w:r w:rsidR="001E0C80" w:rsidRPr="00661595">
              <w:rPr>
                <w:rFonts w:ascii="Times New Roman" w:hAnsi="Times New Roman"/>
                <w:sz w:val="24"/>
              </w:rPr>
              <w:t>;</w:t>
            </w:r>
          </w:p>
          <w:p w:rsidR="00C55547" w:rsidRPr="00661595" w:rsidRDefault="00C55547" w:rsidP="00E10B85">
            <w:pPr>
              <w:autoSpaceDE w:val="0"/>
              <w:autoSpaceDN w:val="0"/>
              <w:adjustRightInd w:val="0"/>
              <w:spacing w:before="0" w:after="0"/>
              <w:jc w:val="left"/>
              <w:rPr>
                <w:rFonts w:ascii="Times New Roman" w:hAnsi="Times New Roman"/>
                <w:sz w:val="24"/>
              </w:rPr>
            </w:pPr>
            <w:r w:rsidRPr="00661595">
              <w:rPr>
                <w:rFonts w:ascii="Times New Roman" w:hAnsi="Times New Roman"/>
                <w:sz w:val="24"/>
              </w:rPr>
              <w:t xml:space="preserve">- 'C' Achieved SRT under </w:t>
            </w:r>
            <w:r w:rsidR="001E0C80" w:rsidRPr="00661595">
              <w:rPr>
                <w:rFonts w:ascii="Times New Roman" w:hAnsi="Times New Roman"/>
                <w:sz w:val="24"/>
              </w:rPr>
              <w:t xml:space="preserve">point (a) of Article 244(3) or point (a) of Article 245(3) </w:t>
            </w:r>
            <w:r w:rsidR="00C7103D" w:rsidRPr="00661595">
              <w:rPr>
                <w:rFonts w:ascii="Times New Roman" w:hAnsi="Times New Roman"/>
                <w:sz w:val="24"/>
              </w:rPr>
              <w:t>CRR</w:t>
            </w:r>
            <w:r w:rsidR="001E0C80" w:rsidRPr="00661595">
              <w:rPr>
                <w:rFonts w:ascii="Times New Roman" w:hAnsi="Times New Roman"/>
                <w:sz w:val="24"/>
              </w:rPr>
              <w:t>;</w:t>
            </w:r>
          </w:p>
          <w:p w:rsidR="00C55547" w:rsidRPr="00661595" w:rsidRDefault="00C55547" w:rsidP="00E10B85">
            <w:pPr>
              <w:autoSpaceDE w:val="0"/>
              <w:autoSpaceDN w:val="0"/>
              <w:adjustRightInd w:val="0"/>
              <w:spacing w:before="0" w:after="0"/>
              <w:jc w:val="left"/>
              <w:rPr>
                <w:rFonts w:ascii="Times New Roman" w:hAnsi="Times New Roman"/>
                <w:sz w:val="24"/>
              </w:rPr>
            </w:pPr>
            <w:r w:rsidRPr="00661595">
              <w:rPr>
                <w:rFonts w:ascii="Times New Roman" w:hAnsi="Times New Roman"/>
                <w:sz w:val="24"/>
              </w:rPr>
              <w:t>- 'D' Applying a 1</w:t>
            </w:r>
            <w:r w:rsidR="001E0C80" w:rsidRPr="00661595">
              <w:rPr>
                <w:rFonts w:ascii="Times New Roman" w:hAnsi="Times New Roman"/>
                <w:sz w:val="24"/>
              </w:rPr>
              <w:t xml:space="preserve"> </w:t>
            </w:r>
            <w:r w:rsidRPr="00661595">
              <w:rPr>
                <w:rFonts w:ascii="Times New Roman" w:hAnsi="Times New Roman"/>
                <w:sz w:val="24"/>
              </w:rPr>
              <w:t xml:space="preserve">250% RW or deducting retained positions </w:t>
            </w:r>
            <w:r w:rsidR="00BB22D4" w:rsidRPr="00661595">
              <w:rPr>
                <w:rFonts w:ascii="Times New Roman" w:hAnsi="Times New Roman"/>
                <w:sz w:val="24"/>
              </w:rPr>
              <w:t>in accordance with</w:t>
            </w:r>
            <w:r w:rsidRPr="00661595">
              <w:rPr>
                <w:rFonts w:ascii="Times New Roman" w:hAnsi="Times New Roman"/>
                <w:sz w:val="24"/>
              </w:rPr>
              <w:t xml:space="preserve"> </w:t>
            </w:r>
            <w:r w:rsidR="001E0C80" w:rsidRPr="00661595">
              <w:rPr>
                <w:rFonts w:ascii="Times New Roman" w:hAnsi="Times New Roman"/>
                <w:sz w:val="24"/>
              </w:rPr>
              <w:t xml:space="preserve">point (b) of Article 244(1) or point (b) of Article 245(1) </w:t>
            </w:r>
            <w:r w:rsidR="00C7103D" w:rsidRPr="00661595">
              <w:rPr>
                <w:rFonts w:ascii="Times New Roman" w:hAnsi="Times New Roman"/>
                <w:sz w:val="24"/>
              </w:rPr>
              <w:t>CRR</w:t>
            </w:r>
            <w:r w:rsidRPr="00661595">
              <w:rPr>
                <w:rFonts w:ascii="Times New Roman" w:hAnsi="Times New Roman"/>
                <w:sz w:val="24"/>
              </w:rPr>
              <w:t>.</w:t>
            </w:r>
          </w:p>
          <w:p w:rsidR="00C55547" w:rsidRPr="00661595" w:rsidRDefault="00C55547" w:rsidP="00E10B85">
            <w:pPr>
              <w:autoSpaceDE w:val="0"/>
              <w:autoSpaceDN w:val="0"/>
              <w:adjustRightInd w:val="0"/>
              <w:spacing w:before="0" w:after="0"/>
              <w:jc w:val="left"/>
              <w:rPr>
                <w:rFonts w:ascii="Times New Roman" w:hAnsi="Times New Roman"/>
                <w:sz w:val="24"/>
              </w:rPr>
            </w:pPr>
          </w:p>
          <w:p w:rsidR="00C55547" w:rsidRPr="00661595" w:rsidRDefault="00C55547" w:rsidP="00E10B85">
            <w:pPr>
              <w:autoSpaceDE w:val="0"/>
              <w:autoSpaceDN w:val="0"/>
              <w:adjustRightInd w:val="0"/>
              <w:spacing w:before="0" w:after="0"/>
              <w:jc w:val="left"/>
              <w:rPr>
                <w:rFonts w:ascii="Times New Roman" w:hAnsi="Times New Roman"/>
                <w:sz w:val="24"/>
              </w:rPr>
            </w:pPr>
            <w:r w:rsidRPr="00661595">
              <w:rPr>
                <w:rFonts w:ascii="Times New Roman" w:hAnsi="Times New Roman"/>
                <w:sz w:val="24"/>
              </w:rPr>
              <w:t xml:space="preserve">This column </w:t>
            </w:r>
            <w:r w:rsidR="006C5A49">
              <w:rPr>
                <w:rFonts w:ascii="Times New Roman" w:hAnsi="Times New Roman"/>
                <w:sz w:val="24"/>
              </w:rPr>
              <w:t xml:space="preserve">shall </w:t>
            </w:r>
            <w:r w:rsidRPr="00661595">
              <w:rPr>
                <w:rFonts w:ascii="Times New Roman" w:hAnsi="Times New Roman"/>
                <w:sz w:val="24"/>
              </w:rPr>
              <w:t xml:space="preserve">summariss whether </w:t>
            </w:r>
            <w:r w:rsidR="00882103" w:rsidRPr="00661595">
              <w:rPr>
                <w:rFonts w:ascii="Times New Roman" w:hAnsi="Times New Roman"/>
                <w:sz w:val="24"/>
              </w:rPr>
              <w:t>a</w:t>
            </w:r>
            <w:r w:rsidRPr="00661595">
              <w:rPr>
                <w:rFonts w:ascii="Times New Roman" w:hAnsi="Times New Roman"/>
                <w:sz w:val="24"/>
              </w:rPr>
              <w:t xml:space="preserve"> significant transfer</w:t>
            </w:r>
            <w:r w:rsidR="001E0C80" w:rsidRPr="00661595">
              <w:rPr>
                <w:rFonts w:ascii="Times New Roman" w:hAnsi="Times New Roman"/>
                <w:sz w:val="24"/>
              </w:rPr>
              <w:t xml:space="preserve"> </w:t>
            </w:r>
            <w:r w:rsidR="00882103" w:rsidRPr="00661595">
              <w:rPr>
                <w:rFonts w:ascii="Times New Roman" w:hAnsi="Times New Roman"/>
                <w:sz w:val="24"/>
              </w:rPr>
              <w:t xml:space="preserve">has been achieved </w:t>
            </w:r>
            <w:r w:rsidRPr="00661595">
              <w:rPr>
                <w:rFonts w:ascii="Times New Roman" w:hAnsi="Times New Roman"/>
                <w:sz w:val="24"/>
              </w:rPr>
              <w:t>and</w:t>
            </w:r>
            <w:r w:rsidR="00882103" w:rsidRPr="00661595">
              <w:rPr>
                <w:rFonts w:ascii="Times New Roman" w:hAnsi="Times New Roman"/>
                <w:sz w:val="24"/>
              </w:rPr>
              <w:t>, if so,</w:t>
            </w:r>
            <w:r w:rsidRPr="00661595">
              <w:rPr>
                <w:rFonts w:ascii="Times New Roman" w:hAnsi="Times New Roman"/>
                <w:sz w:val="24"/>
              </w:rPr>
              <w:t xml:space="preserve"> by which </w:t>
            </w:r>
            <w:r w:rsidR="00882103" w:rsidRPr="00661595">
              <w:rPr>
                <w:rFonts w:ascii="Times New Roman" w:hAnsi="Times New Roman"/>
                <w:sz w:val="24"/>
              </w:rPr>
              <w:t>means</w:t>
            </w:r>
            <w:r w:rsidRPr="00661595">
              <w:rPr>
                <w:rFonts w:ascii="Times New Roman" w:hAnsi="Times New Roman"/>
                <w:sz w:val="24"/>
              </w:rPr>
              <w:t>. The achievement of SRT will determine the appropriate solvency treatment by the originator</w:t>
            </w:r>
            <w:r w:rsidR="005C5136" w:rsidRPr="00661595">
              <w:rPr>
                <w:rFonts w:ascii="Times New Roman" w:hAnsi="Times New Roman"/>
                <w:sz w:val="24"/>
              </w:rPr>
              <w:t>.</w:t>
            </w:r>
          </w:p>
          <w:p w:rsidR="00C55547" w:rsidRPr="00661595" w:rsidRDefault="00C55547" w:rsidP="00E10B85">
            <w:pPr>
              <w:spacing w:before="0" w:after="0"/>
              <w:jc w:val="left"/>
            </w:pPr>
          </w:p>
        </w:tc>
      </w:tr>
      <w:tr w:rsidR="00C55547" w:rsidRPr="00661595" w:rsidTr="00E10B85">
        <w:tc>
          <w:tcPr>
            <w:tcW w:w="1101" w:type="dxa"/>
          </w:tcPr>
          <w:p w:rsidR="00C55547" w:rsidRPr="00661595" w:rsidRDefault="00C55547"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0</w:t>
            </w:r>
            <w:r w:rsidR="006E0E76" w:rsidRPr="00661595">
              <w:rPr>
                <w:rFonts w:ascii="Times New Roman" w:hAnsi="Times New Roman"/>
                <w:sz w:val="24"/>
              </w:rPr>
              <w:t>0</w:t>
            </w:r>
            <w:r w:rsidRPr="00661595">
              <w:rPr>
                <w:rFonts w:ascii="Times New Roman" w:hAnsi="Times New Roman"/>
                <w:sz w:val="24"/>
              </w:rPr>
              <w:t>70</w:t>
            </w:r>
          </w:p>
        </w:tc>
        <w:tc>
          <w:tcPr>
            <w:tcW w:w="7903" w:type="dxa"/>
          </w:tcPr>
          <w:p w:rsidR="00C55547" w:rsidRPr="00661595" w:rsidRDefault="00C55547" w:rsidP="00E10B85">
            <w:pPr>
              <w:autoSpaceDE w:val="0"/>
              <w:autoSpaceDN w:val="0"/>
              <w:adjustRightInd w:val="0"/>
              <w:spacing w:before="0" w:after="0"/>
              <w:jc w:val="left"/>
              <w:rPr>
                <w:rFonts w:ascii="Times New Roman" w:hAnsi="Times New Roman"/>
                <w:b/>
                <w:sz w:val="24"/>
                <w:u w:val="single"/>
              </w:rPr>
            </w:pPr>
            <w:r w:rsidRPr="00661595">
              <w:rPr>
                <w:rFonts w:ascii="Times New Roman" w:hAnsi="Times New Roman"/>
                <w:b/>
                <w:sz w:val="24"/>
                <w:u w:val="single"/>
              </w:rPr>
              <w:t>SECURITISATION OR RE-SECURITISATION?</w:t>
            </w:r>
          </w:p>
          <w:p w:rsidR="00C55547" w:rsidRPr="00661595" w:rsidRDefault="00C55547" w:rsidP="00E10B85">
            <w:pPr>
              <w:autoSpaceDE w:val="0"/>
              <w:autoSpaceDN w:val="0"/>
              <w:adjustRightInd w:val="0"/>
              <w:spacing w:before="0" w:after="0"/>
              <w:jc w:val="left"/>
              <w:rPr>
                <w:rFonts w:ascii="Times New Roman" w:hAnsi="Times New Roman"/>
                <w:sz w:val="24"/>
              </w:rPr>
            </w:pPr>
          </w:p>
          <w:p w:rsidR="00C55547" w:rsidRPr="00661595" w:rsidRDefault="00BB22D4" w:rsidP="006418A0">
            <w:pPr>
              <w:autoSpaceDE w:val="0"/>
              <w:autoSpaceDN w:val="0"/>
              <w:adjustRightInd w:val="0"/>
              <w:spacing w:before="0"/>
              <w:jc w:val="left"/>
              <w:rPr>
                <w:rFonts w:ascii="Times New Roman" w:hAnsi="Times New Roman"/>
                <w:sz w:val="24"/>
              </w:rPr>
            </w:pPr>
            <w:r w:rsidRPr="00661595">
              <w:rPr>
                <w:rFonts w:ascii="Times New Roman" w:hAnsi="Times New Roman"/>
                <w:sz w:val="24"/>
              </w:rPr>
              <w:t>In accordance with</w:t>
            </w:r>
            <w:r w:rsidR="00C55547" w:rsidRPr="00661595">
              <w:rPr>
                <w:rFonts w:ascii="Times New Roman" w:hAnsi="Times New Roman"/>
                <w:sz w:val="24"/>
              </w:rPr>
              <w:t xml:space="preserve"> </w:t>
            </w:r>
            <w:r w:rsidR="007F1970" w:rsidRPr="00661595">
              <w:rPr>
                <w:rFonts w:ascii="Times New Roman" w:hAnsi="Times New Roman"/>
                <w:sz w:val="24"/>
              </w:rPr>
              <w:t xml:space="preserve">the </w:t>
            </w:r>
            <w:r w:rsidR="00C55547" w:rsidRPr="00661595">
              <w:rPr>
                <w:rFonts w:ascii="Times New Roman" w:hAnsi="Times New Roman"/>
                <w:sz w:val="24"/>
              </w:rPr>
              <w:t xml:space="preserve">definition of ‘securitisation’ </w:t>
            </w:r>
            <w:r w:rsidR="007F1970" w:rsidRPr="00661595">
              <w:rPr>
                <w:rFonts w:ascii="Times New Roman" w:hAnsi="Times New Roman"/>
                <w:sz w:val="24"/>
              </w:rPr>
              <w:t xml:space="preserve">in </w:t>
            </w:r>
            <w:r w:rsidR="00882103" w:rsidRPr="00661595">
              <w:rPr>
                <w:rFonts w:ascii="Times New Roman" w:hAnsi="Times New Roman"/>
                <w:sz w:val="24"/>
              </w:rPr>
              <w:t xml:space="preserve">point (61) of </w:t>
            </w:r>
            <w:r w:rsidR="007F1970" w:rsidRPr="00661595">
              <w:rPr>
                <w:rFonts w:ascii="Times New Roman" w:hAnsi="Times New Roman"/>
                <w:sz w:val="24"/>
              </w:rPr>
              <w:t>Article 4(1)</w:t>
            </w:r>
            <w:r w:rsidR="004F0068">
              <w:rPr>
                <w:rFonts w:ascii="Times New Roman" w:hAnsi="Times New Roman"/>
                <w:sz w:val="24"/>
              </w:rPr>
              <w:t xml:space="preserve"> </w:t>
            </w:r>
            <w:r w:rsidR="00882103" w:rsidRPr="00661595">
              <w:rPr>
                <w:rFonts w:ascii="Times New Roman" w:hAnsi="Times New Roman"/>
                <w:sz w:val="24"/>
              </w:rPr>
              <w:t>CRR</w:t>
            </w:r>
            <w:r w:rsidR="007F1970" w:rsidRPr="00661595">
              <w:rPr>
                <w:rFonts w:ascii="Times New Roman" w:hAnsi="Times New Roman"/>
                <w:sz w:val="24"/>
              </w:rPr>
              <w:t xml:space="preserve"> </w:t>
            </w:r>
            <w:r w:rsidR="00C55547" w:rsidRPr="00661595">
              <w:rPr>
                <w:rFonts w:ascii="Times New Roman" w:hAnsi="Times New Roman"/>
                <w:sz w:val="24"/>
              </w:rPr>
              <w:t xml:space="preserve">and </w:t>
            </w:r>
            <w:r w:rsidR="007F1970" w:rsidRPr="00661595">
              <w:rPr>
                <w:rFonts w:ascii="Times New Roman" w:hAnsi="Times New Roman"/>
                <w:sz w:val="24"/>
              </w:rPr>
              <w:t xml:space="preserve">the definition of </w:t>
            </w:r>
            <w:r w:rsidR="00C55547" w:rsidRPr="00661595">
              <w:rPr>
                <w:rFonts w:ascii="Times New Roman" w:hAnsi="Times New Roman"/>
                <w:sz w:val="24"/>
              </w:rPr>
              <w:t xml:space="preserve">‘re-securitisation’ in </w:t>
            </w:r>
            <w:r w:rsidR="0052490C">
              <w:rPr>
                <w:rFonts w:ascii="Times New Roman" w:hAnsi="Times New Roman"/>
                <w:sz w:val="24"/>
              </w:rPr>
              <w:t>point (63</w:t>
            </w:r>
            <w:r w:rsidR="00882103" w:rsidRPr="00661595">
              <w:rPr>
                <w:rFonts w:ascii="Times New Roman" w:hAnsi="Times New Roman"/>
                <w:sz w:val="24"/>
              </w:rPr>
              <w:t xml:space="preserve">) of </w:t>
            </w:r>
            <w:r w:rsidR="00C55547" w:rsidRPr="00661595">
              <w:rPr>
                <w:rFonts w:ascii="Times New Roman" w:hAnsi="Times New Roman"/>
                <w:sz w:val="24"/>
              </w:rPr>
              <w:t>Article</w:t>
            </w:r>
            <w:r w:rsidR="007F1970" w:rsidRPr="00661595">
              <w:rPr>
                <w:rFonts w:ascii="Times New Roman" w:hAnsi="Times New Roman"/>
                <w:sz w:val="24"/>
              </w:rPr>
              <w:t> 4(1)</w:t>
            </w:r>
            <w:r w:rsidR="004F0068">
              <w:rPr>
                <w:rFonts w:ascii="Times New Roman" w:hAnsi="Times New Roman"/>
                <w:sz w:val="24"/>
              </w:rPr>
              <w:t xml:space="preserve"> </w:t>
            </w:r>
            <w:r w:rsidR="00C7103D" w:rsidRPr="00661595">
              <w:rPr>
                <w:rFonts w:ascii="Times New Roman" w:hAnsi="Times New Roman"/>
                <w:sz w:val="24"/>
              </w:rPr>
              <w:t>CRR</w:t>
            </w:r>
            <w:r w:rsidR="00C55547" w:rsidRPr="00661595">
              <w:rPr>
                <w:rFonts w:ascii="Times New Roman" w:hAnsi="Times New Roman"/>
                <w:sz w:val="24"/>
              </w:rPr>
              <w:t xml:space="preserve">, the type of </w:t>
            </w:r>
            <w:r w:rsidR="006C5A49">
              <w:rPr>
                <w:rFonts w:ascii="Times New Roman" w:hAnsi="Times New Roman"/>
                <w:sz w:val="24"/>
              </w:rPr>
              <w:t xml:space="preserve">securitisation </w:t>
            </w:r>
            <w:r w:rsidR="00C55547" w:rsidRPr="00661595">
              <w:rPr>
                <w:rFonts w:ascii="Times New Roman" w:hAnsi="Times New Roman"/>
                <w:sz w:val="24"/>
              </w:rPr>
              <w:t>using the following abbreviations</w:t>
            </w:r>
            <w:r w:rsidR="006C5A49">
              <w:rPr>
                <w:rFonts w:ascii="Times New Roman" w:hAnsi="Times New Roman"/>
                <w:sz w:val="24"/>
              </w:rPr>
              <w:t xml:space="preserve"> shall be reported</w:t>
            </w:r>
            <w:r w:rsidR="00C55547" w:rsidRPr="00661595">
              <w:rPr>
                <w:rFonts w:ascii="Times New Roman" w:hAnsi="Times New Roman"/>
                <w:sz w:val="24"/>
              </w:rPr>
              <w:t>:</w:t>
            </w:r>
          </w:p>
          <w:p w:rsidR="00C55547" w:rsidRPr="00661595" w:rsidRDefault="00C55547" w:rsidP="00E10B85">
            <w:pPr>
              <w:autoSpaceDE w:val="0"/>
              <w:autoSpaceDN w:val="0"/>
              <w:adjustRightInd w:val="0"/>
              <w:spacing w:before="0" w:after="0"/>
              <w:jc w:val="left"/>
              <w:rPr>
                <w:rFonts w:ascii="Times New Roman" w:hAnsi="Times New Roman"/>
                <w:sz w:val="24"/>
              </w:rPr>
            </w:pPr>
            <w:r w:rsidRPr="00661595">
              <w:rPr>
                <w:rFonts w:ascii="Times New Roman" w:hAnsi="Times New Roman"/>
                <w:sz w:val="24"/>
              </w:rPr>
              <w:t>- 'S' for securitisation;</w:t>
            </w:r>
          </w:p>
          <w:p w:rsidR="00C55547" w:rsidRPr="00661595" w:rsidRDefault="00C55547" w:rsidP="00E10B85">
            <w:pPr>
              <w:autoSpaceDE w:val="0"/>
              <w:autoSpaceDN w:val="0"/>
              <w:adjustRightInd w:val="0"/>
              <w:spacing w:before="0" w:after="0"/>
              <w:jc w:val="left"/>
              <w:rPr>
                <w:rFonts w:ascii="Times New Roman" w:hAnsi="Times New Roman"/>
                <w:sz w:val="24"/>
              </w:rPr>
            </w:pPr>
            <w:r w:rsidRPr="00661595">
              <w:rPr>
                <w:rFonts w:ascii="Times New Roman" w:hAnsi="Times New Roman"/>
                <w:sz w:val="24"/>
              </w:rPr>
              <w:t>- 'R' for re-securitisation.</w:t>
            </w:r>
          </w:p>
          <w:p w:rsidR="00C55547" w:rsidRPr="00661595" w:rsidRDefault="00C55547" w:rsidP="00E10B85">
            <w:pPr>
              <w:spacing w:before="0" w:after="0"/>
              <w:jc w:val="left"/>
              <w:rPr>
                <w:rFonts w:ascii="Times New Roman" w:hAnsi="Times New Roman"/>
                <w:b/>
                <w:sz w:val="24"/>
                <w:u w:val="single"/>
              </w:rPr>
            </w:pPr>
          </w:p>
        </w:tc>
      </w:tr>
      <w:tr w:rsidR="00C55547" w:rsidRPr="00661595" w:rsidTr="00E10B85">
        <w:tc>
          <w:tcPr>
            <w:tcW w:w="1101" w:type="dxa"/>
          </w:tcPr>
          <w:p w:rsidR="00C55547" w:rsidRPr="00661595" w:rsidRDefault="00C55547"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0</w:t>
            </w:r>
            <w:r w:rsidR="006E0E76" w:rsidRPr="00661595">
              <w:rPr>
                <w:rFonts w:ascii="Times New Roman" w:hAnsi="Times New Roman"/>
                <w:sz w:val="24"/>
              </w:rPr>
              <w:t>0</w:t>
            </w:r>
            <w:r w:rsidRPr="00661595">
              <w:rPr>
                <w:rFonts w:ascii="Times New Roman" w:hAnsi="Times New Roman"/>
                <w:sz w:val="24"/>
              </w:rPr>
              <w:t>75</w:t>
            </w:r>
          </w:p>
        </w:tc>
        <w:tc>
          <w:tcPr>
            <w:tcW w:w="7903" w:type="dxa"/>
          </w:tcPr>
          <w:p w:rsidR="00C55547" w:rsidRPr="00661595" w:rsidRDefault="00C55547" w:rsidP="00E10B85">
            <w:pPr>
              <w:tabs>
                <w:tab w:val="left" w:pos="3274"/>
              </w:tabs>
              <w:spacing w:before="0" w:after="0"/>
              <w:jc w:val="left"/>
              <w:rPr>
                <w:rFonts w:ascii="Times New Roman" w:hAnsi="Times New Roman"/>
                <w:b/>
                <w:sz w:val="24"/>
                <w:u w:val="single"/>
              </w:rPr>
            </w:pPr>
            <w:r w:rsidRPr="00661595">
              <w:rPr>
                <w:rFonts w:ascii="Times New Roman" w:hAnsi="Times New Roman"/>
                <w:b/>
                <w:sz w:val="24"/>
                <w:u w:val="single"/>
              </w:rPr>
              <w:t>STS SECURITISATION</w:t>
            </w:r>
          </w:p>
          <w:p w:rsidR="00C55547" w:rsidRPr="00661595" w:rsidRDefault="00C55547" w:rsidP="00E10B85">
            <w:pPr>
              <w:spacing w:before="0" w:after="0"/>
              <w:jc w:val="left"/>
              <w:rPr>
                <w:rFonts w:ascii="Times New Roman" w:hAnsi="Times New Roman"/>
                <w:sz w:val="24"/>
              </w:rPr>
            </w:pPr>
          </w:p>
          <w:p w:rsidR="00C55547" w:rsidRPr="00661595" w:rsidRDefault="00C55547" w:rsidP="00E10B85">
            <w:pPr>
              <w:spacing w:before="0" w:after="0"/>
              <w:jc w:val="left"/>
              <w:rPr>
                <w:rFonts w:ascii="Times New Roman" w:hAnsi="Times New Roman"/>
                <w:sz w:val="24"/>
              </w:rPr>
            </w:pPr>
            <w:r w:rsidRPr="00661595">
              <w:rPr>
                <w:rFonts w:ascii="Times New Roman" w:hAnsi="Times New Roman"/>
                <w:sz w:val="24"/>
              </w:rPr>
              <w:t>Article 18 of Regulation (EU) 2017/2402</w:t>
            </w:r>
          </w:p>
          <w:p w:rsidR="00C55547" w:rsidRPr="00661595" w:rsidRDefault="00C55547" w:rsidP="00E10B85">
            <w:pPr>
              <w:spacing w:before="0" w:after="0"/>
              <w:jc w:val="left"/>
              <w:rPr>
                <w:rFonts w:ascii="Times New Roman" w:hAnsi="Times New Roman"/>
                <w:sz w:val="24"/>
              </w:rPr>
            </w:pPr>
          </w:p>
          <w:p w:rsidR="00C55547" w:rsidRPr="00661595" w:rsidRDefault="00554261" w:rsidP="006418A0">
            <w:pPr>
              <w:spacing w:before="0"/>
              <w:jc w:val="left"/>
              <w:rPr>
                <w:rFonts w:ascii="Times New Roman" w:hAnsi="Times New Roman"/>
                <w:sz w:val="24"/>
              </w:rPr>
            </w:pPr>
            <w:r>
              <w:rPr>
                <w:rFonts w:ascii="Times New Roman" w:hAnsi="Times New Roman"/>
                <w:sz w:val="24"/>
              </w:rPr>
              <w:t>Institutions s</w:t>
            </w:r>
            <w:r w:rsidR="00837612">
              <w:rPr>
                <w:rFonts w:ascii="Times New Roman" w:hAnsi="Times New Roman"/>
                <w:sz w:val="24"/>
              </w:rPr>
              <w:t>hall r</w:t>
            </w:r>
            <w:r w:rsidR="00C55547" w:rsidRPr="00661595">
              <w:rPr>
                <w:rFonts w:ascii="Times New Roman" w:hAnsi="Times New Roman"/>
                <w:sz w:val="24"/>
              </w:rPr>
              <w:t>eport one of the following abbreviations</w:t>
            </w:r>
            <w:r>
              <w:rPr>
                <w:rFonts w:ascii="Times New Roman" w:hAnsi="Times New Roman"/>
                <w:sz w:val="24"/>
              </w:rPr>
              <w:t>:</w:t>
            </w:r>
          </w:p>
          <w:p w:rsidR="00C55547" w:rsidRPr="00661595" w:rsidRDefault="00C55547" w:rsidP="00E10B85">
            <w:pPr>
              <w:spacing w:before="0" w:after="0"/>
              <w:jc w:val="left"/>
              <w:rPr>
                <w:rFonts w:ascii="Times New Roman" w:hAnsi="Times New Roman"/>
                <w:sz w:val="24"/>
              </w:rPr>
            </w:pPr>
            <w:r w:rsidRPr="00661595">
              <w:rPr>
                <w:rFonts w:ascii="Times New Roman" w:hAnsi="Times New Roman"/>
                <w:sz w:val="24"/>
              </w:rPr>
              <w:t>Y – Yes</w:t>
            </w:r>
            <w:r w:rsidR="00554261">
              <w:rPr>
                <w:rFonts w:ascii="Times New Roman" w:hAnsi="Times New Roman"/>
                <w:sz w:val="24"/>
              </w:rPr>
              <w:t>;</w:t>
            </w:r>
          </w:p>
          <w:p w:rsidR="00C55547" w:rsidRPr="00661595" w:rsidRDefault="00C55547" w:rsidP="00E10B85">
            <w:pPr>
              <w:spacing w:before="0" w:after="0"/>
              <w:jc w:val="left"/>
              <w:rPr>
                <w:rFonts w:ascii="Times New Roman" w:hAnsi="Times New Roman"/>
                <w:sz w:val="24"/>
              </w:rPr>
            </w:pPr>
            <w:r w:rsidRPr="00661595">
              <w:rPr>
                <w:rFonts w:ascii="Times New Roman" w:hAnsi="Times New Roman"/>
                <w:sz w:val="24"/>
              </w:rPr>
              <w:t>N – No</w:t>
            </w:r>
            <w:r w:rsidR="00554261">
              <w:rPr>
                <w:rFonts w:ascii="Times New Roman" w:hAnsi="Times New Roman"/>
                <w:sz w:val="24"/>
              </w:rPr>
              <w:t>.</w:t>
            </w:r>
          </w:p>
          <w:p w:rsidR="00C55547" w:rsidRPr="00661595" w:rsidRDefault="00C55547" w:rsidP="00E10B85">
            <w:pPr>
              <w:spacing w:before="0" w:after="0"/>
              <w:jc w:val="left"/>
              <w:rPr>
                <w:rFonts w:ascii="Times New Roman" w:hAnsi="Times New Roman"/>
                <w:b/>
                <w:sz w:val="24"/>
                <w:u w:val="single"/>
              </w:rPr>
            </w:pPr>
          </w:p>
        </w:tc>
      </w:tr>
      <w:tr w:rsidR="00C55547" w:rsidRPr="00661595" w:rsidTr="00E10B85">
        <w:tc>
          <w:tcPr>
            <w:tcW w:w="1101" w:type="dxa"/>
          </w:tcPr>
          <w:p w:rsidR="00C55547" w:rsidRPr="00661595" w:rsidRDefault="006E0E76"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0</w:t>
            </w:r>
            <w:r w:rsidR="00C55547" w:rsidRPr="00661595">
              <w:rPr>
                <w:rFonts w:ascii="Times New Roman" w:hAnsi="Times New Roman"/>
                <w:sz w:val="24"/>
              </w:rPr>
              <w:t>446</w:t>
            </w:r>
          </w:p>
        </w:tc>
        <w:tc>
          <w:tcPr>
            <w:tcW w:w="7903" w:type="dxa"/>
          </w:tcPr>
          <w:p w:rsidR="00C55547" w:rsidRPr="00661595" w:rsidRDefault="00C55547" w:rsidP="00E10B85">
            <w:pPr>
              <w:spacing w:before="0" w:after="0"/>
              <w:jc w:val="left"/>
              <w:rPr>
                <w:rFonts w:ascii="Times New Roman" w:hAnsi="Times New Roman"/>
                <w:b/>
                <w:sz w:val="24"/>
                <w:u w:val="single"/>
              </w:rPr>
            </w:pPr>
            <w:r w:rsidRPr="00661595">
              <w:rPr>
                <w:rFonts w:ascii="Times New Roman" w:hAnsi="Times New Roman"/>
                <w:b/>
                <w:sz w:val="24"/>
                <w:u w:val="single"/>
              </w:rPr>
              <w:t>SECURITISATION QUALIFYING FOR DIFFERENTIATED CAPITAL TREATMENT</w:t>
            </w:r>
          </w:p>
          <w:p w:rsidR="00C55547" w:rsidRPr="00661595" w:rsidRDefault="00C55547" w:rsidP="00E10B85">
            <w:pPr>
              <w:spacing w:before="0" w:after="0"/>
              <w:jc w:val="left"/>
              <w:rPr>
                <w:rFonts w:ascii="Times New Roman" w:hAnsi="Times New Roman"/>
                <w:sz w:val="24"/>
              </w:rPr>
            </w:pPr>
          </w:p>
          <w:p w:rsidR="00554261" w:rsidRDefault="00C55547" w:rsidP="006418A0">
            <w:pPr>
              <w:spacing w:before="0"/>
              <w:jc w:val="left"/>
              <w:rPr>
                <w:rFonts w:ascii="Times New Roman" w:hAnsi="Times New Roman"/>
                <w:sz w:val="24"/>
              </w:rPr>
            </w:pPr>
            <w:r w:rsidRPr="00661595">
              <w:rPr>
                <w:rFonts w:ascii="Times New Roman" w:hAnsi="Times New Roman"/>
                <w:sz w:val="24"/>
              </w:rPr>
              <w:t xml:space="preserve">Articles 243 and 270 </w:t>
            </w:r>
            <w:r w:rsidR="00C7103D" w:rsidRPr="00661595">
              <w:rPr>
                <w:rFonts w:ascii="Times New Roman" w:hAnsi="Times New Roman"/>
                <w:sz w:val="24"/>
              </w:rPr>
              <w:t>CRR</w:t>
            </w:r>
          </w:p>
          <w:p w:rsidR="00C55547" w:rsidRPr="00661595" w:rsidRDefault="00EE2BEA" w:rsidP="00E10B85">
            <w:pPr>
              <w:spacing w:before="0" w:after="0"/>
              <w:jc w:val="left"/>
              <w:rPr>
                <w:rFonts w:ascii="Times New Roman" w:hAnsi="Times New Roman"/>
                <w:sz w:val="24"/>
              </w:rPr>
            </w:pPr>
            <w:r w:rsidRPr="00661595">
              <w:rPr>
                <w:rFonts w:ascii="Times New Roman" w:hAnsi="Times New Roman"/>
                <w:sz w:val="24"/>
              </w:rPr>
              <w:t>Institutions shall r</w:t>
            </w:r>
            <w:r w:rsidR="00C55547" w:rsidRPr="00661595">
              <w:rPr>
                <w:rFonts w:ascii="Times New Roman" w:hAnsi="Times New Roman"/>
                <w:sz w:val="24"/>
              </w:rPr>
              <w:t>eport one of the following abbreviations</w:t>
            </w:r>
            <w:r w:rsidR="00554261">
              <w:rPr>
                <w:rFonts w:ascii="Times New Roman" w:hAnsi="Times New Roman"/>
                <w:sz w:val="24"/>
              </w:rPr>
              <w:t>:</w:t>
            </w:r>
          </w:p>
          <w:p w:rsidR="00C55547" w:rsidRPr="00661595" w:rsidRDefault="00C55547" w:rsidP="00E10B85">
            <w:pPr>
              <w:spacing w:before="0" w:after="0"/>
              <w:jc w:val="left"/>
              <w:rPr>
                <w:rFonts w:ascii="Times New Roman" w:hAnsi="Times New Roman"/>
                <w:sz w:val="24"/>
              </w:rPr>
            </w:pPr>
            <w:r w:rsidRPr="00661595">
              <w:rPr>
                <w:rFonts w:ascii="Times New Roman" w:hAnsi="Times New Roman"/>
                <w:sz w:val="24"/>
              </w:rPr>
              <w:t>Y</w:t>
            </w:r>
            <w:r w:rsidRPr="00661595">
              <w:rPr>
                <w:rFonts w:ascii="Times New Roman" w:hAnsi="Times New Roman"/>
                <w:sz w:val="24"/>
              </w:rPr>
              <w:tab/>
              <w:t>– Yes</w:t>
            </w:r>
            <w:r w:rsidR="00554261">
              <w:rPr>
                <w:rFonts w:ascii="Times New Roman" w:hAnsi="Times New Roman"/>
                <w:sz w:val="24"/>
              </w:rPr>
              <w:t>;</w:t>
            </w:r>
          </w:p>
          <w:p w:rsidR="00C55547" w:rsidRPr="00661595" w:rsidRDefault="00C55547" w:rsidP="006418A0">
            <w:pPr>
              <w:tabs>
                <w:tab w:val="left" w:pos="708"/>
                <w:tab w:val="left" w:pos="1573"/>
              </w:tabs>
              <w:spacing w:before="0" w:after="0"/>
              <w:jc w:val="left"/>
              <w:rPr>
                <w:rFonts w:ascii="Times New Roman" w:hAnsi="Times New Roman"/>
                <w:sz w:val="24"/>
              </w:rPr>
            </w:pPr>
            <w:r w:rsidRPr="00661595">
              <w:rPr>
                <w:rFonts w:ascii="Times New Roman" w:hAnsi="Times New Roman"/>
                <w:sz w:val="24"/>
              </w:rPr>
              <w:t>N</w:t>
            </w:r>
            <w:r w:rsidRPr="00661595">
              <w:rPr>
                <w:rFonts w:ascii="Times New Roman" w:hAnsi="Times New Roman"/>
                <w:sz w:val="24"/>
              </w:rPr>
              <w:tab/>
              <w:t>– No</w:t>
            </w:r>
            <w:r w:rsidR="00554261">
              <w:rPr>
                <w:rFonts w:ascii="Times New Roman" w:hAnsi="Times New Roman"/>
                <w:sz w:val="24"/>
              </w:rPr>
              <w:t>.</w:t>
            </w:r>
          </w:p>
          <w:p w:rsidR="00C55547" w:rsidRPr="00661595" w:rsidRDefault="00C55547" w:rsidP="00E10B85">
            <w:pPr>
              <w:spacing w:before="0" w:after="0"/>
              <w:jc w:val="left"/>
              <w:rPr>
                <w:rFonts w:ascii="Times New Roman" w:hAnsi="Times New Roman"/>
                <w:b/>
                <w:sz w:val="24"/>
                <w:u w:val="single"/>
              </w:rPr>
            </w:pPr>
          </w:p>
          <w:p w:rsidR="00C55547" w:rsidRPr="00661595" w:rsidRDefault="00C55547" w:rsidP="00E10B85">
            <w:pPr>
              <w:spacing w:before="0" w:after="0"/>
              <w:jc w:val="left"/>
              <w:rPr>
                <w:rFonts w:ascii="Times New Roman" w:hAnsi="Times New Roman"/>
                <w:sz w:val="24"/>
              </w:rPr>
            </w:pPr>
            <w:r w:rsidRPr="00661595">
              <w:rPr>
                <w:rFonts w:ascii="Times New Roman" w:hAnsi="Times New Roman"/>
                <w:sz w:val="24"/>
              </w:rPr>
              <w:t>‘Yes’ shall be reported both in case of STS securitisations qualifying for the differentiated capital treatment in accordance with Article 243 CRR and in case of senior positions in (non-STS) SME securitisations eligible for this treatment in accordance with Article 270 CRR.</w:t>
            </w:r>
          </w:p>
          <w:p w:rsidR="00C55547" w:rsidRPr="00661595" w:rsidRDefault="00C55547" w:rsidP="00E10B85">
            <w:pPr>
              <w:tabs>
                <w:tab w:val="left" w:pos="3274"/>
              </w:tabs>
              <w:spacing w:before="0" w:after="0"/>
              <w:jc w:val="left"/>
              <w:rPr>
                <w:rFonts w:ascii="Times New Roman" w:hAnsi="Times New Roman"/>
                <w:b/>
                <w:sz w:val="24"/>
                <w:u w:val="single"/>
              </w:rPr>
            </w:pPr>
          </w:p>
        </w:tc>
      </w:tr>
      <w:tr w:rsidR="00C55547" w:rsidRPr="00661595" w:rsidTr="00E10B85">
        <w:tc>
          <w:tcPr>
            <w:tcW w:w="1101" w:type="dxa"/>
          </w:tcPr>
          <w:p w:rsidR="00C55547" w:rsidRPr="00661595" w:rsidRDefault="006E0E76"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0</w:t>
            </w:r>
            <w:r w:rsidR="00C55547" w:rsidRPr="00661595">
              <w:rPr>
                <w:rFonts w:ascii="Times New Roman" w:hAnsi="Times New Roman"/>
                <w:sz w:val="24"/>
              </w:rPr>
              <w:t>080-</w:t>
            </w:r>
            <w:r w:rsidRPr="00661595">
              <w:rPr>
                <w:rFonts w:ascii="Times New Roman" w:hAnsi="Times New Roman"/>
                <w:sz w:val="24"/>
              </w:rPr>
              <w:t>0</w:t>
            </w:r>
            <w:r w:rsidR="00C55547" w:rsidRPr="00661595">
              <w:rPr>
                <w:rFonts w:ascii="Times New Roman" w:hAnsi="Times New Roman"/>
                <w:sz w:val="24"/>
              </w:rPr>
              <w:t>100</w:t>
            </w:r>
          </w:p>
        </w:tc>
        <w:tc>
          <w:tcPr>
            <w:tcW w:w="7903" w:type="dxa"/>
          </w:tcPr>
          <w:p w:rsidR="00C55547" w:rsidRPr="00661595" w:rsidRDefault="00C55547" w:rsidP="00E10B85">
            <w:pPr>
              <w:spacing w:before="0" w:after="0"/>
              <w:jc w:val="left"/>
              <w:rPr>
                <w:rFonts w:ascii="Times New Roman" w:hAnsi="Times New Roman"/>
                <w:sz w:val="24"/>
              </w:rPr>
            </w:pPr>
            <w:r w:rsidRPr="00661595">
              <w:rPr>
                <w:rFonts w:ascii="Times New Roman" w:hAnsi="Times New Roman"/>
                <w:b/>
                <w:sz w:val="24"/>
                <w:u w:val="single"/>
              </w:rPr>
              <w:t>RETENTION</w:t>
            </w:r>
          </w:p>
          <w:p w:rsidR="00C55547" w:rsidRPr="00661595" w:rsidRDefault="00C55547" w:rsidP="00E10B85">
            <w:pPr>
              <w:spacing w:before="0" w:after="0"/>
              <w:rPr>
                <w:rFonts w:ascii="Times New Roman" w:hAnsi="Times New Roman"/>
                <w:sz w:val="24"/>
              </w:rPr>
            </w:pPr>
          </w:p>
          <w:p w:rsidR="00C55547" w:rsidRPr="00661595" w:rsidRDefault="00C55547" w:rsidP="006418A0">
            <w:pPr>
              <w:spacing w:before="0"/>
              <w:rPr>
                <w:rFonts w:ascii="Times New Roman" w:hAnsi="Times New Roman"/>
                <w:sz w:val="24"/>
              </w:rPr>
            </w:pPr>
            <w:r w:rsidRPr="00661595">
              <w:rPr>
                <w:rFonts w:ascii="Times New Roman" w:hAnsi="Times New Roman"/>
                <w:sz w:val="24"/>
              </w:rPr>
              <w:t>Article 6 of the Regulation (EU) 2017/2402</w:t>
            </w:r>
            <w:r w:rsidR="00554261">
              <w:rPr>
                <w:rFonts w:ascii="Times New Roman" w:hAnsi="Times New Roman"/>
                <w:sz w:val="24"/>
              </w:rPr>
              <w:t>;i</w:t>
            </w:r>
            <w:r w:rsidRPr="00661595">
              <w:rPr>
                <w:rFonts w:ascii="Times New Roman" w:hAnsi="Times New Roman"/>
                <w:sz w:val="24"/>
              </w:rPr>
              <w:t xml:space="preserve">n case Article 43(6) of Regulation (EU) 2017/2402 applies, Article 405 </w:t>
            </w:r>
            <w:r w:rsidR="00C7103D" w:rsidRPr="00661595">
              <w:rPr>
                <w:rFonts w:ascii="Times New Roman" w:hAnsi="Times New Roman"/>
                <w:sz w:val="24"/>
              </w:rPr>
              <w:t>CRR</w:t>
            </w:r>
            <w:r w:rsidRPr="00661595">
              <w:rPr>
                <w:rFonts w:ascii="Times New Roman" w:hAnsi="Times New Roman"/>
                <w:sz w:val="24"/>
              </w:rPr>
              <w:t xml:space="preserve"> in the version </w:t>
            </w:r>
            <w:r w:rsidR="00554261">
              <w:rPr>
                <w:rFonts w:ascii="Times New Roman" w:hAnsi="Times New Roman"/>
                <w:sz w:val="24"/>
              </w:rPr>
              <w:t xml:space="preserve">of that Regulation </w:t>
            </w:r>
            <w:r w:rsidRPr="00661595">
              <w:rPr>
                <w:rFonts w:ascii="Times New Roman" w:hAnsi="Times New Roman"/>
                <w:sz w:val="24"/>
              </w:rPr>
              <w:t>applicable on 31 December 2018</w:t>
            </w:r>
            <w:r w:rsidR="00554261">
              <w:rPr>
                <w:rFonts w:ascii="Times New Roman" w:hAnsi="Times New Roman"/>
                <w:sz w:val="24"/>
              </w:rPr>
              <w:t>.</w:t>
            </w:r>
            <w:r w:rsidRPr="00661595">
              <w:rPr>
                <w:rFonts w:ascii="Times New Roman" w:hAnsi="Times New Roman"/>
                <w:sz w:val="24"/>
              </w:rPr>
              <w:t xml:space="preserve"> </w:t>
            </w:r>
          </w:p>
          <w:p w:rsidR="00C55547" w:rsidRPr="00661595" w:rsidRDefault="00C55547" w:rsidP="00E10B85">
            <w:pPr>
              <w:spacing w:before="0" w:after="0"/>
              <w:jc w:val="left"/>
              <w:rPr>
                <w:rFonts w:ascii="Times New Roman" w:hAnsi="Times New Roman"/>
                <w:sz w:val="24"/>
              </w:rPr>
            </w:pPr>
          </w:p>
        </w:tc>
      </w:tr>
      <w:tr w:rsidR="00C55547" w:rsidRPr="00661595" w:rsidTr="00E10B85">
        <w:tc>
          <w:tcPr>
            <w:tcW w:w="1101" w:type="dxa"/>
          </w:tcPr>
          <w:p w:rsidR="00C55547" w:rsidRPr="00661595" w:rsidRDefault="00C55547"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w:t>
            </w:r>
            <w:r w:rsidR="006E0E76" w:rsidRPr="00661595">
              <w:rPr>
                <w:rFonts w:ascii="Times New Roman" w:hAnsi="Times New Roman"/>
                <w:bCs/>
                <w:sz w:val="24"/>
                <w:lang w:eastAsia="nl-BE"/>
              </w:rPr>
              <w:t>0</w:t>
            </w:r>
            <w:r w:rsidRPr="00661595">
              <w:rPr>
                <w:rFonts w:ascii="Times New Roman" w:hAnsi="Times New Roman"/>
                <w:bCs/>
                <w:sz w:val="24"/>
                <w:lang w:eastAsia="nl-BE"/>
              </w:rPr>
              <w:t>80</w:t>
            </w:r>
          </w:p>
        </w:tc>
        <w:tc>
          <w:tcPr>
            <w:tcW w:w="7903" w:type="dxa"/>
          </w:tcPr>
          <w:p w:rsidR="00C55547" w:rsidRPr="00661595" w:rsidRDefault="00C55547" w:rsidP="00E10B85">
            <w:pPr>
              <w:spacing w:before="0" w:after="0"/>
              <w:jc w:val="left"/>
              <w:rPr>
                <w:rFonts w:ascii="Times New Roman" w:hAnsi="Times New Roman"/>
                <w:b/>
                <w:sz w:val="24"/>
                <w:u w:val="single"/>
              </w:rPr>
            </w:pPr>
            <w:r w:rsidRPr="00661595">
              <w:rPr>
                <w:rFonts w:ascii="Times New Roman" w:hAnsi="Times New Roman"/>
                <w:b/>
                <w:sz w:val="24"/>
                <w:u w:val="single"/>
              </w:rPr>
              <w:t>TYPE OF RETENTION APPLIED</w:t>
            </w:r>
          </w:p>
          <w:p w:rsidR="00C55547" w:rsidRPr="00661595" w:rsidRDefault="00C55547" w:rsidP="00E10B85">
            <w:pPr>
              <w:spacing w:before="0" w:after="0"/>
              <w:jc w:val="left"/>
              <w:rPr>
                <w:rFonts w:ascii="Times New Roman" w:hAnsi="Times New Roman"/>
                <w:sz w:val="24"/>
              </w:rPr>
            </w:pPr>
          </w:p>
          <w:p w:rsidR="00C55547" w:rsidRPr="00661595" w:rsidRDefault="00C55547" w:rsidP="00E10B85">
            <w:pPr>
              <w:spacing w:before="0" w:after="0"/>
              <w:rPr>
                <w:rFonts w:ascii="Times New Roman" w:hAnsi="Times New Roman"/>
                <w:sz w:val="24"/>
              </w:rPr>
            </w:pPr>
            <w:r w:rsidRPr="00661595">
              <w:rPr>
                <w:rFonts w:ascii="Times New Roman" w:hAnsi="Times New Roman"/>
                <w:sz w:val="24"/>
              </w:rPr>
              <w:t>For each securitisation scheme originated, the relevant type of retention of net economic interest as envisaged in Article 6 of Regulation (EU) 2017/2402</w:t>
            </w:r>
            <w:r w:rsidR="00EE2BEA" w:rsidRPr="00661595">
              <w:rPr>
                <w:rFonts w:ascii="Times New Roman" w:hAnsi="Times New Roman"/>
                <w:sz w:val="24"/>
              </w:rPr>
              <w:t xml:space="preserve"> shall be reported</w:t>
            </w:r>
            <w:r w:rsidRPr="00661595">
              <w:rPr>
                <w:rFonts w:ascii="Times New Roman" w:hAnsi="Times New Roman"/>
                <w:sz w:val="24"/>
              </w:rPr>
              <w:t>:</w:t>
            </w:r>
          </w:p>
          <w:p w:rsidR="00C55547" w:rsidRPr="00661595" w:rsidRDefault="00C55547" w:rsidP="00E10B85">
            <w:pPr>
              <w:spacing w:before="0" w:after="0"/>
              <w:rPr>
                <w:rFonts w:ascii="Times New Roman" w:hAnsi="Times New Roman"/>
                <w:sz w:val="24"/>
              </w:rPr>
            </w:pPr>
          </w:p>
          <w:p w:rsidR="00C55547" w:rsidRPr="00661595" w:rsidRDefault="00C55547" w:rsidP="00E10B85">
            <w:pPr>
              <w:spacing w:before="0" w:after="0"/>
              <w:rPr>
                <w:rFonts w:ascii="Times New Roman" w:hAnsi="Times New Roman"/>
                <w:sz w:val="24"/>
              </w:rPr>
            </w:pPr>
            <w:r w:rsidRPr="00661595">
              <w:rPr>
                <w:rFonts w:ascii="Times New Roman" w:hAnsi="Times New Roman"/>
                <w:sz w:val="24"/>
              </w:rPr>
              <w:t xml:space="preserve">A - Vertical slice (securitisation positions): </w:t>
            </w:r>
            <w:r w:rsidRPr="00661595">
              <w:rPr>
                <w:rFonts w:ascii="Times New Roman" w:hAnsi="Times New Roman"/>
                <w:i/>
                <w:sz w:val="24"/>
              </w:rPr>
              <w:t>“retention of no less than 5% of the nominal value of each of the tranches sold or transferred to the investors”</w:t>
            </w:r>
            <w:r w:rsidR="00735F76">
              <w:rPr>
                <w:rFonts w:ascii="Times New Roman" w:hAnsi="Times New Roman"/>
                <w:i/>
                <w:sz w:val="24"/>
              </w:rPr>
              <w:t>;</w:t>
            </w:r>
          </w:p>
          <w:p w:rsidR="00C55547" w:rsidRPr="00661595" w:rsidRDefault="00C55547" w:rsidP="00E10B85">
            <w:pPr>
              <w:spacing w:before="0" w:after="0"/>
              <w:rPr>
                <w:rFonts w:ascii="Times New Roman" w:hAnsi="Times New Roman"/>
                <w:sz w:val="24"/>
              </w:rPr>
            </w:pPr>
          </w:p>
          <w:p w:rsidR="00C55547" w:rsidRPr="00661595" w:rsidRDefault="00C55547" w:rsidP="00E10B85">
            <w:pPr>
              <w:spacing w:before="0" w:after="0"/>
              <w:rPr>
                <w:rFonts w:ascii="Times New Roman" w:hAnsi="Times New Roman"/>
                <w:sz w:val="24"/>
              </w:rPr>
            </w:pPr>
            <w:r w:rsidRPr="00661595">
              <w:rPr>
                <w:rFonts w:ascii="Times New Roman" w:hAnsi="Times New Roman"/>
                <w:sz w:val="24"/>
              </w:rPr>
              <w:t>V - Vertical slice (securitised exposures): retention of no less than</w:t>
            </w:r>
            <w:r w:rsidRPr="00661595">
              <w:rPr>
                <w:rFonts w:ascii="Times New Roman" w:hAnsi="Times New Roman"/>
                <w:i/>
                <w:sz w:val="24"/>
              </w:rPr>
              <w:t xml:space="preserve"> </w:t>
            </w:r>
            <w:r w:rsidRPr="00661595">
              <w:rPr>
                <w:rFonts w:ascii="Times New Roman" w:hAnsi="Times New Roman"/>
                <w:sz w:val="24"/>
              </w:rPr>
              <w:t xml:space="preserve">5% of the credit risk of each of the securitised exposures, if the credit risk thus retained with respect to such securitised exposures always ranks </w:t>
            </w:r>
            <w:r w:rsidRPr="00661595">
              <w:rPr>
                <w:rFonts w:ascii="Times New Roman" w:hAnsi="Times New Roman"/>
                <w:i/>
                <w:sz w:val="24"/>
              </w:rPr>
              <w:t>pari passu</w:t>
            </w:r>
            <w:r w:rsidRPr="00661595">
              <w:rPr>
                <w:rFonts w:ascii="Times New Roman" w:hAnsi="Times New Roman"/>
                <w:sz w:val="24"/>
              </w:rPr>
              <w:t xml:space="preserve"> with, or is subordinated to, the credit risk that has been securitised with respect to those same exposures</w:t>
            </w:r>
            <w:r w:rsidR="00735F76">
              <w:rPr>
                <w:rFonts w:ascii="Times New Roman" w:hAnsi="Times New Roman"/>
                <w:sz w:val="24"/>
              </w:rPr>
              <w:t>;</w:t>
            </w:r>
          </w:p>
          <w:p w:rsidR="00C55547" w:rsidRPr="00661595" w:rsidRDefault="00C55547" w:rsidP="00E10B85">
            <w:pPr>
              <w:spacing w:before="0" w:after="0"/>
              <w:rPr>
                <w:rFonts w:ascii="Times New Roman" w:hAnsi="Times New Roman"/>
                <w:sz w:val="24"/>
              </w:rPr>
            </w:pPr>
          </w:p>
          <w:p w:rsidR="00C55547" w:rsidRPr="00661595" w:rsidRDefault="00C55547" w:rsidP="00E10B85">
            <w:pPr>
              <w:spacing w:before="0" w:after="0"/>
              <w:rPr>
                <w:rFonts w:ascii="Times New Roman" w:hAnsi="Times New Roman"/>
                <w:sz w:val="24"/>
              </w:rPr>
            </w:pPr>
            <w:r w:rsidRPr="00661595">
              <w:rPr>
                <w:rFonts w:ascii="Times New Roman" w:hAnsi="Times New Roman"/>
                <w:sz w:val="24"/>
              </w:rPr>
              <w:t>B - Revolving exposures: ”</w:t>
            </w:r>
            <w:r w:rsidRPr="00661595">
              <w:rPr>
                <w:rFonts w:ascii="Times New Roman" w:hAnsi="Times New Roman"/>
                <w:i/>
                <w:sz w:val="24"/>
              </w:rPr>
              <w:t>in the case of securitisations of revolving exposures, retention of the originator’s interest of no less than 5% of the nominal value of the securitised exposures</w:t>
            </w:r>
            <w:r w:rsidRPr="00661595">
              <w:rPr>
                <w:rFonts w:ascii="Times New Roman" w:hAnsi="Times New Roman"/>
                <w:sz w:val="24"/>
              </w:rPr>
              <w:t>”</w:t>
            </w:r>
            <w:r w:rsidR="00735F76">
              <w:rPr>
                <w:rFonts w:ascii="Times New Roman" w:hAnsi="Times New Roman"/>
                <w:sz w:val="24"/>
              </w:rPr>
              <w:t>;</w:t>
            </w:r>
            <w:r w:rsidRPr="00661595">
              <w:rPr>
                <w:rFonts w:ascii="Times New Roman" w:hAnsi="Times New Roman"/>
                <w:sz w:val="24"/>
              </w:rPr>
              <w:t xml:space="preserve"> </w:t>
            </w:r>
          </w:p>
          <w:p w:rsidR="00C55547" w:rsidRPr="00661595" w:rsidRDefault="00C55547" w:rsidP="00E10B85">
            <w:pPr>
              <w:spacing w:before="0" w:after="0"/>
              <w:rPr>
                <w:rFonts w:ascii="Times New Roman" w:hAnsi="Times New Roman"/>
                <w:sz w:val="24"/>
              </w:rPr>
            </w:pPr>
          </w:p>
          <w:p w:rsidR="00C55547" w:rsidRPr="00661595" w:rsidRDefault="00C55547" w:rsidP="00E10B85">
            <w:pPr>
              <w:spacing w:before="0" w:after="0"/>
              <w:rPr>
                <w:rFonts w:ascii="Times New Roman" w:hAnsi="Times New Roman"/>
                <w:sz w:val="24"/>
              </w:rPr>
            </w:pPr>
            <w:r w:rsidRPr="00661595">
              <w:rPr>
                <w:rFonts w:ascii="Times New Roman" w:hAnsi="Times New Roman"/>
                <w:sz w:val="24"/>
              </w:rPr>
              <w:t>C- On-balance sheet: “</w:t>
            </w:r>
            <w:r w:rsidRPr="00661595">
              <w:rPr>
                <w:rFonts w:ascii="Times New Roman" w:hAnsi="Times New Roman"/>
                <w:i/>
                <w:sz w:val="24"/>
              </w:rPr>
              <w:t>retention of randomly selected exposures, equivalent to no less than 5% of the nominal amount of the securitised exposures, where such exposures would otherwise have been securitised in the securitisation, provided that the number of potentially securitised exposures is no less than 100 at origination</w:t>
            </w:r>
            <w:r w:rsidRPr="00661595">
              <w:rPr>
                <w:rFonts w:ascii="Times New Roman" w:hAnsi="Times New Roman"/>
                <w:sz w:val="24"/>
              </w:rPr>
              <w:t>”</w:t>
            </w:r>
            <w:r w:rsidR="00735F76">
              <w:rPr>
                <w:rFonts w:ascii="Times New Roman" w:hAnsi="Times New Roman"/>
                <w:sz w:val="24"/>
              </w:rPr>
              <w:t>;</w:t>
            </w:r>
          </w:p>
          <w:p w:rsidR="00C55547" w:rsidRPr="00661595" w:rsidRDefault="00C55547" w:rsidP="00E10B85">
            <w:pPr>
              <w:spacing w:before="0" w:after="0"/>
              <w:rPr>
                <w:rFonts w:ascii="Times New Roman" w:hAnsi="Times New Roman"/>
                <w:sz w:val="24"/>
              </w:rPr>
            </w:pPr>
          </w:p>
          <w:p w:rsidR="00C55547" w:rsidRPr="00661595" w:rsidRDefault="00C55547" w:rsidP="00E10B85">
            <w:pPr>
              <w:spacing w:before="0" w:after="0"/>
              <w:rPr>
                <w:rFonts w:ascii="Times New Roman" w:hAnsi="Times New Roman"/>
                <w:sz w:val="24"/>
              </w:rPr>
            </w:pPr>
            <w:r w:rsidRPr="00661595">
              <w:rPr>
                <w:rFonts w:ascii="Times New Roman" w:hAnsi="Times New Roman"/>
                <w:sz w:val="24"/>
              </w:rPr>
              <w:t>D- First loss: “</w:t>
            </w:r>
            <w:r w:rsidRPr="00661595">
              <w:rPr>
                <w:rFonts w:ascii="Times New Roman" w:hAnsi="Times New Roman"/>
                <w:i/>
                <w:sz w:val="24"/>
              </w:rPr>
              <w:t>retention of the first loss tranche and, if necessary, other tranches having the same or a more severe risk profile than those transferred or sold to investors and not maturing any earlier than those transferred or sold to investors, so that the retention equals in total no less than 5% of the nominal value of the securitised exposures</w:t>
            </w:r>
            <w:r w:rsidRPr="00661595">
              <w:rPr>
                <w:rFonts w:ascii="Times New Roman" w:hAnsi="Times New Roman"/>
                <w:sz w:val="24"/>
              </w:rPr>
              <w:t>”</w:t>
            </w:r>
            <w:r w:rsidR="00735F76">
              <w:rPr>
                <w:rFonts w:ascii="Times New Roman" w:hAnsi="Times New Roman"/>
                <w:sz w:val="24"/>
              </w:rPr>
              <w:t>;</w:t>
            </w:r>
          </w:p>
          <w:p w:rsidR="00C55547" w:rsidRPr="00661595" w:rsidRDefault="00C55547" w:rsidP="00E10B85">
            <w:pPr>
              <w:spacing w:before="0" w:after="0"/>
              <w:rPr>
                <w:rFonts w:ascii="Times New Roman" w:hAnsi="Times New Roman"/>
                <w:sz w:val="24"/>
              </w:rPr>
            </w:pPr>
          </w:p>
          <w:p w:rsidR="00C55547" w:rsidRPr="00661595" w:rsidRDefault="00C55547" w:rsidP="00E10B85">
            <w:pPr>
              <w:spacing w:before="0" w:after="0"/>
              <w:rPr>
                <w:rFonts w:ascii="Times New Roman" w:hAnsi="Times New Roman"/>
                <w:sz w:val="24"/>
              </w:rPr>
            </w:pPr>
            <w:r w:rsidRPr="00661595">
              <w:rPr>
                <w:rFonts w:ascii="Times New Roman" w:hAnsi="Times New Roman"/>
                <w:sz w:val="24"/>
              </w:rPr>
              <w:t xml:space="preserve">E – Exempted. This code shall be reported for those securitisations affected by </w:t>
            </w:r>
            <w:r w:rsidR="005E5070" w:rsidRPr="00661595">
              <w:rPr>
                <w:rFonts w:ascii="Times New Roman" w:hAnsi="Times New Roman"/>
                <w:sz w:val="24"/>
              </w:rPr>
              <w:t xml:space="preserve">the application of </w:t>
            </w:r>
            <w:r w:rsidRPr="00661595">
              <w:rPr>
                <w:rFonts w:ascii="Times New Roman" w:hAnsi="Times New Roman"/>
                <w:sz w:val="24"/>
              </w:rPr>
              <w:t>Article 6(6) of</w:t>
            </w:r>
            <w:r w:rsidR="001C6166" w:rsidRPr="00661595">
              <w:rPr>
                <w:rFonts w:ascii="Times New Roman" w:hAnsi="Times New Roman"/>
                <w:sz w:val="24"/>
              </w:rPr>
              <w:t xml:space="preserve"> Regulation (EU) 2017/2402</w:t>
            </w:r>
            <w:r w:rsidR="00735F76">
              <w:rPr>
                <w:rFonts w:ascii="Times New Roman" w:hAnsi="Times New Roman"/>
                <w:sz w:val="24"/>
              </w:rPr>
              <w:t>;</w:t>
            </w:r>
          </w:p>
          <w:p w:rsidR="00C55547" w:rsidRPr="00661595" w:rsidRDefault="00C55547" w:rsidP="00E10B85">
            <w:pPr>
              <w:spacing w:before="0" w:after="0"/>
              <w:rPr>
                <w:rFonts w:ascii="Times New Roman" w:hAnsi="Times New Roman"/>
                <w:sz w:val="24"/>
              </w:rPr>
            </w:pPr>
          </w:p>
          <w:p w:rsidR="00C55547" w:rsidRPr="00661595" w:rsidRDefault="00C55547" w:rsidP="00E10B85">
            <w:pPr>
              <w:spacing w:before="0" w:after="0"/>
              <w:rPr>
                <w:rFonts w:ascii="Times New Roman" w:hAnsi="Times New Roman"/>
                <w:sz w:val="24"/>
              </w:rPr>
            </w:pPr>
            <w:r w:rsidRPr="00661595">
              <w:rPr>
                <w:rFonts w:ascii="Times New Roman" w:hAnsi="Times New Roman"/>
                <w:sz w:val="24"/>
              </w:rPr>
              <w:t>U – In breach or unknown. This code shall be reported whe</w:t>
            </w:r>
            <w:r w:rsidR="005E5070" w:rsidRPr="00661595">
              <w:rPr>
                <w:rFonts w:ascii="Times New Roman" w:hAnsi="Times New Roman"/>
                <w:sz w:val="24"/>
              </w:rPr>
              <w:t>re</w:t>
            </w:r>
            <w:r w:rsidRPr="00661595">
              <w:rPr>
                <w:rFonts w:ascii="Times New Roman" w:hAnsi="Times New Roman"/>
                <w:sz w:val="24"/>
              </w:rPr>
              <w:t xml:space="preserve"> the reporting </w:t>
            </w:r>
            <w:r w:rsidR="005E5070" w:rsidRPr="00661595">
              <w:rPr>
                <w:rFonts w:ascii="Times New Roman" w:hAnsi="Times New Roman"/>
                <w:sz w:val="24"/>
              </w:rPr>
              <w:t xml:space="preserve">institution </w:t>
            </w:r>
            <w:r w:rsidRPr="00661595">
              <w:rPr>
                <w:rFonts w:ascii="Times New Roman" w:hAnsi="Times New Roman"/>
                <w:sz w:val="24"/>
              </w:rPr>
              <w:t>does not know with certain</w:t>
            </w:r>
            <w:r w:rsidR="005E5070" w:rsidRPr="00661595">
              <w:rPr>
                <w:rFonts w:ascii="Times New Roman" w:hAnsi="Times New Roman"/>
                <w:sz w:val="24"/>
              </w:rPr>
              <w:t>ty</w:t>
            </w:r>
            <w:r w:rsidRPr="00661595">
              <w:rPr>
                <w:rFonts w:ascii="Times New Roman" w:hAnsi="Times New Roman"/>
                <w:sz w:val="24"/>
              </w:rPr>
              <w:t xml:space="preserve"> which type of retention is being applied</w:t>
            </w:r>
            <w:r w:rsidR="005E5070" w:rsidRPr="00661595">
              <w:rPr>
                <w:rFonts w:ascii="Times New Roman" w:hAnsi="Times New Roman"/>
                <w:sz w:val="24"/>
              </w:rPr>
              <w:t>,</w:t>
            </w:r>
            <w:r w:rsidRPr="00661595">
              <w:rPr>
                <w:rFonts w:ascii="Times New Roman" w:hAnsi="Times New Roman"/>
                <w:sz w:val="24"/>
              </w:rPr>
              <w:t xml:space="preserve"> or in case of non-compliance</w:t>
            </w:r>
            <w:r w:rsidR="00735F76">
              <w:rPr>
                <w:rFonts w:ascii="Times New Roman" w:hAnsi="Times New Roman"/>
                <w:sz w:val="24"/>
              </w:rPr>
              <w:t>.</w:t>
            </w:r>
          </w:p>
          <w:p w:rsidR="00C55547" w:rsidRPr="00661595" w:rsidRDefault="00C55547" w:rsidP="00E10B85">
            <w:pPr>
              <w:autoSpaceDE w:val="0"/>
              <w:autoSpaceDN w:val="0"/>
              <w:adjustRightInd w:val="0"/>
              <w:spacing w:before="0" w:after="0"/>
              <w:jc w:val="left"/>
              <w:rPr>
                <w:rFonts w:ascii="Times New Roman" w:hAnsi="Times New Roman"/>
                <w:sz w:val="24"/>
              </w:rPr>
            </w:pPr>
          </w:p>
        </w:tc>
      </w:tr>
      <w:tr w:rsidR="00C55547" w:rsidRPr="00661595" w:rsidTr="00E10B85">
        <w:tc>
          <w:tcPr>
            <w:tcW w:w="1101" w:type="dxa"/>
          </w:tcPr>
          <w:p w:rsidR="00C55547" w:rsidRPr="00661595" w:rsidRDefault="00C55547"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w:t>
            </w:r>
            <w:r w:rsidR="006E0E76" w:rsidRPr="00661595">
              <w:rPr>
                <w:rFonts w:ascii="Times New Roman" w:hAnsi="Times New Roman"/>
                <w:bCs/>
                <w:sz w:val="24"/>
                <w:lang w:eastAsia="nl-BE"/>
              </w:rPr>
              <w:t>0</w:t>
            </w:r>
            <w:r w:rsidRPr="00661595">
              <w:rPr>
                <w:rFonts w:ascii="Times New Roman" w:hAnsi="Times New Roman"/>
                <w:bCs/>
                <w:sz w:val="24"/>
                <w:lang w:eastAsia="nl-BE"/>
              </w:rPr>
              <w:t>90</w:t>
            </w:r>
          </w:p>
        </w:tc>
        <w:tc>
          <w:tcPr>
            <w:tcW w:w="7903" w:type="dxa"/>
          </w:tcPr>
          <w:p w:rsidR="00C55547" w:rsidRPr="00661595" w:rsidRDefault="00C55547" w:rsidP="00E10B85">
            <w:pPr>
              <w:spacing w:before="0" w:after="0"/>
              <w:jc w:val="left"/>
              <w:rPr>
                <w:rFonts w:ascii="Times New Roman" w:hAnsi="Times New Roman"/>
                <w:b/>
                <w:sz w:val="24"/>
                <w:u w:val="single"/>
              </w:rPr>
            </w:pPr>
            <w:r w:rsidRPr="00661595">
              <w:rPr>
                <w:rFonts w:ascii="Times New Roman" w:hAnsi="Times New Roman"/>
                <w:b/>
                <w:sz w:val="24"/>
                <w:u w:val="single"/>
              </w:rPr>
              <w:t>% OF RETENTION AT REPORTING DATE</w:t>
            </w:r>
          </w:p>
          <w:p w:rsidR="00C55547" w:rsidRPr="00661595" w:rsidRDefault="00C55547" w:rsidP="00E10B85">
            <w:pPr>
              <w:spacing w:before="0" w:after="0"/>
              <w:jc w:val="left"/>
              <w:rPr>
                <w:rFonts w:ascii="Times New Roman" w:hAnsi="Times New Roman"/>
                <w:sz w:val="24"/>
              </w:rPr>
            </w:pPr>
          </w:p>
          <w:p w:rsidR="00C55547" w:rsidRPr="00661595" w:rsidRDefault="00C55547" w:rsidP="00E10B85">
            <w:pPr>
              <w:spacing w:before="0" w:after="0"/>
              <w:rPr>
                <w:rFonts w:ascii="Times New Roman" w:hAnsi="Times New Roman"/>
                <w:i/>
                <w:sz w:val="24"/>
              </w:rPr>
            </w:pPr>
            <w:r w:rsidRPr="00661595">
              <w:rPr>
                <w:rFonts w:ascii="Times New Roman" w:hAnsi="Times New Roman"/>
                <w:sz w:val="24"/>
              </w:rPr>
              <w:t xml:space="preserve">The retention of </w:t>
            </w:r>
            <w:r w:rsidRPr="00661595">
              <w:rPr>
                <w:rFonts w:ascii="Times New Roman" w:hAnsi="Times New Roman"/>
                <w:i/>
                <w:sz w:val="24"/>
              </w:rPr>
              <w:t>material net economic interest by the originator, sponsor or original lender</w:t>
            </w:r>
            <w:r w:rsidRPr="00661595">
              <w:rPr>
                <w:rFonts w:ascii="Times New Roman" w:hAnsi="Times New Roman"/>
                <w:sz w:val="24"/>
              </w:rPr>
              <w:t xml:space="preserve"> of the securitisation shall be not less than 5% (at origination date).</w:t>
            </w:r>
          </w:p>
          <w:p w:rsidR="00C55547" w:rsidRPr="00661595" w:rsidRDefault="00C55547" w:rsidP="00E10B85">
            <w:pPr>
              <w:spacing w:before="0" w:after="0"/>
              <w:rPr>
                <w:rFonts w:ascii="Times New Roman" w:hAnsi="Times New Roman"/>
                <w:i/>
                <w:sz w:val="24"/>
              </w:rPr>
            </w:pPr>
          </w:p>
          <w:p w:rsidR="00C55547" w:rsidRPr="00661595" w:rsidRDefault="00C55547" w:rsidP="00E10B85">
            <w:pPr>
              <w:autoSpaceDE w:val="0"/>
              <w:autoSpaceDN w:val="0"/>
              <w:adjustRightInd w:val="0"/>
              <w:spacing w:before="0" w:after="0"/>
              <w:rPr>
                <w:rFonts w:ascii="Times New Roman" w:hAnsi="Times New Roman"/>
                <w:i/>
                <w:sz w:val="24"/>
              </w:rPr>
            </w:pPr>
            <w:r w:rsidRPr="00661595">
              <w:rPr>
                <w:rFonts w:ascii="Times New Roman" w:hAnsi="Times New Roman"/>
                <w:sz w:val="24"/>
                <w:lang w:eastAsia="es-ES_tradnl"/>
              </w:rPr>
              <w:t xml:space="preserve">This column shall not be reported where codes ‘E’ (exempted) or ‘N’ (not applicable) are reported under column </w:t>
            </w:r>
            <w:r w:rsidR="006E0E76" w:rsidRPr="00661595">
              <w:rPr>
                <w:rFonts w:ascii="Times New Roman" w:hAnsi="Times New Roman"/>
                <w:sz w:val="24"/>
                <w:lang w:eastAsia="es-ES_tradnl"/>
              </w:rPr>
              <w:t>0</w:t>
            </w:r>
            <w:r w:rsidRPr="00661595">
              <w:rPr>
                <w:rFonts w:ascii="Times New Roman" w:hAnsi="Times New Roman"/>
                <w:sz w:val="24"/>
                <w:lang w:eastAsia="es-ES_tradnl"/>
              </w:rPr>
              <w:t>080 (Type of retention applied).</w:t>
            </w:r>
          </w:p>
          <w:p w:rsidR="00C55547" w:rsidRPr="00661595" w:rsidRDefault="00C55547" w:rsidP="00E10B85">
            <w:pPr>
              <w:spacing w:before="0" w:after="0"/>
              <w:jc w:val="left"/>
              <w:rPr>
                <w:rFonts w:ascii="Times New Roman" w:hAnsi="Times New Roman"/>
                <w:sz w:val="24"/>
              </w:rPr>
            </w:pPr>
          </w:p>
        </w:tc>
      </w:tr>
      <w:tr w:rsidR="00C55547" w:rsidRPr="00661595" w:rsidTr="00E10B85">
        <w:tc>
          <w:tcPr>
            <w:tcW w:w="1101" w:type="dxa"/>
          </w:tcPr>
          <w:p w:rsidR="00C55547" w:rsidRPr="00661595" w:rsidRDefault="006E0E76"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w:t>
            </w:r>
            <w:r w:rsidR="00C55547" w:rsidRPr="00661595">
              <w:rPr>
                <w:rFonts w:ascii="Times New Roman" w:hAnsi="Times New Roman"/>
                <w:bCs/>
                <w:sz w:val="24"/>
                <w:lang w:eastAsia="nl-BE"/>
              </w:rPr>
              <w:t>100</w:t>
            </w:r>
          </w:p>
        </w:tc>
        <w:tc>
          <w:tcPr>
            <w:tcW w:w="7903" w:type="dxa"/>
          </w:tcPr>
          <w:p w:rsidR="00C55547" w:rsidRPr="00661595" w:rsidRDefault="00C55547" w:rsidP="00E10B85">
            <w:pPr>
              <w:spacing w:before="0" w:after="0"/>
              <w:jc w:val="left"/>
              <w:rPr>
                <w:rFonts w:ascii="Times New Roman" w:hAnsi="Times New Roman"/>
                <w:b/>
                <w:sz w:val="24"/>
                <w:u w:val="single"/>
              </w:rPr>
            </w:pPr>
            <w:r w:rsidRPr="00661595">
              <w:rPr>
                <w:rFonts w:ascii="Times New Roman" w:hAnsi="Times New Roman"/>
                <w:b/>
                <w:sz w:val="24"/>
                <w:u w:val="single"/>
              </w:rPr>
              <w:t>COMPLIANCE WITH THE RETENTION REQUIREMENT?</w:t>
            </w:r>
          </w:p>
          <w:p w:rsidR="00C55547" w:rsidRPr="00661595" w:rsidRDefault="00C55547" w:rsidP="00E10B85">
            <w:pPr>
              <w:spacing w:before="0" w:after="0"/>
              <w:jc w:val="left"/>
              <w:rPr>
                <w:rFonts w:ascii="Times New Roman" w:hAnsi="Times New Roman"/>
                <w:b/>
                <w:sz w:val="24"/>
                <w:u w:val="single"/>
              </w:rPr>
            </w:pPr>
          </w:p>
          <w:p w:rsidR="00C55547" w:rsidRPr="00661595" w:rsidRDefault="00EE2BEA" w:rsidP="00E10B85">
            <w:pPr>
              <w:spacing w:before="0" w:after="0"/>
              <w:jc w:val="left"/>
              <w:rPr>
                <w:rFonts w:ascii="Times New Roman" w:hAnsi="Times New Roman"/>
                <w:sz w:val="24"/>
              </w:rPr>
            </w:pPr>
            <w:r w:rsidRPr="00661595">
              <w:rPr>
                <w:rFonts w:ascii="Times New Roman" w:hAnsi="Times New Roman"/>
                <w:sz w:val="24"/>
              </w:rPr>
              <w:t>Institutions shall r</w:t>
            </w:r>
            <w:r w:rsidR="00C55547" w:rsidRPr="00661595">
              <w:rPr>
                <w:rFonts w:ascii="Times New Roman" w:hAnsi="Times New Roman"/>
                <w:sz w:val="24"/>
              </w:rPr>
              <w:t>eport the following abbreviations:</w:t>
            </w:r>
          </w:p>
          <w:p w:rsidR="00C55547" w:rsidRPr="00661595" w:rsidRDefault="00C55547" w:rsidP="00E10B85">
            <w:pPr>
              <w:tabs>
                <w:tab w:val="left" w:pos="317"/>
                <w:tab w:val="left" w:pos="600"/>
              </w:tabs>
              <w:spacing w:before="0" w:after="0"/>
              <w:jc w:val="left"/>
              <w:rPr>
                <w:rFonts w:ascii="Times New Roman" w:hAnsi="Times New Roman"/>
                <w:sz w:val="24"/>
              </w:rPr>
            </w:pPr>
            <w:r w:rsidRPr="00661595">
              <w:rPr>
                <w:rFonts w:ascii="Times New Roman" w:hAnsi="Times New Roman"/>
                <w:sz w:val="24"/>
              </w:rPr>
              <w:t>Y</w:t>
            </w:r>
            <w:r w:rsidRPr="00661595">
              <w:rPr>
                <w:rFonts w:ascii="Times New Roman" w:hAnsi="Times New Roman"/>
                <w:sz w:val="24"/>
              </w:rPr>
              <w:tab/>
              <w:t>-</w:t>
            </w:r>
            <w:r w:rsidRPr="00661595">
              <w:rPr>
                <w:rFonts w:ascii="Times New Roman" w:hAnsi="Times New Roman"/>
                <w:sz w:val="24"/>
              </w:rPr>
              <w:tab/>
              <w:t>Yes;</w:t>
            </w:r>
          </w:p>
          <w:p w:rsidR="00C55547" w:rsidRPr="00661595" w:rsidRDefault="00C55547" w:rsidP="00E10B85">
            <w:pPr>
              <w:tabs>
                <w:tab w:val="left" w:pos="317"/>
                <w:tab w:val="left" w:pos="600"/>
              </w:tabs>
              <w:spacing w:before="0" w:after="0"/>
              <w:jc w:val="left"/>
              <w:rPr>
                <w:rFonts w:ascii="Times New Roman" w:hAnsi="Times New Roman"/>
                <w:sz w:val="24"/>
              </w:rPr>
            </w:pPr>
            <w:r w:rsidRPr="00661595">
              <w:rPr>
                <w:rFonts w:ascii="Times New Roman" w:hAnsi="Times New Roman"/>
                <w:sz w:val="24"/>
              </w:rPr>
              <w:t>N</w:t>
            </w:r>
            <w:r w:rsidRPr="00661595">
              <w:rPr>
                <w:rFonts w:ascii="Times New Roman" w:hAnsi="Times New Roman"/>
                <w:sz w:val="24"/>
              </w:rPr>
              <w:tab/>
              <w:t>-</w:t>
            </w:r>
            <w:r w:rsidRPr="00661595">
              <w:rPr>
                <w:rFonts w:ascii="Times New Roman" w:hAnsi="Times New Roman"/>
                <w:sz w:val="24"/>
              </w:rPr>
              <w:tab/>
              <w:t>No.</w:t>
            </w:r>
          </w:p>
          <w:p w:rsidR="00C55547" w:rsidRPr="00661595" w:rsidRDefault="00C55547" w:rsidP="00E10B85">
            <w:pPr>
              <w:spacing w:before="0" w:after="0"/>
              <w:jc w:val="left"/>
              <w:rPr>
                <w:rFonts w:ascii="Times New Roman" w:hAnsi="Times New Roman"/>
                <w:sz w:val="24"/>
              </w:rPr>
            </w:pPr>
          </w:p>
          <w:p w:rsidR="00C55547" w:rsidRPr="00661595" w:rsidRDefault="00C55547" w:rsidP="00E10B85">
            <w:pPr>
              <w:autoSpaceDE w:val="0"/>
              <w:autoSpaceDN w:val="0"/>
              <w:adjustRightInd w:val="0"/>
              <w:spacing w:before="0" w:after="0"/>
              <w:rPr>
                <w:rFonts w:ascii="Times New Roman" w:hAnsi="Times New Roman"/>
                <w:i/>
                <w:sz w:val="24"/>
              </w:rPr>
            </w:pPr>
            <w:r w:rsidRPr="00661595">
              <w:rPr>
                <w:rFonts w:ascii="Times New Roman" w:hAnsi="Times New Roman"/>
                <w:sz w:val="24"/>
                <w:lang w:eastAsia="es-ES_tradnl"/>
              </w:rPr>
              <w:t xml:space="preserve">This column shall not be reported where code ‘E’ (exempted) is reported under column </w:t>
            </w:r>
            <w:r w:rsidR="006E0E76" w:rsidRPr="00661595">
              <w:rPr>
                <w:rFonts w:ascii="Times New Roman" w:hAnsi="Times New Roman"/>
                <w:sz w:val="24"/>
                <w:lang w:eastAsia="es-ES_tradnl"/>
              </w:rPr>
              <w:t>0</w:t>
            </w:r>
            <w:r w:rsidRPr="00661595">
              <w:rPr>
                <w:rFonts w:ascii="Times New Roman" w:hAnsi="Times New Roman"/>
                <w:sz w:val="24"/>
                <w:lang w:eastAsia="es-ES_tradnl"/>
              </w:rPr>
              <w:t>080 (Type of retention applied).</w:t>
            </w:r>
          </w:p>
          <w:p w:rsidR="00C55547" w:rsidRPr="00661595" w:rsidRDefault="00C55547" w:rsidP="00E10B85">
            <w:pPr>
              <w:spacing w:before="0" w:after="0"/>
              <w:jc w:val="left"/>
              <w:rPr>
                <w:rFonts w:ascii="Times New Roman" w:hAnsi="Times New Roman"/>
                <w:b/>
                <w:sz w:val="24"/>
                <w:u w:val="single"/>
              </w:rPr>
            </w:pPr>
          </w:p>
        </w:tc>
      </w:tr>
      <w:tr w:rsidR="00C55547" w:rsidRPr="00661595" w:rsidTr="00E10B85">
        <w:tc>
          <w:tcPr>
            <w:tcW w:w="1101" w:type="dxa"/>
          </w:tcPr>
          <w:p w:rsidR="00C55547" w:rsidRPr="00661595" w:rsidRDefault="006E0E76"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w:t>
            </w:r>
            <w:r w:rsidR="00C55547" w:rsidRPr="00661595">
              <w:rPr>
                <w:rFonts w:ascii="Times New Roman" w:hAnsi="Times New Roman"/>
                <w:bCs/>
                <w:sz w:val="24"/>
                <w:lang w:eastAsia="nl-BE"/>
              </w:rPr>
              <w:t>120-</w:t>
            </w:r>
            <w:r w:rsidRPr="00661595">
              <w:rPr>
                <w:rFonts w:ascii="Times New Roman" w:hAnsi="Times New Roman"/>
                <w:bCs/>
                <w:sz w:val="24"/>
                <w:lang w:eastAsia="nl-BE"/>
              </w:rPr>
              <w:t>0</w:t>
            </w:r>
            <w:r w:rsidR="00C55547" w:rsidRPr="00661595">
              <w:rPr>
                <w:rFonts w:ascii="Times New Roman" w:hAnsi="Times New Roman"/>
                <w:bCs/>
                <w:sz w:val="24"/>
                <w:lang w:eastAsia="nl-BE"/>
              </w:rPr>
              <w:t>130</w:t>
            </w:r>
          </w:p>
        </w:tc>
        <w:tc>
          <w:tcPr>
            <w:tcW w:w="7903" w:type="dxa"/>
          </w:tcPr>
          <w:p w:rsidR="00C55547" w:rsidRPr="00661595" w:rsidRDefault="00C55547" w:rsidP="00E10B85">
            <w:pPr>
              <w:autoSpaceDE w:val="0"/>
              <w:autoSpaceDN w:val="0"/>
              <w:adjustRightInd w:val="0"/>
              <w:spacing w:before="0" w:after="0"/>
              <w:jc w:val="left"/>
              <w:rPr>
                <w:rFonts w:ascii="Times New Roman" w:hAnsi="Times New Roman"/>
                <w:b/>
                <w:sz w:val="24"/>
              </w:rPr>
            </w:pPr>
            <w:r w:rsidRPr="00661595">
              <w:rPr>
                <w:rFonts w:ascii="Times New Roman" w:hAnsi="Times New Roman"/>
                <w:b/>
                <w:sz w:val="24"/>
              </w:rPr>
              <w:t>NON ABCP PROGRAMMES</w:t>
            </w:r>
          </w:p>
          <w:p w:rsidR="00C55547" w:rsidRPr="00661595" w:rsidRDefault="00C55547" w:rsidP="00E10B85">
            <w:pPr>
              <w:autoSpaceDE w:val="0"/>
              <w:autoSpaceDN w:val="0"/>
              <w:adjustRightInd w:val="0"/>
              <w:spacing w:before="0" w:after="0"/>
              <w:jc w:val="left"/>
              <w:rPr>
                <w:rFonts w:ascii="Times New Roman" w:hAnsi="Times New Roman"/>
                <w:sz w:val="24"/>
              </w:rPr>
            </w:pPr>
          </w:p>
          <w:p w:rsidR="00C55547" w:rsidRPr="00661595" w:rsidRDefault="00C55547"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 xml:space="preserve">Because of the special character </w:t>
            </w:r>
            <w:r w:rsidR="005E5070" w:rsidRPr="00661595">
              <w:rPr>
                <w:rFonts w:ascii="Times New Roman" w:hAnsi="Times New Roman"/>
                <w:sz w:val="24"/>
              </w:rPr>
              <w:t>of ABCP programmes</w:t>
            </w:r>
            <w:r w:rsidR="00882103" w:rsidRPr="00661595">
              <w:rPr>
                <w:rFonts w:ascii="Times New Roman" w:hAnsi="Times New Roman"/>
                <w:sz w:val="24"/>
              </w:rPr>
              <w:t xml:space="preserve"> resulting from </w:t>
            </w:r>
            <w:r w:rsidR="005E5070" w:rsidRPr="00661595">
              <w:rPr>
                <w:rFonts w:ascii="Times New Roman" w:hAnsi="Times New Roman"/>
                <w:sz w:val="24"/>
              </w:rPr>
              <w:t>the fact that</w:t>
            </w:r>
            <w:r w:rsidRPr="00661595">
              <w:rPr>
                <w:rFonts w:ascii="Times New Roman" w:hAnsi="Times New Roman"/>
                <w:sz w:val="24"/>
              </w:rPr>
              <w:t xml:space="preserve"> they comprise several single securitisation positions, ABCP programmes (</w:t>
            </w:r>
            <w:r w:rsidR="005E5070" w:rsidRPr="00661595">
              <w:rPr>
                <w:rFonts w:ascii="Times New Roman" w:hAnsi="Times New Roman"/>
                <w:sz w:val="24"/>
              </w:rPr>
              <w:t xml:space="preserve">as </w:t>
            </w:r>
            <w:r w:rsidRPr="00661595">
              <w:rPr>
                <w:rFonts w:ascii="Times New Roman" w:hAnsi="Times New Roman"/>
                <w:sz w:val="24"/>
              </w:rPr>
              <w:t xml:space="preserve">defined in Article 242(11) </w:t>
            </w:r>
            <w:r w:rsidR="00C7103D" w:rsidRPr="00661595">
              <w:rPr>
                <w:rFonts w:ascii="Times New Roman" w:hAnsi="Times New Roman"/>
                <w:sz w:val="24"/>
              </w:rPr>
              <w:t>CRR</w:t>
            </w:r>
            <w:r w:rsidRPr="00661595">
              <w:rPr>
                <w:rFonts w:ascii="Times New Roman" w:hAnsi="Times New Roman"/>
                <w:sz w:val="24"/>
              </w:rPr>
              <w:t xml:space="preserve">) </w:t>
            </w:r>
            <w:r w:rsidR="00EE2BEA" w:rsidRPr="00661595">
              <w:rPr>
                <w:rFonts w:ascii="Times New Roman" w:hAnsi="Times New Roman"/>
                <w:sz w:val="24"/>
              </w:rPr>
              <w:t xml:space="preserve">shall be </w:t>
            </w:r>
            <w:r w:rsidRPr="00661595">
              <w:rPr>
                <w:rFonts w:ascii="Times New Roman" w:hAnsi="Times New Roman"/>
                <w:sz w:val="24"/>
              </w:rPr>
              <w:t xml:space="preserve">exempted from reporting in columns </w:t>
            </w:r>
            <w:r w:rsidR="006E0E76" w:rsidRPr="00661595">
              <w:rPr>
                <w:rFonts w:ascii="Times New Roman" w:hAnsi="Times New Roman"/>
                <w:sz w:val="24"/>
              </w:rPr>
              <w:t>0</w:t>
            </w:r>
            <w:r w:rsidRPr="00661595">
              <w:rPr>
                <w:rFonts w:ascii="Times New Roman" w:hAnsi="Times New Roman"/>
                <w:sz w:val="24"/>
              </w:rPr>
              <w:t>120</w:t>
            </w:r>
            <w:r w:rsidR="00D956C2" w:rsidRPr="00661595">
              <w:rPr>
                <w:rFonts w:ascii="Times New Roman" w:hAnsi="Times New Roman"/>
                <w:sz w:val="24"/>
              </w:rPr>
              <w:t xml:space="preserve">, </w:t>
            </w:r>
            <w:r w:rsidR="006E0E76" w:rsidRPr="00661595">
              <w:rPr>
                <w:rFonts w:ascii="Times New Roman" w:hAnsi="Times New Roman"/>
                <w:sz w:val="24"/>
              </w:rPr>
              <w:t>0</w:t>
            </w:r>
            <w:r w:rsidR="00D956C2" w:rsidRPr="00661595">
              <w:rPr>
                <w:rFonts w:ascii="Times New Roman" w:hAnsi="Times New Roman"/>
                <w:sz w:val="24"/>
              </w:rPr>
              <w:t>121</w:t>
            </w:r>
            <w:r w:rsidRPr="00661595">
              <w:rPr>
                <w:rFonts w:ascii="Times New Roman" w:hAnsi="Times New Roman"/>
                <w:sz w:val="24"/>
              </w:rPr>
              <w:t xml:space="preserve"> and </w:t>
            </w:r>
            <w:r w:rsidR="006E0E76" w:rsidRPr="00661595">
              <w:rPr>
                <w:rFonts w:ascii="Times New Roman" w:hAnsi="Times New Roman"/>
                <w:sz w:val="24"/>
              </w:rPr>
              <w:t>0</w:t>
            </w:r>
            <w:r w:rsidRPr="00661595">
              <w:rPr>
                <w:rFonts w:ascii="Times New Roman" w:hAnsi="Times New Roman"/>
                <w:sz w:val="24"/>
              </w:rPr>
              <w:t>130.</w:t>
            </w:r>
          </w:p>
          <w:p w:rsidR="00C55547" w:rsidRPr="00661595" w:rsidRDefault="00C55547" w:rsidP="00E10B85">
            <w:pPr>
              <w:spacing w:before="0" w:after="0"/>
              <w:jc w:val="left"/>
              <w:rPr>
                <w:rFonts w:ascii="Times New Roman" w:hAnsi="Times New Roman"/>
                <w:sz w:val="24"/>
              </w:rPr>
            </w:pPr>
          </w:p>
        </w:tc>
      </w:tr>
      <w:tr w:rsidR="00C55547" w:rsidRPr="00661595" w:rsidTr="00E10B85">
        <w:tc>
          <w:tcPr>
            <w:tcW w:w="1101" w:type="dxa"/>
          </w:tcPr>
          <w:p w:rsidR="00C55547" w:rsidRPr="00661595" w:rsidRDefault="006E0E76"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w:t>
            </w:r>
            <w:r w:rsidR="00C55547" w:rsidRPr="00661595">
              <w:rPr>
                <w:rFonts w:ascii="Times New Roman" w:hAnsi="Times New Roman"/>
                <w:bCs/>
                <w:sz w:val="24"/>
                <w:lang w:eastAsia="nl-BE"/>
              </w:rPr>
              <w:t>120</w:t>
            </w:r>
          </w:p>
        </w:tc>
        <w:tc>
          <w:tcPr>
            <w:tcW w:w="7903" w:type="dxa"/>
          </w:tcPr>
          <w:p w:rsidR="00C55547" w:rsidRPr="00661595" w:rsidRDefault="00C55547" w:rsidP="00E10B85">
            <w:pPr>
              <w:spacing w:before="0" w:after="0"/>
              <w:jc w:val="left"/>
              <w:rPr>
                <w:rFonts w:ascii="Times New Roman" w:hAnsi="Times New Roman"/>
                <w:b/>
                <w:sz w:val="24"/>
              </w:rPr>
            </w:pPr>
            <w:r w:rsidRPr="00661595">
              <w:rPr>
                <w:rFonts w:ascii="Times New Roman" w:hAnsi="Times New Roman"/>
                <w:b/>
                <w:sz w:val="24"/>
              </w:rPr>
              <w:t>ORIGINATION DATE (</w:t>
            </w:r>
            <w:r w:rsidR="005E1B10" w:rsidRPr="00661595">
              <w:rPr>
                <w:rFonts w:ascii="Times New Roman" w:hAnsi="Times New Roman"/>
                <w:b/>
                <w:sz w:val="24"/>
              </w:rPr>
              <w:t>yyyy-mm-dd</w:t>
            </w:r>
            <w:r w:rsidRPr="00661595">
              <w:rPr>
                <w:rFonts w:ascii="Times New Roman" w:hAnsi="Times New Roman"/>
                <w:b/>
                <w:sz w:val="24"/>
              </w:rPr>
              <w:t>)</w:t>
            </w:r>
          </w:p>
          <w:p w:rsidR="00C55547" w:rsidRPr="00661595" w:rsidRDefault="00C55547" w:rsidP="00E10B85">
            <w:pPr>
              <w:spacing w:before="0" w:after="0"/>
              <w:jc w:val="left"/>
              <w:rPr>
                <w:rFonts w:ascii="Times New Roman" w:hAnsi="Times New Roman"/>
                <w:sz w:val="24"/>
              </w:rPr>
            </w:pPr>
          </w:p>
          <w:p w:rsidR="00C55547" w:rsidRPr="00661595" w:rsidRDefault="00C55547"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 xml:space="preserve">The month and year of the origination date (i.e. cut-off or closing date of the pool) of the securitisation shall be reported </w:t>
            </w:r>
            <w:r w:rsidR="00BB22D4" w:rsidRPr="00661595">
              <w:rPr>
                <w:rFonts w:ascii="Times New Roman" w:hAnsi="Times New Roman"/>
                <w:sz w:val="24"/>
              </w:rPr>
              <w:t xml:space="preserve">in </w:t>
            </w:r>
            <w:r w:rsidRPr="00661595">
              <w:rPr>
                <w:rFonts w:ascii="Times New Roman" w:hAnsi="Times New Roman"/>
                <w:sz w:val="24"/>
              </w:rPr>
              <w:t>the following format: ‘mm/yyyy’.</w:t>
            </w:r>
          </w:p>
          <w:p w:rsidR="00C55547" w:rsidRPr="00661595" w:rsidRDefault="00C55547" w:rsidP="00E10B85">
            <w:pPr>
              <w:autoSpaceDE w:val="0"/>
              <w:autoSpaceDN w:val="0"/>
              <w:adjustRightInd w:val="0"/>
              <w:spacing w:before="0" w:after="0"/>
              <w:rPr>
                <w:rFonts w:ascii="Times New Roman" w:hAnsi="Times New Roman"/>
                <w:sz w:val="24"/>
              </w:rPr>
            </w:pPr>
          </w:p>
          <w:p w:rsidR="00C55547" w:rsidRPr="00661595" w:rsidRDefault="00C55547"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For each securitisation scheme</w:t>
            </w:r>
            <w:r w:rsidR="005E5070" w:rsidRPr="00661595">
              <w:rPr>
                <w:rFonts w:ascii="Times New Roman" w:hAnsi="Times New Roman"/>
                <w:sz w:val="24"/>
              </w:rPr>
              <w:t>,</w:t>
            </w:r>
            <w:r w:rsidRPr="00661595">
              <w:rPr>
                <w:rFonts w:ascii="Times New Roman" w:hAnsi="Times New Roman"/>
                <w:sz w:val="24"/>
              </w:rPr>
              <w:t xml:space="preserve"> the origination date cannot change between reporting dates. In the particular case of securitisation schemes backed by open pools, the origination date shall be the date of the first issuance of securities. </w:t>
            </w:r>
          </w:p>
          <w:p w:rsidR="00C55547" w:rsidRPr="00661595" w:rsidRDefault="00C55547" w:rsidP="00E10B85">
            <w:pPr>
              <w:autoSpaceDE w:val="0"/>
              <w:autoSpaceDN w:val="0"/>
              <w:adjustRightInd w:val="0"/>
              <w:spacing w:before="0" w:after="0"/>
              <w:rPr>
                <w:rFonts w:ascii="Times New Roman" w:hAnsi="Times New Roman"/>
                <w:sz w:val="24"/>
              </w:rPr>
            </w:pPr>
          </w:p>
          <w:p w:rsidR="00C55547" w:rsidRPr="00661595" w:rsidRDefault="00C55547"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This piece of information shall be reported even whe</w:t>
            </w:r>
            <w:r w:rsidR="005E5070" w:rsidRPr="00661595">
              <w:rPr>
                <w:rFonts w:ascii="Times New Roman" w:hAnsi="Times New Roman"/>
                <w:sz w:val="24"/>
              </w:rPr>
              <w:t>re</w:t>
            </w:r>
            <w:r w:rsidRPr="00661595">
              <w:rPr>
                <w:rFonts w:ascii="Times New Roman" w:hAnsi="Times New Roman"/>
                <w:sz w:val="24"/>
              </w:rPr>
              <w:t xml:space="preserve"> the reporting entity does not hold any positions in the securitisation.</w:t>
            </w:r>
          </w:p>
          <w:p w:rsidR="00C55547" w:rsidRPr="00661595" w:rsidRDefault="00C55547" w:rsidP="00E10B85">
            <w:pPr>
              <w:autoSpaceDE w:val="0"/>
              <w:autoSpaceDN w:val="0"/>
              <w:adjustRightInd w:val="0"/>
              <w:spacing w:before="0" w:after="0"/>
              <w:jc w:val="left"/>
              <w:rPr>
                <w:rFonts w:ascii="Times New Roman" w:hAnsi="Times New Roman"/>
                <w:sz w:val="24"/>
              </w:rPr>
            </w:pPr>
          </w:p>
        </w:tc>
      </w:tr>
      <w:tr w:rsidR="00C55547" w:rsidRPr="00661595" w:rsidTr="00E10B85">
        <w:tc>
          <w:tcPr>
            <w:tcW w:w="1101" w:type="dxa"/>
          </w:tcPr>
          <w:p w:rsidR="00C55547" w:rsidRPr="00661595" w:rsidRDefault="006E0E76"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w:t>
            </w:r>
            <w:r w:rsidR="00C55547" w:rsidRPr="00661595">
              <w:rPr>
                <w:rFonts w:ascii="Times New Roman" w:hAnsi="Times New Roman"/>
                <w:bCs/>
                <w:sz w:val="24"/>
                <w:lang w:eastAsia="nl-BE"/>
              </w:rPr>
              <w:t>121</w:t>
            </w:r>
          </w:p>
        </w:tc>
        <w:tc>
          <w:tcPr>
            <w:tcW w:w="7903" w:type="dxa"/>
          </w:tcPr>
          <w:p w:rsidR="00C55547" w:rsidRPr="00661595" w:rsidRDefault="00C55547" w:rsidP="00E10B85">
            <w:pPr>
              <w:spacing w:before="0" w:after="0"/>
              <w:jc w:val="left"/>
              <w:rPr>
                <w:rFonts w:ascii="Times New Roman" w:hAnsi="Times New Roman"/>
                <w:b/>
                <w:sz w:val="24"/>
                <w:u w:val="single"/>
              </w:rPr>
            </w:pPr>
            <w:r w:rsidRPr="00661595">
              <w:rPr>
                <w:rFonts w:ascii="Times New Roman" w:hAnsi="Times New Roman"/>
                <w:b/>
                <w:sz w:val="24"/>
                <w:u w:val="single"/>
              </w:rPr>
              <w:t>DATE OF LATEST ISSUANCE (</w:t>
            </w:r>
            <w:r w:rsidR="005E1B10" w:rsidRPr="00661595">
              <w:rPr>
                <w:rFonts w:ascii="Times New Roman" w:hAnsi="Times New Roman"/>
                <w:b/>
                <w:sz w:val="24"/>
                <w:u w:val="single"/>
              </w:rPr>
              <w:t>yyyy-mm-dd</w:t>
            </w:r>
            <w:r w:rsidRPr="00661595">
              <w:rPr>
                <w:rFonts w:ascii="Times New Roman" w:hAnsi="Times New Roman"/>
                <w:b/>
                <w:sz w:val="24"/>
                <w:u w:val="single"/>
              </w:rPr>
              <w:t>)</w:t>
            </w:r>
          </w:p>
          <w:p w:rsidR="00C55547" w:rsidRPr="00661595" w:rsidRDefault="00C55547" w:rsidP="00E10B85">
            <w:pPr>
              <w:spacing w:before="0" w:after="0"/>
              <w:jc w:val="left"/>
              <w:rPr>
                <w:rFonts w:ascii="Times New Roman" w:hAnsi="Times New Roman"/>
                <w:b/>
                <w:sz w:val="24"/>
                <w:u w:val="single"/>
              </w:rPr>
            </w:pPr>
          </w:p>
          <w:p w:rsidR="00C55547" w:rsidRPr="00661595" w:rsidRDefault="00C55547" w:rsidP="00E10B85">
            <w:pPr>
              <w:spacing w:before="0" w:after="0"/>
              <w:jc w:val="left"/>
              <w:rPr>
                <w:rFonts w:ascii="Times New Roman" w:hAnsi="Times New Roman"/>
                <w:sz w:val="24"/>
              </w:rPr>
            </w:pPr>
            <w:r w:rsidRPr="00661595">
              <w:rPr>
                <w:rFonts w:ascii="Times New Roman" w:hAnsi="Times New Roman"/>
                <w:sz w:val="24"/>
              </w:rPr>
              <w:t xml:space="preserve">The month and year of the date of the latest issuance of securities in the securitisation shall be reported </w:t>
            </w:r>
            <w:r w:rsidR="00BB22D4" w:rsidRPr="00661595">
              <w:rPr>
                <w:rFonts w:ascii="Times New Roman" w:hAnsi="Times New Roman"/>
                <w:sz w:val="24"/>
              </w:rPr>
              <w:t xml:space="preserve">in </w:t>
            </w:r>
            <w:r w:rsidRPr="00661595">
              <w:rPr>
                <w:rFonts w:ascii="Times New Roman" w:hAnsi="Times New Roman"/>
                <w:sz w:val="24"/>
              </w:rPr>
              <w:t>the following format: ‘yyyy</w:t>
            </w:r>
            <w:r w:rsidR="006E0E76" w:rsidRPr="00661595">
              <w:rPr>
                <w:rFonts w:ascii="Times New Roman" w:hAnsi="Times New Roman"/>
                <w:sz w:val="24"/>
              </w:rPr>
              <w:t>-mm-dd</w:t>
            </w:r>
            <w:r w:rsidRPr="00661595">
              <w:rPr>
                <w:rFonts w:ascii="Times New Roman" w:hAnsi="Times New Roman"/>
                <w:sz w:val="24"/>
              </w:rPr>
              <w:t>’.</w:t>
            </w:r>
          </w:p>
          <w:p w:rsidR="00C55547" w:rsidRPr="00661595" w:rsidRDefault="00C55547" w:rsidP="00E10B85">
            <w:pPr>
              <w:spacing w:before="0" w:after="0"/>
              <w:jc w:val="left"/>
              <w:rPr>
                <w:rFonts w:ascii="Times New Roman" w:hAnsi="Times New Roman"/>
                <w:sz w:val="24"/>
              </w:rPr>
            </w:pPr>
          </w:p>
          <w:p w:rsidR="00C55547" w:rsidRPr="00661595" w:rsidRDefault="00C55547" w:rsidP="00E10B85">
            <w:pPr>
              <w:spacing w:before="0" w:after="0"/>
              <w:jc w:val="left"/>
              <w:rPr>
                <w:rFonts w:ascii="Times New Roman" w:hAnsi="Times New Roman"/>
                <w:sz w:val="24"/>
              </w:rPr>
            </w:pPr>
            <w:r w:rsidRPr="00661595">
              <w:rPr>
                <w:rFonts w:ascii="Times New Roman" w:hAnsi="Times New Roman"/>
                <w:sz w:val="24"/>
              </w:rPr>
              <w:t xml:space="preserve">Regulation (EU) 2017/2402 only applies to securitisations the securities of which are issued on or after 1 January 2019. The date of the latest issuance of securities determines whether each securitisation scheme </w:t>
            </w:r>
            <w:r w:rsidR="005E5070" w:rsidRPr="00661595">
              <w:rPr>
                <w:rFonts w:ascii="Times New Roman" w:hAnsi="Times New Roman"/>
                <w:sz w:val="24"/>
              </w:rPr>
              <w:t>falls under the</w:t>
            </w:r>
            <w:r w:rsidRPr="00661595">
              <w:rPr>
                <w:rFonts w:ascii="Times New Roman" w:hAnsi="Times New Roman"/>
                <w:sz w:val="24"/>
              </w:rPr>
              <w:t xml:space="preserve"> scope of </w:t>
            </w:r>
            <w:r w:rsidR="005E5070" w:rsidRPr="00661595">
              <w:rPr>
                <w:rFonts w:ascii="Times New Roman" w:hAnsi="Times New Roman"/>
                <w:sz w:val="24"/>
              </w:rPr>
              <w:t>Regulation (EU) 2017/2402</w:t>
            </w:r>
            <w:r w:rsidRPr="00661595">
              <w:rPr>
                <w:rFonts w:ascii="Times New Roman" w:hAnsi="Times New Roman"/>
                <w:sz w:val="24"/>
              </w:rPr>
              <w:t>.</w:t>
            </w:r>
          </w:p>
          <w:p w:rsidR="00C55547" w:rsidRPr="00661595" w:rsidRDefault="00C55547" w:rsidP="00E10B85">
            <w:pPr>
              <w:spacing w:before="0" w:after="0"/>
              <w:jc w:val="left"/>
              <w:rPr>
                <w:rFonts w:ascii="Times New Roman" w:hAnsi="Times New Roman"/>
                <w:sz w:val="24"/>
              </w:rPr>
            </w:pPr>
          </w:p>
          <w:p w:rsidR="00C55547" w:rsidRPr="00661595" w:rsidRDefault="00C55547" w:rsidP="00E10B85">
            <w:pPr>
              <w:spacing w:before="0" w:after="0"/>
              <w:jc w:val="left"/>
              <w:rPr>
                <w:rFonts w:ascii="Times New Roman" w:hAnsi="Times New Roman"/>
                <w:sz w:val="24"/>
              </w:rPr>
            </w:pPr>
            <w:r w:rsidRPr="00661595">
              <w:rPr>
                <w:rFonts w:ascii="Times New Roman" w:hAnsi="Times New Roman"/>
                <w:sz w:val="24"/>
              </w:rPr>
              <w:t>This information shall be reported even whe</w:t>
            </w:r>
            <w:r w:rsidR="005E5070" w:rsidRPr="00661595">
              <w:rPr>
                <w:rFonts w:ascii="Times New Roman" w:hAnsi="Times New Roman"/>
                <w:sz w:val="24"/>
              </w:rPr>
              <w:t>re</w:t>
            </w:r>
            <w:r w:rsidRPr="00661595">
              <w:rPr>
                <w:rFonts w:ascii="Times New Roman" w:hAnsi="Times New Roman"/>
                <w:sz w:val="24"/>
              </w:rPr>
              <w:t xml:space="preserve"> the reporting entity does not hold any positions in the securitisation.</w:t>
            </w:r>
          </w:p>
          <w:p w:rsidR="00C55547" w:rsidRPr="00661595" w:rsidRDefault="00C55547" w:rsidP="00E10B85">
            <w:pPr>
              <w:spacing w:before="0" w:after="0"/>
              <w:jc w:val="left"/>
              <w:rPr>
                <w:rFonts w:ascii="Times New Roman" w:hAnsi="Times New Roman"/>
                <w:b/>
                <w:sz w:val="24"/>
                <w:u w:val="single"/>
              </w:rPr>
            </w:pPr>
          </w:p>
        </w:tc>
      </w:tr>
      <w:tr w:rsidR="00C55547" w:rsidRPr="00661595" w:rsidTr="00E10B85">
        <w:tc>
          <w:tcPr>
            <w:tcW w:w="1101" w:type="dxa"/>
          </w:tcPr>
          <w:p w:rsidR="00C55547" w:rsidRPr="00661595" w:rsidRDefault="006E0E76"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w:t>
            </w:r>
            <w:r w:rsidR="00C55547" w:rsidRPr="00661595">
              <w:rPr>
                <w:rFonts w:ascii="Times New Roman" w:hAnsi="Times New Roman"/>
                <w:bCs/>
                <w:sz w:val="24"/>
                <w:lang w:eastAsia="nl-BE"/>
              </w:rPr>
              <w:t>130</w:t>
            </w:r>
          </w:p>
        </w:tc>
        <w:tc>
          <w:tcPr>
            <w:tcW w:w="7903" w:type="dxa"/>
          </w:tcPr>
          <w:p w:rsidR="00C55547" w:rsidRPr="00661595" w:rsidRDefault="00C55547" w:rsidP="00E10B85">
            <w:pPr>
              <w:spacing w:before="0" w:after="0"/>
              <w:jc w:val="left"/>
              <w:rPr>
                <w:rFonts w:ascii="Times New Roman" w:hAnsi="Times New Roman"/>
                <w:b/>
                <w:sz w:val="24"/>
                <w:u w:val="single"/>
              </w:rPr>
            </w:pPr>
            <w:r w:rsidRPr="00661595">
              <w:rPr>
                <w:rFonts w:ascii="Times New Roman" w:hAnsi="Times New Roman"/>
                <w:b/>
                <w:sz w:val="24"/>
                <w:u w:val="single"/>
              </w:rPr>
              <w:t>TOTAL AMOUNT OF SECURITISED EXPOSURES AT ORIGINATION DATE</w:t>
            </w:r>
          </w:p>
          <w:p w:rsidR="00C55547" w:rsidRPr="00661595" w:rsidRDefault="00C55547" w:rsidP="00E10B85">
            <w:pPr>
              <w:spacing w:before="0" w:after="0"/>
              <w:jc w:val="left"/>
              <w:rPr>
                <w:rFonts w:ascii="Times New Roman" w:hAnsi="Times New Roman"/>
                <w:sz w:val="24"/>
              </w:rPr>
            </w:pPr>
          </w:p>
          <w:p w:rsidR="00C55547" w:rsidRPr="00661595" w:rsidRDefault="00C55547"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This column gathers the amount (</w:t>
            </w:r>
            <w:r w:rsidR="001C6166" w:rsidRPr="00661595">
              <w:rPr>
                <w:rFonts w:ascii="Times New Roman" w:hAnsi="Times New Roman"/>
                <w:sz w:val="24"/>
              </w:rPr>
              <w:t>calculated on the basis of</w:t>
            </w:r>
            <w:r w:rsidRPr="00661595">
              <w:rPr>
                <w:rFonts w:ascii="Times New Roman" w:hAnsi="Times New Roman"/>
                <w:sz w:val="24"/>
              </w:rPr>
              <w:t xml:space="preserve"> original exposures pre</w:t>
            </w:r>
            <w:r w:rsidR="007574C3" w:rsidRPr="00661595">
              <w:rPr>
                <w:rFonts w:ascii="Times New Roman" w:hAnsi="Times New Roman"/>
                <w:sz w:val="24"/>
              </w:rPr>
              <w:t>-</w:t>
            </w:r>
            <w:r w:rsidRPr="00661595">
              <w:rPr>
                <w:rFonts w:ascii="Times New Roman" w:hAnsi="Times New Roman"/>
                <w:sz w:val="24"/>
              </w:rPr>
              <w:t xml:space="preserve">conversion factors) of the securitised portfolio at the origination date. </w:t>
            </w:r>
          </w:p>
          <w:p w:rsidR="00C55547" w:rsidRPr="00661595" w:rsidRDefault="00C55547" w:rsidP="00E10B85">
            <w:pPr>
              <w:autoSpaceDE w:val="0"/>
              <w:autoSpaceDN w:val="0"/>
              <w:adjustRightInd w:val="0"/>
              <w:spacing w:before="0" w:after="0"/>
              <w:rPr>
                <w:rFonts w:ascii="Times New Roman" w:hAnsi="Times New Roman"/>
                <w:sz w:val="24"/>
              </w:rPr>
            </w:pPr>
          </w:p>
          <w:p w:rsidR="00C55547" w:rsidRPr="00661595" w:rsidRDefault="005E5070"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For</w:t>
            </w:r>
            <w:r w:rsidR="00C55547" w:rsidRPr="00661595">
              <w:rPr>
                <w:rFonts w:ascii="Times New Roman" w:hAnsi="Times New Roman"/>
                <w:sz w:val="24"/>
              </w:rPr>
              <w:t xml:space="preserve"> securitisation schemes backed by open pools</w:t>
            </w:r>
            <w:r w:rsidRPr="00661595">
              <w:rPr>
                <w:rFonts w:ascii="Times New Roman" w:hAnsi="Times New Roman"/>
                <w:sz w:val="24"/>
              </w:rPr>
              <w:t>,</w:t>
            </w:r>
            <w:r w:rsidR="00C55547" w:rsidRPr="00661595">
              <w:rPr>
                <w:rFonts w:ascii="Times New Roman" w:hAnsi="Times New Roman"/>
                <w:sz w:val="24"/>
              </w:rPr>
              <w:t xml:space="preserve"> the amount referring to the origination date of the first issuance of securities shall be reported. </w:t>
            </w:r>
            <w:r w:rsidRPr="00661595">
              <w:rPr>
                <w:rFonts w:ascii="Times New Roman" w:hAnsi="Times New Roman"/>
                <w:sz w:val="24"/>
              </w:rPr>
              <w:t>For</w:t>
            </w:r>
            <w:r w:rsidR="00C55547" w:rsidRPr="00661595">
              <w:rPr>
                <w:rFonts w:ascii="Times New Roman" w:hAnsi="Times New Roman"/>
                <w:sz w:val="24"/>
              </w:rPr>
              <w:t xml:space="preserve"> traditional securitisations</w:t>
            </w:r>
            <w:r w:rsidRPr="00661595">
              <w:rPr>
                <w:rFonts w:ascii="Times New Roman" w:hAnsi="Times New Roman"/>
                <w:sz w:val="24"/>
              </w:rPr>
              <w:t>,</w:t>
            </w:r>
            <w:r w:rsidR="00C55547" w:rsidRPr="00661595">
              <w:rPr>
                <w:rFonts w:ascii="Times New Roman" w:hAnsi="Times New Roman"/>
                <w:sz w:val="24"/>
              </w:rPr>
              <w:t xml:space="preserve"> no other assets of the securitisation pool shall be included. </w:t>
            </w:r>
            <w:r w:rsidRPr="00661595">
              <w:rPr>
                <w:rFonts w:ascii="Times New Roman" w:hAnsi="Times New Roman"/>
                <w:sz w:val="24"/>
              </w:rPr>
              <w:t xml:space="preserve">For </w:t>
            </w:r>
            <w:r w:rsidR="00C55547" w:rsidRPr="00661595">
              <w:rPr>
                <w:rFonts w:ascii="Times New Roman" w:hAnsi="Times New Roman"/>
                <w:sz w:val="24"/>
              </w:rPr>
              <w:t>multi-seller securitisation schemes (i.e. with more than one originator)</w:t>
            </w:r>
            <w:r w:rsidRPr="00661595">
              <w:rPr>
                <w:rFonts w:ascii="Times New Roman" w:hAnsi="Times New Roman"/>
                <w:sz w:val="24"/>
              </w:rPr>
              <w:t>,</w:t>
            </w:r>
            <w:r w:rsidR="00C55547" w:rsidRPr="00661595">
              <w:rPr>
                <w:rFonts w:ascii="Times New Roman" w:hAnsi="Times New Roman"/>
                <w:sz w:val="24"/>
              </w:rPr>
              <w:t xml:space="preserve"> only the amount corresponding to the reporting entity’s contribution in the securitised portfolio shall be reported. </w:t>
            </w:r>
            <w:r w:rsidRPr="00661595">
              <w:rPr>
                <w:rFonts w:ascii="Times New Roman" w:hAnsi="Times New Roman"/>
                <w:sz w:val="24"/>
              </w:rPr>
              <w:t xml:space="preserve">For </w:t>
            </w:r>
            <w:r w:rsidR="00C55547" w:rsidRPr="00661595">
              <w:rPr>
                <w:rFonts w:ascii="Times New Roman" w:hAnsi="Times New Roman"/>
                <w:sz w:val="24"/>
              </w:rPr>
              <w:t>securitisation</w:t>
            </w:r>
            <w:r w:rsidRPr="00661595">
              <w:rPr>
                <w:rFonts w:ascii="Times New Roman" w:hAnsi="Times New Roman"/>
                <w:sz w:val="24"/>
              </w:rPr>
              <w:t>s</w:t>
            </w:r>
            <w:r w:rsidR="00C55547" w:rsidRPr="00661595">
              <w:rPr>
                <w:rFonts w:ascii="Times New Roman" w:hAnsi="Times New Roman"/>
                <w:sz w:val="24"/>
              </w:rPr>
              <w:t xml:space="preserve"> of liabilities</w:t>
            </w:r>
            <w:r w:rsidRPr="00661595">
              <w:rPr>
                <w:rFonts w:ascii="Times New Roman" w:hAnsi="Times New Roman"/>
                <w:sz w:val="24"/>
              </w:rPr>
              <w:t>,</w:t>
            </w:r>
            <w:r w:rsidR="00C55547" w:rsidRPr="00661595">
              <w:rPr>
                <w:rFonts w:ascii="Times New Roman" w:hAnsi="Times New Roman"/>
                <w:sz w:val="24"/>
              </w:rPr>
              <w:t xml:space="preserve"> only the amounts issued by the reporting entity shall be reported.</w:t>
            </w:r>
          </w:p>
          <w:p w:rsidR="00C55547" w:rsidRPr="00661595" w:rsidRDefault="00C55547" w:rsidP="00E10B85">
            <w:pPr>
              <w:autoSpaceDE w:val="0"/>
              <w:autoSpaceDN w:val="0"/>
              <w:adjustRightInd w:val="0"/>
              <w:spacing w:before="0" w:after="0"/>
              <w:rPr>
                <w:rFonts w:ascii="Times New Roman" w:hAnsi="Times New Roman"/>
                <w:sz w:val="24"/>
              </w:rPr>
            </w:pPr>
          </w:p>
          <w:p w:rsidR="00C55547" w:rsidRPr="00661595" w:rsidRDefault="00C55547"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This information shall be reported even whe</w:t>
            </w:r>
            <w:r w:rsidR="005E5070" w:rsidRPr="00661595">
              <w:rPr>
                <w:rFonts w:ascii="Times New Roman" w:hAnsi="Times New Roman"/>
                <w:sz w:val="24"/>
              </w:rPr>
              <w:t>re</w:t>
            </w:r>
            <w:r w:rsidRPr="00661595">
              <w:rPr>
                <w:rFonts w:ascii="Times New Roman" w:hAnsi="Times New Roman"/>
                <w:sz w:val="24"/>
              </w:rPr>
              <w:t xml:space="preserve"> the reporting entity does not hold any positions in the securitisation.</w:t>
            </w:r>
          </w:p>
          <w:p w:rsidR="00C55547" w:rsidRPr="00661595" w:rsidRDefault="00C55547" w:rsidP="00E10B85">
            <w:pPr>
              <w:autoSpaceDE w:val="0"/>
              <w:autoSpaceDN w:val="0"/>
              <w:adjustRightInd w:val="0"/>
              <w:spacing w:before="0" w:after="0"/>
              <w:jc w:val="left"/>
              <w:rPr>
                <w:rFonts w:ascii="Times New Roman" w:hAnsi="Times New Roman"/>
                <w:sz w:val="24"/>
              </w:rPr>
            </w:pPr>
          </w:p>
        </w:tc>
      </w:tr>
      <w:tr w:rsidR="00C55547" w:rsidRPr="00661595" w:rsidTr="00E10B85">
        <w:tc>
          <w:tcPr>
            <w:tcW w:w="1101" w:type="dxa"/>
          </w:tcPr>
          <w:p w:rsidR="00C55547" w:rsidRPr="00661595" w:rsidRDefault="006E0E76" w:rsidP="00677A91">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w:t>
            </w:r>
            <w:r w:rsidR="00C55547" w:rsidRPr="00661595">
              <w:rPr>
                <w:rFonts w:ascii="Times New Roman" w:hAnsi="Times New Roman"/>
                <w:bCs/>
                <w:sz w:val="24"/>
                <w:lang w:eastAsia="nl-BE"/>
              </w:rPr>
              <w:t>140-</w:t>
            </w:r>
            <w:r w:rsidRPr="00661595">
              <w:rPr>
                <w:rFonts w:ascii="Times New Roman" w:hAnsi="Times New Roman"/>
                <w:bCs/>
                <w:sz w:val="24"/>
                <w:lang w:eastAsia="nl-BE"/>
              </w:rPr>
              <w:t>0</w:t>
            </w:r>
            <w:r w:rsidR="00C55547" w:rsidRPr="00661595">
              <w:rPr>
                <w:rFonts w:ascii="Times New Roman" w:hAnsi="Times New Roman"/>
                <w:bCs/>
                <w:sz w:val="24"/>
                <w:lang w:eastAsia="nl-BE"/>
              </w:rPr>
              <w:t>22</w:t>
            </w:r>
            <w:r w:rsidR="00677A91" w:rsidRPr="00661595">
              <w:rPr>
                <w:rFonts w:ascii="Times New Roman" w:hAnsi="Times New Roman"/>
                <w:bCs/>
                <w:sz w:val="24"/>
                <w:lang w:eastAsia="nl-BE"/>
              </w:rPr>
              <w:t>5</w:t>
            </w:r>
          </w:p>
        </w:tc>
        <w:tc>
          <w:tcPr>
            <w:tcW w:w="7903" w:type="dxa"/>
          </w:tcPr>
          <w:p w:rsidR="00C55547" w:rsidRPr="00661595" w:rsidRDefault="00C55547" w:rsidP="00E10B85">
            <w:pPr>
              <w:autoSpaceDE w:val="0"/>
              <w:autoSpaceDN w:val="0"/>
              <w:adjustRightInd w:val="0"/>
              <w:spacing w:before="0" w:after="0"/>
              <w:jc w:val="left"/>
              <w:rPr>
                <w:rFonts w:ascii="Times New Roman" w:hAnsi="Times New Roman"/>
                <w:b/>
                <w:sz w:val="24"/>
                <w:u w:val="single"/>
              </w:rPr>
            </w:pPr>
            <w:r w:rsidRPr="00661595">
              <w:rPr>
                <w:rFonts w:ascii="Times New Roman" w:hAnsi="Times New Roman"/>
                <w:b/>
                <w:sz w:val="24"/>
                <w:u w:val="single"/>
              </w:rPr>
              <w:t>SECURITISED EXPOSURES</w:t>
            </w:r>
          </w:p>
          <w:p w:rsidR="00C55547" w:rsidRPr="00661595" w:rsidRDefault="00C55547" w:rsidP="00E10B85">
            <w:pPr>
              <w:autoSpaceDE w:val="0"/>
              <w:autoSpaceDN w:val="0"/>
              <w:adjustRightInd w:val="0"/>
              <w:spacing w:before="0" w:after="0"/>
              <w:jc w:val="left"/>
              <w:rPr>
                <w:rFonts w:ascii="Times New Roman" w:hAnsi="Times New Roman"/>
                <w:sz w:val="24"/>
              </w:rPr>
            </w:pPr>
          </w:p>
          <w:p w:rsidR="00C55547" w:rsidRPr="00661595" w:rsidRDefault="00C55547"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 xml:space="preserve">Columns </w:t>
            </w:r>
            <w:r w:rsidR="006E0E76" w:rsidRPr="00661595">
              <w:rPr>
                <w:rFonts w:ascii="Times New Roman" w:hAnsi="Times New Roman"/>
                <w:sz w:val="24"/>
              </w:rPr>
              <w:t>0</w:t>
            </w:r>
            <w:r w:rsidRPr="00661595">
              <w:rPr>
                <w:rFonts w:ascii="Times New Roman" w:hAnsi="Times New Roman"/>
                <w:sz w:val="24"/>
              </w:rPr>
              <w:t xml:space="preserve">140 to </w:t>
            </w:r>
            <w:r w:rsidR="006E0E76" w:rsidRPr="00661595">
              <w:rPr>
                <w:rFonts w:ascii="Times New Roman" w:hAnsi="Times New Roman"/>
                <w:sz w:val="24"/>
              </w:rPr>
              <w:t>0</w:t>
            </w:r>
            <w:r w:rsidRPr="00661595">
              <w:rPr>
                <w:rFonts w:ascii="Times New Roman" w:hAnsi="Times New Roman"/>
                <w:sz w:val="24"/>
              </w:rPr>
              <w:t>22</w:t>
            </w:r>
            <w:r w:rsidR="00677A91" w:rsidRPr="00661595">
              <w:rPr>
                <w:rFonts w:ascii="Times New Roman" w:hAnsi="Times New Roman"/>
                <w:sz w:val="24"/>
              </w:rPr>
              <w:t>5</w:t>
            </w:r>
            <w:r w:rsidRPr="00661595">
              <w:rPr>
                <w:rFonts w:ascii="Times New Roman" w:hAnsi="Times New Roman"/>
                <w:sz w:val="24"/>
              </w:rPr>
              <w:t xml:space="preserve"> request information on several features of the securitised portfolio by the reporting entity.</w:t>
            </w:r>
          </w:p>
          <w:p w:rsidR="00C55547" w:rsidRPr="00661595" w:rsidRDefault="00C55547" w:rsidP="00E10B85">
            <w:pPr>
              <w:autoSpaceDE w:val="0"/>
              <w:autoSpaceDN w:val="0"/>
              <w:adjustRightInd w:val="0"/>
              <w:spacing w:before="0" w:after="0"/>
              <w:jc w:val="left"/>
              <w:rPr>
                <w:rFonts w:ascii="Times New Roman" w:hAnsi="Times New Roman"/>
                <w:sz w:val="24"/>
              </w:rPr>
            </w:pPr>
          </w:p>
        </w:tc>
      </w:tr>
      <w:tr w:rsidR="00C55547" w:rsidRPr="00661595" w:rsidTr="00E10B85">
        <w:tc>
          <w:tcPr>
            <w:tcW w:w="1101" w:type="dxa"/>
          </w:tcPr>
          <w:p w:rsidR="00C55547" w:rsidRPr="00661595" w:rsidRDefault="006E0E76"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w:t>
            </w:r>
            <w:r w:rsidR="00C55547" w:rsidRPr="00661595">
              <w:rPr>
                <w:rFonts w:ascii="Times New Roman" w:hAnsi="Times New Roman"/>
                <w:bCs/>
                <w:sz w:val="24"/>
                <w:lang w:eastAsia="nl-BE"/>
              </w:rPr>
              <w:t>140</w:t>
            </w:r>
          </w:p>
        </w:tc>
        <w:tc>
          <w:tcPr>
            <w:tcW w:w="7903" w:type="dxa"/>
          </w:tcPr>
          <w:p w:rsidR="00C55547" w:rsidRPr="00661595" w:rsidRDefault="00C55547" w:rsidP="00E10B85">
            <w:pPr>
              <w:spacing w:before="0" w:after="0"/>
              <w:jc w:val="left"/>
              <w:rPr>
                <w:rFonts w:ascii="Times New Roman" w:hAnsi="Times New Roman"/>
                <w:b/>
                <w:sz w:val="24"/>
                <w:u w:val="single"/>
              </w:rPr>
            </w:pPr>
            <w:r w:rsidRPr="00661595">
              <w:rPr>
                <w:rFonts w:ascii="Times New Roman" w:hAnsi="Times New Roman"/>
                <w:b/>
                <w:sz w:val="24"/>
                <w:u w:val="single"/>
              </w:rPr>
              <w:t>TOTAL AMOUNT</w:t>
            </w:r>
          </w:p>
          <w:p w:rsidR="00C55547" w:rsidRPr="00661595" w:rsidRDefault="00C55547" w:rsidP="00E10B85">
            <w:pPr>
              <w:spacing w:before="0" w:after="0"/>
              <w:jc w:val="left"/>
              <w:rPr>
                <w:rFonts w:ascii="Times New Roman" w:hAnsi="Times New Roman"/>
                <w:sz w:val="24"/>
              </w:rPr>
            </w:pPr>
          </w:p>
          <w:p w:rsidR="00C55547" w:rsidRPr="00661595" w:rsidRDefault="00C55547"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Institutions shall report the value of the securitised portfolio at reporting date, i.e. the outstanding amount of the securitised exposures. In the case of traditional securitisations</w:t>
            </w:r>
            <w:r w:rsidR="005E5070" w:rsidRPr="00661595">
              <w:rPr>
                <w:rFonts w:ascii="Times New Roman" w:hAnsi="Times New Roman"/>
                <w:sz w:val="24"/>
              </w:rPr>
              <w:t>,</w:t>
            </w:r>
            <w:r w:rsidRPr="00661595">
              <w:rPr>
                <w:rFonts w:ascii="Times New Roman" w:hAnsi="Times New Roman"/>
                <w:sz w:val="24"/>
              </w:rPr>
              <w:t xml:space="preserve"> no other assets of the securitisation pool shall be included. In the case of multi-seller securitisation schemes (i.e. with more than one originator)</w:t>
            </w:r>
            <w:r w:rsidR="005E5070" w:rsidRPr="00661595">
              <w:rPr>
                <w:rFonts w:ascii="Times New Roman" w:hAnsi="Times New Roman"/>
                <w:sz w:val="24"/>
              </w:rPr>
              <w:t>,</w:t>
            </w:r>
            <w:r w:rsidRPr="00661595">
              <w:rPr>
                <w:rFonts w:ascii="Times New Roman" w:hAnsi="Times New Roman"/>
                <w:sz w:val="24"/>
              </w:rPr>
              <w:t xml:space="preserve"> only the amount corresponding to the reporting entity’s contribution in the securitised portfolio shall be reported. In the case of securitisation schemes backed by closed pools (i.e. the portfolio of securitised assets cannot be enlarged after the origination date)</w:t>
            </w:r>
            <w:r w:rsidR="005E5070" w:rsidRPr="00661595">
              <w:rPr>
                <w:rFonts w:ascii="Times New Roman" w:hAnsi="Times New Roman"/>
                <w:sz w:val="24"/>
              </w:rPr>
              <w:t>,</w:t>
            </w:r>
            <w:r w:rsidRPr="00661595">
              <w:rPr>
                <w:rFonts w:ascii="Times New Roman" w:hAnsi="Times New Roman"/>
                <w:sz w:val="24"/>
              </w:rPr>
              <w:t xml:space="preserve"> the amount will progressively be reduced.</w:t>
            </w:r>
          </w:p>
          <w:p w:rsidR="00C55547" w:rsidRPr="00661595" w:rsidRDefault="00C55547" w:rsidP="00E10B85">
            <w:pPr>
              <w:autoSpaceDE w:val="0"/>
              <w:autoSpaceDN w:val="0"/>
              <w:adjustRightInd w:val="0"/>
              <w:spacing w:before="0" w:after="0"/>
              <w:rPr>
                <w:rFonts w:ascii="Times New Roman" w:hAnsi="Times New Roman"/>
                <w:sz w:val="24"/>
              </w:rPr>
            </w:pPr>
          </w:p>
          <w:p w:rsidR="00C55547" w:rsidRPr="00661595" w:rsidRDefault="00C55547"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This information shall be reported even whe</w:t>
            </w:r>
            <w:r w:rsidR="005E5070" w:rsidRPr="00661595">
              <w:rPr>
                <w:rFonts w:ascii="Times New Roman" w:hAnsi="Times New Roman"/>
                <w:sz w:val="24"/>
              </w:rPr>
              <w:t>re</w:t>
            </w:r>
            <w:r w:rsidRPr="00661595">
              <w:rPr>
                <w:rFonts w:ascii="Times New Roman" w:hAnsi="Times New Roman"/>
                <w:sz w:val="24"/>
              </w:rPr>
              <w:t xml:space="preserve"> the reporting entity does not hold any positions in the securitisation.</w:t>
            </w:r>
          </w:p>
          <w:p w:rsidR="00C55547" w:rsidRPr="00661595" w:rsidRDefault="00C55547" w:rsidP="00E10B85">
            <w:pPr>
              <w:autoSpaceDE w:val="0"/>
              <w:autoSpaceDN w:val="0"/>
              <w:adjustRightInd w:val="0"/>
              <w:spacing w:before="0" w:after="0"/>
              <w:jc w:val="left"/>
              <w:rPr>
                <w:rFonts w:ascii="Times New Roman" w:hAnsi="Times New Roman"/>
                <w:sz w:val="24"/>
              </w:rPr>
            </w:pPr>
          </w:p>
        </w:tc>
      </w:tr>
      <w:tr w:rsidR="00C55547" w:rsidRPr="00661595" w:rsidTr="00E10B85">
        <w:tc>
          <w:tcPr>
            <w:tcW w:w="1101" w:type="dxa"/>
          </w:tcPr>
          <w:p w:rsidR="00C55547" w:rsidRPr="00661595" w:rsidRDefault="006E0E76"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w:t>
            </w:r>
            <w:r w:rsidR="00C55547" w:rsidRPr="00661595">
              <w:rPr>
                <w:rFonts w:ascii="Times New Roman" w:hAnsi="Times New Roman"/>
                <w:bCs/>
                <w:sz w:val="24"/>
                <w:lang w:eastAsia="nl-BE"/>
              </w:rPr>
              <w:t>150</w:t>
            </w:r>
          </w:p>
        </w:tc>
        <w:tc>
          <w:tcPr>
            <w:tcW w:w="7903" w:type="dxa"/>
          </w:tcPr>
          <w:p w:rsidR="00C55547" w:rsidRPr="00661595" w:rsidRDefault="00C55547" w:rsidP="00E10B85">
            <w:pPr>
              <w:spacing w:before="0" w:after="0"/>
              <w:jc w:val="left"/>
              <w:rPr>
                <w:rFonts w:ascii="Times New Roman" w:hAnsi="Times New Roman"/>
                <w:b/>
                <w:sz w:val="24"/>
                <w:u w:val="single"/>
              </w:rPr>
            </w:pPr>
            <w:r w:rsidRPr="00661595">
              <w:rPr>
                <w:rFonts w:ascii="Times New Roman" w:hAnsi="Times New Roman"/>
                <w:b/>
                <w:sz w:val="24"/>
                <w:u w:val="single"/>
              </w:rPr>
              <w:t>INSTITUTION'S SHARE (%)</w:t>
            </w:r>
          </w:p>
          <w:p w:rsidR="00C55547" w:rsidRPr="00661595" w:rsidRDefault="00C55547" w:rsidP="00E10B85">
            <w:pPr>
              <w:spacing w:before="0" w:after="0"/>
              <w:jc w:val="left"/>
              <w:rPr>
                <w:rFonts w:ascii="Times New Roman" w:hAnsi="Times New Roman"/>
                <w:sz w:val="24"/>
              </w:rPr>
            </w:pPr>
          </w:p>
          <w:p w:rsidR="00C55547" w:rsidRPr="00661595" w:rsidRDefault="00EE2BEA" w:rsidP="00E10B85">
            <w:pPr>
              <w:spacing w:before="0" w:after="0"/>
              <w:rPr>
                <w:rFonts w:ascii="Times New Roman" w:hAnsi="Times New Roman"/>
                <w:sz w:val="24"/>
              </w:rPr>
            </w:pPr>
            <w:r w:rsidRPr="00661595">
              <w:rPr>
                <w:rFonts w:ascii="Times New Roman" w:hAnsi="Times New Roman"/>
                <w:sz w:val="24"/>
              </w:rPr>
              <w:t>I</w:t>
            </w:r>
            <w:r w:rsidR="00C55547" w:rsidRPr="00661595">
              <w:rPr>
                <w:rFonts w:ascii="Times New Roman" w:hAnsi="Times New Roman"/>
                <w:sz w:val="24"/>
              </w:rPr>
              <w:t>nstitution’s share (percentage with two decimals) at reporting date in the securitised portfolio. The figure to be reported in this column is, by default, 100%</w:t>
            </w:r>
            <w:r w:rsidR="005E5070" w:rsidRPr="00661595">
              <w:rPr>
                <w:rFonts w:ascii="Times New Roman" w:hAnsi="Times New Roman"/>
                <w:sz w:val="24"/>
              </w:rPr>
              <w:t>,</w:t>
            </w:r>
            <w:r w:rsidR="00C55547" w:rsidRPr="00661595">
              <w:rPr>
                <w:rFonts w:ascii="Times New Roman" w:hAnsi="Times New Roman"/>
                <w:sz w:val="24"/>
              </w:rPr>
              <w:t xml:space="preserve"> except for multi-seller securitisation schemes. In that case</w:t>
            </w:r>
            <w:r w:rsidR="005E5070" w:rsidRPr="00661595">
              <w:rPr>
                <w:rFonts w:ascii="Times New Roman" w:hAnsi="Times New Roman"/>
                <w:sz w:val="24"/>
              </w:rPr>
              <w:t>,</w:t>
            </w:r>
            <w:r w:rsidR="00C55547" w:rsidRPr="00661595">
              <w:rPr>
                <w:rFonts w:ascii="Times New Roman" w:hAnsi="Times New Roman"/>
                <w:sz w:val="24"/>
              </w:rPr>
              <w:t xml:space="preserve"> the reporting entity shall report its current contribution to the securitised portfolio (equivalent to column </w:t>
            </w:r>
            <w:r w:rsidR="006E0E76" w:rsidRPr="00661595">
              <w:rPr>
                <w:rFonts w:ascii="Times New Roman" w:hAnsi="Times New Roman"/>
                <w:sz w:val="24"/>
              </w:rPr>
              <w:t>0</w:t>
            </w:r>
            <w:r w:rsidR="00C55547" w:rsidRPr="00661595">
              <w:rPr>
                <w:rFonts w:ascii="Times New Roman" w:hAnsi="Times New Roman"/>
                <w:sz w:val="24"/>
              </w:rPr>
              <w:t>140 in relative terms).</w:t>
            </w:r>
          </w:p>
          <w:p w:rsidR="00C55547" w:rsidRPr="00661595" w:rsidRDefault="00C55547" w:rsidP="00E10B85">
            <w:pPr>
              <w:spacing w:before="0" w:after="0"/>
              <w:rPr>
                <w:rFonts w:ascii="Times New Roman" w:hAnsi="Times New Roman"/>
                <w:sz w:val="24"/>
              </w:rPr>
            </w:pPr>
          </w:p>
          <w:p w:rsidR="00C55547" w:rsidRPr="00661595" w:rsidRDefault="00C55547"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This information shall be reported even whe</w:t>
            </w:r>
            <w:r w:rsidR="005E5070" w:rsidRPr="00661595">
              <w:rPr>
                <w:rFonts w:ascii="Times New Roman" w:hAnsi="Times New Roman"/>
                <w:sz w:val="24"/>
              </w:rPr>
              <w:t>re</w:t>
            </w:r>
            <w:r w:rsidRPr="00661595">
              <w:rPr>
                <w:rFonts w:ascii="Times New Roman" w:hAnsi="Times New Roman"/>
                <w:sz w:val="24"/>
              </w:rPr>
              <w:t xml:space="preserve"> the reporting entity does not hold any positions in the securitisation.</w:t>
            </w:r>
          </w:p>
          <w:p w:rsidR="00C55547" w:rsidRPr="00661595" w:rsidRDefault="00C55547" w:rsidP="00E10B85">
            <w:pPr>
              <w:autoSpaceDE w:val="0"/>
              <w:autoSpaceDN w:val="0"/>
              <w:adjustRightInd w:val="0"/>
              <w:spacing w:before="0" w:after="0"/>
              <w:jc w:val="left"/>
              <w:rPr>
                <w:rFonts w:ascii="Times New Roman" w:hAnsi="Times New Roman"/>
                <w:sz w:val="24"/>
              </w:rPr>
            </w:pPr>
          </w:p>
        </w:tc>
      </w:tr>
      <w:tr w:rsidR="00C55547" w:rsidRPr="00661595" w:rsidTr="00E10B85">
        <w:tc>
          <w:tcPr>
            <w:tcW w:w="1101" w:type="dxa"/>
          </w:tcPr>
          <w:p w:rsidR="00C55547" w:rsidRPr="00661595" w:rsidDel="00817047" w:rsidRDefault="006E0E76"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w:t>
            </w:r>
            <w:r w:rsidR="00C55547" w:rsidRPr="00661595">
              <w:rPr>
                <w:rFonts w:ascii="Times New Roman" w:hAnsi="Times New Roman"/>
                <w:bCs/>
                <w:sz w:val="24"/>
                <w:lang w:eastAsia="nl-BE"/>
              </w:rPr>
              <w:t>160</w:t>
            </w:r>
          </w:p>
        </w:tc>
        <w:tc>
          <w:tcPr>
            <w:tcW w:w="7903" w:type="dxa"/>
          </w:tcPr>
          <w:p w:rsidR="00C55547" w:rsidRPr="00661595" w:rsidRDefault="00C55547" w:rsidP="00E10B85">
            <w:pPr>
              <w:spacing w:before="0" w:after="0"/>
              <w:jc w:val="left"/>
              <w:rPr>
                <w:rFonts w:ascii="Times New Roman" w:hAnsi="Times New Roman"/>
                <w:b/>
                <w:sz w:val="24"/>
                <w:u w:val="single"/>
              </w:rPr>
            </w:pPr>
            <w:r w:rsidRPr="00661595">
              <w:rPr>
                <w:rFonts w:ascii="Times New Roman" w:hAnsi="Times New Roman"/>
                <w:b/>
                <w:sz w:val="24"/>
                <w:u w:val="single"/>
              </w:rPr>
              <w:t>TYPE</w:t>
            </w:r>
          </w:p>
          <w:p w:rsidR="00C55547" w:rsidRPr="00661595" w:rsidRDefault="00C55547" w:rsidP="00E10B85">
            <w:pPr>
              <w:autoSpaceDE w:val="0"/>
              <w:autoSpaceDN w:val="0"/>
              <w:adjustRightInd w:val="0"/>
              <w:spacing w:before="0" w:after="0"/>
              <w:rPr>
                <w:rFonts w:ascii="Times New Roman" w:hAnsi="Times New Roman"/>
                <w:sz w:val="24"/>
              </w:rPr>
            </w:pPr>
          </w:p>
          <w:p w:rsidR="00C55547" w:rsidRPr="00661595" w:rsidRDefault="00C55547"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 xml:space="preserve">This column gathers information on the type of assets (‘Residential mortgages’ to ‘Other wholesale exposures’) or liabilities (‘Covered bonds’ and ‘Other liabilities’) of the securitised portfolio. The institution </w:t>
            </w:r>
            <w:r w:rsidR="00EE2BEA" w:rsidRPr="00661595">
              <w:rPr>
                <w:rFonts w:ascii="Times New Roman" w:hAnsi="Times New Roman"/>
                <w:sz w:val="24"/>
              </w:rPr>
              <w:t xml:space="preserve">shall </w:t>
            </w:r>
            <w:r w:rsidRPr="00661595">
              <w:rPr>
                <w:rFonts w:ascii="Times New Roman" w:hAnsi="Times New Roman"/>
                <w:sz w:val="24"/>
              </w:rPr>
              <w:t>report one of the following options</w:t>
            </w:r>
            <w:r w:rsidR="00D956C2" w:rsidRPr="00661595">
              <w:rPr>
                <w:rFonts w:ascii="Times New Roman" w:hAnsi="Times New Roman"/>
                <w:sz w:val="24"/>
              </w:rPr>
              <w:t>, considering the highest EAD</w:t>
            </w:r>
            <w:r w:rsidRPr="00661595">
              <w:rPr>
                <w:rFonts w:ascii="Times New Roman" w:hAnsi="Times New Roman"/>
                <w:sz w:val="24"/>
              </w:rPr>
              <w:t>:</w:t>
            </w:r>
          </w:p>
          <w:p w:rsidR="00C55547" w:rsidRPr="00661595" w:rsidRDefault="00C55547" w:rsidP="00E10B85">
            <w:pPr>
              <w:autoSpaceDE w:val="0"/>
              <w:autoSpaceDN w:val="0"/>
              <w:adjustRightInd w:val="0"/>
              <w:spacing w:before="0" w:after="0"/>
              <w:jc w:val="left"/>
              <w:rPr>
                <w:rFonts w:ascii="Times New Roman" w:hAnsi="Times New Roman"/>
                <w:sz w:val="24"/>
              </w:rPr>
            </w:pPr>
          </w:p>
          <w:p w:rsidR="00C55547" w:rsidRPr="00661595" w:rsidRDefault="00C55547" w:rsidP="00E10B85">
            <w:pPr>
              <w:autoSpaceDE w:val="0"/>
              <w:autoSpaceDN w:val="0"/>
              <w:adjustRightInd w:val="0"/>
              <w:spacing w:before="0" w:after="0"/>
              <w:jc w:val="left"/>
              <w:rPr>
                <w:rFonts w:ascii="Times New Roman" w:hAnsi="Times New Roman"/>
                <w:b/>
                <w:sz w:val="24"/>
              </w:rPr>
            </w:pPr>
            <w:r w:rsidRPr="00661595">
              <w:rPr>
                <w:rFonts w:ascii="Times New Roman" w:hAnsi="Times New Roman"/>
                <w:b/>
                <w:sz w:val="24"/>
              </w:rPr>
              <w:t>Retail:</w:t>
            </w:r>
          </w:p>
          <w:p w:rsidR="00C55547" w:rsidRPr="00661595" w:rsidRDefault="00C55547" w:rsidP="00E10B85">
            <w:pPr>
              <w:autoSpaceDE w:val="0"/>
              <w:autoSpaceDN w:val="0"/>
              <w:adjustRightInd w:val="0"/>
              <w:spacing w:before="0" w:after="0"/>
              <w:jc w:val="left"/>
              <w:rPr>
                <w:rFonts w:ascii="Times New Roman" w:hAnsi="Times New Roman"/>
                <w:sz w:val="24"/>
              </w:rPr>
            </w:pPr>
            <w:r w:rsidRPr="00661595">
              <w:rPr>
                <w:rFonts w:ascii="Times New Roman" w:hAnsi="Times New Roman"/>
                <w:sz w:val="24"/>
              </w:rPr>
              <w:t xml:space="preserve">Residential mortgages; </w:t>
            </w:r>
          </w:p>
          <w:p w:rsidR="00C55547" w:rsidRPr="00661595" w:rsidRDefault="00C55547" w:rsidP="00E10B85">
            <w:pPr>
              <w:autoSpaceDE w:val="0"/>
              <w:autoSpaceDN w:val="0"/>
              <w:adjustRightInd w:val="0"/>
              <w:spacing w:before="0" w:after="0"/>
              <w:jc w:val="left"/>
              <w:rPr>
                <w:rFonts w:ascii="Times New Roman" w:hAnsi="Times New Roman"/>
                <w:sz w:val="24"/>
              </w:rPr>
            </w:pPr>
            <w:r w:rsidRPr="00661595">
              <w:rPr>
                <w:rFonts w:ascii="Times New Roman" w:hAnsi="Times New Roman"/>
                <w:sz w:val="24"/>
              </w:rPr>
              <w:t xml:space="preserve">Credit card receivables; </w:t>
            </w:r>
          </w:p>
          <w:p w:rsidR="00C55547" w:rsidRPr="00661595" w:rsidRDefault="00C55547" w:rsidP="00E10B85">
            <w:pPr>
              <w:autoSpaceDE w:val="0"/>
              <w:autoSpaceDN w:val="0"/>
              <w:adjustRightInd w:val="0"/>
              <w:spacing w:before="0" w:after="0"/>
              <w:jc w:val="left"/>
              <w:rPr>
                <w:rFonts w:ascii="Times New Roman" w:hAnsi="Times New Roman"/>
                <w:sz w:val="24"/>
              </w:rPr>
            </w:pPr>
            <w:r w:rsidRPr="00661595">
              <w:rPr>
                <w:rFonts w:ascii="Times New Roman" w:hAnsi="Times New Roman"/>
                <w:sz w:val="24"/>
              </w:rPr>
              <w:t>Consumer loans;</w:t>
            </w:r>
          </w:p>
          <w:p w:rsidR="00C55547" w:rsidRPr="00661595" w:rsidRDefault="00C55547" w:rsidP="00E10B85">
            <w:pPr>
              <w:autoSpaceDE w:val="0"/>
              <w:autoSpaceDN w:val="0"/>
              <w:adjustRightInd w:val="0"/>
              <w:spacing w:before="0" w:after="0"/>
              <w:jc w:val="left"/>
              <w:rPr>
                <w:rFonts w:ascii="Times New Roman" w:hAnsi="Times New Roman"/>
                <w:sz w:val="24"/>
              </w:rPr>
            </w:pPr>
            <w:r w:rsidRPr="00661595">
              <w:rPr>
                <w:rFonts w:ascii="Times New Roman" w:hAnsi="Times New Roman"/>
                <w:sz w:val="24"/>
              </w:rPr>
              <w:t>Loans to SMEs (treated as retail);</w:t>
            </w:r>
          </w:p>
          <w:p w:rsidR="00C55547" w:rsidRPr="00661595" w:rsidRDefault="00C55547" w:rsidP="00E10B85">
            <w:pPr>
              <w:autoSpaceDE w:val="0"/>
              <w:autoSpaceDN w:val="0"/>
              <w:adjustRightInd w:val="0"/>
              <w:spacing w:before="0" w:after="0"/>
              <w:jc w:val="left"/>
              <w:rPr>
                <w:rFonts w:ascii="Times New Roman" w:hAnsi="Times New Roman"/>
                <w:sz w:val="24"/>
              </w:rPr>
            </w:pPr>
            <w:r w:rsidRPr="00661595">
              <w:rPr>
                <w:rFonts w:ascii="Times New Roman" w:hAnsi="Times New Roman"/>
                <w:sz w:val="24"/>
              </w:rPr>
              <w:t>Other retail exposures.</w:t>
            </w:r>
          </w:p>
          <w:p w:rsidR="00C55547" w:rsidRPr="00661595" w:rsidRDefault="00C55547" w:rsidP="00E10B85">
            <w:pPr>
              <w:autoSpaceDE w:val="0"/>
              <w:autoSpaceDN w:val="0"/>
              <w:adjustRightInd w:val="0"/>
              <w:spacing w:before="0" w:after="0"/>
              <w:jc w:val="left"/>
              <w:rPr>
                <w:rFonts w:ascii="Times New Roman" w:hAnsi="Times New Roman"/>
                <w:sz w:val="24"/>
              </w:rPr>
            </w:pPr>
          </w:p>
          <w:p w:rsidR="00C55547" w:rsidRPr="00661595" w:rsidRDefault="00C55547" w:rsidP="00E10B85">
            <w:pPr>
              <w:autoSpaceDE w:val="0"/>
              <w:autoSpaceDN w:val="0"/>
              <w:adjustRightInd w:val="0"/>
              <w:spacing w:before="0" w:after="0"/>
              <w:jc w:val="left"/>
              <w:rPr>
                <w:rFonts w:ascii="Times New Roman" w:hAnsi="Times New Roman"/>
                <w:b/>
                <w:sz w:val="24"/>
              </w:rPr>
            </w:pPr>
            <w:r w:rsidRPr="00661595">
              <w:rPr>
                <w:rFonts w:ascii="Times New Roman" w:hAnsi="Times New Roman"/>
                <w:b/>
                <w:sz w:val="24"/>
              </w:rPr>
              <w:t>Wholesale:</w:t>
            </w:r>
          </w:p>
          <w:p w:rsidR="00C55547" w:rsidRPr="00661595" w:rsidRDefault="00C55547" w:rsidP="00E10B85">
            <w:pPr>
              <w:autoSpaceDE w:val="0"/>
              <w:autoSpaceDN w:val="0"/>
              <w:adjustRightInd w:val="0"/>
              <w:spacing w:before="0" w:after="0"/>
              <w:jc w:val="left"/>
              <w:rPr>
                <w:rFonts w:ascii="Times New Roman" w:hAnsi="Times New Roman"/>
                <w:sz w:val="24"/>
              </w:rPr>
            </w:pPr>
            <w:r w:rsidRPr="00661595">
              <w:rPr>
                <w:rFonts w:ascii="Times New Roman" w:hAnsi="Times New Roman"/>
                <w:sz w:val="24"/>
              </w:rPr>
              <w:t xml:space="preserve">Commercial mortgages; </w:t>
            </w:r>
          </w:p>
          <w:p w:rsidR="00C55547" w:rsidRPr="00661595" w:rsidRDefault="00C55547" w:rsidP="00E10B85">
            <w:pPr>
              <w:autoSpaceDE w:val="0"/>
              <w:autoSpaceDN w:val="0"/>
              <w:adjustRightInd w:val="0"/>
              <w:spacing w:before="0" w:after="0"/>
              <w:jc w:val="left"/>
              <w:rPr>
                <w:rFonts w:ascii="Times New Roman" w:hAnsi="Times New Roman"/>
                <w:sz w:val="24"/>
              </w:rPr>
            </w:pPr>
            <w:r w:rsidRPr="00661595">
              <w:rPr>
                <w:rFonts w:ascii="Times New Roman" w:hAnsi="Times New Roman"/>
                <w:sz w:val="24"/>
              </w:rPr>
              <w:t xml:space="preserve">Leasing; </w:t>
            </w:r>
          </w:p>
          <w:p w:rsidR="00C55547" w:rsidRPr="00661595" w:rsidRDefault="00C55547" w:rsidP="00E10B85">
            <w:pPr>
              <w:autoSpaceDE w:val="0"/>
              <w:autoSpaceDN w:val="0"/>
              <w:adjustRightInd w:val="0"/>
              <w:spacing w:before="0" w:after="0"/>
              <w:jc w:val="left"/>
              <w:rPr>
                <w:rFonts w:ascii="Times New Roman" w:hAnsi="Times New Roman"/>
                <w:sz w:val="24"/>
              </w:rPr>
            </w:pPr>
            <w:r w:rsidRPr="00661595">
              <w:rPr>
                <w:rFonts w:ascii="Times New Roman" w:hAnsi="Times New Roman"/>
                <w:sz w:val="24"/>
              </w:rPr>
              <w:t>Loans to corporates</w:t>
            </w:r>
            <w:r w:rsidR="005E5070" w:rsidRPr="00661595">
              <w:rPr>
                <w:rFonts w:ascii="Times New Roman" w:hAnsi="Times New Roman"/>
                <w:sz w:val="24"/>
              </w:rPr>
              <w:t>;</w:t>
            </w:r>
          </w:p>
          <w:p w:rsidR="00C55547" w:rsidRPr="00661595" w:rsidRDefault="00C55547" w:rsidP="00E10B85">
            <w:pPr>
              <w:autoSpaceDE w:val="0"/>
              <w:autoSpaceDN w:val="0"/>
              <w:adjustRightInd w:val="0"/>
              <w:spacing w:before="0" w:after="0"/>
              <w:jc w:val="left"/>
              <w:rPr>
                <w:rFonts w:ascii="Times New Roman" w:hAnsi="Times New Roman"/>
                <w:sz w:val="24"/>
              </w:rPr>
            </w:pPr>
            <w:r w:rsidRPr="00661595">
              <w:rPr>
                <w:rFonts w:ascii="Times New Roman" w:hAnsi="Times New Roman"/>
                <w:sz w:val="24"/>
              </w:rPr>
              <w:t xml:space="preserve">Loans to SMEs (treated as corporates); </w:t>
            </w:r>
          </w:p>
          <w:p w:rsidR="00C55547" w:rsidRPr="00661595" w:rsidRDefault="00C55547" w:rsidP="00E10B85">
            <w:pPr>
              <w:autoSpaceDE w:val="0"/>
              <w:autoSpaceDN w:val="0"/>
              <w:adjustRightInd w:val="0"/>
              <w:spacing w:before="0" w:after="0"/>
              <w:jc w:val="left"/>
              <w:rPr>
                <w:rFonts w:ascii="Times New Roman" w:hAnsi="Times New Roman"/>
                <w:sz w:val="24"/>
              </w:rPr>
            </w:pPr>
            <w:r w:rsidRPr="00661595">
              <w:rPr>
                <w:rFonts w:ascii="Times New Roman" w:hAnsi="Times New Roman"/>
                <w:sz w:val="24"/>
              </w:rPr>
              <w:t>Trade receivables;</w:t>
            </w:r>
          </w:p>
          <w:p w:rsidR="00C55547" w:rsidRPr="00661595" w:rsidRDefault="00C55547" w:rsidP="00E10B85">
            <w:pPr>
              <w:autoSpaceDE w:val="0"/>
              <w:autoSpaceDN w:val="0"/>
              <w:adjustRightInd w:val="0"/>
              <w:spacing w:before="0" w:after="0"/>
              <w:jc w:val="left"/>
              <w:rPr>
                <w:rFonts w:ascii="Times New Roman" w:hAnsi="Times New Roman"/>
                <w:sz w:val="24"/>
              </w:rPr>
            </w:pPr>
            <w:r w:rsidRPr="00661595">
              <w:rPr>
                <w:rFonts w:ascii="Times New Roman" w:hAnsi="Times New Roman"/>
                <w:sz w:val="24"/>
              </w:rPr>
              <w:t xml:space="preserve">Other wholesale exposures. </w:t>
            </w:r>
          </w:p>
          <w:p w:rsidR="00C55547" w:rsidRPr="00661595" w:rsidRDefault="00C55547" w:rsidP="00E10B85">
            <w:pPr>
              <w:autoSpaceDE w:val="0"/>
              <w:autoSpaceDN w:val="0"/>
              <w:adjustRightInd w:val="0"/>
              <w:spacing w:before="0" w:after="0"/>
              <w:jc w:val="left"/>
              <w:rPr>
                <w:rFonts w:ascii="Times New Roman" w:hAnsi="Times New Roman"/>
                <w:sz w:val="24"/>
              </w:rPr>
            </w:pPr>
          </w:p>
          <w:p w:rsidR="00C55547" w:rsidRPr="00661595" w:rsidRDefault="00C55547" w:rsidP="00E10B85">
            <w:pPr>
              <w:autoSpaceDE w:val="0"/>
              <w:autoSpaceDN w:val="0"/>
              <w:adjustRightInd w:val="0"/>
              <w:spacing w:before="0" w:after="0"/>
              <w:jc w:val="left"/>
              <w:rPr>
                <w:rFonts w:ascii="Times New Roman" w:hAnsi="Times New Roman"/>
                <w:b/>
                <w:sz w:val="24"/>
              </w:rPr>
            </w:pPr>
            <w:r w:rsidRPr="00661595">
              <w:rPr>
                <w:rFonts w:ascii="Times New Roman" w:hAnsi="Times New Roman"/>
                <w:b/>
                <w:sz w:val="24"/>
              </w:rPr>
              <w:t>Liabilites:</w:t>
            </w:r>
          </w:p>
          <w:p w:rsidR="00C55547" w:rsidRPr="00661595" w:rsidRDefault="00C55547" w:rsidP="00E10B85">
            <w:pPr>
              <w:autoSpaceDE w:val="0"/>
              <w:autoSpaceDN w:val="0"/>
              <w:adjustRightInd w:val="0"/>
              <w:spacing w:before="0" w:after="0"/>
              <w:jc w:val="left"/>
              <w:rPr>
                <w:rFonts w:ascii="Times New Roman" w:hAnsi="Times New Roman"/>
                <w:sz w:val="24"/>
              </w:rPr>
            </w:pPr>
            <w:r w:rsidRPr="00661595">
              <w:rPr>
                <w:rFonts w:ascii="Times New Roman" w:hAnsi="Times New Roman"/>
                <w:sz w:val="24"/>
              </w:rPr>
              <w:t>Covered bonds;</w:t>
            </w:r>
          </w:p>
          <w:p w:rsidR="00C55547" w:rsidRPr="00661595" w:rsidRDefault="00C55547" w:rsidP="00E10B85">
            <w:pPr>
              <w:autoSpaceDE w:val="0"/>
              <w:autoSpaceDN w:val="0"/>
              <w:adjustRightInd w:val="0"/>
              <w:spacing w:before="0" w:after="0"/>
              <w:jc w:val="left"/>
              <w:rPr>
                <w:rFonts w:ascii="Times New Roman" w:hAnsi="Times New Roman"/>
                <w:sz w:val="24"/>
              </w:rPr>
            </w:pPr>
            <w:r w:rsidRPr="00661595">
              <w:rPr>
                <w:rFonts w:ascii="Times New Roman" w:hAnsi="Times New Roman"/>
                <w:sz w:val="24"/>
              </w:rPr>
              <w:t>Other liabilities.</w:t>
            </w:r>
          </w:p>
          <w:p w:rsidR="00C55547" w:rsidRPr="00661595" w:rsidRDefault="00C55547" w:rsidP="00E10B85">
            <w:pPr>
              <w:autoSpaceDE w:val="0"/>
              <w:autoSpaceDN w:val="0"/>
              <w:adjustRightInd w:val="0"/>
              <w:spacing w:before="0" w:after="0"/>
              <w:jc w:val="left"/>
              <w:rPr>
                <w:rFonts w:ascii="Times New Roman" w:hAnsi="Times New Roman"/>
                <w:sz w:val="24"/>
              </w:rPr>
            </w:pPr>
          </w:p>
          <w:p w:rsidR="00C55547" w:rsidRPr="00661595" w:rsidRDefault="005E5070"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Where</w:t>
            </w:r>
            <w:r w:rsidR="00C55547" w:rsidRPr="00661595">
              <w:rPr>
                <w:rFonts w:ascii="Times New Roman" w:hAnsi="Times New Roman"/>
                <w:sz w:val="24"/>
              </w:rPr>
              <w:t xml:space="preserve"> the pool of securitised exposures is a mix of the types</w:t>
            </w:r>
            <w:r w:rsidRPr="00661595">
              <w:rPr>
                <w:rFonts w:ascii="Times New Roman" w:hAnsi="Times New Roman"/>
                <w:sz w:val="24"/>
              </w:rPr>
              <w:t xml:space="preserve"> listed above</w:t>
            </w:r>
            <w:r w:rsidR="00C55547" w:rsidRPr="00661595">
              <w:rPr>
                <w:rFonts w:ascii="Times New Roman" w:hAnsi="Times New Roman"/>
                <w:sz w:val="24"/>
              </w:rPr>
              <w:t>, the institution shall indicate the most important type. In case of re-securitisations, the institution shall refer to the ultimate underlying pool of assets. Type ‘Other liabilities’ includes treasury bonds and credit linked notes.</w:t>
            </w:r>
          </w:p>
          <w:p w:rsidR="00C55547" w:rsidRPr="00661595" w:rsidRDefault="00C55547" w:rsidP="00E10B85">
            <w:pPr>
              <w:autoSpaceDE w:val="0"/>
              <w:autoSpaceDN w:val="0"/>
              <w:adjustRightInd w:val="0"/>
              <w:spacing w:before="0" w:after="0"/>
              <w:rPr>
                <w:rFonts w:ascii="Times New Roman" w:hAnsi="Times New Roman"/>
                <w:sz w:val="24"/>
              </w:rPr>
            </w:pPr>
          </w:p>
          <w:p w:rsidR="00C55547" w:rsidRPr="00661595" w:rsidRDefault="00C55547"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For securitisation schemes backed by closed pools the type cannot change between reporting dates.</w:t>
            </w:r>
          </w:p>
          <w:p w:rsidR="00C55547" w:rsidRPr="00661595" w:rsidRDefault="00C55547" w:rsidP="00E10B85">
            <w:pPr>
              <w:spacing w:before="0" w:after="0"/>
              <w:jc w:val="left"/>
              <w:rPr>
                <w:rFonts w:ascii="Times New Roman" w:hAnsi="Times New Roman"/>
                <w:b/>
                <w:sz w:val="24"/>
                <w:u w:val="single"/>
              </w:rPr>
            </w:pPr>
          </w:p>
        </w:tc>
      </w:tr>
      <w:tr w:rsidR="00C55547" w:rsidRPr="00661595" w:rsidTr="00E10B85">
        <w:tc>
          <w:tcPr>
            <w:tcW w:w="1101" w:type="dxa"/>
          </w:tcPr>
          <w:p w:rsidR="00C55547" w:rsidRPr="00661595" w:rsidRDefault="006E0E76"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w:t>
            </w:r>
            <w:r w:rsidR="00C55547" w:rsidRPr="00661595">
              <w:rPr>
                <w:rFonts w:ascii="Times New Roman" w:hAnsi="Times New Roman"/>
                <w:bCs/>
                <w:sz w:val="24"/>
                <w:lang w:eastAsia="nl-BE"/>
              </w:rPr>
              <w:t>171</w:t>
            </w:r>
          </w:p>
        </w:tc>
        <w:tc>
          <w:tcPr>
            <w:tcW w:w="7903" w:type="dxa"/>
          </w:tcPr>
          <w:p w:rsidR="00C55547" w:rsidRPr="00661595" w:rsidRDefault="00C55547" w:rsidP="00E10B85">
            <w:pPr>
              <w:spacing w:before="0" w:after="0"/>
              <w:jc w:val="left"/>
              <w:rPr>
                <w:rFonts w:ascii="Times New Roman" w:hAnsi="Times New Roman"/>
                <w:b/>
                <w:sz w:val="24"/>
                <w:u w:val="single"/>
              </w:rPr>
            </w:pPr>
            <w:r w:rsidRPr="00661595">
              <w:rPr>
                <w:rFonts w:ascii="Times New Roman" w:hAnsi="Times New Roman"/>
                <w:b/>
                <w:sz w:val="24"/>
                <w:u w:val="single"/>
              </w:rPr>
              <w:t>% OF IRB IN APPROACH APPLIED</w:t>
            </w:r>
          </w:p>
          <w:p w:rsidR="00C55547" w:rsidRPr="00661595" w:rsidRDefault="00C55547" w:rsidP="00E10B85">
            <w:pPr>
              <w:spacing w:before="0" w:after="0"/>
              <w:jc w:val="left"/>
              <w:rPr>
                <w:rFonts w:ascii="Times New Roman" w:hAnsi="Times New Roman"/>
                <w:sz w:val="24"/>
              </w:rPr>
            </w:pPr>
          </w:p>
          <w:p w:rsidR="00C55547" w:rsidRPr="00661595" w:rsidRDefault="00C55547"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This column gathers information on the approach(es) that at the reporting date the institution would apply to the securitised exposures.</w:t>
            </w:r>
          </w:p>
          <w:p w:rsidR="00C55547" w:rsidRPr="00661595" w:rsidRDefault="00C55547" w:rsidP="00E10B85">
            <w:pPr>
              <w:autoSpaceDE w:val="0"/>
              <w:autoSpaceDN w:val="0"/>
              <w:adjustRightInd w:val="0"/>
              <w:spacing w:before="0" w:after="0"/>
              <w:jc w:val="left"/>
              <w:rPr>
                <w:rFonts w:ascii="Times New Roman" w:hAnsi="Times New Roman"/>
                <w:sz w:val="24"/>
              </w:rPr>
            </w:pPr>
          </w:p>
          <w:p w:rsidR="00C55547" w:rsidRPr="00661595" w:rsidRDefault="00C55547" w:rsidP="00E10B85">
            <w:pPr>
              <w:autoSpaceDE w:val="0"/>
              <w:autoSpaceDN w:val="0"/>
              <w:adjustRightInd w:val="0"/>
              <w:spacing w:before="0" w:after="0"/>
              <w:jc w:val="left"/>
              <w:rPr>
                <w:rFonts w:ascii="Times New Roman" w:hAnsi="Times New Roman"/>
                <w:sz w:val="24"/>
              </w:rPr>
            </w:pPr>
            <w:r w:rsidRPr="00661595">
              <w:rPr>
                <w:rFonts w:ascii="Times New Roman" w:hAnsi="Times New Roman"/>
                <w:sz w:val="24"/>
              </w:rPr>
              <w:t>Institutions sh</w:t>
            </w:r>
            <w:r w:rsidR="00EE2BEA" w:rsidRPr="00661595">
              <w:rPr>
                <w:rFonts w:ascii="Times New Roman" w:hAnsi="Times New Roman"/>
                <w:sz w:val="24"/>
              </w:rPr>
              <w:t>all</w:t>
            </w:r>
            <w:r w:rsidRPr="00661595">
              <w:rPr>
                <w:rFonts w:ascii="Times New Roman" w:hAnsi="Times New Roman"/>
                <w:sz w:val="24"/>
              </w:rPr>
              <w:t xml:space="preserve"> report the percentage of the securitised exposures, measured by exposure value, to which the Internal Ratings Based Approach applies at the reporting date. </w:t>
            </w:r>
          </w:p>
          <w:p w:rsidR="00C55547" w:rsidRPr="00661595" w:rsidRDefault="00C55547" w:rsidP="00E10B85">
            <w:pPr>
              <w:autoSpaceDE w:val="0"/>
              <w:autoSpaceDN w:val="0"/>
              <w:adjustRightInd w:val="0"/>
              <w:spacing w:before="0" w:after="0"/>
              <w:rPr>
                <w:rFonts w:ascii="Times New Roman" w:hAnsi="Times New Roman"/>
                <w:sz w:val="24"/>
              </w:rPr>
            </w:pPr>
          </w:p>
          <w:p w:rsidR="00C55547" w:rsidRPr="00661595" w:rsidRDefault="00C55547"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This information shall be reported even whe</w:t>
            </w:r>
            <w:r w:rsidR="005E5070" w:rsidRPr="00661595">
              <w:rPr>
                <w:rFonts w:ascii="Times New Roman" w:hAnsi="Times New Roman"/>
                <w:sz w:val="24"/>
              </w:rPr>
              <w:t>re</w:t>
            </w:r>
            <w:r w:rsidRPr="00661595">
              <w:rPr>
                <w:rFonts w:ascii="Times New Roman" w:hAnsi="Times New Roman"/>
                <w:sz w:val="24"/>
              </w:rPr>
              <w:t xml:space="preserve"> the reporting entity does not hold any positions in the securitisation. </w:t>
            </w:r>
            <w:r w:rsidR="005E5070" w:rsidRPr="00661595">
              <w:rPr>
                <w:rFonts w:ascii="Times New Roman" w:hAnsi="Times New Roman"/>
                <w:sz w:val="24"/>
              </w:rPr>
              <w:t>T</w:t>
            </w:r>
            <w:r w:rsidRPr="00661595">
              <w:rPr>
                <w:rFonts w:ascii="Times New Roman" w:hAnsi="Times New Roman"/>
                <w:sz w:val="24"/>
              </w:rPr>
              <w:t xml:space="preserve">his column </w:t>
            </w:r>
            <w:r w:rsidR="00EE2BEA" w:rsidRPr="00661595">
              <w:rPr>
                <w:rFonts w:ascii="Times New Roman" w:hAnsi="Times New Roman"/>
                <w:sz w:val="24"/>
              </w:rPr>
              <w:t>shall</w:t>
            </w:r>
            <w:r w:rsidR="005E5070" w:rsidRPr="00661595">
              <w:rPr>
                <w:rFonts w:ascii="Times New Roman" w:hAnsi="Times New Roman"/>
                <w:sz w:val="24"/>
              </w:rPr>
              <w:t>,</w:t>
            </w:r>
            <w:r w:rsidR="00EE2BEA" w:rsidRPr="00661595">
              <w:rPr>
                <w:rFonts w:ascii="Times New Roman" w:hAnsi="Times New Roman"/>
                <w:sz w:val="24"/>
              </w:rPr>
              <w:t xml:space="preserve"> </w:t>
            </w:r>
            <w:r w:rsidR="005E5070" w:rsidRPr="00661595">
              <w:rPr>
                <w:rFonts w:ascii="Times New Roman" w:hAnsi="Times New Roman"/>
                <w:sz w:val="24"/>
              </w:rPr>
              <w:t xml:space="preserve">however, </w:t>
            </w:r>
            <w:r w:rsidRPr="00661595">
              <w:rPr>
                <w:rFonts w:ascii="Times New Roman" w:hAnsi="Times New Roman"/>
                <w:sz w:val="24"/>
              </w:rPr>
              <w:t xml:space="preserve">not apply to securitisations of liabilities. </w:t>
            </w:r>
          </w:p>
          <w:p w:rsidR="00C55547" w:rsidRPr="00661595" w:rsidRDefault="00C55547" w:rsidP="00E10B85">
            <w:pPr>
              <w:autoSpaceDE w:val="0"/>
              <w:autoSpaceDN w:val="0"/>
              <w:adjustRightInd w:val="0"/>
              <w:spacing w:before="0" w:after="0"/>
              <w:jc w:val="left"/>
              <w:rPr>
                <w:rFonts w:ascii="Times New Roman" w:hAnsi="Times New Roman"/>
                <w:sz w:val="24"/>
              </w:rPr>
            </w:pPr>
          </w:p>
        </w:tc>
      </w:tr>
      <w:tr w:rsidR="00C55547" w:rsidRPr="00661595" w:rsidTr="00E10B85">
        <w:tc>
          <w:tcPr>
            <w:tcW w:w="1101" w:type="dxa"/>
          </w:tcPr>
          <w:p w:rsidR="00C55547" w:rsidRPr="00661595" w:rsidRDefault="006E0E76"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w:t>
            </w:r>
            <w:r w:rsidR="00C55547" w:rsidRPr="00661595">
              <w:rPr>
                <w:rFonts w:ascii="Times New Roman" w:hAnsi="Times New Roman"/>
                <w:bCs/>
                <w:sz w:val="24"/>
                <w:lang w:eastAsia="nl-BE"/>
              </w:rPr>
              <w:t>180</w:t>
            </w:r>
          </w:p>
        </w:tc>
        <w:tc>
          <w:tcPr>
            <w:tcW w:w="7903" w:type="dxa"/>
            <w:shd w:val="clear" w:color="auto" w:fill="auto"/>
          </w:tcPr>
          <w:p w:rsidR="00C55547" w:rsidRPr="00661595" w:rsidRDefault="00C55547" w:rsidP="00E10B85">
            <w:pPr>
              <w:spacing w:before="0" w:after="0"/>
              <w:jc w:val="left"/>
              <w:rPr>
                <w:rFonts w:ascii="Times New Roman" w:hAnsi="Times New Roman"/>
                <w:b/>
                <w:sz w:val="24"/>
                <w:u w:val="single"/>
              </w:rPr>
            </w:pPr>
            <w:r w:rsidRPr="00661595">
              <w:rPr>
                <w:rFonts w:ascii="Times New Roman" w:hAnsi="Times New Roman"/>
                <w:b/>
                <w:sz w:val="24"/>
                <w:u w:val="single"/>
              </w:rPr>
              <w:t>NUMBER OF EXPOSURES</w:t>
            </w:r>
          </w:p>
          <w:p w:rsidR="00C55547" w:rsidRPr="00661595" w:rsidRDefault="00C55547" w:rsidP="00E10B85">
            <w:pPr>
              <w:spacing w:before="0" w:after="0"/>
              <w:jc w:val="left"/>
              <w:rPr>
                <w:rFonts w:ascii="Times New Roman" w:hAnsi="Times New Roman"/>
                <w:sz w:val="24"/>
              </w:rPr>
            </w:pPr>
          </w:p>
          <w:p w:rsidR="00C55547" w:rsidRPr="00661595" w:rsidRDefault="00C55547" w:rsidP="00E10B85">
            <w:pPr>
              <w:autoSpaceDE w:val="0"/>
              <w:autoSpaceDN w:val="0"/>
              <w:adjustRightInd w:val="0"/>
              <w:spacing w:before="0" w:after="0"/>
              <w:jc w:val="left"/>
              <w:rPr>
                <w:rFonts w:ascii="Times New Roman" w:hAnsi="Times New Roman"/>
                <w:sz w:val="24"/>
              </w:rPr>
            </w:pPr>
            <w:r w:rsidRPr="00661595">
              <w:rPr>
                <w:rFonts w:ascii="Times New Roman" w:hAnsi="Times New Roman"/>
                <w:sz w:val="24"/>
              </w:rPr>
              <w:t xml:space="preserve">Article 259(4) </w:t>
            </w:r>
            <w:r w:rsidR="00C7103D" w:rsidRPr="00661595">
              <w:rPr>
                <w:rFonts w:ascii="Times New Roman" w:hAnsi="Times New Roman"/>
                <w:sz w:val="24"/>
              </w:rPr>
              <w:t>CRR</w:t>
            </w:r>
          </w:p>
          <w:p w:rsidR="00C55547" w:rsidRPr="00661595" w:rsidRDefault="00C55547" w:rsidP="00E10B85">
            <w:pPr>
              <w:autoSpaceDE w:val="0"/>
              <w:autoSpaceDN w:val="0"/>
              <w:adjustRightInd w:val="0"/>
              <w:spacing w:before="0" w:after="0"/>
              <w:jc w:val="left"/>
              <w:rPr>
                <w:rFonts w:ascii="Times New Roman" w:hAnsi="Times New Roman"/>
                <w:sz w:val="24"/>
              </w:rPr>
            </w:pPr>
          </w:p>
          <w:p w:rsidR="005E5070" w:rsidRPr="00661595" w:rsidRDefault="00C55547" w:rsidP="00E10B85">
            <w:pPr>
              <w:autoSpaceDE w:val="0"/>
              <w:autoSpaceDN w:val="0"/>
              <w:adjustRightInd w:val="0"/>
              <w:spacing w:before="0" w:after="0"/>
              <w:jc w:val="left"/>
              <w:rPr>
                <w:rFonts w:ascii="Times New Roman" w:hAnsi="Times New Roman"/>
                <w:sz w:val="24"/>
              </w:rPr>
            </w:pPr>
            <w:r w:rsidRPr="00661595">
              <w:rPr>
                <w:rFonts w:ascii="Times New Roman" w:hAnsi="Times New Roman"/>
                <w:sz w:val="24"/>
              </w:rPr>
              <w:t xml:space="preserve">This column </w:t>
            </w:r>
            <w:r w:rsidR="00EE2BEA" w:rsidRPr="00661595">
              <w:rPr>
                <w:rFonts w:ascii="Times New Roman" w:hAnsi="Times New Roman"/>
                <w:sz w:val="24"/>
              </w:rPr>
              <w:t>shall be</w:t>
            </w:r>
            <w:r w:rsidRPr="00661595">
              <w:rPr>
                <w:rFonts w:ascii="Times New Roman" w:hAnsi="Times New Roman"/>
                <w:sz w:val="24"/>
              </w:rPr>
              <w:t xml:space="preserve"> compulsory for those institutions using the SEC-IRBA approach to the securitisation positions (and, therefore, reporting more than 95% in column 171). The institution shall report the effective number of exposures.</w:t>
            </w:r>
          </w:p>
          <w:p w:rsidR="00C55547" w:rsidRPr="00661595" w:rsidRDefault="00C55547" w:rsidP="00E10B85">
            <w:pPr>
              <w:autoSpaceDE w:val="0"/>
              <w:autoSpaceDN w:val="0"/>
              <w:adjustRightInd w:val="0"/>
              <w:spacing w:before="0" w:after="0"/>
              <w:jc w:val="left"/>
              <w:rPr>
                <w:rFonts w:ascii="Times New Roman" w:hAnsi="Times New Roman"/>
                <w:sz w:val="24"/>
              </w:rPr>
            </w:pPr>
          </w:p>
          <w:p w:rsidR="00C55547" w:rsidRPr="00661595" w:rsidRDefault="00C55547"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 xml:space="preserve">This column shall not be reported in case of </w:t>
            </w:r>
            <w:r w:rsidR="005E5070" w:rsidRPr="00661595">
              <w:rPr>
                <w:rFonts w:ascii="Times New Roman" w:hAnsi="Times New Roman"/>
                <w:sz w:val="24"/>
              </w:rPr>
              <w:t xml:space="preserve">a </w:t>
            </w:r>
            <w:r w:rsidRPr="00661595">
              <w:rPr>
                <w:rFonts w:ascii="Times New Roman" w:hAnsi="Times New Roman"/>
                <w:sz w:val="24"/>
              </w:rPr>
              <w:t>securitisation of liabilities or whe</w:t>
            </w:r>
            <w:r w:rsidR="005E5070" w:rsidRPr="00661595">
              <w:rPr>
                <w:rFonts w:ascii="Times New Roman" w:hAnsi="Times New Roman"/>
                <w:sz w:val="24"/>
              </w:rPr>
              <w:t>re</w:t>
            </w:r>
            <w:r w:rsidRPr="00661595">
              <w:rPr>
                <w:rFonts w:ascii="Times New Roman" w:hAnsi="Times New Roman"/>
                <w:sz w:val="24"/>
              </w:rPr>
              <w:t xml:space="preserve"> the own funds requirements are based on the securitised exposures (in case of </w:t>
            </w:r>
            <w:r w:rsidR="005E5070" w:rsidRPr="00661595">
              <w:rPr>
                <w:rFonts w:ascii="Times New Roman" w:hAnsi="Times New Roman"/>
                <w:sz w:val="24"/>
              </w:rPr>
              <w:t xml:space="preserve">a </w:t>
            </w:r>
            <w:r w:rsidRPr="00661595">
              <w:rPr>
                <w:rFonts w:ascii="Times New Roman" w:hAnsi="Times New Roman"/>
                <w:sz w:val="24"/>
              </w:rPr>
              <w:t xml:space="preserve">securitisation of assets). This column shall not be </w:t>
            </w:r>
            <w:r w:rsidR="00EE2BEA" w:rsidRPr="00661595">
              <w:rPr>
                <w:rFonts w:ascii="Times New Roman" w:hAnsi="Times New Roman"/>
                <w:sz w:val="24"/>
              </w:rPr>
              <w:t xml:space="preserve">reported </w:t>
            </w:r>
            <w:r w:rsidRPr="00661595">
              <w:rPr>
                <w:rFonts w:ascii="Times New Roman" w:hAnsi="Times New Roman"/>
                <w:sz w:val="24"/>
              </w:rPr>
              <w:t>whe</w:t>
            </w:r>
            <w:r w:rsidR="005E5070" w:rsidRPr="00661595">
              <w:rPr>
                <w:rFonts w:ascii="Times New Roman" w:hAnsi="Times New Roman"/>
                <w:sz w:val="24"/>
              </w:rPr>
              <w:t>re</w:t>
            </w:r>
            <w:r w:rsidRPr="00661595">
              <w:rPr>
                <w:rFonts w:ascii="Times New Roman" w:hAnsi="Times New Roman"/>
                <w:sz w:val="24"/>
              </w:rPr>
              <w:t xml:space="preserve"> the reporting </w:t>
            </w:r>
            <w:r w:rsidR="00EE2BEA" w:rsidRPr="00661595">
              <w:rPr>
                <w:rFonts w:ascii="Times New Roman" w:hAnsi="Times New Roman"/>
                <w:sz w:val="24"/>
              </w:rPr>
              <w:t>institution</w:t>
            </w:r>
            <w:r w:rsidRPr="00661595">
              <w:rPr>
                <w:rFonts w:ascii="Times New Roman" w:hAnsi="Times New Roman"/>
                <w:sz w:val="24"/>
              </w:rPr>
              <w:t xml:space="preserve"> does not hold any positions in the securitisation. This column shall not be </w:t>
            </w:r>
            <w:r w:rsidR="00EE2BEA" w:rsidRPr="00661595">
              <w:rPr>
                <w:rFonts w:ascii="Times New Roman" w:hAnsi="Times New Roman"/>
                <w:sz w:val="24"/>
              </w:rPr>
              <w:t xml:space="preserve">reported </w:t>
            </w:r>
            <w:r w:rsidRPr="00661595">
              <w:rPr>
                <w:rFonts w:ascii="Times New Roman" w:hAnsi="Times New Roman"/>
                <w:sz w:val="24"/>
              </w:rPr>
              <w:t>by investors.</w:t>
            </w:r>
          </w:p>
          <w:p w:rsidR="00C55547" w:rsidRPr="00661595" w:rsidRDefault="00C55547" w:rsidP="00E10B85">
            <w:pPr>
              <w:autoSpaceDE w:val="0"/>
              <w:autoSpaceDN w:val="0"/>
              <w:adjustRightInd w:val="0"/>
              <w:spacing w:before="0" w:after="0"/>
              <w:jc w:val="left"/>
              <w:rPr>
                <w:rFonts w:ascii="Times New Roman" w:hAnsi="Times New Roman"/>
                <w:sz w:val="24"/>
              </w:rPr>
            </w:pPr>
          </w:p>
        </w:tc>
      </w:tr>
      <w:tr w:rsidR="00C55547" w:rsidRPr="00661595" w:rsidTr="00E10B85">
        <w:tc>
          <w:tcPr>
            <w:tcW w:w="1101" w:type="dxa"/>
            <w:shd w:val="clear" w:color="auto" w:fill="auto"/>
          </w:tcPr>
          <w:p w:rsidR="00C55547" w:rsidRPr="00661595" w:rsidRDefault="006E0E76"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w:t>
            </w:r>
            <w:r w:rsidR="00C55547" w:rsidRPr="00661595">
              <w:rPr>
                <w:rFonts w:ascii="Times New Roman" w:hAnsi="Times New Roman"/>
                <w:bCs/>
                <w:sz w:val="24"/>
                <w:lang w:eastAsia="nl-BE"/>
              </w:rPr>
              <w:t>181</w:t>
            </w:r>
          </w:p>
        </w:tc>
        <w:tc>
          <w:tcPr>
            <w:tcW w:w="7903" w:type="dxa"/>
            <w:shd w:val="clear" w:color="auto" w:fill="auto"/>
          </w:tcPr>
          <w:p w:rsidR="00C55547" w:rsidRPr="00661595" w:rsidRDefault="00C55547" w:rsidP="00E10B85">
            <w:pPr>
              <w:spacing w:before="0" w:after="0"/>
              <w:jc w:val="left"/>
              <w:rPr>
                <w:rFonts w:ascii="Times New Roman" w:hAnsi="Times New Roman"/>
                <w:b/>
                <w:sz w:val="24"/>
                <w:u w:val="single"/>
              </w:rPr>
            </w:pPr>
            <w:r w:rsidRPr="00661595">
              <w:rPr>
                <w:rFonts w:ascii="Times New Roman" w:hAnsi="Times New Roman"/>
                <w:b/>
                <w:sz w:val="24"/>
                <w:u w:val="single"/>
              </w:rPr>
              <w:t>EXPOSURES IN DEFAULT ‘W’ (%)</w:t>
            </w:r>
          </w:p>
          <w:p w:rsidR="00C55547" w:rsidRPr="00661595" w:rsidRDefault="00C55547" w:rsidP="00E10B85">
            <w:pPr>
              <w:spacing w:before="0" w:after="0"/>
              <w:jc w:val="left"/>
              <w:rPr>
                <w:rFonts w:ascii="Times New Roman" w:hAnsi="Times New Roman"/>
                <w:b/>
                <w:sz w:val="24"/>
                <w:u w:val="single"/>
              </w:rPr>
            </w:pPr>
          </w:p>
          <w:p w:rsidR="00C55547" w:rsidRPr="00661595" w:rsidRDefault="00C55547" w:rsidP="00E10B85">
            <w:pPr>
              <w:spacing w:before="0" w:after="0"/>
              <w:jc w:val="left"/>
              <w:rPr>
                <w:rFonts w:ascii="Times New Roman" w:hAnsi="Times New Roman"/>
                <w:sz w:val="24"/>
              </w:rPr>
            </w:pPr>
            <w:r w:rsidRPr="00661595">
              <w:rPr>
                <w:rFonts w:ascii="Times New Roman" w:hAnsi="Times New Roman"/>
                <w:sz w:val="24"/>
              </w:rPr>
              <w:t xml:space="preserve">Article 261(2) </w:t>
            </w:r>
            <w:r w:rsidR="00C7103D" w:rsidRPr="00661595">
              <w:rPr>
                <w:rFonts w:ascii="Times New Roman" w:hAnsi="Times New Roman"/>
                <w:sz w:val="24"/>
              </w:rPr>
              <w:t>CRR</w:t>
            </w:r>
          </w:p>
          <w:p w:rsidR="00C55547" w:rsidRPr="00661595" w:rsidRDefault="00C55547" w:rsidP="00E10B85">
            <w:pPr>
              <w:spacing w:before="0" w:after="0"/>
              <w:jc w:val="left"/>
              <w:rPr>
                <w:rFonts w:ascii="Times New Roman" w:hAnsi="Times New Roman"/>
                <w:sz w:val="24"/>
              </w:rPr>
            </w:pPr>
          </w:p>
          <w:p w:rsidR="00C55547" w:rsidRPr="00661595" w:rsidRDefault="00C55547" w:rsidP="00E10B85">
            <w:pPr>
              <w:spacing w:before="0" w:after="0"/>
              <w:jc w:val="left"/>
              <w:rPr>
                <w:rFonts w:ascii="Times New Roman" w:hAnsi="Times New Roman"/>
                <w:sz w:val="24"/>
              </w:rPr>
            </w:pPr>
            <w:r w:rsidRPr="00661595">
              <w:rPr>
                <w:rFonts w:ascii="Times New Roman" w:hAnsi="Times New Roman"/>
                <w:sz w:val="24"/>
              </w:rPr>
              <w:t xml:space="preserve">Even </w:t>
            </w:r>
            <w:r w:rsidR="005E5070" w:rsidRPr="00661595">
              <w:rPr>
                <w:rFonts w:ascii="Times New Roman" w:hAnsi="Times New Roman"/>
                <w:sz w:val="24"/>
              </w:rPr>
              <w:t>where</w:t>
            </w:r>
            <w:r w:rsidRPr="00661595">
              <w:rPr>
                <w:rFonts w:ascii="Times New Roman" w:hAnsi="Times New Roman"/>
                <w:sz w:val="24"/>
              </w:rPr>
              <w:t xml:space="preserve"> the institution is not applying the SEC-SA approach to the securitisation positions, the institution shall report the ‘W’ factor (relating to the underlying exposures in default) which is to be calculated as indicated in Article 261(2) </w:t>
            </w:r>
            <w:r w:rsidR="00C7103D" w:rsidRPr="00661595">
              <w:rPr>
                <w:rFonts w:ascii="Times New Roman" w:hAnsi="Times New Roman"/>
                <w:sz w:val="24"/>
              </w:rPr>
              <w:t>CRR</w:t>
            </w:r>
            <w:r w:rsidRPr="00661595">
              <w:rPr>
                <w:rFonts w:ascii="Times New Roman" w:hAnsi="Times New Roman"/>
                <w:sz w:val="24"/>
              </w:rPr>
              <w:t xml:space="preserve">. </w:t>
            </w:r>
          </w:p>
          <w:p w:rsidR="00C55547" w:rsidRPr="00661595" w:rsidRDefault="00C55547" w:rsidP="00E10B85">
            <w:pPr>
              <w:spacing w:before="0" w:after="0"/>
              <w:jc w:val="left"/>
              <w:rPr>
                <w:rFonts w:ascii="Times New Roman" w:hAnsi="Times New Roman"/>
                <w:b/>
                <w:sz w:val="24"/>
                <w:u w:val="single"/>
              </w:rPr>
            </w:pPr>
          </w:p>
        </w:tc>
      </w:tr>
      <w:tr w:rsidR="00C55547" w:rsidRPr="00661595" w:rsidTr="00E10B85">
        <w:tc>
          <w:tcPr>
            <w:tcW w:w="1101" w:type="dxa"/>
            <w:shd w:val="clear" w:color="auto" w:fill="auto"/>
          </w:tcPr>
          <w:p w:rsidR="00C55547" w:rsidRPr="00661595" w:rsidDel="00A749EA" w:rsidRDefault="006E0E76"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w:t>
            </w:r>
            <w:r w:rsidR="00C55547" w:rsidRPr="00661595">
              <w:rPr>
                <w:rFonts w:ascii="Times New Roman" w:hAnsi="Times New Roman"/>
                <w:bCs/>
                <w:sz w:val="24"/>
                <w:lang w:eastAsia="nl-BE"/>
              </w:rPr>
              <w:t>190</w:t>
            </w:r>
          </w:p>
        </w:tc>
        <w:tc>
          <w:tcPr>
            <w:tcW w:w="7903" w:type="dxa"/>
            <w:shd w:val="clear" w:color="auto" w:fill="auto"/>
          </w:tcPr>
          <w:p w:rsidR="00C55547" w:rsidRPr="00661595" w:rsidRDefault="00C55547" w:rsidP="00E10B85">
            <w:pPr>
              <w:spacing w:before="0" w:after="0"/>
              <w:jc w:val="left"/>
              <w:rPr>
                <w:rFonts w:ascii="Times New Roman" w:hAnsi="Times New Roman"/>
                <w:b/>
                <w:sz w:val="24"/>
                <w:u w:val="single"/>
              </w:rPr>
            </w:pPr>
            <w:r w:rsidRPr="00661595">
              <w:rPr>
                <w:rFonts w:ascii="Times New Roman" w:hAnsi="Times New Roman"/>
                <w:b/>
                <w:sz w:val="24"/>
                <w:u w:val="single"/>
              </w:rPr>
              <w:t>COUNTRY</w:t>
            </w:r>
          </w:p>
          <w:p w:rsidR="00C55547" w:rsidRPr="00661595" w:rsidRDefault="00C55547" w:rsidP="00E10B85">
            <w:pPr>
              <w:spacing w:before="0" w:after="0"/>
              <w:jc w:val="left"/>
              <w:rPr>
                <w:rFonts w:ascii="Times New Roman" w:hAnsi="Times New Roman"/>
                <w:sz w:val="24"/>
              </w:rPr>
            </w:pPr>
          </w:p>
          <w:p w:rsidR="00C55547" w:rsidRPr="00661595" w:rsidRDefault="00EE2BEA" w:rsidP="00E10B85">
            <w:pPr>
              <w:spacing w:before="0" w:after="0"/>
              <w:rPr>
                <w:rFonts w:ascii="Times New Roman" w:hAnsi="Times New Roman"/>
                <w:sz w:val="24"/>
              </w:rPr>
            </w:pPr>
            <w:r w:rsidRPr="00661595">
              <w:rPr>
                <w:rFonts w:ascii="Times New Roman" w:hAnsi="Times New Roman"/>
                <w:sz w:val="24"/>
              </w:rPr>
              <w:t>Institutions shall r</w:t>
            </w:r>
            <w:r w:rsidR="00C55547" w:rsidRPr="00661595">
              <w:rPr>
                <w:rFonts w:ascii="Times New Roman" w:hAnsi="Times New Roman"/>
                <w:sz w:val="24"/>
              </w:rPr>
              <w:t xml:space="preserve">eport the code (ISO 3166-1 alpha-2) of the country of origin of the ultimate underlying of the transaction, i.e. the country of the immediate obligor of the original securitised exposures (look through). </w:t>
            </w:r>
            <w:r w:rsidR="005E5070" w:rsidRPr="00661595">
              <w:rPr>
                <w:rFonts w:ascii="Times New Roman" w:hAnsi="Times New Roman"/>
                <w:sz w:val="24"/>
              </w:rPr>
              <w:t xml:space="preserve">Where </w:t>
            </w:r>
            <w:r w:rsidR="00C55547" w:rsidRPr="00661595">
              <w:rPr>
                <w:rFonts w:ascii="Times New Roman" w:hAnsi="Times New Roman"/>
                <w:sz w:val="24"/>
              </w:rPr>
              <w:t xml:space="preserve">the pool of the securitisation consists of different countries, the institution shall indicate the most important country. </w:t>
            </w:r>
            <w:r w:rsidR="005E5070" w:rsidRPr="00661595">
              <w:rPr>
                <w:rFonts w:ascii="Times New Roman" w:hAnsi="Times New Roman"/>
                <w:sz w:val="24"/>
              </w:rPr>
              <w:t>Where</w:t>
            </w:r>
            <w:r w:rsidR="00C55547" w:rsidRPr="00661595">
              <w:rPr>
                <w:rFonts w:ascii="Times New Roman" w:hAnsi="Times New Roman"/>
                <w:sz w:val="24"/>
              </w:rPr>
              <w:t xml:space="preserve"> no country exceeds a 20 % threshold based on the amount of assets/liabilities, then ‘other countries’ shall be reported.</w:t>
            </w:r>
          </w:p>
          <w:p w:rsidR="00C55547" w:rsidRPr="00661595" w:rsidRDefault="00C55547" w:rsidP="00E10B85">
            <w:pPr>
              <w:spacing w:before="0" w:after="0"/>
              <w:rPr>
                <w:rFonts w:ascii="Times New Roman" w:hAnsi="Times New Roman"/>
                <w:sz w:val="24"/>
              </w:rPr>
            </w:pPr>
          </w:p>
        </w:tc>
      </w:tr>
      <w:tr w:rsidR="00C55547" w:rsidRPr="00661595" w:rsidTr="00E10B85">
        <w:tc>
          <w:tcPr>
            <w:tcW w:w="1101" w:type="dxa"/>
          </w:tcPr>
          <w:p w:rsidR="00C55547" w:rsidRPr="00661595" w:rsidRDefault="006E0E76"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w:t>
            </w:r>
            <w:r w:rsidR="00C55547" w:rsidRPr="00661595">
              <w:rPr>
                <w:rFonts w:ascii="Times New Roman" w:hAnsi="Times New Roman"/>
                <w:bCs/>
                <w:sz w:val="24"/>
                <w:lang w:eastAsia="nl-BE"/>
              </w:rPr>
              <w:t>201</w:t>
            </w:r>
          </w:p>
        </w:tc>
        <w:tc>
          <w:tcPr>
            <w:tcW w:w="7903" w:type="dxa"/>
          </w:tcPr>
          <w:p w:rsidR="00C55547" w:rsidRPr="00661595" w:rsidRDefault="00C55547" w:rsidP="00E10B85">
            <w:pPr>
              <w:spacing w:before="0" w:after="0"/>
              <w:jc w:val="left"/>
              <w:rPr>
                <w:rFonts w:ascii="Times New Roman" w:hAnsi="Times New Roman"/>
                <w:b/>
                <w:sz w:val="24"/>
                <w:u w:val="single"/>
              </w:rPr>
            </w:pPr>
            <w:r w:rsidRPr="00661595">
              <w:rPr>
                <w:rFonts w:ascii="Times New Roman" w:hAnsi="Times New Roman"/>
                <w:b/>
                <w:sz w:val="24"/>
                <w:u w:val="single"/>
              </w:rPr>
              <w:t xml:space="preserve">LGD (%) </w:t>
            </w:r>
          </w:p>
          <w:p w:rsidR="00C55547" w:rsidRPr="00661595" w:rsidRDefault="00C55547" w:rsidP="00E10B85">
            <w:pPr>
              <w:spacing w:before="0" w:after="0"/>
              <w:jc w:val="left"/>
              <w:rPr>
                <w:rFonts w:ascii="Times New Roman" w:hAnsi="Times New Roman"/>
                <w:sz w:val="24"/>
              </w:rPr>
            </w:pPr>
          </w:p>
          <w:p w:rsidR="00C55547" w:rsidRPr="00661595" w:rsidRDefault="00C55547"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 xml:space="preserve">The exposure-weighted average loss-given-default (LGD) shall only be reported by those institutions applying the SEC-IRBA (and, therefore, reporting 95% or more in column </w:t>
            </w:r>
            <w:r w:rsidR="006E0E76" w:rsidRPr="00661595">
              <w:rPr>
                <w:rFonts w:ascii="Times New Roman" w:hAnsi="Times New Roman"/>
                <w:sz w:val="24"/>
              </w:rPr>
              <w:t>0</w:t>
            </w:r>
            <w:r w:rsidRPr="00661595">
              <w:rPr>
                <w:rFonts w:ascii="Times New Roman" w:hAnsi="Times New Roman"/>
                <w:sz w:val="24"/>
              </w:rPr>
              <w:t xml:space="preserve">170). The LGD is to be calculated as indicated in Article 259(5) </w:t>
            </w:r>
            <w:r w:rsidR="00C7103D" w:rsidRPr="00661595">
              <w:rPr>
                <w:rFonts w:ascii="Times New Roman" w:hAnsi="Times New Roman"/>
                <w:sz w:val="24"/>
              </w:rPr>
              <w:t>CRR</w:t>
            </w:r>
            <w:r w:rsidRPr="00661595">
              <w:rPr>
                <w:rFonts w:ascii="Times New Roman" w:hAnsi="Times New Roman"/>
                <w:sz w:val="24"/>
              </w:rPr>
              <w:t xml:space="preserve">. </w:t>
            </w:r>
          </w:p>
          <w:p w:rsidR="00C55547" w:rsidRPr="00661595" w:rsidRDefault="00C55547"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 xml:space="preserve">This column shall not be reported in case of </w:t>
            </w:r>
            <w:r w:rsidR="005E5070" w:rsidRPr="00661595">
              <w:rPr>
                <w:rFonts w:ascii="Times New Roman" w:hAnsi="Times New Roman"/>
                <w:sz w:val="24"/>
              </w:rPr>
              <w:t xml:space="preserve">a </w:t>
            </w:r>
            <w:r w:rsidRPr="00661595">
              <w:rPr>
                <w:rFonts w:ascii="Times New Roman" w:hAnsi="Times New Roman"/>
                <w:sz w:val="24"/>
              </w:rPr>
              <w:t>securitisation of liabilities or whe</w:t>
            </w:r>
            <w:r w:rsidR="005E5070" w:rsidRPr="00661595">
              <w:rPr>
                <w:rFonts w:ascii="Times New Roman" w:hAnsi="Times New Roman"/>
                <w:sz w:val="24"/>
              </w:rPr>
              <w:t>re</w:t>
            </w:r>
            <w:r w:rsidRPr="00661595">
              <w:rPr>
                <w:rFonts w:ascii="Times New Roman" w:hAnsi="Times New Roman"/>
                <w:sz w:val="24"/>
              </w:rPr>
              <w:t xml:space="preserve"> the own funds requirements are based on the securitised exposures (in case of </w:t>
            </w:r>
            <w:r w:rsidR="005E5070" w:rsidRPr="00661595">
              <w:rPr>
                <w:rFonts w:ascii="Times New Roman" w:hAnsi="Times New Roman"/>
                <w:sz w:val="24"/>
              </w:rPr>
              <w:t xml:space="preserve">a </w:t>
            </w:r>
            <w:r w:rsidRPr="00661595">
              <w:rPr>
                <w:rFonts w:ascii="Times New Roman" w:hAnsi="Times New Roman"/>
                <w:sz w:val="24"/>
              </w:rPr>
              <w:t xml:space="preserve">securitisation of assets). </w:t>
            </w:r>
          </w:p>
          <w:p w:rsidR="00C55547" w:rsidRPr="00661595" w:rsidRDefault="00C55547" w:rsidP="00E10B85">
            <w:pPr>
              <w:spacing w:before="0" w:after="0"/>
              <w:jc w:val="left"/>
              <w:rPr>
                <w:rFonts w:ascii="Times New Roman" w:hAnsi="Times New Roman"/>
                <w:sz w:val="24"/>
              </w:rPr>
            </w:pPr>
          </w:p>
        </w:tc>
      </w:tr>
      <w:tr w:rsidR="00C55547" w:rsidRPr="00661595" w:rsidTr="00E10B85">
        <w:tc>
          <w:tcPr>
            <w:tcW w:w="1101" w:type="dxa"/>
          </w:tcPr>
          <w:p w:rsidR="00C55547" w:rsidRPr="00661595" w:rsidRDefault="006E0E76"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w:t>
            </w:r>
            <w:r w:rsidR="00C55547" w:rsidRPr="00661595">
              <w:rPr>
                <w:rFonts w:ascii="Times New Roman" w:hAnsi="Times New Roman"/>
                <w:bCs/>
                <w:sz w:val="24"/>
                <w:lang w:eastAsia="nl-BE"/>
              </w:rPr>
              <w:t>202</w:t>
            </w:r>
          </w:p>
        </w:tc>
        <w:tc>
          <w:tcPr>
            <w:tcW w:w="7903" w:type="dxa"/>
          </w:tcPr>
          <w:p w:rsidR="00C55547" w:rsidRPr="00661595" w:rsidRDefault="00C55547" w:rsidP="00E10B85">
            <w:pPr>
              <w:spacing w:before="0" w:after="0"/>
              <w:jc w:val="left"/>
              <w:rPr>
                <w:rFonts w:ascii="Times New Roman" w:hAnsi="Times New Roman"/>
                <w:b/>
                <w:sz w:val="24"/>
                <w:u w:val="single"/>
              </w:rPr>
            </w:pPr>
            <w:r w:rsidRPr="00661595">
              <w:rPr>
                <w:rFonts w:ascii="Times New Roman" w:hAnsi="Times New Roman"/>
                <w:b/>
                <w:sz w:val="24"/>
                <w:u w:val="single"/>
              </w:rPr>
              <w:t>EL (%)</w:t>
            </w:r>
          </w:p>
          <w:p w:rsidR="00C55547" w:rsidRPr="00661595" w:rsidRDefault="00C55547" w:rsidP="00E10B85">
            <w:pPr>
              <w:spacing w:before="0" w:after="0"/>
              <w:jc w:val="left"/>
              <w:rPr>
                <w:rFonts w:ascii="Times New Roman" w:hAnsi="Times New Roman"/>
                <w:b/>
                <w:sz w:val="24"/>
                <w:u w:val="single"/>
              </w:rPr>
            </w:pPr>
          </w:p>
          <w:p w:rsidR="00C55547" w:rsidRPr="00661595" w:rsidRDefault="00C55547"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 xml:space="preserve">The exposure-weighted average expected loss (EL) of the securitised assets shall only be reported by those institutions applying the SEC-IRBA (and, therefore, reporting 95% or more in column </w:t>
            </w:r>
            <w:r w:rsidR="006E0E76" w:rsidRPr="00661595">
              <w:rPr>
                <w:rFonts w:ascii="Times New Roman" w:hAnsi="Times New Roman"/>
                <w:sz w:val="24"/>
              </w:rPr>
              <w:t>0</w:t>
            </w:r>
            <w:r w:rsidRPr="00661595">
              <w:rPr>
                <w:rFonts w:ascii="Times New Roman" w:hAnsi="Times New Roman"/>
                <w:sz w:val="24"/>
              </w:rPr>
              <w:t>171). In the case of SA securitised assets</w:t>
            </w:r>
            <w:r w:rsidR="005E5070" w:rsidRPr="00661595">
              <w:rPr>
                <w:rFonts w:ascii="Times New Roman" w:hAnsi="Times New Roman"/>
                <w:sz w:val="24"/>
              </w:rPr>
              <w:t>,</w:t>
            </w:r>
            <w:r w:rsidRPr="00661595">
              <w:rPr>
                <w:rFonts w:ascii="Times New Roman" w:hAnsi="Times New Roman"/>
                <w:sz w:val="24"/>
              </w:rPr>
              <w:t xml:space="preserve"> the EL reported sh</w:t>
            </w:r>
            <w:r w:rsidR="00EE2BEA" w:rsidRPr="00661595">
              <w:rPr>
                <w:rFonts w:ascii="Times New Roman" w:hAnsi="Times New Roman"/>
                <w:sz w:val="24"/>
              </w:rPr>
              <w:t>all</w:t>
            </w:r>
            <w:r w:rsidRPr="00661595">
              <w:rPr>
                <w:rFonts w:ascii="Times New Roman" w:hAnsi="Times New Roman"/>
                <w:sz w:val="24"/>
              </w:rPr>
              <w:t xml:space="preserve"> be the specific credit risk adjustment</w:t>
            </w:r>
            <w:r w:rsidR="0073527C" w:rsidRPr="00661595">
              <w:rPr>
                <w:rFonts w:ascii="Times New Roman" w:hAnsi="Times New Roman"/>
                <w:sz w:val="24"/>
              </w:rPr>
              <w:t>s</w:t>
            </w:r>
            <w:r w:rsidRPr="00661595">
              <w:rPr>
                <w:rFonts w:ascii="Times New Roman" w:hAnsi="Times New Roman"/>
                <w:sz w:val="24"/>
              </w:rPr>
              <w:t xml:space="preserve"> as </w:t>
            </w:r>
            <w:r w:rsidR="0073527C" w:rsidRPr="00661595">
              <w:rPr>
                <w:rFonts w:ascii="Times New Roman" w:hAnsi="Times New Roman"/>
                <w:sz w:val="24"/>
              </w:rPr>
              <w:t xml:space="preserve">referred to </w:t>
            </w:r>
            <w:r w:rsidRPr="00661595">
              <w:rPr>
                <w:rFonts w:ascii="Times New Roman" w:hAnsi="Times New Roman"/>
                <w:sz w:val="24"/>
              </w:rPr>
              <w:t>in Art</w:t>
            </w:r>
            <w:r w:rsidR="009C68BF" w:rsidRPr="00661595">
              <w:rPr>
                <w:rFonts w:ascii="Times New Roman" w:hAnsi="Times New Roman"/>
                <w:sz w:val="24"/>
              </w:rPr>
              <w:t>icle</w:t>
            </w:r>
            <w:r w:rsidRPr="00661595">
              <w:rPr>
                <w:rFonts w:ascii="Times New Roman" w:hAnsi="Times New Roman"/>
                <w:sz w:val="24"/>
              </w:rPr>
              <w:t xml:space="preserve"> 111 CRR. The EL </w:t>
            </w:r>
            <w:r w:rsidR="00EE2BEA" w:rsidRPr="00661595">
              <w:rPr>
                <w:rFonts w:ascii="Times New Roman" w:hAnsi="Times New Roman"/>
                <w:sz w:val="24"/>
              </w:rPr>
              <w:t>shall</w:t>
            </w:r>
            <w:r w:rsidRPr="00661595">
              <w:rPr>
                <w:rFonts w:ascii="Times New Roman" w:hAnsi="Times New Roman"/>
                <w:sz w:val="24"/>
              </w:rPr>
              <w:t xml:space="preserve"> be calculated as indicated in Section 3, Chapter 3 of Title II, Part Three </w:t>
            </w:r>
            <w:r w:rsidR="00C7103D" w:rsidRPr="00661595">
              <w:rPr>
                <w:rFonts w:ascii="Times New Roman" w:hAnsi="Times New Roman"/>
                <w:sz w:val="24"/>
              </w:rPr>
              <w:t>CRR</w:t>
            </w:r>
            <w:r w:rsidRPr="00661595">
              <w:rPr>
                <w:rFonts w:ascii="Times New Roman" w:hAnsi="Times New Roman"/>
                <w:sz w:val="24"/>
              </w:rPr>
              <w:t>. This column shall not be reported in case of securitisation of liabilities or whe</w:t>
            </w:r>
            <w:r w:rsidR="005E5070" w:rsidRPr="00661595">
              <w:rPr>
                <w:rFonts w:ascii="Times New Roman" w:hAnsi="Times New Roman"/>
                <w:sz w:val="24"/>
              </w:rPr>
              <w:t>re</w:t>
            </w:r>
            <w:r w:rsidRPr="00661595">
              <w:rPr>
                <w:rFonts w:ascii="Times New Roman" w:hAnsi="Times New Roman"/>
                <w:sz w:val="24"/>
              </w:rPr>
              <w:t xml:space="preserve"> the own funds requirements are based on the securitised exposures (in case of </w:t>
            </w:r>
            <w:r w:rsidR="005E5070" w:rsidRPr="00661595">
              <w:rPr>
                <w:rFonts w:ascii="Times New Roman" w:hAnsi="Times New Roman"/>
                <w:sz w:val="24"/>
              </w:rPr>
              <w:t xml:space="preserve">a </w:t>
            </w:r>
            <w:r w:rsidRPr="00661595">
              <w:rPr>
                <w:rFonts w:ascii="Times New Roman" w:hAnsi="Times New Roman"/>
                <w:sz w:val="24"/>
              </w:rPr>
              <w:t>securitisation of assets).</w:t>
            </w:r>
          </w:p>
          <w:p w:rsidR="00C55547" w:rsidRPr="00661595" w:rsidRDefault="00C55547" w:rsidP="00E10B85">
            <w:pPr>
              <w:spacing w:before="0" w:after="0"/>
              <w:jc w:val="left"/>
              <w:rPr>
                <w:rFonts w:ascii="Times New Roman" w:hAnsi="Times New Roman"/>
                <w:b/>
                <w:sz w:val="24"/>
                <w:u w:val="single"/>
              </w:rPr>
            </w:pPr>
          </w:p>
        </w:tc>
      </w:tr>
      <w:tr w:rsidR="00C55547" w:rsidRPr="00661595" w:rsidTr="00E10B85">
        <w:tc>
          <w:tcPr>
            <w:tcW w:w="1101" w:type="dxa"/>
          </w:tcPr>
          <w:p w:rsidR="00C55547" w:rsidRPr="00661595" w:rsidRDefault="0029716F" w:rsidP="0029716F">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w:t>
            </w:r>
            <w:r w:rsidR="00C55547" w:rsidRPr="00661595">
              <w:rPr>
                <w:rFonts w:ascii="Times New Roman" w:hAnsi="Times New Roman"/>
                <w:bCs/>
                <w:sz w:val="24"/>
                <w:lang w:eastAsia="nl-BE"/>
              </w:rPr>
              <w:t>203</w:t>
            </w:r>
          </w:p>
        </w:tc>
        <w:tc>
          <w:tcPr>
            <w:tcW w:w="7903" w:type="dxa"/>
          </w:tcPr>
          <w:p w:rsidR="00C55547" w:rsidRPr="00661595" w:rsidRDefault="00C55547" w:rsidP="00E10B85">
            <w:pPr>
              <w:spacing w:before="0" w:after="0"/>
              <w:jc w:val="left"/>
              <w:rPr>
                <w:rFonts w:ascii="Times New Roman" w:hAnsi="Times New Roman"/>
                <w:b/>
                <w:sz w:val="24"/>
                <w:u w:val="single"/>
              </w:rPr>
            </w:pPr>
            <w:r w:rsidRPr="00661595">
              <w:rPr>
                <w:rFonts w:ascii="Times New Roman" w:hAnsi="Times New Roman"/>
                <w:b/>
                <w:sz w:val="24"/>
                <w:u w:val="single"/>
              </w:rPr>
              <w:t>UL (%)</w:t>
            </w:r>
          </w:p>
          <w:p w:rsidR="00C55547" w:rsidRPr="00661595" w:rsidRDefault="00C55547" w:rsidP="00E10B85">
            <w:pPr>
              <w:spacing w:before="0" w:after="0"/>
              <w:jc w:val="left"/>
              <w:rPr>
                <w:rFonts w:ascii="Times New Roman" w:hAnsi="Times New Roman"/>
                <w:b/>
                <w:sz w:val="24"/>
                <w:u w:val="single"/>
              </w:rPr>
            </w:pPr>
          </w:p>
          <w:p w:rsidR="00C55547" w:rsidRPr="00661595" w:rsidRDefault="00C55547"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 xml:space="preserve">The exposure-weighted average unexpected loss (UL) of the securitised assets shall only be reported by those institutions applying the SEC-IRBA (and, therefore, reporting 95% or more in column </w:t>
            </w:r>
            <w:r w:rsidR="006E0E76" w:rsidRPr="00661595">
              <w:rPr>
                <w:rFonts w:ascii="Times New Roman" w:hAnsi="Times New Roman"/>
                <w:sz w:val="24"/>
              </w:rPr>
              <w:t>0</w:t>
            </w:r>
            <w:r w:rsidRPr="00661595">
              <w:rPr>
                <w:rFonts w:ascii="Times New Roman" w:hAnsi="Times New Roman"/>
                <w:sz w:val="24"/>
              </w:rPr>
              <w:t xml:space="preserve">170). The UL of assets equals the risk-weighted exposure amount (RWEA) times 8%. RWEA </w:t>
            </w:r>
            <w:r w:rsidR="00EE2BEA" w:rsidRPr="00661595">
              <w:rPr>
                <w:rFonts w:ascii="Times New Roman" w:hAnsi="Times New Roman"/>
                <w:sz w:val="24"/>
              </w:rPr>
              <w:t>shall</w:t>
            </w:r>
            <w:r w:rsidRPr="00661595">
              <w:rPr>
                <w:rFonts w:ascii="Times New Roman" w:hAnsi="Times New Roman"/>
                <w:sz w:val="24"/>
              </w:rPr>
              <w:t xml:space="preserve"> be calculated as indicated in Section 2, Chapter 3 of Title II, Part Three </w:t>
            </w:r>
            <w:r w:rsidR="00C7103D" w:rsidRPr="00661595">
              <w:rPr>
                <w:rFonts w:ascii="Times New Roman" w:hAnsi="Times New Roman"/>
                <w:sz w:val="24"/>
              </w:rPr>
              <w:t>CRR</w:t>
            </w:r>
            <w:r w:rsidRPr="00661595">
              <w:rPr>
                <w:rFonts w:ascii="Times New Roman" w:hAnsi="Times New Roman"/>
                <w:sz w:val="24"/>
              </w:rPr>
              <w:t>. This column shall not be reported in case of securitisation of liabilities or whe</w:t>
            </w:r>
            <w:r w:rsidR="005E5070" w:rsidRPr="00661595">
              <w:rPr>
                <w:rFonts w:ascii="Times New Roman" w:hAnsi="Times New Roman"/>
                <w:sz w:val="24"/>
              </w:rPr>
              <w:t>re</w:t>
            </w:r>
            <w:r w:rsidRPr="00661595">
              <w:rPr>
                <w:rFonts w:ascii="Times New Roman" w:hAnsi="Times New Roman"/>
                <w:sz w:val="24"/>
              </w:rPr>
              <w:t xml:space="preserve"> the own funds requirements are based on the securitised exposures (in </w:t>
            </w:r>
            <w:r w:rsidR="005E5070" w:rsidRPr="00661595">
              <w:rPr>
                <w:rFonts w:ascii="Times New Roman" w:hAnsi="Times New Roman"/>
                <w:sz w:val="24"/>
              </w:rPr>
              <w:t xml:space="preserve">the </w:t>
            </w:r>
            <w:r w:rsidRPr="00661595">
              <w:rPr>
                <w:rFonts w:ascii="Times New Roman" w:hAnsi="Times New Roman"/>
                <w:sz w:val="24"/>
              </w:rPr>
              <w:t xml:space="preserve">case of </w:t>
            </w:r>
            <w:r w:rsidR="005E5070" w:rsidRPr="00661595">
              <w:rPr>
                <w:rFonts w:ascii="Times New Roman" w:hAnsi="Times New Roman"/>
                <w:sz w:val="24"/>
              </w:rPr>
              <w:t xml:space="preserve">a </w:t>
            </w:r>
            <w:r w:rsidRPr="00661595">
              <w:rPr>
                <w:rFonts w:ascii="Times New Roman" w:hAnsi="Times New Roman"/>
                <w:sz w:val="24"/>
              </w:rPr>
              <w:t>securitisation of assets).</w:t>
            </w:r>
          </w:p>
          <w:p w:rsidR="00C55547" w:rsidRPr="00661595" w:rsidRDefault="00C55547" w:rsidP="00E10B85">
            <w:pPr>
              <w:spacing w:before="0" w:after="0"/>
              <w:jc w:val="left"/>
              <w:rPr>
                <w:rFonts w:ascii="Times New Roman" w:hAnsi="Times New Roman"/>
                <w:b/>
                <w:sz w:val="24"/>
                <w:u w:val="single"/>
              </w:rPr>
            </w:pPr>
          </w:p>
        </w:tc>
      </w:tr>
      <w:tr w:rsidR="00C55547" w:rsidRPr="00661595" w:rsidTr="00E10B85">
        <w:tc>
          <w:tcPr>
            <w:tcW w:w="1101" w:type="dxa"/>
          </w:tcPr>
          <w:p w:rsidR="00C55547" w:rsidRPr="00661595" w:rsidRDefault="006E0E76"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w:t>
            </w:r>
            <w:r w:rsidR="00C55547" w:rsidRPr="00661595">
              <w:rPr>
                <w:rFonts w:ascii="Times New Roman" w:hAnsi="Times New Roman"/>
                <w:bCs/>
                <w:sz w:val="24"/>
                <w:lang w:eastAsia="nl-BE"/>
              </w:rPr>
              <w:t>204</w:t>
            </w:r>
          </w:p>
        </w:tc>
        <w:tc>
          <w:tcPr>
            <w:tcW w:w="7903" w:type="dxa"/>
          </w:tcPr>
          <w:p w:rsidR="00C55547" w:rsidRPr="00661595" w:rsidRDefault="00C55547" w:rsidP="00E10B85">
            <w:pPr>
              <w:spacing w:before="0" w:after="0"/>
              <w:jc w:val="left"/>
              <w:rPr>
                <w:rFonts w:ascii="Times New Roman" w:hAnsi="Times New Roman"/>
                <w:b/>
                <w:sz w:val="24"/>
                <w:u w:val="single"/>
              </w:rPr>
            </w:pPr>
            <w:r w:rsidRPr="00661595">
              <w:rPr>
                <w:rFonts w:ascii="Times New Roman" w:hAnsi="Times New Roman"/>
                <w:b/>
                <w:sz w:val="24"/>
                <w:u w:val="single"/>
              </w:rPr>
              <w:t>EXPOSURE-WEIGHTED AVERAGE MATURITY OF ASSETS</w:t>
            </w:r>
          </w:p>
          <w:p w:rsidR="00C55547" w:rsidRPr="00661595" w:rsidRDefault="00C55547" w:rsidP="00E10B85">
            <w:pPr>
              <w:spacing w:before="0" w:after="0"/>
              <w:jc w:val="left"/>
              <w:rPr>
                <w:rFonts w:ascii="Times New Roman" w:hAnsi="Times New Roman"/>
                <w:b/>
                <w:sz w:val="24"/>
                <w:u w:val="single"/>
              </w:rPr>
            </w:pPr>
          </w:p>
          <w:p w:rsidR="00C55547" w:rsidRPr="00661595" w:rsidRDefault="00C55547" w:rsidP="00E10B85">
            <w:pPr>
              <w:spacing w:before="0" w:after="0"/>
              <w:jc w:val="left"/>
              <w:rPr>
                <w:rFonts w:ascii="Times New Roman" w:hAnsi="Times New Roman"/>
                <w:b/>
                <w:sz w:val="24"/>
                <w:u w:val="single"/>
              </w:rPr>
            </w:pPr>
            <w:r w:rsidRPr="00661595">
              <w:rPr>
                <w:rFonts w:ascii="Times New Roman" w:hAnsi="Times New Roman"/>
                <w:sz w:val="24"/>
              </w:rPr>
              <w:t xml:space="preserve">The exposure-weighted average maturity (WAM) of the securitised assets at the reporting date shall be reported by all institutions regardless of the approach used for calculating capital requirements. Institutions shall calculate the maturity of each asset </w:t>
            </w:r>
            <w:r w:rsidR="00CE51FF">
              <w:rPr>
                <w:rFonts w:ascii="Times New Roman" w:hAnsi="Times New Roman"/>
                <w:sz w:val="24"/>
              </w:rPr>
              <w:t>in accordance with</w:t>
            </w:r>
            <w:r w:rsidRPr="00661595">
              <w:rPr>
                <w:rFonts w:ascii="Times New Roman" w:hAnsi="Times New Roman"/>
                <w:sz w:val="24"/>
              </w:rPr>
              <w:t xml:space="preserve"> </w:t>
            </w:r>
            <w:r w:rsidR="002B004B" w:rsidRPr="00661595">
              <w:rPr>
                <w:rFonts w:ascii="Times New Roman" w:hAnsi="Times New Roman"/>
                <w:sz w:val="24"/>
              </w:rPr>
              <w:t xml:space="preserve">points (a) and (f) of </w:t>
            </w:r>
            <w:r w:rsidRPr="00661595">
              <w:rPr>
                <w:rFonts w:ascii="Times New Roman" w:hAnsi="Times New Roman"/>
                <w:sz w:val="24"/>
              </w:rPr>
              <w:t>Article 162(2)</w:t>
            </w:r>
            <w:r w:rsidR="002B004B" w:rsidRPr="00661595">
              <w:rPr>
                <w:rFonts w:ascii="Times New Roman" w:hAnsi="Times New Roman"/>
                <w:sz w:val="24"/>
              </w:rPr>
              <w:t xml:space="preserve"> </w:t>
            </w:r>
            <w:r w:rsidR="00C7103D" w:rsidRPr="00661595">
              <w:rPr>
                <w:rFonts w:ascii="Times New Roman" w:hAnsi="Times New Roman"/>
                <w:sz w:val="24"/>
              </w:rPr>
              <w:t>CRR</w:t>
            </w:r>
            <w:r w:rsidRPr="00661595">
              <w:rPr>
                <w:rFonts w:ascii="Times New Roman" w:hAnsi="Times New Roman"/>
                <w:sz w:val="24"/>
              </w:rPr>
              <w:t>, without applying the 5 year cap.</w:t>
            </w:r>
          </w:p>
          <w:p w:rsidR="00C55547" w:rsidRPr="00661595" w:rsidRDefault="00C55547" w:rsidP="00E10B85">
            <w:pPr>
              <w:spacing w:before="0" w:after="0"/>
              <w:jc w:val="left"/>
              <w:rPr>
                <w:rFonts w:ascii="Times New Roman" w:hAnsi="Times New Roman"/>
                <w:b/>
                <w:sz w:val="24"/>
                <w:u w:val="single"/>
              </w:rPr>
            </w:pPr>
          </w:p>
        </w:tc>
      </w:tr>
      <w:tr w:rsidR="00C55547" w:rsidRPr="00661595" w:rsidTr="00E10B85">
        <w:tc>
          <w:tcPr>
            <w:tcW w:w="1101" w:type="dxa"/>
          </w:tcPr>
          <w:p w:rsidR="00C55547" w:rsidRPr="00661595" w:rsidRDefault="006E0E76"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w:t>
            </w:r>
            <w:r w:rsidR="00C55547" w:rsidRPr="00661595">
              <w:rPr>
                <w:rFonts w:ascii="Times New Roman" w:hAnsi="Times New Roman"/>
                <w:bCs/>
                <w:sz w:val="24"/>
                <w:lang w:eastAsia="nl-BE"/>
              </w:rPr>
              <w:t>210</w:t>
            </w:r>
          </w:p>
        </w:tc>
        <w:tc>
          <w:tcPr>
            <w:tcW w:w="7903" w:type="dxa"/>
          </w:tcPr>
          <w:p w:rsidR="00C55547" w:rsidRPr="00661595" w:rsidRDefault="00C55547" w:rsidP="00E10B85">
            <w:pPr>
              <w:spacing w:before="0" w:after="0"/>
              <w:jc w:val="left"/>
              <w:rPr>
                <w:rFonts w:ascii="Times New Roman" w:hAnsi="Times New Roman"/>
                <w:b/>
                <w:sz w:val="24"/>
                <w:u w:val="single"/>
              </w:rPr>
            </w:pPr>
            <w:r w:rsidRPr="00661595">
              <w:rPr>
                <w:rFonts w:ascii="Times New Roman" w:hAnsi="Times New Roman"/>
                <w:b/>
                <w:sz w:val="24"/>
                <w:u w:val="single"/>
              </w:rPr>
              <w:t>(-) VALUE ADJUSTMENTS AND PROVISIONS</w:t>
            </w:r>
          </w:p>
          <w:p w:rsidR="00C55547" w:rsidRPr="00661595" w:rsidRDefault="00C55547" w:rsidP="00E10B85">
            <w:pPr>
              <w:spacing w:before="0" w:after="0"/>
              <w:jc w:val="left"/>
              <w:rPr>
                <w:rFonts w:ascii="Times New Roman" w:hAnsi="Times New Roman"/>
                <w:sz w:val="24"/>
              </w:rPr>
            </w:pPr>
          </w:p>
          <w:p w:rsidR="00C55547" w:rsidRPr="00661595" w:rsidRDefault="00C55547" w:rsidP="00E10B85">
            <w:pPr>
              <w:autoSpaceDE w:val="0"/>
              <w:autoSpaceDN w:val="0"/>
              <w:adjustRightInd w:val="0"/>
              <w:spacing w:before="0" w:after="0"/>
              <w:jc w:val="left"/>
              <w:rPr>
                <w:rFonts w:ascii="Times New Roman" w:hAnsi="Times New Roman"/>
                <w:sz w:val="24"/>
              </w:rPr>
            </w:pPr>
            <w:r w:rsidRPr="00661595">
              <w:rPr>
                <w:rFonts w:ascii="Times New Roman" w:hAnsi="Times New Roman"/>
                <w:sz w:val="24"/>
              </w:rPr>
              <w:t xml:space="preserve">Value adjustments and provisions (Article 159 </w:t>
            </w:r>
            <w:r w:rsidR="00C7103D" w:rsidRPr="00661595">
              <w:rPr>
                <w:rFonts w:ascii="Times New Roman" w:hAnsi="Times New Roman"/>
                <w:sz w:val="24"/>
              </w:rPr>
              <w:t>CRR</w:t>
            </w:r>
            <w:r w:rsidRPr="00661595">
              <w:rPr>
                <w:rFonts w:ascii="Times New Roman" w:hAnsi="Times New Roman"/>
                <w:sz w:val="24"/>
              </w:rPr>
              <w:t xml:space="preserve">) for credit losses made in accordance with the accounting framework to which the reporting entity is subject. Value adjustments </w:t>
            </w:r>
            <w:r w:rsidR="00EE2BEA" w:rsidRPr="00661595">
              <w:rPr>
                <w:rFonts w:ascii="Times New Roman" w:hAnsi="Times New Roman"/>
                <w:sz w:val="24"/>
              </w:rPr>
              <w:t xml:space="preserve">shall </w:t>
            </w:r>
            <w:r w:rsidRPr="00661595">
              <w:rPr>
                <w:rFonts w:ascii="Times New Roman" w:hAnsi="Times New Roman"/>
                <w:sz w:val="24"/>
              </w:rPr>
              <w:t xml:space="preserve">include any amount recognised in profit or loss for credit losses of financial assets since their initial recognition in the balance sheet (including losses due to credit risk of financial assets measured at fair value that shall not be deducted from the exposure value) plus the discounts on </w:t>
            </w:r>
            <w:r w:rsidR="0073527C" w:rsidRPr="00661595">
              <w:rPr>
                <w:rFonts w:ascii="Times New Roman" w:hAnsi="Times New Roman"/>
                <w:sz w:val="24"/>
              </w:rPr>
              <w:t xml:space="preserve">assets </w:t>
            </w:r>
            <w:r w:rsidRPr="00661595">
              <w:rPr>
                <w:rFonts w:ascii="Times New Roman" w:hAnsi="Times New Roman"/>
                <w:sz w:val="24"/>
              </w:rPr>
              <w:t>purchased when in default</w:t>
            </w:r>
            <w:r w:rsidR="00BF67D7" w:rsidRPr="00661595">
              <w:rPr>
                <w:rFonts w:ascii="Times New Roman" w:hAnsi="Times New Roman"/>
                <w:sz w:val="24"/>
              </w:rPr>
              <w:t xml:space="preserve"> as referred to in Article 166(1) CRR</w:t>
            </w:r>
            <w:r w:rsidRPr="00661595">
              <w:rPr>
                <w:rFonts w:ascii="Times New Roman" w:hAnsi="Times New Roman"/>
                <w:sz w:val="24"/>
              </w:rPr>
              <w:t xml:space="preserve">. Provisions </w:t>
            </w:r>
            <w:r w:rsidR="005E5070" w:rsidRPr="00661595">
              <w:rPr>
                <w:rFonts w:ascii="Times New Roman" w:hAnsi="Times New Roman"/>
                <w:sz w:val="24"/>
              </w:rPr>
              <w:t xml:space="preserve">shall </w:t>
            </w:r>
            <w:r w:rsidRPr="00661595">
              <w:rPr>
                <w:rFonts w:ascii="Times New Roman" w:hAnsi="Times New Roman"/>
                <w:sz w:val="24"/>
              </w:rPr>
              <w:t>include accumulated amounts of credit losses in off-balance sheet items.</w:t>
            </w:r>
          </w:p>
          <w:p w:rsidR="00C55547" w:rsidRPr="00661595" w:rsidRDefault="00C55547" w:rsidP="00E10B85">
            <w:pPr>
              <w:autoSpaceDE w:val="0"/>
              <w:autoSpaceDN w:val="0"/>
              <w:adjustRightInd w:val="0"/>
              <w:spacing w:before="0" w:after="0"/>
              <w:jc w:val="left"/>
              <w:rPr>
                <w:rFonts w:ascii="Times New Roman" w:hAnsi="Times New Roman"/>
                <w:sz w:val="24"/>
              </w:rPr>
            </w:pPr>
          </w:p>
          <w:p w:rsidR="00C55547" w:rsidRPr="00661595" w:rsidRDefault="00C55547"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 xml:space="preserve">This column gathers information on the value adjustments and provisions applied to the securitised exposures. This column shall not be reported in </w:t>
            </w:r>
            <w:r w:rsidR="005E5070" w:rsidRPr="00661595">
              <w:rPr>
                <w:rFonts w:ascii="Times New Roman" w:hAnsi="Times New Roman"/>
                <w:sz w:val="24"/>
              </w:rPr>
              <w:t xml:space="preserve">the </w:t>
            </w:r>
            <w:r w:rsidRPr="00661595">
              <w:rPr>
                <w:rFonts w:ascii="Times New Roman" w:hAnsi="Times New Roman"/>
                <w:sz w:val="24"/>
              </w:rPr>
              <w:t xml:space="preserve">case of </w:t>
            </w:r>
            <w:r w:rsidR="005E5070" w:rsidRPr="00661595">
              <w:rPr>
                <w:rFonts w:ascii="Times New Roman" w:hAnsi="Times New Roman"/>
                <w:sz w:val="24"/>
              </w:rPr>
              <w:t xml:space="preserve">a </w:t>
            </w:r>
            <w:r w:rsidRPr="00661595">
              <w:rPr>
                <w:rFonts w:ascii="Times New Roman" w:hAnsi="Times New Roman"/>
                <w:sz w:val="24"/>
              </w:rPr>
              <w:t>securitisation of liabilities.</w:t>
            </w:r>
          </w:p>
          <w:p w:rsidR="00C55547" w:rsidRPr="00661595" w:rsidRDefault="00C55547" w:rsidP="00E10B85">
            <w:pPr>
              <w:autoSpaceDE w:val="0"/>
              <w:autoSpaceDN w:val="0"/>
              <w:adjustRightInd w:val="0"/>
              <w:spacing w:before="0" w:after="0"/>
              <w:rPr>
                <w:rFonts w:ascii="Times New Roman" w:hAnsi="Times New Roman"/>
                <w:sz w:val="24"/>
              </w:rPr>
            </w:pPr>
          </w:p>
          <w:p w:rsidR="00C55547" w:rsidRPr="00661595" w:rsidRDefault="00C55547"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This information shall be reported even whe</w:t>
            </w:r>
            <w:r w:rsidR="005E5070" w:rsidRPr="00661595">
              <w:rPr>
                <w:rFonts w:ascii="Times New Roman" w:hAnsi="Times New Roman"/>
                <w:sz w:val="24"/>
              </w:rPr>
              <w:t>re</w:t>
            </w:r>
            <w:r w:rsidRPr="00661595">
              <w:rPr>
                <w:rFonts w:ascii="Times New Roman" w:hAnsi="Times New Roman"/>
                <w:sz w:val="24"/>
              </w:rPr>
              <w:t xml:space="preserve"> the reporting entity does not hold any positions in the securitisation. </w:t>
            </w:r>
          </w:p>
          <w:p w:rsidR="00C55547" w:rsidRPr="00661595" w:rsidRDefault="00C55547" w:rsidP="00E10B85">
            <w:pPr>
              <w:autoSpaceDE w:val="0"/>
              <w:autoSpaceDN w:val="0"/>
              <w:adjustRightInd w:val="0"/>
              <w:spacing w:before="0" w:after="0"/>
              <w:rPr>
                <w:rFonts w:ascii="Times New Roman" w:hAnsi="Times New Roman"/>
                <w:sz w:val="24"/>
              </w:rPr>
            </w:pPr>
          </w:p>
        </w:tc>
      </w:tr>
      <w:tr w:rsidR="00C55547" w:rsidRPr="00661595" w:rsidTr="00E10B85">
        <w:tc>
          <w:tcPr>
            <w:tcW w:w="1101" w:type="dxa"/>
          </w:tcPr>
          <w:p w:rsidR="00C55547" w:rsidRPr="00661595" w:rsidRDefault="006E0E76"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sz w:val="24"/>
              </w:rPr>
              <w:t>0</w:t>
            </w:r>
            <w:r w:rsidR="00C55547" w:rsidRPr="00661595">
              <w:rPr>
                <w:rFonts w:ascii="Times New Roman" w:hAnsi="Times New Roman"/>
                <w:sz w:val="24"/>
              </w:rPr>
              <w:t>221</w:t>
            </w:r>
          </w:p>
        </w:tc>
        <w:tc>
          <w:tcPr>
            <w:tcW w:w="7903" w:type="dxa"/>
          </w:tcPr>
          <w:p w:rsidR="00C55547" w:rsidRPr="00661595" w:rsidRDefault="00C55547" w:rsidP="00E10B85">
            <w:pPr>
              <w:spacing w:before="0" w:after="0"/>
              <w:jc w:val="left"/>
              <w:rPr>
                <w:rFonts w:ascii="Times New Roman" w:hAnsi="Times New Roman"/>
                <w:b/>
                <w:sz w:val="24"/>
                <w:u w:val="single"/>
                <w:vertAlign w:val="subscript"/>
              </w:rPr>
            </w:pPr>
            <w:r w:rsidRPr="00661595">
              <w:rPr>
                <w:rFonts w:ascii="Times New Roman" w:hAnsi="Times New Roman"/>
                <w:b/>
                <w:sz w:val="24"/>
                <w:u w:val="single"/>
              </w:rPr>
              <w:t>OWN FUNDS REQUIREMENTS BEFORE SECURITISATION (%) K</w:t>
            </w:r>
            <w:r w:rsidRPr="00661595">
              <w:rPr>
                <w:rFonts w:ascii="Times New Roman" w:hAnsi="Times New Roman"/>
                <w:b/>
                <w:sz w:val="24"/>
                <w:u w:val="single"/>
                <w:vertAlign w:val="subscript"/>
              </w:rPr>
              <w:t>IRB</w:t>
            </w:r>
          </w:p>
          <w:p w:rsidR="00C55547" w:rsidRPr="00661595" w:rsidRDefault="00C55547" w:rsidP="00E10B85">
            <w:pPr>
              <w:spacing w:before="0" w:after="0"/>
              <w:jc w:val="left"/>
              <w:rPr>
                <w:rFonts w:ascii="Times New Roman" w:hAnsi="Times New Roman"/>
                <w:sz w:val="24"/>
              </w:rPr>
            </w:pPr>
          </w:p>
          <w:p w:rsidR="00C55547" w:rsidRPr="00661595" w:rsidRDefault="00C55547"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This column shall only be reported by those institutions applying the SEC-IRBA (and, therefore, reporting 95% or more in column 171) and gathers information on K</w:t>
            </w:r>
            <w:r w:rsidRPr="00661595">
              <w:rPr>
                <w:rFonts w:ascii="Times New Roman" w:hAnsi="Times New Roman"/>
                <w:sz w:val="24"/>
                <w:vertAlign w:val="subscript"/>
              </w:rPr>
              <w:t>IRB</w:t>
            </w:r>
            <w:r w:rsidRPr="00661595">
              <w:rPr>
                <w:rFonts w:ascii="Times New Roman" w:hAnsi="Times New Roman"/>
                <w:sz w:val="24"/>
              </w:rPr>
              <w:t xml:space="preserve">, as </w:t>
            </w:r>
            <w:r w:rsidR="005E5070" w:rsidRPr="00661595">
              <w:rPr>
                <w:rFonts w:ascii="Times New Roman" w:hAnsi="Times New Roman"/>
                <w:sz w:val="24"/>
              </w:rPr>
              <w:t xml:space="preserve">referred to in </w:t>
            </w:r>
            <w:r w:rsidRPr="00661595">
              <w:rPr>
                <w:rFonts w:ascii="Times New Roman" w:hAnsi="Times New Roman"/>
                <w:sz w:val="24"/>
              </w:rPr>
              <w:t xml:space="preserve">Article 255 </w:t>
            </w:r>
            <w:r w:rsidR="00C7103D" w:rsidRPr="00661595">
              <w:rPr>
                <w:rFonts w:ascii="Times New Roman" w:hAnsi="Times New Roman"/>
                <w:sz w:val="24"/>
              </w:rPr>
              <w:t>CRR</w:t>
            </w:r>
            <w:r w:rsidRPr="00661595">
              <w:rPr>
                <w:rFonts w:ascii="Times New Roman" w:hAnsi="Times New Roman"/>
                <w:sz w:val="24"/>
              </w:rPr>
              <w:t>. K</w:t>
            </w:r>
            <w:r w:rsidRPr="00661595">
              <w:rPr>
                <w:rFonts w:ascii="Times New Roman" w:hAnsi="Times New Roman"/>
                <w:sz w:val="24"/>
                <w:vertAlign w:val="subscript"/>
              </w:rPr>
              <w:t>IRB</w:t>
            </w:r>
            <w:r w:rsidRPr="00661595">
              <w:rPr>
                <w:rFonts w:ascii="Times New Roman" w:hAnsi="Times New Roman"/>
                <w:sz w:val="24"/>
              </w:rPr>
              <w:t xml:space="preserve"> shall be expressed as a percentage (with two decimals).</w:t>
            </w:r>
          </w:p>
          <w:p w:rsidR="00C55547" w:rsidRPr="00661595" w:rsidRDefault="00C55547" w:rsidP="00E10B85">
            <w:pPr>
              <w:autoSpaceDE w:val="0"/>
              <w:autoSpaceDN w:val="0"/>
              <w:adjustRightInd w:val="0"/>
              <w:spacing w:before="0" w:after="0"/>
              <w:rPr>
                <w:rFonts w:ascii="Times New Roman" w:hAnsi="Times New Roman"/>
                <w:sz w:val="24"/>
              </w:rPr>
            </w:pPr>
          </w:p>
          <w:p w:rsidR="00C55547" w:rsidRPr="00661595" w:rsidRDefault="00C55547"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This column shall not be reported in case of</w:t>
            </w:r>
            <w:r w:rsidR="005E5070" w:rsidRPr="00661595">
              <w:rPr>
                <w:rFonts w:ascii="Times New Roman" w:hAnsi="Times New Roman"/>
                <w:sz w:val="24"/>
              </w:rPr>
              <w:t xml:space="preserve"> a</w:t>
            </w:r>
            <w:r w:rsidRPr="00661595">
              <w:rPr>
                <w:rFonts w:ascii="Times New Roman" w:hAnsi="Times New Roman"/>
                <w:sz w:val="24"/>
              </w:rPr>
              <w:t xml:space="preserve"> securitisation of liabilities. In case of </w:t>
            </w:r>
            <w:r w:rsidR="005E5070" w:rsidRPr="00661595">
              <w:rPr>
                <w:rFonts w:ascii="Times New Roman" w:hAnsi="Times New Roman"/>
                <w:sz w:val="24"/>
              </w:rPr>
              <w:t>a</w:t>
            </w:r>
            <w:r w:rsidRPr="00661595">
              <w:rPr>
                <w:rFonts w:ascii="Times New Roman" w:hAnsi="Times New Roman"/>
                <w:sz w:val="24"/>
              </w:rPr>
              <w:t xml:space="preserve"> securitisation of assets, this information shall be reported even whe</w:t>
            </w:r>
            <w:r w:rsidR="005E5070" w:rsidRPr="00661595">
              <w:rPr>
                <w:rFonts w:ascii="Times New Roman" w:hAnsi="Times New Roman"/>
                <w:sz w:val="24"/>
              </w:rPr>
              <w:t>re</w:t>
            </w:r>
            <w:r w:rsidRPr="00661595">
              <w:rPr>
                <w:rFonts w:ascii="Times New Roman" w:hAnsi="Times New Roman"/>
                <w:sz w:val="24"/>
              </w:rPr>
              <w:t xml:space="preserve"> the reporting entity does not hold any positions in the securitisation. </w:t>
            </w:r>
          </w:p>
          <w:p w:rsidR="00C55547" w:rsidRPr="00661595" w:rsidRDefault="00C55547" w:rsidP="00E10B85">
            <w:pPr>
              <w:autoSpaceDE w:val="0"/>
              <w:autoSpaceDN w:val="0"/>
              <w:adjustRightInd w:val="0"/>
              <w:spacing w:before="0" w:after="0"/>
              <w:rPr>
                <w:rFonts w:ascii="Times New Roman" w:hAnsi="Times New Roman"/>
                <w:sz w:val="24"/>
              </w:rPr>
            </w:pPr>
          </w:p>
        </w:tc>
      </w:tr>
      <w:tr w:rsidR="00C55547" w:rsidRPr="00661595" w:rsidTr="00E10B85">
        <w:tc>
          <w:tcPr>
            <w:tcW w:w="1101" w:type="dxa"/>
          </w:tcPr>
          <w:p w:rsidR="00C55547" w:rsidRPr="00661595" w:rsidRDefault="006E0E76"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0</w:t>
            </w:r>
            <w:r w:rsidR="00C55547" w:rsidRPr="00661595">
              <w:rPr>
                <w:rFonts w:ascii="Times New Roman" w:hAnsi="Times New Roman"/>
                <w:sz w:val="24"/>
              </w:rPr>
              <w:t>222</w:t>
            </w:r>
          </w:p>
        </w:tc>
        <w:tc>
          <w:tcPr>
            <w:tcW w:w="7903" w:type="dxa"/>
          </w:tcPr>
          <w:p w:rsidR="00C55547" w:rsidRPr="00661595" w:rsidRDefault="00C55547" w:rsidP="00E10B85">
            <w:pPr>
              <w:autoSpaceDE w:val="0"/>
              <w:autoSpaceDN w:val="0"/>
              <w:adjustRightInd w:val="0"/>
              <w:spacing w:before="0" w:after="0"/>
              <w:jc w:val="left"/>
              <w:rPr>
                <w:rFonts w:ascii="Times New Roman" w:hAnsi="Times New Roman"/>
                <w:b/>
                <w:sz w:val="24"/>
                <w:u w:val="single"/>
              </w:rPr>
            </w:pPr>
            <w:r w:rsidRPr="00661595">
              <w:rPr>
                <w:rFonts w:ascii="Times New Roman" w:hAnsi="Times New Roman"/>
                <w:b/>
                <w:sz w:val="24"/>
                <w:u w:val="single"/>
              </w:rPr>
              <w:t>% OF RETAIL EXPOSURES IN IRB POOLS</w:t>
            </w:r>
          </w:p>
          <w:p w:rsidR="00C55547" w:rsidRPr="00661595" w:rsidRDefault="00C55547" w:rsidP="00E10B85">
            <w:pPr>
              <w:autoSpaceDE w:val="0"/>
              <w:autoSpaceDN w:val="0"/>
              <w:adjustRightInd w:val="0"/>
              <w:spacing w:before="0" w:after="0"/>
              <w:jc w:val="left"/>
              <w:rPr>
                <w:rFonts w:ascii="Times New Roman" w:hAnsi="Times New Roman"/>
                <w:sz w:val="24"/>
              </w:rPr>
            </w:pPr>
          </w:p>
          <w:p w:rsidR="00C55547" w:rsidRPr="00661595" w:rsidRDefault="00C55547" w:rsidP="00E10B85">
            <w:pPr>
              <w:autoSpaceDE w:val="0"/>
              <w:autoSpaceDN w:val="0"/>
              <w:adjustRightInd w:val="0"/>
              <w:spacing w:before="0" w:after="0"/>
              <w:jc w:val="left"/>
              <w:rPr>
                <w:rFonts w:ascii="Times New Roman" w:hAnsi="Times New Roman"/>
                <w:sz w:val="24"/>
              </w:rPr>
            </w:pPr>
            <w:r w:rsidRPr="00661595">
              <w:rPr>
                <w:rFonts w:ascii="Times New Roman" w:hAnsi="Times New Roman"/>
                <w:sz w:val="24"/>
              </w:rPr>
              <w:t xml:space="preserve">IRB pools </w:t>
            </w:r>
            <w:r w:rsidR="0073527C" w:rsidRPr="00661595">
              <w:rPr>
                <w:rFonts w:ascii="Times New Roman" w:hAnsi="Times New Roman"/>
                <w:sz w:val="24"/>
              </w:rPr>
              <w:t>as</w:t>
            </w:r>
            <w:r w:rsidRPr="00661595">
              <w:rPr>
                <w:rFonts w:ascii="Times New Roman" w:hAnsi="Times New Roman"/>
                <w:sz w:val="24"/>
              </w:rPr>
              <w:t xml:space="preserve"> defined in Art</w:t>
            </w:r>
            <w:r w:rsidR="009C68BF" w:rsidRPr="00661595">
              <w:rPr>
                <w:rFonts w:ascii="Times New Roman" w:hAnsi="Times New Roman"/>
                <w:sz w:val="24"/>
              </w:rPr>
              <w:t>icle</w:t>
            </w:r>
            <w:r w:rsidRPr="00661595">
              <w:rPr>
                <w:rFonts w:ascii="Times New Roman" w:hAnsi="Times New Roman"/>
                <w:sz w:val="24"/>
              </w:rPr>
              <w:t xml:space="preserve"> 242(7) </w:t>
            </w:r>
            <w:r w:rsidR="00C7103D" w:rsidRPr="00661595">
              <w:rPr>
                <w:rFonts w:ascii="Times New Roman" w:hAnsi="Times New Roman"/>
                <w:sz w:val="24"/>
              </w:rPr>
              <w:t>CRR</w:t>
            </w:r>
            <w:r w:rsidRPr="00661595">
              <w:rPr>
                <w:rFonts w:ascii="Times New Roman" w:hAnsi="Times New Roman"/>
                <w:sz w:val="24"/>
              </w:rPr>
              <w:t>, provided that the institution is able to calculate K</w:t>
            </w:r>
            <w:r w:rsidRPr="00661595">
              <w:rPr>
                <w:rFonts w:ascii="Times New Roman" w:hAnsi="Times New Roman"/>
                <w:sz w:val="24"/>
                <w:vertAlign w:val="subscript"/>
              </w:rPr>
              <w:t>IRB</w:t>
            </w:r>
            <w:r w:rsidRPr="00661595">
              <w:rPr>
                <w:rFonts w:ascii="Times New Roman" w:hAnsi="Times New Roman"/>
                <w:sz w:val="24"/>
              </w:rPr>
              <w:t xml:space="preserve"> in accordance with Section 3 </w:t>
            </w:r>
            <w:r w:rsidR="008241B9" w:rsidRPr="00661595">
              <w:rPr>
                <w:rFonts w:ascii="Times New Roman" w:hAnsi="Times New Roman"/>
                <w:sz w:val="24"/>
              </w:rPr>
              <w:t xml:space="preserve">of Chapter 6 of Title II of Part Three </w:t>
            </w:r>
            <w:r w:rsidRPr="00661595">
              <w:rPr>
                <w:rFonts w:ascii="Times New Roman" w:hAnsi="Times New Roman"/>
                <w:sz w:val="24"/>
              </w:rPr>
              <w:t>CRR on a minimum of 95 % of the underlying exposure amount (Art</w:t>
            </w:r>
            <w:r w:rsidR="008241B9" w:rsidRPr="00661595">
              <w:rPr>
                <w:rFonts w:ascii="Times New Roman" w:hAnsi="Times New Roman"/>
                <w:sz w:val="24"/>
              </w:rPr>
              <w:t>icle</w:t>
            </w:r>
            <w:r w:rsidRPr="00661595">
              <w:rPr>
                <w:rFonts w:ascii="Times New Roman" w:hAnsi="Times New Roman"/>
                <w:sz w:val="24"/>
              </w:rPr>
              <w:t xml:space="preserve"> 259(2) </w:t>
            </w:r>
            <w:r w:rsidR="00C7103D" w:rsidRPr="00661595">
              <w:rPr>
                <w:rFonts w:ascii="Times New Roman" w:hAnsi="Times New Roman"/>
                <w:sz w:val="24"/>
              </w:rPr>
              <w:t>CRR</w:t>
            </w:r>
            <w:r w:rsidRPr="00661595">
              <w:rPr>
                <w:rFonts w:ascii="Times New Roman" w:hAnsi="Times New Roman"/>
                <w:sz w:val="24"/>
              </w:rPr>
              <w:t xml:space="preserve">) </w:t>
            </w:r>
          </w:p>
          <w:p w:rsidR="00C55547" w:rsidRPr="00661595" w:rsidRDefault="00C55547" w:rsidP="00E10B85">
            <w:pPr>
              <w:autoSpaceDE w:val="0"/>
              <w:autoSpaceDN w:val="0"/>
              <w:adjustRightInd w:val="0"/>
              <w:spacing w:before="0" w:after="0"/>
              <w:jc w:val="left"/>
              <w:rPr>
                <w:rFonts w:ascii="Times New Roman" w:hAnsi="Times New Roman"/>
                <w:b/>
                <w:sz w:val="24"/>
                <w:u w:val="single"/>
              </w:rPr>
            </w:pPr>
          </w:p>
        </w:tc>
      </w:tr>
      <w:tr w:rsidR="00C55547" w:rsidRPr="00661595" w:rsidTr="00E10B85">
        <w:tc>
          <w:tcPr>
            <w:tcW w:w="1101" w:type="dxa"/>
          </w:tcPr>
          <w:p w:rsidR="00C55547" w:rsidRPr="00661595" w:rsidRDefault="00973973"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0</w:t>
            </w:r>
            <w:r w:rsidR="00C55547" w:rsidRPr="00661595">
              <w:rPr>
                <w:rFonts w:ascii="Times New Roman" w:hAnsi="Times New Roman"/>
                <w:sz w:val="24"/>
              </w:rPr>
              <w:t>223</w:t>
            </w:r>
          </w:p>
        </w:tc>
        <w:tc>
          <w:tcPr>
            <w:tcW w:w="7903" w:type="dxa"/>
          </w:tcPr>
          <w:p w:rsidR="00C55547" w:rsidRPr="00661595" w:rsidRDefault="00C55547" w:rsidP="00E10B85">
            <w:pPr>
              <w:autoSpaceDE w:val="0"/>
              <w:autoSpaceDN w:val="0"/>
              <w:adjustRightInd w:val="0"/>
              <w:spacing w:before="0" w:after="0"/>
              <w:jc w:val="left"/>
              <w:rPr>
                <w:rFonts w:ascii="Times New Roman" w:hAnsi="Times New Roman"/>
                <w:b/>
                <w:sz w:val="24"/>
                <w:u w:val="single"/>
              </w:rPr>
            </w:pPr>
            <w:r w:rsidRPr="00661595">
              <w:rPr>
                <w:rFonts w:ascii="Times New Roman" w:hAnsi="Times New Roman"/>
                <w:b/>
                <w:sz w:val="24"/>
                <w:u w:val="single"/>
              </w:rPr>
              <w:t>OWN FUNDS REQUIREMENTS BEFORE SECURITISATION (%) K</w:t>
            </w:r>
            <w:r w:rsidRPr="00661595">
              <w:rPr>
                <w:rFonts w:ascii="Times New Roman" w:hAnsi="Times New Roman"/>
                <w:b/>
                <w:sz w:val="24"/>
                <w:u w:val="single"/>
                <w:vertAlign w:val="subscript"/>
              </w:rPr>
              <w:t>sa</w:t>
            </w:r>
          </w:p>
          <w:p w:rsidR="00C55547" w:rsidRPr="00661595" w:rsidRDefault="00C55547" w:rsidP="00E10B85">
            <w:pPr>
              <w:autoSpaceDE w:val="0"/>
              <w:autoSpaceDN w:val="0"/>
              <w:adjustRightInd w:val="0"/>
              <w:spacing w:before="0" w:after="0"/>
              <w:jc w:val="left"/>
              <w:rPr>
                <w:rFonts w:ascii="Times New Roman" w:hAnsi="Times New Roman"/>
                <w:b/>
                <w:sz w:val="24"/>
                <w:u w:val="single"/>
              </w:rPr>
            </w:pPr>
          </w:p>
          <w:p w:rsidR="00C55547" w:rsidRPr="00661595" w:rsidRDefault="00C55547"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 xml:space="preserve">Even </w:t>
            </w:r>
            <w:r w:rsidR="005E5070" w:rsidRPr="00661595">
              <w:rPr>
                <w:rFonts w:ascii="Times New Roman" w:hAnsi="Times New Roman"/>
                <w:sz w:val="24"/>
              </w:rPr>
              <w:t>where</w:t>
            </w:r>
            <w:r w:rsidRPr="00661595">
              <w:rPr>
                <w:rFonts w:ascii="Times New Roman" w:hAnsi="Times New Roman"/>
                <w:sz w:val="24"/>
              </w:rPr>
              <w:t xml:space="preserve"> the institution </w:t>
            </w:r>
            <w:r w:rsidR="005E5070" w:rsidRPr="00661595">
              <w:rPr>
                <w:rFonts w:ascii="Times New Roman" w:hAnsi="Times New Roman"/>
                <w:sz w:val="24"/>
              </w:rPr>
              <w:t xml:space="preserve">does </w:t>
            </w:r>
            <w:r w:rsidRPr="00661595">
              <w:rPr>
                <w:rFonts w:ascii="Times New Roman" w:hAnsi="Times New Roman"/>
                <w:sz w:val="24"/>
              </w:rPr>
              <w:t xml:space="preserve">not apply the SEC-SA approach to the securitisation positions, the institution shall </w:t>
            </w:r>
            <w:r w:rsidR="00EE2BEA" w:rsidRPr="00661595">
              <w:rPr>
                <w:rFonts w:ascii="Times New Roman" w:hAnsi="Times New Roman"/>
                <w:sz w:val="24"/>
              </w:rPr>
              <w:t xml:space="preserve">report </w:t>
            </w:r>
            <w:r w:rsidRPr="00661595">
              <w:rPr>
                <w:rFonts w:ascii="Times New Roman" w:hAnsi="Times New Roman"/>
                <w:sz w:val="24"/>
              </w:rPr>
              <w:t>this column.</w:t>
            </w:r>
            <w:r w:rsidR="00EE2BEA" w:rsidRPr="00661595">
              <w:rPr>
                <w:rFonts w:ascii="Times New Roman" w:hAnsi="Times New Roman"/>
                <w:sz w:val="24"/>
              </w:rPr>
              <w:t xml:space="preserve"> </w:t>
            </w:r>
            <w:r w:rsidRPr="00661595">
              <w:rPr>
                <w:rFonts w:ascii="Times New Roman" w:hAnsi="Times New Roman"/>
                <w:sz w:val="24"/>
              </w:rPr>
              <w:t>This column gathers information on K</w:t>
            </w:r>
            <w:r w:rsidRPr="00661595">
              <w:rPr>
                <w:rFonts w:ascii="Times New Roman" w:hAnsi="Times New Roman"/>
                <w:sz w:val="24"/>
                <w:vertAlign w:val="subscript"/>
              </w:rPr>
              <w:t>SA</w:t>
            </w:r>
            <w:r w:rsidRPr="00661595">
              <w:rPr>
                <w:rFonts w:ascii="Times New Roman" w:hAnsi="Times New Roman"/>
                <w:sz w:val="24"/>
              </w:rPr>
              <w:t xml:space="preserve">, as </w:t>
            </w:r>
            <w:r w:rsidR="005E5070" w:rsidRPr="00661595">
              <w:rPr>
                <w:rFonts w:ascii="Times New Roman" w:hAnsi="Times New Roman"/>
                <w:sz w:val="24"/>
              </w:rPr>
              <w:t xml:space="preserve">referred to </w:t>
            </w:r>
            <w:r w:rsidRPr="00661595">
              <w:rPr>
                <w:rFonts w:ascii="Times New Roman" w:hAnsi="Times New Roman"/>
                <w:sz w:val="24"/>
              </w:rPr>
              <w:t xml:space="preserve">in Article 255(6) </w:t>
            </w:r>
            <w:r w:rsidR="00C7103D" w:rsidRPr="00661595">
              <w:rPr>
                <w:rFonts w:ascii="Times New Roman" w:hAnsi="Times New Roman"/>
                <w:sz w:val="24"/>
              </w:rPr>
              <w:t>CRR</w:t>
            </w:r>
            <w:r w:rsidRPr="00661595">
              <w:rPr>
                <w:rFonts w:ascii="Times New Roman" w:hAnsi="Times New Roman"/>
                <w:sz w:val="24"/>
              </w:rPr>
              <w:t>. K</w:t>
            </w:r>
            <w:r w:rsidRPr="00661595">
              <w:rPr>
                <w:rFonts w:ascii="Times New Roman" w:hAnsi="Times New Roman"/>
                <w:sz w:val="24"/>
                <w:vertAlign w:val="subscript"/>
              </w:rPr>
              <w:t>SA</w:t>
            </w:r>
            <w:r w:rsidRPr="00661595">
              <w:rPr>
                <w:rFonts w:ascii="Times New Roman" w:hAnsi="Times New Roman"/>
                <w:sz w:val="24"/>
              </w:rPr>
              <w:t xml:space="preserve"> shall be expressed as a percentage (with two decimals).</w:t>
            </w:r>
          </w:p>
          <w:p w:rsidR="00C55547" w:rsidRPr="00661595" w:rsidRDefault="00C55547" w:rsidP="00E10B85">
            <w:pPr>
              <w:autoSpaceDE w:val="0"/>
              <w:autoSpaceDN w:val="0"/>
              <w:adjustRightInd w:val="0"/>
              <w:spacing w:before="0" w:after="0"/>
              <w:rPr>
                <w:rFonts w:ascii="Times New Roman" w:hAnsi="Times New Roman"/>
                <w:sz w:val="24"/>
              </w:rPr>
            </w:pPr>
          </w:p>
          <w:p w:rsidR="00C55547" w:rsidRPr="00661595" w:rsidRDefault="00C55547"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 xml:space="preserve">This column shall not be reported in case of </w:t>
            </w:r>
            <w:r w:rsidR="005E5070" w:rsidRPr="00661595">
              <w:rPr>
                <w:rFonts w:ascii="Times New Roman" w:hAnsi="Times New Roman"/>
                <w:sz w:val="24"/>
              </w:rPr>
              <w:t xml:space="preserve">a </w:t>
            </w:r>
            <w:r w:rsidRPr="00661595">
              <w:rPr>
                <w:rFonts w:ascii="Times New Roman" w:hAnsi="Times New Roman"/>
                <w:sz w:val="24"/>
              </w:rPr>
              <w:t xml:space="preserve">securitisation of liabilities. In case of </w:t>
            </w:r>
            <w:r w:rsidR="005E5070" w:rsidRPr="00661595">
              <w:rPr>
                <w:rFonts w:ascii="Times New Roman" w:hAnsi="Times New Roman"/>
                <w:sz w:val="24"/>
              </w:rPr>
              <w:t>a</w:t>
            </w:r>
            <w:r w:rsidRPr="00661595">
              <w:rPr>
                <w:rFonts w:ascii="Times New Roman" w:hAnsi="Times New Roman"/>
                <w:sz w:val="24"/>
              </w:rPr>
              <w:t xml:space="preserve"> securitisation of assets, this information shall be reported even whe</w:t>
            </w:r>
            <w:r w:rsidR="005E5070" w:rsidRPr="00661595">
              <w:rPr>
                <w:rFonts w:ascii="Times New Roman" w:hAnsi="Times New Roman"/>
                <w:sz w:val="24"/>
              </w:rPr>
              <w:t>re</w:t>
            </w:r>
            <w:r w:rsidRPr="00661595">
              <w:rPr>
                <w:rFonts w:ascii="Times New Roman" w:hAnsi="Times New Roman"/>
                <w:sz w:val="24"/>
              </w:rPr>
              <w:t xml:space="preserve"> the reporting entity does not hold any positions in the securitisation. </w:t>
            </w:r>
          </w:p>
          <w:p w:rsidR="00C55547" w:rsidRPr="00661595" w:rsidRDefault="00C55547" w:rsidP="00E10B85">
            <w:pPr>
              <w:autoSpaceDE w:val="0"/>
              <w:autoSpaceDN w:val="0"/>
              <w:adjustRightInd w:val="0"/>
              <w:spacing w:before="0" w:after="0"/>
              <w:jc w:val="left"/>
              <w:rPr>
                <w:rFonts w:ascii="Times New Roman" w:hAnsi="Times New Roman"/>
                <w:b/>
                <w:sz w:val="24"/>
                <w:u w:val="single"/>
              </w:rPr>
            </w:pPr>
          </w:p>
        </w:tc>
      </w:tr>
      <w:tr w:rsidR="00C55547" w:rsidRPr="00661595" w:rsidTr="00E10B85">
        <w:tc>
          <w:tcPr>
            <w:tcW w:w="1101" w:type="dxa"/>
          </w:tcPr>
          <w:p w:rsidR="00C55547" w:rsidRPr="00661595" w:rsidRDefault="00973973" w:rsidP="00EA0754">
            <w:pPr>
              <w:autoSpaceDE w:val="0"/>
              <w:autoSpaceDN w:val="0"/>
              <w:adjustRightInd w:val="0"/>
              <w:spacing w:before="0" w:after="0"/>
              <w:rPr>
                <w:rFonts w:ascii="Times New Roman" w:hAnsi="Times New Roman"/>
                <w:sz w:val="24"/>
              </w:rPr>
            </w:pPr>
            <w:r w:rsidRPr="00661595">
              <w:rPr>
                <w:rFonts w:ascii="Times New Roman" w:hAnsi="Times New Roman"/>
                <w:sz w:val="24"/>
              </w:rPr>
              <w:t>0</w:t>
            </w:r>
            <w:r w:rsidR="00C55547" w:rsidRPr="00661595">
              <w:rPr>
                <w:rFonts w:ascii="Times New Roman" w:hAnsi="Times New Roman"/>
                <w:sz w:val="24"/>
              </w:rPr>
              <w:t>22</w:t>
            </w:r>
            <w:r w:rsidR="00EA0754" w:rsidRPr="00661595">
              <w:rPr>
                <w:rFonts w:ascii="Times New Roman" w:hAnsi="Times New Roman"/>
                <w:sz w:val="24"/>
              </w:rPr>
              <w:t>5</w:t>
            </w:r>
          </w:p>
        </w:tc>
        <w:tc>
          <w:tcPr>
            <w:tcW w:w="7903" w:type="dxa"/>
          </w:tcPr>
          <w:p w:rsidR="00C55547" w:rsidRPr="00661595" w:rsidRDefault="00C55547" w:rsidP="00E10B85">
            <w:pPr>
              <w:autoSpaceDE w:val="0"/>
              <w:autoSpaceDN w:val="0"/>
              <w:adjustRightInd w:val="0"/>
              <w:spacing w:before="0" w:after="0"/>
              <w:jc w:val="left"/>
              <w:rPr>
                <w:rFonts w:ascii="Times New Roman" w:hAnsi="Times New Roman"/>
                <w:b/>
                <w:sz w:val="24"/>
                <w:u w:val="single"/>
              </w:rPr>
            </w:pPr>
            <w:r w:rsidRPr="00661595">
              <w:rPr>
                <w:rFonts w:ascii="Times New Roman" w:hAnsi="Times New Roman"/>
                <w:b/>
                <w:sz w:val="24"/>
                <w:u w:val="single"/>
              </w:rPr>
              <w:t>MEMORANDUM ITEMS</w:t>
            </w:r>
          </w:p>
        </w:tc>
      </w:tr>
      <w:tr w:rsidR="00C55547" w:rsidRPr="00661595" w:rsidTr="00E10B85">
        <w:tc>
          <w:tcPr>
            <w:tcW w:w="1101" w:type="dxa"/>
          </w:tcPr>
          <w:p w:rsidR="00C55547" w:rsidRPr="00661595" w:rsidRDefault="00973973" w:rsidP="00EA0754">
            <w:pPr>
              <w:autoSpaceDE w:val="0"/>
              <w:autoSpaceDN w:val="0"/>
              <w:adjustRightInd w:val="0"/>
              <w:spacing w:before="0" w:after="0"/>
              <w:rPr>
                <w:rFonts w:ascii="Times New Roman" w:hAnsi="Times New Roman"/>
                <w:sz w:val="24"/>
              </w:rPr>
            </w:pPr>
            <w:r w:rsidRPr="00661595">
              <w:rPr>
                <w:rFonts w:ascii="Times New Roman" w:hAnsi="Times New Roman"/>
                <w:sz w:val="24"/>
              </w:rPr>
              <w:t>0</w:t>
            </w:r>
            <w:r w:rsidR="00C55547" w:rsidRPr="00661595">
              <w:rPr>
                <w:rFonts w:ascii="Times New Roman" w:hAnsi="Times New Roman"/>
                <w:sz w:val="24"/>
              </w:rPr>
              <w:t>22</w:t>
            </w:r>
            <w:r w:rsidR="00EA0754" w:rsidRPr="00661595">
              <w:rPr>
                <w:rFonts w:ascii="Times New Roman" w:hAnsi="Times New Roman"/>
                <w:sz w:val="24"/>
              </w:rPr>
              <w:t>5</w:t>
            </w:r>
          </w:p>
        </w:tc>
        <w:tc>
          <w:tcPr>
            <w:tcW w:w="7903" w:type="dxa"/>
          </w:tcPr>
          <w:p w:rsidR="00C55547" w:rsidRPr="00661595" w:rsidRDefault="00C55547" w:rsidP="00E10B85">
            <w:pPr>
              <w:autoSpaceDE w:val="0"/>
              <w:autoSpaceDN w:val="0"/>
              <w:adjustRightInd w:val="0"/>
              <w:spacing w:before="0" w:after="0"/>
              <w:jc w:val="left"/>
              <w:rPr>
                <w:rFonts w:ascii="Times New Roman" w:hAnsi="Times New Roman"/>
                <w:b/>
                <w:sz w:val="24"/>
                <w:u w:val="single"/>
              </w:rPr>
            </w:pPr>
            <w:r w:rsidRPr="00661595">
              <w:rPr>
                <w:rFonts w:ascii="Times New Roman" w:hAnsi="Times New Roman"/>
                <w:b/>
                <w:sz w:val="24"/>
                <w:u w:val="single"/>
              </w:rPr>
              <w:t xml:space="preserve">CREDIT RISK ADJUSTMENTS DURING THE CURRENT PERIOD </w:t>
            </w:r>
          </w:p>
          <w:p w:rsidR="00C55547" w:rsidRPr="00661595" w:rsidRDefault="00C55547" w:rsidP="00E10B85">
            <w:pPr>
              <w:autoSpaceDE w:val="0"/>
              <w:autoSpaceDN w:val="0"/>
              <w:adjustRightInd w:val="0"/>
              <w:spacing w:before="0" w:after="0"/>
              <w:jc w:val="left"/>
              <w:rPr>
                <w:rFonts w:ascii="Times New Roman" w:hAnsi="Times New Roman"/>
                <w:b/>
                <w:sz w:val="24"/>
                <w:u w:val="single"/>
              </w:rPr>
            </w:pPr>
          </w:p>
          <w:p w:rsidR="00C55547" w:rsidRPr="00661595" w:rsidRDefault="00C55547" w:rsidP="00E10B85">
            <w:pPr>
              <w:autoSpaceDE w:val="0"/>
              <w:autoSpaceDN w:val="0"/>
              <w:adjustRightInd w:val="0"/>
              <w:spacing w:before="0" w:after="0"/>
              <w:jc w:val="left"/>
              <w:rPr>
                <w:rFonts w:ascii="Times New Roman" w:hAnsi="Times New Roman"/>
                <w:sz w:val="24"/>
              </w:rPr>
            </w:pPr>
            <w:r w:rsidRPr="00661595">
              <w:rPr>
                <w:rFonts w:ascii="Times New Roman" w:hAnsi="Times New Roman"/>
                <w:sz w:val="24"/>
              </w:rPr>
              <w:t>Article 110 CRR</w:t>
            </w:r>
          </w:p>
          <w:p w:rsidR="00C55547" w:rsidRPr="00661595" w:rsidRDefault="00C55547" w:rsidP="00E10B85">
            <w:pPr>
              <w:autoSpaceDE w:val="0"/>
              <w:autoSpaceDN w:val="0"/>
              <w:adjustRightInd w:val="0"/>
              <w:spacing w:before="0" w:after="0"/>
              <w:jc w:val="left"/>
              <w:rPr>
                <w:rFonts w:ascii="Times New Roman" w:hAnsi="Times New Roman"/>
                <w:b/>
                <w:sz w:val="24"/>
                <w:u w:val="single"/>
              </w:rPr>
            </w:pPr>
          </w:p>
        </w:tc>
      </w:tr>
      <w:tr w:rsidR="00C55547" w:rsidRPr="00661595" w:rsidTr="00E10B85">
        <w:tc>
          <w:tcPr>
            <w:tcW w:w="1101" w:type="dxa"/>
          </w:tcPr>
          <w:p w:rsidR="00C55547" w:rsidRPr="00661595" w:rsidRDefault="00973973" w:rsidP="00B85F75">
            <w:pPr>
              <w:autoSpaceDE w:val="0"/>
              <w:autoSpaceDN w:val="0"/>
              <w:adjustRightInd w:val="0"/>
              <w:spacing w:before="0" w:after="0"/>
              <w:rPr>
                <w:rFonts w:ascii="Times New Roman" w:hAnsi="Times New Roman"/>
                <w:bCs/>
                <w:sz w:val="24"/>
                <w:lang w:eastAsia="nl-BE"/>
              </w:rPr>
            </w:pPr>
            <w:r w:rsidRPr="00661595">
              <w:rPr>
                <w:rFonts w:ascii="Times New Roman" w:hAnsi="Times New Roman"/>
                <w:sz w:val="24"/>
              </w:rPr>
              <w:t>0</w:t>
            </w:r>
            <w:r w:rsidR="00C55547" w:rsidRPr="00661595">
              <w:rPr>
                <w:rFonts w:ascii="Times New Roman" w:hAnsi="Times New Roman"/>
                <w:sz w:val="24"/>
              </w:rPr>
              <w:t>230-</w:t>
            </w:r>
            <w:r w:rsidRPr="00661595">
              <w:rPr>
                <w:rFonts w:ascii="Times New Roman" w:hAnsi="Times New Roman"/>
                <w:sz w:val="24"/>
              </w:rPr>
              <w:t>0</w:t>
            </w:r>
            <w:r w:rsidR="00C55547" w:rsidRPr="00661595">
              <w:rPr>
                <w:rFonts w:ascii="Times New Roman" w:hAnsi="Times New Roman"/>
                <w:sz w:val="24"/>
              </w:rPr>
              <w:t>30</w:t>
            </w:r>
            <w:r w:rsidR="00B85F75" w:rsidRPr="00661595">
              <w:rPr>
                <w:rFonts w:ascii="Times New Roman" w:hAnsi="Times New Roman"/>
                <w:sz w:val="24"/>
              </w:rPr>
              <w:t>4</w:t>
            </w:r>
          </w:p>
        </w:tc>
        <w:tc>
          <w:tcPr>
            <w:tcW w:w="7903" w:type="dxa"/>
          </w:tcPr>
          <w:p w:rsidR="00C55547" w:rsidRPr="00661595" w:rsidRDefault="00C55547" w:rsidP="00E10B85">
            <w:pPr>
              <w:autoSpaceDE w:val="0"/>
              <w:autoSpaceDN w:val="0"/>
              <w:adjustRightInd w:val="0"/>
              <w:spacing w:before="0" w:after="0"/>
              <w:jc w:val="left"/>
              <w:rPr>
                <w:rFonts w:ascii="Times New Roman" w:hAnsi="Times New Roman"/>
                <w:b/>
                <w:sz w:val="24"/>
                <w:u w:val="single"/>
              </w:rPr>
            </w:pPr>
            <w:r w:rsidRPr="00661595">
              <w:rPr>
                <w:rFonts w:ascii="Times New Roman" w:hAnsi="Times New Roman"/>
                <w:b/>
                <w:sz w:val="24"/>
                <w:u w:val="single"/>
              </w:rPr>
              <w:t>SECURITISATION STRUCTURE</w:t>
            </w:r>
          </w:p>
          <w:p w:rsidR="00C55547" w:rsidRPr="00661595" w:rsidRDefault="00C55547" w:rsidP="00E10B85">
            <w:pPr>
              <w:autoSpaceDE w:val="0"/>
              <w:autoSpaceDN w:val="0"/>
              <w:adjustRightInd w:val="0"/>
              <w:spacing w:before="0" w:after="0"/>
              <w:jc w:val="left"/>
              <w:rPr>
                <w:rFonts w:ascii="Times New Roman" w:hAnsi="Times New Roman"/>
                <w:sz w:val="24"/>
                <w:u w:val="single"/>
              </w:rPr>
            </w:pPr>
          </w:p>
          <w:p w:rsidR="00C55547" w:rsidRPr="00661595" w:rsidRDefault="00C55547"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 xml:space="preserve">This block of columns gathers information on the structure of the securitisation </w:t>
            </w:r>
            <w:r w:rsidR="0073527C" w:rsidRPr="00661595">
              <w:rPr>
                <w:rFonts w:ascii="Times New Roman" w:hAnsi="Times New Roman"/>
                <w:sz w:val="24"/>
              </w:rPr>
              <w:t>on the basis of</w:t>
            </w:r>
            <w:r w:rsidRPr="00661595">
              <w:rPr>
                <w:rFonts w:ascii="Times New Roman" w:hAnsi="Times New Roman"/>
                <w:sz w:val="24"/>
              </w:rPr>
              <w:t xml:space="preserve"> on/off balance sheet positions, tranches (senior/mezzanine/ first loss) and maturity</w:t>
            </w:r>
            <w:r w:rsidR="00D956C2" w:rsidRPr="00661595">
              <w:rPr>
                <w:rFonts w:ascii="Times New Roman" w:hAnsi="Times New Roman"/>
                <w:sz w:val="24"/>
              </w:rPr>
              <w:t xml:space="preserve"> at reporting date</w:t>
            </w:r>
            <w:r w:rsidRPr="00661595">
              <w:rPr>
                <w:rFonts w:ascii="Times New Roman" w:hAnsi="Times New Roman"/>
                <w:sz w:val="24"/>
              </w:rPr>
              <w:t xml:space="preserve">. </w:t>
            </w:r>
          </w:p>
          <w:p w:rsidR="00C55547" w:rsidRPr="00661595" w:rsidRDefault="00C55547" w:rsidP="00E10B85">
            <w:pPr>
              <w:autoSpaceDE w:val="0"/>
              <w:autoSpaceDN w:val="0"/>
              <w:adjustRightInd w:val="0"/>
              <w:spacing w:before="0" w:after="0"/>
              <w:rPr>
                <w:rFonts w:ascii="Times New Roman" w:hAnsi="Times New Roman"/>
                <w:sz w:val="24"/>
              </w:rPr>
            </w:pPr>
          </w:p>
          <w:p w:rsidR="00C55547" w:rsidRPr="00661595" w:rsidRDefault="005E5070" w:rsidP="00E10B85">
            <w:pPr>
              <w:spacing w:before="0" w:after="0"/>
              <w:rPr>
                <w:rFonts w:ascii="Times New Roman" w:hAnsi="Times New Roman"/>
                <w:sz w:val="24"/>
              </w:rPr>
            </w:pPr>
            <w:r w:rsidRPr="00661595">
              <w:rPr>
                <w:rFonts w:ascii="Times New Roman" w:hAnsi="Times New Roman"/>
                <w:sz w:val="24"/>
              </w:rPr>
              <w:t xml:space="preserve">For </w:t>
            </w:r>
            <w:r w:rsidR="00C55547" w:rsidRPr="00661595">
              <w:rPr>
                <w:rFonts w:ascii="Times New Roman" w:hAnsi="Times New Roman"/>
                <w:sz w:val="24"/>
              </w:rPr>
              <w:t>multi-seller securitisations</w:t>
            </w:r>
            <w:r w:rsidRPr="00661595">
              <w:rPr>
                <w:rFonts w:ascii="Times New Roman" w:hAnsi="Times New Roman"/>
                <w:sz w:val="24"/>
              </w:rPr>
              <w:t>,</w:t>
            </w:r>
            <w:r w:rsidR="00C55547" w:rsidRPr="00661595">
              <w:rPr>
                <w:rFonts w:ascii="Times New Roman" w:hAnsi="Times New Roman"/>
                <w:sz w:val="24"/>
              </w:rPr>
              <w:t xml:space="preserve"> only the amount corresponding or attributed to the reporting institution shall be reported.</w:t>
            </w:r>
          </w:p>
          <w:p w:rsidR="00C55547" w:rsidRPr="00661595" w:rsidRDefault="00C55547" w:rsidP="00E10B85">
            <w:pPr>
              <w:spacing w:before="0" w:after="0"/>
              <w:jc w:val="left"/>
              <w:rPr>
                <w:rFonts w:ascii="Times New Roman" w:hAnsi="Times New Roman"/>
                <w:sz w:val="24"/>
              </w:rPr>
            </w:pPr>
          </w:p>
        </w:tc>
      </w:tr>
      <w:tr w:rsidR="00C55547" w:rsidRPr="00661595" w:rsidTr="00E10B85">
        <w:tc>
          <w:tcPr>
            <w:tcW w:w="1101" w:type="dxa"/>
          </w:tcPr>
          <w:p w:rsidR="00C55547" w:rsidRPr="00661595" w:rsidRDefault="00973973"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0</w:t>
            </w:r>
            <w:r w:rsidR="00C55547" w:rsidRPr="00661595">
              <w:rPr>
                <w:rFonts w:ascii="Times New Roman" w:hAnsi="Times New Roman"/>
                <w:sz w:val="24"/>
              </w:rPr>
              <w:t>230-</w:t>
            </w:r>
            <w:r w:rsidR="0029716F" w:rsidRPr="00661595">
              <w:rPr>
                <w:rFonts w:ascii="Times New Roman" w:hAnsi="Times New Roman"/>
                <w:sz w:val="24"/>
              </w:rPr>
              <w:t>0</w:t>
            </w:r>
            <w:r w:rsidR="00C55547" w:rsidRPr="00661595">
              <w:rPr>
                <w:rFonts w:ascii="Times New Roman" w:hAnsi="Times New Roman"/>
                <w:sz w:val="24"/>
              </w:rPr>
              <w:t>252</w:t>
            </w:r>
          </w:p>
        </w:tc>
        <w:tc>
          <w:tcPr>
            <w:tcW w:w="7903" w:type="dxa"/>
          </w:tcPr>
          <w:p w:rsidR="00C55547" w:rsidRPr="00661595" w:rsidRDefault="00C55547" w:rsidP="00E10B85">
            <w:pPr>
              <w:autoSpaceDE w:val="0"/>
              <w:autoSpaceDN w:val="0"/>
              <w:adjustRightInd w:val="0"/>
              <w:spacing w:before="0" w:after="0"/>
              <w:jc w:val="left"/>
              <w:rPr>
                <w:rFonts w:ascii="Times New Roman" w:hAnsi="Times New Roman"/>
                <w:b/>
                <w:sz w:val="24"/>
                <w:u w:val="single"/>
              </w:rPr>
            </w:pPr>
            <w:r w:rsidRPr="00661595">
              <w:rPr>
                <w:rFonts w:ascii="Times New Roman" w:hAnsi="Times New Roman"/>
                <w:b/>
                <w:sz w:val="24"/>
                <w:u w:val="single"/>
              </w:rPr>
              <w:t>ON-BALANCE SHEET ITEMS</w:t>
            </w:r>
          </w:p>
          <w:p w:rsidR="00C55547" w:rsidRPr="00661595" w:rsidRDefault="00C55547" w:rsidP="00E10B85">
            <w:pPr>
              <w:autoSpaceDE w:val="0"/>
              <w:autoSpaceDN w:val="0"/>
              <w:adjustRightInd w:val="0"/>
              <w:spacing w:before="0" w:after="0"/>
              <w:jc w:val="left"/>
              <w:rPr>
                <w:rFonts w:ascii="Times New Roman" w:hAnsi="Times New Roman"/>
                <w:b/>
                <w:sz w:val="24"/>
                <w:u w:val="single"/>
              </w:rPr>
            </w:pPr>
          </w:p>
          <w:p w:rsidR="00C55547" w:rsidRPr="00661595" w:rsidRDefault="00C55547" w:rsidP="00E10B85">
            <w:pPr>
              <w:autoSpaceDE w:val="0"/>
              <w:autoSpaceDN w:val="0"/>
              <w:adjustRightInd w:val="0"/>
              <w:spacing w:before="0" w:after="0"/>
              <w:jc w:val="left"/>
              <w:rPr>
                <w:rFonts w:ascii="Times New Roman" w:hAnsi="Times New Roman"/>
                <w:sz w:val="24"/>
              </w:rPr>
            </w:pPr>
            <w:r w:rsidRPr="00661595">
              <w:rPr>
                <w:rFonts w:ascii="Times New Roman" w:hAnsi="Times New Roman"/>
                <w:sz w:val="24"/>
              </w:rPr>
              <w:t>This block of columns gathers information on on-balance sheet items broken down by tranches (senior/mezzanine/first loss).</w:t>
            </w:r>
          </w:p>
          <w:p w:rsidR="00C55547" w:rsidRPr="00661595" w:rsidRDefault="00C55547" w:rsidP="00E10B85">
            <w:pPr>
              <w:autoSpaceDE w:val="0"/>
              <w:autoSpaceDN w:val="0"/>
              <w:adjustRightInd w:val="0"/>
              <w:spacing w:before="0" w:after="0"/>
              <w:jc w:val="left"/>
              <w:rPr>
                <w:rFonts w:ascii="Times New Roman" w:hAnsi="Times New Roman"/>
                <w:b/>
                <w:sz w:val="24"/>
                <w:u w:val="single"/>
              </w:rPr>
            </w:pPr>
          </w:p>
        </w:tc>
      </w:tr>
      <w:tr w:rsidR="00C55547" w:rsidRPr="00661595" w:rsidTr="00E10B85">
        <w:tc>
          <w:tcPr>
            <w:tcW w:w="1101" w:type="dxa"/>
          </w:tcPr>
          <w:p w:rsidR="00C55547" w:rsidRPr="00661595" w:rsidRDefault="00973973"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0</w:t>
            </w:r>
            <w:r w:rsidR="00C55547" w:rsidRPr="00661595">
              <w:rPr>
                <w:rFonts w:ascii="Times New Roman" w:hAnsi="Times New Roman"/>
                <w:sz w:val="24"/>
              </w:rPr>
              <w:t>230-</w:t>
            </w:r>
            <w:r w:rsidRPr="00661595">
              <w:rPr>
                <w:rFonts w:ascii="Times New Roman" w:hAnsi="Times New Roman"/>
                <w:sz w:val="24"/>
              </w:rPr>
              <w:t>0</w:t>
            </w:r>
            <w:r w:rsidR="00C55547" w:rsidRPr="00661595">
              <w:rPr>
                <w:rFonts w:ascii="Times New Roman" w:hAnsi="Times New Roman"/>
                <w:sz w:val="24"/>
              </w:rPr>
              <w:t>232</w:t>
            </w:r>
          </w:p>
        </w:tc>
        <w:tc>
          <w:tcPr>
            <w:tcW w:w="7903" w:type="dxa"/>
          </w:tcPr>
          <w:p w:rsidR="00C55547" w:rsidRPr="00661595" w:rsidRDefault="00C55547" w:rsidP="00E10B85">
            <w:pPr>
              <w:autoSpaceDE w:val="0"/>
              <w:autoSpaceDN w:val="0"/>
              <w:adjustRightInd w:val="0"/>
              <w:spacing w:before="0" w:after="0"/>
              <w:jc w:val="left"/>
              <w:rPr>
                <w:rFonts w:ascii="Times New Roman" w:hAnsi="Times New Roman"/>
                <w:b/>
                <w:sz w:val="24"/>
                <w:u w:val="single"/>
              </w:rPr>
            </w:pPr>
            <w:r w:rsidRPr="00661595">
              <w:rPr>
                <w:rFonts w:ascii="Times New Roman" w:hAnsi="Times New Roman"/>
                <w:b/>
                <w:sz w:val="24"/>
                <w:u w:val="single"/>
              </w:rPr>
              <w:t>SENIOR</w:t>
            </w:r>
          </w:p>
          <w:p w:rsidR="00C55547" w:rsidRPr="00661595" w:rsidRDefault="00C55547" w:rsidP="00E10B85">
            <w:pPr>
              <w:autoSpaceDE w:val="0"/>
              <w:autoSpaceDN w:val="0"/>
              <w:adjustRightInd w:val="0"/>
              <w:spacing w:before="0" w:after="0"/>
              <w:jc w:val="left"/>
              <w:rPr>
                <w:rFonts w:ascii="Times New Roman" w:hAnsi="Times New Roman"/>
                <w:b/>
                <w:sz w:val="24"/>
                <w:u w:val="single"/>
              </w:rPr>
            </w:pPr>
          </w:p>
        </w:tc>
      </w:tr>
      <w:tr w:rsidR="00C55547" w:rsidRPr="00661595" w:rsidTr="00E10B85">
        <w:tc>
          <w:tcPr>
            <w:tcW w:w="1101" w:type="dxa"/>
          </w:tcPr>
          <w:p w:rsidR="00C55547" w:rsidRPr="00661595" w:rsidRDefault="00973973"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0</w:t>
            </w:r>
            <w:r w:rsidR="00C55547" w:rsidRPr="00661595">
              <w:rPr>
                <w:rFonts w:ascii="Times New Roman" w:hAnsi="Times New Roman"/>
                <w:sz w:val="24"/>
              </w:rPr>
              <w:t>230</w:t>
            </w:r>
          </w:p>
        </w:tc>
        <w:tc>
          <w:tcPr>
            <w:tcW w:w="7903" w:type="dxa"/>
          </w:tcPr>
          <w:p w:rsidR="00C55547" w:rsidRPr="00661595" w:rsidRDefault="00C55547" w:rsidP="00E10B85">
            <w:pPr>
              <w:autoSpaceDE w:val="0"/>
              <w:autoSpaceDN w:val="0"/>
              <w:adjustRightInd w:val="0"/>
              <w:spacing w:before="0" w:after="0"/>
              <w:jc w:val="left"/>
              <w:rPr>
                <w:rFonts w:ascii="Times New Roman" w:hAnsi="Times New Roman"/>
                <w:b/>
                <w:sz w:val="24"/>
                <w:u w:val="single"/>
              </w:rPr>
            </w:pPr>
            <w:r w:rsidRPr="00661595">
              <w:rPr>
                <w:rFonts w:ascii="Times New Roman" w:hAnsi="Times New Roman"/>
                <w:b/>
                <w:sz w:val="24"/>
                <w:u w:val="single"/>
              </w:rPr>
              <w:t>AMOUNT</w:t>
            </w:r>
          </w:p>
          <w:p w:rsidR="00C55547" w:rsidRPr="00661595" w:rsidRDefault="00C55547" w:rsidP="00E10B85">
            <w:pPr>
              <w:autoSpaceDE w:val="0"/>
              <w:autoSpaceDN w:val="0"/>
              <w:adjustRightInd w:val="0"/>
              <w:spacing w:before="0" w:after="0"/>
              <w:jc w:val="left"/>
              <w:rPr>
                <w:rFonts w:ascii="Times New Roman" w:hAnsi="Times New Roman"/>
                <w:b/>
                <w:sz w:val="24"/>
                <w:u w:val="single"/>
              </w:rPr>
            </w:pPr>
          </w:p>
          <w:p w:rsidR="00C55547" w:rsidRPr="00661595" w:rsidRDefault="00C55547" w:rsidP="00E10B85">
            <w:pPr>
              <w:autoSpaceDE w:val="0"/>
              <w:autoSpaceDN w:val="0"/>
              <w:adjustRightInd w:val="0"/>
              <w:spacing w:before="0" w:after="0"/>
              <w:jc w:val="left"/>
              <w:rPr>
                <w:rFonts w:ascii="Times New Roman" w:hAnsi="Times New Roman"/>
                <w:sz w:val="24"/>
              </w:rPr>
            </w:pPr>
            <w:r w:rsidRPr="00661595">
              <w:rPr>
                <w:rFonts w:ascii="Times New Roman" w:hAnsi="Times New Roman"/>
                <w:sz w:val="24"/>
              </w:rPr>
              <w:t xml:space="preserve">The amount of senior securitisation positions as defined in Article 242(6) </w:t>
            </w:r>
            <w:r w:rsidR="00C7103D" w:rsidRPr="00661595">
              <w:rPr>
                <w:rFonts w:ascii="Times New Roman" w:hAnsi="Times New Roman"/>
                <w:sz w:val="24"/>
              </w:rPr>
              <w:t>CRR</w:t>
            </w:r>
            <w:r w:rsidRPr="00661595">
              <w:rPr>
                <w:rFonts w:ascii="Times New Roman" w:hAnsi="Times New Roman"/>
                <w:sz w:val="24"/>
              </w:rPr>
              <w:t>.</w:t>
            </w:r>
          </w:p>
          <w:p w:rsidR="00C55547" w:rsidRPr="00661595" w:rsidRDefault="00C55547" w:rsidP="00E10B85">
            <w:pPr>
              <w:autoSpaceDE w:val="0"/>
              <w:autoSpaceDN w:val="0"/>
              <w:adjustRightInd w:val="0"/>
              <w:spacing w:before="0" w:after="0"/>
              <w:jc w:val="left"/>
              <w:rPr>
                <w:rFonts w:ascii="Times New Roman" w:hAnsi="Times New Roman"/>
                <w:b/>
                <w:sz w:val="24"/>
                <w:u w:val="single"/>
              </w:rPr>
            </w:pPr>
          </w:p>
        </w:tc>
      </w:tr>
      <w:tr w:rsidR="00C55547" w:rsidRPr="00661595" w:rsidTr="00E10B85">
        <w:tc>
          <w:tcPr>
            <w:tcW w:w="1101" w:type="dxa"/>
          </w:tcPr>
          <w:p w:rsidR="00C55547" w:rsidRPr="00661595" w:rsidRDefault="00973973"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0</w:t>
            </w:r>
            <w:r w:rsidR="00C55547" w:rsidRPr="00661595">
              <w:rPr>
                <w:rFonts w:ascii="Times New Roman" w:hAnsi="Times New Roman"/>
                <w:sz w:val="24"/>
              </w:rPr>
              <w:t>231</w:t>
            </w:r>
          </w:p>
        </w:tc>
        <w:tc>
          <w:tcPr>
            <w:tcW w:w="7903" w:type="dxa"/>
          </w:tcPr>
          <w:p w:rsidR="00C55547" w:rsidRPr="00661595" w:rsidRDefault="00C55547" w:rsidP="00E10B85">
            <w:pPr>
              <w:autoSpaceDE w:val="0"/>
              <w:autoSpaceDN w:val="0"/>
              <w:adjustRightInd w:val="0"/>
              <w:spacing w:before="0" w:after="0"/>
              <w:jc w:val="left"/>
              <w:rPr>
                <w:rFonts w:ascii="Times New Roman" w:hAnsi="Times New Roman"/>
                <w:b/>
                <w:sz w:val="24"/>
                <w:u w:val="single"/>
              </w:rPr>
            </w:pPr>
            <w:r w:rsidRPr="00661595">
              <w:rPr>
                <w:rFonts w:ascii="Times New Roman" w:hAnsi="Times New Roman"/>
                <w:b/>
                <w:sz w:val="24"/>
                <w:u w:val="single"/>
              </w:rPr>
              <w:t>ATTACHMENT POINT (%)</w:t>
            </w:r>
          </w:p>
          <w:p w:rsidR="00C55547" w:rsidRPr="00661595" w:rsidRDefault="00C55547" w:rsidP="00E10B85">
            <w:pPr>
              <w:autoSpaceDE w:val="0"/>
              <w:autoSpaceDN w:val="0"/>
              <w:adjustRightInd w:val="0"/>
              <w:spacing w:before="0" w:after="0"/>
              <w:jc w:val="left"/>
              <w:rPr>
                <w:rFonts w:ascii="Times New Roman" w:hAnsi="Times New Roman"/>
                <w:b/>
                <w:sz w:val="24"/>
                <w:u w:val="single"/>
              </w:rPr>
            </w:pPr>
          </w:p>
          <w:p w:rsidR="00C55547" w:rsidRPr="00661595" w:rsidRDefault="00C55547" w:rsidP="00E10B85">
            <w:pPr>
              <w:autoSpaceDE w:val="0"/>
              <w:autoSpaceDN w:val="0"/>
              <w:adjustRightInd w:val="0"/>
              <w:spacing w:before="0" w:after="0"/>
              <w:jc w:val="left"/>
              <w:rPr>
                <w:rFonts w:ascii="Times New Roman" w:hAnsi="Times New Roman"/>
                <w:sz w:val="24"/>
              </w:rPr>
            </w:pPr>
            <w:r w:rsidRPr="00661595">
              <w:rPr>
                <w:rFonts w:ascii="Times New Roman" w:hAnsi="Times New Roman"/>
                <w:sz w:val="24"/>
              </w:rPr>
              <w:t xml:space="preserve">The attachment point (%) </w:t>
            </w:r>
            <w:r w:rsidR="00EE2BEA" w:rsidRPr="00661595">
              <w:rPr>
                <w:rFonts w:ascii="Times New Roman" w:hAnsi="Times New Roman"/>
                <w:sz w:val="24"/>
              </w:rPr>
              <w:t>a</w:t>
            </w:r>
            <w:r w:rsidRPr="00661595">
              <w:rPr>
                <w:rFonts w:ascii="Times New Roman" w:hAnsi="Times New Roman"/>
                <w:sz w:val="24"/>
              </w:rPr>
              <w:t>s</w:t>
            </w:r>
            <w:r w:rsidR="005E5070" w:rsidRPr="00661595">
              <w:rPr>
                <w:rFonts w:ascii="Times New Roman" w:hAnsi="Times New Roman"/>
                <w:sz w:val="24"/>
              </w:rPr>
              <w:t xml:space="preserve"> referred to</w:t>
            </w:r>
            <w:r w:rsidRPr="00661595">
              <w:rPr>
                <w:rFonts w:ascii="Times New Roman" w:hAnsi="Times New Roman"/>
                <w:sz w:val="24"/>
              </w:rPr>
              <w:t xml:space="preserve"> in Article 256(1) </w:t>
            </w:r>
            <w:r w:rsidR="00C7103D" w:rsidRPr="00661595">
              <w:rPr>
                <w:rFonts w:ascii="Times New Roman" w:hAnsi="Times New Roman"/>
                <w:sz w:val="24"/>
              </w:rPr>
              <w:t>CRR</w:t>
            </w:r>
          </w:p>
          <w:p w:rsidR="00C55547" w:rsidRPr="00661595" w:rsidRDefault="00C55547" w:rsidP="00E10B85">
            <w:pPr>
              <w:autoSpaceDE w:val="0"/>
              <w:autoSpaceDN w:val="0"/>
              <w:adjustRightInd w:val="0"/>
              <w:spacing w:before="0" w:after="0"/>
              <w:jc w:val="left"/>
              <w:rPr>
                <w:rFonts w:ascii="Times New Roman" w:hAnsi="Times New Roman"/>
                <w:b/>
                <w:sz w:val="24"/>
                <w:u w:val="single"/>
              </w:rPr>
            </w:pPr>
          </w:p>
        </w:tc>
      </w:tr>
      <w:tr w:rsidR="00C55547" w:rsidRPr="00661595" w:rsidTr="00E10B85">
        <w:tc>
          <w:tcPr>
            <w:tcW w:w="1101" w:type="dxa"/>
          </w:tcPr>
          <w:p w:rsidR="00C55547" w:rsidRPr="00661595" w:rsidRDefault="00973973"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0</w:t>
            </w:r>
            <w:r w:rsidR="00C55547" w:rsidRPr="00661595">
              <w:rPr>
                <w:rFonts w:ascii="Times New Roman" w:hAnsi="Times New Roman"/>
                <w:sz w:val="24"/>
              </w:rPr>
              <w:t xml:space="preserve">232 and </w:t>
            </w:r>
            <w:r w:rsidRPr="00661595">
              <w:rPr>
                <w:rFonts w:ascii="Times New Roman" w:hAnsi="Times New Roman"/>
                <w:sz w:val="24"/>
              </w:rPr>
              <w:t>0</w:t>
            </w:r>
            <w:r w:rsidR="00C55547" w:rsidRPr="00661595">
              <w:rPr>
                <w:rFonts w:ascii="Times New Roman" w:hAnsi="Times New Roman"/>
                <w:sz w:val="24"/>
              </w:rPr>
              <w:t>252</w:t>
            </w:r>
          </w:p>
        </w:tc>
        <w:tc>
          <w:tcPr>
            <w:tcW w:w="7903" w:type="dxa"/>
          </w:tcPr>
          <w:p w:rsidR="00C55547" w:rsidRPr="00661595" w:rsidRDefault="00C55547" w:rsidP="00E10B85">
            <w:pPr>
              <w:autoSpaceDE w:val="0"/>
              <w:autoSpaceDN w:val="0"/>
              <w:adjustRightInd w:val="0"/>
              <w:spacing w:before="0" w:after="0"/>
              <w:jc w:val="left"/>
              <w:rPr>
                <w:rFonts w:ascii="Times New Roman" w:hAnsi="Times New Roman"/>
                <w:b/>
                <w:sz w:val="24"/>
                <w:u w:val="single"/>
              </w:rPr>
            </w:pPr>
            <w:r w:rsidRPr="00661595">
              <w:rPr>
                <w:rFonts w:ascii="Times New Roman" w:hAnsi="Times New Roman"/>
                <w:b/>
                <w:sz w:val="24"/>
                <w:u w:val="single"/>
              </w:rPr>
              <w:t>CQS</w:t>
            </w:r>
          </w:p>
          <w:p w:rsidR="00C55547" w:rsidRPr="00661595" w:rsidRDefault="00C55547" w:rsidP="00E10B85">
            <w:pPr>
              <w:autoSpaceDE w:val="0"/>
              <w:autoSpaceDN w:val="0"/>
              <w:adjustRightInd w:val="0"/>
              <w:spacing w:before="0" w:after="0"/>
              <w:jc w:val="left"/>
              <w:rPr>
                <w:rFonts w:ascii="Times New Roman" w:hAnsi="Times New Roman"/>
                <w:b/>
                <w:sz w:val="24"/>
                <w:u w:val="single"/>
              </w:rPr>
            </w:pPr>
          </w:p>
          <w:p w:rsidR="00C55547" w:rsidRPr="00661595" w:rsidRDefault="00C55547" w:rsidP="00E10B85">
            <w:pPr>
              <w:autoSpaceDE w:val="0"/>
              <w:autoSpaceDN w:val="0"/>
              <w:adjustRightInd w:val="0"/>
              <w:spacing w:before="0" w:after="0"/>
              <w:jc w:val="left"/>
              <w:rPr>
                <w:rFonts w:ascii="Times New Roman" w:hAnsi="Times New Roman"/>
                <w:b/>
                <w:sz w:val="24"/>
                <w:u w:val="single"/>
              </w:rPr>
            </w:pPr>
            <w:r w:rsidRPr="00661595">
              <w:rPr>
                <w:rFonts w:ascii="Times New Roman" w:hAnsi="Times New Roman"/>
                <w:sz w:val="24"/>
                <w:lang w:eastAsia="es-ES_tradnl"/>
              </w:rPr>
              <w:t>Credit quality steps (CQS) as envisaged for institutions applying SEC-ERBA</w:t>
            </w:r>
            <w:r w:rsidR="00BF67D7" w:rsidRPr="00661595">
              <w:rPr>
                <w:rFonts w:ascii="Times New Roman" w:hAnsi="Times New Roman"/>
                <w:sz w:val="24"/>
                <w:lang w:eastAsia="es-ES_tradnl"/>
              </w:rPr>
              <w:t xml:space="preserve"> (</w:t>
            </w:r>
            <w:r w:rsidR="00133396" w:rsidRPr="00661595">
              <w:rPr>
                <w:rFonts w:ascii="Times New Roman" w:hAnsi="Times New Roman"/>
                <w:sz w:val="24"/>
                <w:lang w:eastAsia="es-ES_tradnl"/>
              </w:rPr>
              <w:t xml:space="preserve">Table 1 and 2 in </w:t>
            </w:r>
            <w:r w:rsidRPr="00661595">
              <w:rPr>
                <w:rFonts w:ascii="Times New Roman" w:hAnsi="Times New Roman"/>
                <w:sz w:val="24"/>
                <w:lang w:eastAsia="es-ES_tradnl"/>
              </w:rPr>
              <w:t xml:space="preserve">Article 263 and </w:t>
            </w:r>
            <w:r w:rsidR="00133396" w:rsidRPr="00661595">
              <w:rPr>
                <w:rFonts w:ascii="Times New Roman" w:hAnsi="Times New Roman"/>
                <w:sz w:val="24"/>
                <w:lang w:eastAsia="es-ES_tradnl"/>
              </w:rPr>
              <w:t xml:space="preserve">Tables 3 and 4 in Article </w:t>
            </w:r>
            <w:r w:rsidRPr="00661595">
              <w:rPr>
                <w:rFonts w:ascii="Times New Roman" w:hAnsi="Times New Roman"/>
                <w:sz w:val="24"/>
                <w:lang w:eastAsia="es-ES_tradnl"/>
              </w:rPr>
              <w:t xml:space="preserve">264 </w:t>
            </w:r>
            <w:r w:rsidR="00C7103D" w:rsidRPr="00661595">
              <w:rPr>
                <w:rFonts w:ascii="Times New Roman" w:hAnsi="Times New Roman"/>
                <w:sz w:val="24"/>
                <w:lang w:eastAsia="es-ES_tradnl"/>
              </w:rPr>
              <w:t>CRR</w:t>
            </w:r>
            <w:r w:rsidR="00BF67D7" w:rsidRPr="00661595">
              <w:rPr>
                <w:rFonts w:ascii="Times New Roman" w:hAnsi="Times New Roman"/>
                <w:sz w:val="24"/>
                <w:lang w:eastAsia="es-ES_tradnl"/>
              </w:rPr>
              <w:t>)</w:t>
            </w:r>
            <w:r w:rsidRPr="00661595">
              <w:rPr>
                <w:rFonts w:ascii="Times New Roman" w:hAnsi="Times New Roman"/>
                <w:sz w:val="24"/>
                <w:lang w:eastAsia="es-ES_tradnl"/>
              </w:rPr>
              <w:t>.</w:t>
            </w:r>
            <w:r w:rsidR="00D956C2" w:rsidRPr="00661595">
              <w:rPr>
                <w:rFonts w:ascii="Times New Roman" w:hAnsi="Times New Roman"/>
                <w:sz w:val="24"/>
                <w:lang w:eastAsia="es-ES_tradnl"/>
              </w:rPr>
              <w:t xml:space="preserve"> These columns sh</w:t>
            </w:r>
            <w:r w:rsidR="00EE2BEA" w:rsidRPr="00661595">
              <w:rPr>
                <w:rFonts w:ascii="Times New Roman" w:hAnsi="Times New Roman"/>
                <w:sz w:val="24"/>
                <w:lang w:eastAsia="es-ES_tradnl"/>
              </w:rPr>
              <w:t>all</w:t>
            </w:r>
            <w:r w:rsidR="00D956C2" w:rsidRPr="00661595">
              <w:rPr>
                <w:rFonts w:ascii="Times New Roman" w:hAnsi="Times New Roman"/>
                <w:sz w:val="24"/>
                <w:lang w:eastAsia="es-ES_tradnl"/>
              </w:rPr>
              <w:t xml:space="preserve"> be reported for all rated transactions </w:t>
            </w:r>
            <w:r w:rsidR="00BF67D7" w:rsidRPr="00661595">
              <w:rPr>
                <w:rFonts w:ascii="Times New Roman" w:hAnsi="Times New Roman"/>
                <w:sz w:val="24"/>
                <w:lang w:eastAsia="es-ES_tradnl"/>
              </w:rPr>
              <w:t xml:space="preserve">irrespective </w:t>
            </w:r>
            <w:r w:rsidR="00D956C2" w:rsidRPr="00661595">
              <w:rPr>
                <w:rFonts w:ascii="Times New Roman" w:hAnsi="Times New Roman"/>
                <w:sz w:val="24"/>
                <w:lang w:eastAsia="es-ES_tradnl"/>
              </w:rPr>
              <w:t>of the approach applied.</w:t>
            </w:r>
          </w:p>
          <w:p w:rsidR="00C55547" w:rsidRPr="00661595" w:rsidRDefault="00C55547" w:rsidP="00E10B85">
            <w:pPr>
              <w:autoSpaceDE w:val="0"/>
              <w:autoSpaceDN w:val="0"/>
              <w:adjustRightInd w:val="0"/>
              <w:spacing w:before="0" w:after="0"/>
              <w:jc w:val="left"/>
              <w:rPr>
                <w:rFonts w:ascii="Times New Roman" w:hAnsi="Times New Roman"/>
                <w:b/>
                <w:sz w:val="24"/>
                <w:u w:val="single"/>
              </w:rPr>
            </w:pPr>
          </w:p>
        </w:tc>
      </w:tr>
      <w:tr w:rsidR="00C55547" w:rsidRPr="00661595" w:rsidTr="00E10B85">
        <w:tc>
          <w:tcPr>
            <w:tcW w:w="1101" w:type="dxa"/>
          </w:tcPr>
          <w:p w:rsidR="00C55547" w:rsidRPr="00661595" w:rsidRDefault="00973973"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0</w:t>
            </w:r>
            <w:r w:rsidR="00C55547" w:rsidRPr="00661595">
              <w:rPr>
                <w:rFonts w:ascii="Times New Roman" w:hAnsi="Times New Roman"/>
                <w:sz w:val="24"/>
              </w:rPr>
              <w:t>240-</w:t>
            </w:r>
            <w:r w:rsidRPr="00661595">
              <w:rPr>
                <w:rFonts w:ascii="Times New Roman" w:hAnsi="Times New Roman"/>
                <w:sz w:val="24"/>
              </w:rPr>
              <w:t>0</w:t>
            </w:r>
            <w:r w:rsidR="00C55547" w:rsidRPr="00661595">
              <w:rPr>
                <w:rFonts w:ascii="Times New Roman" w:hAnsi="Times New Roman"/>
                <w:sz w:val="24"/>
              </w:rPr>
              <w:t>242</w:t>
            </w:r>
          </w:p>
        </w:tc>
        <w:tc>
          <w:tcPr>
            <w:tcW w:w="7903" w:type="dxa"/>
          </w:tcPr>
          <w:p w:rsidR="00C55547" w:rsidRPr="00661595" w:rsidRDefault="00C55547" w:rsidP="00E10B85">
            <w:pPr>
              <w:autoSpaceDE w:val="0"/>
              <w:autoSpaceDN w:val="0"/>
              <w:adjustRightInd w:val="0"/>
              <w:spacing w:before="0" w:after="0"/>
              <w:jc w:val="left"/>
              <w:rPr>
                <w:rFonts w:ascii="Times New Roman" w:hAnsi="Times New Roman"/>
                <w:b/>
                <w:sz w:val="24"/>
                <w:u w:val="single"/>
              </w:rPr>
            </w:pPr>
            <w:r w:rsidRPr="00661595">
              <w:rPr>
                <w:rFonts w:ascii="Times New Roman" w:hAnsi="Times New Roman"/>
                <w:b/>
                <w:sz w:val="24"/>
                <w:u w:val="single"/>
              </w:rPr>
              <w:t>MEZZANINE</w:t>
            </w:r>
          </w:p>
          <w:p w:rsidR="00C55547" w:rsidRPr="00661595" w:rsidRDefault="00C55547" w:rsidP="00E10B85">
            <w:pPr>
              <w:autoSpaceDE w:val="0"/>
              <w:autoSpaceDN w:val="0"/>
              <w:adjustRightInd w:val="0"/>
              <w:spacing w:before="0" w:after="0"/>
              <w:jc w:val="left"/>
              <w:rPr>
                <w:rFonts w:ascii="Times New Roman" w:hAnsi="Times New Roman"/>
                <w:b/>
                <w:sz w:val="24"/>
                <w:u w:val="single"/>
              </w:rPr>
            </w:pPr>
          </w:p>
        </w:tc>
      </w:tr>
      <w:tr w:rsidR="00C55547" w:rsidRPr="00661595" w:rsidTr="00E10B85">
        <w:tc>
          <w:tcPr>
            <w:tcW w:w="1101" w:type="dxa"/>
          </w:tcPr>
          <w:p w:rsidR="00C55547" w:rsidRPr="00661595" w:rsidRDefault="00973973"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0</w:t>
            </w:r>
            <w:r w:rsidR="00C55547" w:rsidRPr="00661595">
              <w:rPr>
                <w:rFonts w:ascii="Times New Roman" w:hAnsi="Times New Roman"/>
                <w:sz w:val="24"/>
              </w:rPr>
              <w:t>240</w:t>
            </w:r>
          </w:p>
        </w:tc>
        <w:tc>
          <w:tcPr>
            <w:tcW w:w="7903" w:type="dxa"/>
          </w:tcPr>
          <w:p w:rsidR="00C55547" w:rsidRPr="00661595" w:rsidRDefault="00C55547" w:rsidP="00E10B85">
            <w:pPr>
              <w:autoSpaceDE w:val="0"/>
              <w:autoSpaceDN w:val="0"/>
              <w:adjustRightInd w:val="0"/>
              <w:spacing w:before="0" w:after="0"/>
              <w:jc w:val="left"/>
              <w:rPr>
                <w:rFonts w:ascii="Times New Roman" w:hAnsi="Times New Roman"/>
                <w:b/>
                <w:sz w:val="24"/>
                <w:u w:val="single"/>
              </w:rPr>
            </w:pPr>
            <w:r w:rsidRPr="00661595">
              <w:rPr>
                <w:rFonts w:ascii="Times New Roman" w:hAnsi="Times New Roman"/>
                <w:b/>
                <w:sz w:val="24"/>
                <w:u w:val="single"/>
              </w:rPr>
              <w:t>AMOUNT</w:t>
            </w:r>
          </w:p>
          <w:p w:rsidR="00C55547" w:rsidRPr="00661595" w:rsidRDefault="00C55547" w:rsidP="00E10B85">
            <w:pPr>
              <w:autoSpaceDE w:val="0"/>
              <w:autoSpaceDN w:val="0"/>
              <w:adjustRightInd w:val="0"/>
              <w:spacing w:before="0" w:after="0"/>
              <w:jc w:val="left"/>
              <w:rPr>
                <w:rFonts w:ascii="Times New Roman" w:hAnsi="Times New Roman"/>
                <w:b/>
                <w:sz w:val="24"/>
                <w:u w:val="single"/>
              </w:rPr>
            </w:pPr>
          </w:p>
          <w:p w:rsidR="00C55547" w:rsidRPr="00661595" w:rsidRDefault="00C55547" w:rsidP="00E10B85">
            <w:pPr>
              <w:autoSpaceDE w:val="0"/>
              <w:autoSpaceDN w:val="0"/>
              <w:adjustRightInd w:val="0"/>
              <w:spacing w:before="0" w:after="0"/>
              <w:jc w:val="left"/>
              <w:rPr>
                <w:rFonts w:ascii="Times New Roman" w:hAnsi="Times New Roman"/>
                <w:sz w:val="24"/>
              </w:rPr>
            </w:pPr>
            <w:r w:rsidRPr="00661595">
              <w:rPr>
                <w:rFonts w:ascii="Times New Roman" w:hAnsi="Times New Roman"/>
                <w:sz w:val="24"/>
              </w:rPr>
              <w:t>The amount to be reported includes:</w:t>
            </w:r>
          </w:p>
          <w:p w:rsidR="00C55547" w:rsidRPr="00661595" w:rsidRDefault="00C55547" w:rsidP="0002267E">
            <w:pPr>
              <w:pStyle w:val="ListParagraph"/>
              <w:numPr>
                <w:ilvl w:val="0"/>
                <w:numId w:val="29"/>
              </w:numPr>
              <w:autoSpaceDE w:val="0"/>
              <w:autoSpaceDN w:val="0"/>
              <w:adjustRightInd w:val="0"/>
              <w:spacing w:before="0" w:after="0"/>
              <w:jc w:val="left"/>
              <w:rPr>
                <w:rFonts w:ascii="Times New Roman" w:hAnsi="Times New Roman"/>
                <w:sz w:val="24"/>
              </w:rPr>
            </w:pPr>
            <w:r w:rsidRPr="00661595">
              <w:rPr>
                <w:rFonts w:ascii="Times New Roman" w:hAnsi="Times New Roman"/>
                <w:sz w:val="24"/>
              </w:rPr>
              <w:t xml:space="preserve">mezzanine </w:t>
            </w:r>
            <w:r w:rsidR="005E5070" w:rsidRPr="00661595">
              <w:rPr>
                <w:rFonts w:ascii="Times New Roman" w:hAnsi="Times New Roman"/>
                <w:sz w:val="24"/>
              </w:rPr>
              <w:t xml:space="preserve">securitisation </w:t>
            </w:r>
            <w:r w:rsidRPr="00661595">
              <w:rPr>
                <w:rFonts w:ascii="Times New Roman" w:hAnsi="Times New Roman"/>
                <w:sz w:val="24"/>
              </w:rPr>
              <w:t>positions as defined in Article 242(18) CRR;</w:t>
            </w:r>
          </w:p>
          <w:p w:rsidR="00C55547" w:rsidRPr="00661595" w:rsidRDefault="00C55547" w:rsidP="0002267E">
            <w:pPr>
              <w:pStyle w:val="ListParagraph"/>
              <w:numPr>
                <w:ilvl w:val="0"/>
                <w:numId w:val="29"/>
              </w:numPr>
              <w:autoSpaceDE w:val="0"/>
              <w:autoSpaceDN w:val="0"/>
              <w:adjustRightInd w:val="0"/>
              <w:spacing w:before="0" w:after="0"/>
              <w:jc w:val="left"/>
              <w:rPr>
                <w:rFonts w:ascii="Times New Roman" w:hAnsi="Times New Roman"/>
                <w:sz w:val="24"/>
              </w:rPr>
            </w:pPr>
            <w:r w:rsidRPr="00661595">
              <w:rPr>
                <w:rFonts w:ascii="Times New Roman" w:hAnsi="Times New Roman"/>
                <w:sz w:val="24"/>
              </w:rPr>
              <w:t xml:space="preserve">additional </w:t>
            </w:r>
            <w:r w:rsidR="005E5070" w:rsidRPr="00661595">
              <w:rPr>
                <w:rFonts w:ascii="Times New Roman" w:hAnsi="Times New Roman"/>
                <w:sz w:val="24"/>
              </w:rPr>
              <w:t xml:space="preserve">securitisation </w:t>
            </w:r>
            <w:r w:rsidRPr="00661595">
              <w:rPr>
                <w:rFonts w:ascii="Times New Roman" w:hAnsi="Times New Roman"/>
                <w:sz w:val="24"/>
              </w:rPr>
              <w:t xml:space="preserve">positions which are not </w:t>
            </w:r>
            <w:r w:rsidR="0073527C" w:rsidRPr="00661595">
              <w:rPr>
                <w:rFonts w:ascii="Times New Roman" w:hAnsi="Times New Roman"/>
                <w:sz w:val="24"/>
              </w:rPr>
              <w:t xml:space="preserve">those positions that are defined in </w:t>
            </w:r>
            <w:r w:rsidRPr="00661595">
              <w:rPr>
                <w:rFonts w:ascii="Times New Roman" w:hAnsi="Times New Roman"/>
                <w:sz w:val="24"/>
              </w:rPr>
              <w:t>Article 242(6), (17) or (18) CRR.</w:t>
            </w:r>
          </w:p>
          <w:p w:rsidR="00C55547" w:rsidRPr="00661595" w:rsidRDefault="00C55547" w:rsidP="00E10B85">
            <w:pPr>
              <w:autoSpaceDE w:val="0"/>
              <w:autoSpaceDN w:val="0"/>
              <w:adjustRightInd w:val="0"/>
              <w:spacing w:before="0" w:after="0"/>
              <w:jc w:val="left"/>
              <w:rPr>
                <w:rFonts w:ascii="Times New Roman" w:hAnsi="Times New Roman"/>
                <w:sz w:val="24"/>
              </w:rPr>
            </w:pPr>
          </w:p>
        </w:tc>
      </w:tr>
      <w:tr w:rsidR="00C55547" w:rsidRPr="00661595" w:rsidTr="00E10B85">
        <w:tc>
          <w:tcPr>
            <w:tcW w:w="1101" w:type="dxa"/>
          </w:tcPr>
          <w:p w:rsidR="00C55547" w:rsidRPr="00661595" w:rsidRDefault="00973973"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0</w:t>
            </w:r>
            <w:r w:rsidR="00C55547" w:rsidRPr="00661595">
              <w:rPr>
                <w:rFonts w:ascii="Times New Roman" w:hAnsi="Times New Roman"/>
                <w:sz w:val="24"/>
              </w:rPr>
              <w:t>241</w:t>
            </w:r>
          </w:p>
        </w:tc>
        <w:tc>
          <w:tcPr>
            <w:tcW w:w="7903" w:type="dxa"/>
          </w:tcPr>
          <w:p w:rsidR="00C55547" w:rsidRPr="00661595" w:rsidRDefault="00C55547" w:rsidP="00E10B85">
            <w:pPr>
              <w:autoSpaceDE w:val="0"/>
              <w:autoSpaceDN w:val="0"/>
              <w:adjustRightInd w:val="0"/>
              <w:spacing w:before="0" w:after="0"/>
              <w:jc w:val="left"/>
              <w:rPr>
                <w:rFonts w:ascii="Times New Roman" w:hAnsi="Times New Roman"/>
                <w:b/>
                <w:sz w:val="24"/>
                <w:u w:val="single"/>
              </w:rPr>
            </w:pPr>
            <w:r w:rsidRPr="00661595">
              <w:rPr>
                <w:rFonts w:ascii="Times New Roman" w:hAnsi="Times New Roman"/>
                <w:b/>
                <w:sz w:val="24"/>
                <w:u w:val="single"/>
              </w:rPr>
              <w:t>NUMBER OF TRANCHES</w:t>
            </w:r>
          </w:p>
          <w:p w:rsidR="00C55547" w:rsidRPr="00661595" w:rsidRDefault="00C55547" w:rsidP="00E10B85">
            <w:pPr>
              <w:autoSpaceDE w:val="0"/>
              <w:autoSpaceDN w:val="0"/>
              <w:adjustRightInd w:val="0"/>
              <w:spacing w:before="0" w:after="0"/>
              <w:jc w:val="left"/>
              <w:rPr>
                <w:rFonts w:ascii="Times New Roman" w:hAnsi="Times New Roman"/>
                <w:b/>
                <w:sz w:val="24"/>
                <w:u w:val="single"/>
              </w:rPr>
            </w:pPr>
          </w:p>
          <w:p w:rsidR="00C55547" w:rsidRPr="00661595" w:rsidRDefault="00C55547" w:rsidP="00E10B85">
            <w:pPr>
              <w:autoSpaceDE w:val="0"/>
              <w:autoSpaceDN w:val="0"/>
              <w:adjustRightInd w:val="0"/>
              <w:spacing w:before="0" w:after="0"/>
              <w:jc w:val="left"/>
              <w:rPr>
                <w:rFonts w:ascii="Times New Roman" w:hAnsi="Times New Roman"/>
                <w:sz w:val="24"/>
              </w:rPr>
            </w:pPr>
            <w:r w:rsidRPr="00661595">
              <w:rPr>
                <w:rFonts w:ascii="Times New Roman" w:hAnsi="Times New Roman"/>
                <w:sz w:val="24"/>
              </w:rPr>
              <w:t>Number of mezzanine tranches.</w:t>
            </w:r>
          </w:p>
          <w:p w:rsidR="00C55547" w:rsidRPr="00661595" w:rsidRDefault="00C55547" w:rsidP="00E10B85">
            <w:pPr>
              <w:autoSpaceDE w:val="0"/>
              <w:autoSpaceDN w:val="0"/>
              <w:adjustRightInd w:val="0"/>
              <w:spacing w:before="0" w:after="0"/>
              <w:jc w:val="left"/>
              <w:rPr>
                <w:rFonts w:ascii="Times New Roman" w:hAnsi="Times New Roman"/>
                <w:b/>
                <w:sz w:val="24"/>
                <w:u w:val="single"/>
              </w:rPr>
            </w:pPr>
          </w:p>
        </w:tc>
      </w:tr>
      <w:tr w:rsidR="00C55547" w:rsidRPr="00661595" w:rsidTr="00E10B85">
        <w:tc>
          <w:tcPr>
            <w:tcW w:w="1101" w:type="dxa"/>
          </w:tcPr>
          <w:p w:rsidR="00C55547" w:rsidRPr="00661595" w:rsidRDefault="00973973"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0</w:t>
            </w:r>
            <w:r w:rsidR="00C55547" w:rsidRPr="00661595">
              <w:rPr>
                <w:rFonts w:ascii="Times New Roman" w:hAnsi="Times New Roman"/>
                <w:sz w:val="24"/>
              </w:rPr>
              <w:t>242</w:t>
            </w:r>
          </w:p>
        </w:tc>
        <w:tc>
          <w:tcPr>
            <w:tcW w:w="7903" w:type="dxa"/>
          </w:tcPr>
          <w:p w:rsidR="00C55547" w:rsidRPr="00661595" w:rsidRDefault="00C55547" w:rsidP="00E10B85">
            <w:pPr>
              <w:autoSpaceDE w:val="0"/>
              <w:autoSpaceDN w:val="0"/>
              <w:adjustRightInd w:val="0"/>
              <w:spacing w:before="0" w:after="0"/>
              <w:jc w:val="left"/>
              <w:rPr>
                <w:rFonts w:ascii="Times New Roman" w:hAnsi="Times New Roman"/>
                <w:b/>
                <w:sz w:val="24"/>
                <w:u w:val="single"/>
              </w:rPr>
            </w:pPr>
            <w:r w:rsidRPr="00661595">
              <w:rPr>
                <w:rFonts w:ascii="Times New Roman" w:hAnsi="Times New Roman"/>
                <w:b/>
                <w:sz w:val="24"/>
                <w:u w:val="single"/>
              </w:rPr>
              <w:t>CQS OF THE MOST SUBORDINATED ONE</w:t>
            </w:r>
          </w:p>
          <w:p w:rsidR="00C55547" w:rsidRPr="00661595" w:rsidRDefault="00C55547" w:rsidP="00E10B85">
            <w:pPr>
              <w:autoSpaceDE w:val="0"/>
              <w:autoSpaceDN w:val="0"/>
              <w:adjustRightInd w:val="0"/>
              <w:spacing w:before="0" w:after="0"/>
              <w:jc w:val="left"/>
              <w:rPr>
                <w:rFonts w:ascii="Times New Roman" w:hAnsi="Times New Roman"/>
                <w:b/>
                <w:sz w:val="24"/>
                <w:u w:val="single"/>
              </w:rPr>
            </w:pPr>
          </w:p>
          <w:p w:rsidR="00C55547" w:rsidRPr="00661595" w:rsidRDefault="00C55547" w:rsidP="00E10B85">
            <w:pPr>
              <w:autoSpaceDE w:val="0"/>
              <w:autoSpaceDN w:val="0"/>
              <w:adjustRightInd w:val="0"/>
              <w:spacing w:before="0" w:after="0"/>
              <w:jc w:val="left"/>
              <w:rPr>
                <w:rFonts w:ascii="Times New Roman" w:hAnsi="Times New Roman"/>
                <w:sz w:val="24"/>
              </w:rPr>
            </w:pPr>
            <w:r w:rsidRPr="00661595">
              <w:rPr>
                <w:rFonts w:ascii="Times New Roman" w:hAnsi="Times New Roman"/>
                <w:sz w:val="24"/>
              </w:rPr>
              <w:t>CQS</w:t>
            </w:r>
            <w:r w:rsidR="0073527C" w:rsidRPr="00661595">
              <w:rPr>
                <w:rFonts w:ascii="Times New Roman" w:hAnsi="Times New Roman"/>
                <w:sz w:val="24"/>
              </w:rPr>
              <w:t>,</w:t>
            </w:r>
            <w:r w:rsidRPr="00661595">
              <w:rPr>
                <w:rFonts w:ascii="Times New Roman" w:hAnsi="Times New Roman"/>
                <w:sz w:val="24"/>
              </w:rPr>
              <w:t xml:space="preserve"> </w:t>
            </w:r>
            <w:r w:rsidR="0073527C" w:rsidRPr="00661595">
              <w:rPr>
                <w:rFonts w:ascii="Times New Roman" w:hAnsi="Times New Roman"/>
                <w:sz w:val="24"/>
              </w:rPr>
              <w:t xml:space="preserve">as determined in accordance with Table 2 of Article 263 and Table 3 of Article 264 CRR, </w:t>
            </w:r>
            <w:r w:rsidRPr="00661595">
              <w:rPr>
                <w:rFonts w:ascii="Times New Roman" w:hAnsi="Times New Roman"/>
                <w:sz w:val="24"/>
              </w:rPr>
              <w:t xml:space="preserve">of the most subordinated mezzanine tranche. </w:t>
            </w:r>
          </w:p>
          <w:p w:rsidR="00C55547" w:rsidRPr="00661595" w:rsidRDefault="00C55547" w:rsidP="00E10B85">
            <w:pPr>
              <w:autoSpaceDE w:val="0"/>
              <w:autoSpaceDN w:val="0"/>
              <w:adjustRightInd w:val="0"/>
              <w:spacing w:before="0" w:after="0"/>
              <w:jc w:val="left"/>
              <w:rPr>
                <w:rFonts w:ascii="Times New Roman" w:hAnsi="Times New Roman"/>
                <w:b/>
                <w:sz w:val="24"/>
                <w:u w:val="single"/>
              </w:rPr>
            </w:pPr>
          </w:p>
        </w:tc>
      </w:tr>
      <w:tr w:rsidR="00C55547" w:rsidRPr="00661595" w:rsidTr="00E10B85">
        <w:tc>
          <w:tcPr>
            <w:tcW w:w="1101" w:type="dxa"/>
          </w:tcPr>
          <w:p w:rsidR="00C55547" w:rsidRPr="00661595" w:rsidRDefault="00973973"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0</w:t>
            </w:r>
            <w:r w:rsidR="00C55547" w:rsidRPr="00661595">
              <w:rPr>
                <w:rFonts w:ascii="Times New Roman" w:hAnsi="Times New Roman"/>
                <w:sz w:val="24"/>
              </w:rPr>
              <w:t>250-</w:t>
            </w:r>
            <w:r w:rsidRPr="00661595">
              <w:rPr>
                <w:rFonts w:ascii="Times New Roman" w:hAnsi="Times New Roman"/>
                <w:sz w:val="24"/>
              </w:rPr>
              <w:t>0</w:t>
            </w:r>
            <w:r w:rsidR="00C55547" w:rsidRPr="00661595">
              <w:rPr>
                <w:rFonts w:ascii="Times New Roman" w:hAnsi="Times New Roman"/>
                <w:sz w:val="24"/>
              </w:rPr>
              <w:t>252</w:t>
            </w:r>
          </w:p>
        </w:tc>
        <w:tc>
          <w:tcPr>
            <w:tcW w:w="7903" w:type="dxa"/>
          </w:tcPr>
          <w:p w:rsidR="00C55547" w:rsidRPr="00661595" w:rsidRDefault="00C55547" w:rsidP="00E10B85">
            <w:pPr>
              <w:autoSpaceDE w:val="0"/>
              <w:autoSpaceDN w:val="0"/>
              <w:adjustRightInd w:val="0"/>
              <w:spacing w:before="0" w:after="0"/>
              <w:jc w:val="left"/>
              <w:rPr>
                <w:rFonts w:ascii="Times New Roman" w:hAnsi="Times New Roman"/>
                <w:b/>
                <w:sz w:val="24"/>
                <w:u w:val="single"/>
              </w:rPr>
            </w:pPr>
            <w:r w:rsidRPr="00661595">
              <w:rPr>
                <w:rFonts w:ascii="Times New Roman" w:hAnsi="Times New Roman"/>
                <w:b/>
                <w:sz w:val="24"/>
                <w:u w:val="single"/>
              </w:rPr>
              <w:t>FIRST LOSS</w:t>
            </w:r>
          </w:p>
          <w:p w:rsidR="00C55547" w:rsidRPr="00661595" w:rsidRDefault="00C55547" w:rsidP="00E10B85">
            <w:pPr>
              <w:autoSpaceDE w:val="0"/>
              <w:autoSpaceDN w:val="0"/>
              <w:adjustRightInd w:val="0"/>
              <w:spacing w:before="0" w:after="0"/>
              <w:jc w:val="left"/>
              <w:rPr>
                <w:rFonts w:ascii="Times New Roman" w:hAnsi="Times New Roman"/>
                <w:b/>
                <w:sz w:val="24"/>
                <w:u w:val="single"/>
              </w:rPr>
            </w:pPr>
          </w:p>
        </w:tc>
      </w:tr>
      <w:tr w:rsidR="00C55547" w:rsidRPr="00661595" w:rsidTr="00E10B85">
        <w:tc>
          <w:tcPr>
            <w:tcW w:w="1101" w:type="dxa"/>
          </w:tcPr>
          <w:p w:rsidR="00C55547" w:rsidRPr="00661595" w:rsidRDefault="00973973"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0</w:t>
            </w:r>
            <w:r w:rsidR="00C55547" w:rsidRPr="00661595">
              <w:rPr>
                <w:rFonts w:ascii="Times New Roman" w:hAnsi="Times New Roman"/>
                <w:sz w:val="24"/>
              </w:rPr>
              <w:t>250</w:t>
            </w:r>
          </w:p>
        </w:tc>
        <w:tc>
          <w:tcPr>
            <w:tcW w:w="7903" w:type="dxa"/>
          </w:tcPr>
          <w:p w:rsidR="00C55547" w:rsidRPr="00661595" w:rsidRDefault="00C55547" w:rsidP="00E10B85">
            <w:pPr>
              <w:autoSpaceDE w:val="0"/>
              <w:autoSpaceDN w:val="0"/>
              <w:adjustRightInd w:val="0"/>
              <w:spacing w:before="0" w:after="0"/>
              <w:jc w:val="left"/>
              <w:rPr>
                <w:rFonts w:ascii="Times New Roman" w:hAnsi="Times New Roman"/>
                <w:b/>
                <w:sz w:val="24"/>
                <w:u w:val="single"/>
              </w:rPr>
            </w:pPr>
            <w:r w:rsidRPr="00661595">
              <w:rPr>
                <w:rFonts w:ascii="Times New Roman" w:hAnsi="Times New Roman"/>
                <w:b/>
                <w:sz w:val="24"/>
                <w:u w:val="single"/>
              </w:rPr>
              <w:t>AMOUNT</w:t>
            </w:r>
          </w:p>
          <w:p w:rsidR="00C55547" w:rsidRPr="00661595" w:rsidRDefault="00C55547" w:rsidP="00E10B85">
            <w:pPr>
              <w:autoSpaceDE w:val="0"/>
              <w:autoSpaceDN w:val="0"/>
              <w:adjustRightInd w:val="0"/>
              <w:spacing w:before="0" w:after="0"/>
              <w:jc w:val="left"/>
              <w:rPr>
                <w:rFonts w:ascii="Times New Roman" w:hAnsi="Times New Roman"/>
                <w:b/>
                <w:sz w:val="24"/>
                <w:u w:val="single"/>
              </w:rPr>
            </w:pPr>
          </w:p>
          <w:p w:rsidR="00C55547" w:rsidRPr="00661595" w:rsidRDefault="00C55547" w:rsidP="00E10B85">
            <w:pPr>
              <w:autoSpaceDE w:val="0"/>
              <w:autoSpaceDN w:val="0"/>
              <w:adjustRightInd w:val="0"/>
              <w:spacing w:before="0" w:after="0"/>
              <w:jc w:val="left"/>
              <w:rPr>
                <w:rFonts w:ascii="Times New Roman" w:hAnsi="Times New Roman"/>
                <w:b/>
                <w:sz w:val="24"/>
                <w:u w:val="single"/>
              </w:rPr>
            </w:pPr>
            <w:r w:rsidRPr="00661595">
              <w:rPr>
                <w:rFonts w:ascii="Times New Roman" w:hAnsi="Times New Roman"/>
                <w:sz w:val="24"/>
              </w:rPr>
              <w:t xml:space="preserve">The amount of first loss </w:t>
            </w:r>
            <w:r w:rsidR="005E5070" w:rsidRPr="00661595">
              <w:rPr>
                <w:rFonts w:ascii="Times New Roman" w:hAnsi="Times New Roman"/>
                <w:sz w:val="24"/>
              </w:rPr>
              <w:t>tranche</w:t>
            </w:r>
            <w:r w:rsidRPr="00661595">
              <w:rPr>
                <w:rFonts w:ascii="Times New Roman" w:hAnsi="Times New Roman"/>
                <w:sz w:val="24"/>
              </w:rPr>
              <w:t xml:space="preserve"> as defined in Article 242(17) CRR</w:t>
            </w:r>
          </w:p>
          <w:p w:rsidR="00C55547" w:rsidRPr="00661595" w:rsidRDefault="00C55547" w:rsidP="00E10B85">
            <w:pPr>
              <w:autoSpaceDE w:val="0"/>
              <w:autoSpaceDN w:val="0"/>
              <w:adjustRightInd w:val="0"/>
              <w:spacing w:before="0" w:after="0"/>
              <w:jc w:val="left"/>
              <w:rPr>
                <w:rFonts w:ascii="Times New Roman" w:hAnsi="Times New Roman"/>
                <w:sz w:val="24"/>
              </w:rPr>
            </w:pPr>
          </w:p>
        </w:tc>
      </w:tr>
      <w:tr w:rsidR="00C55547" w:rsidRPr="00661595" w:rsidTr="00E10B85">
        <w:tc>
          <w:tcPr>
            <w:tcW w:w="1101" w:type="dxa"/>
          </w:tcPr>
          <w:p w:rsidR="00C55547" w:rsidRPr="00661595" w:rsidRDefault="00973973"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0</w:t>
            </w:r>
            <w:r w:rsidR="00C55547" w:rsidRPr="00661595">
              <w:rPr>
                <w:rFonts w:ascii="Times New Roman" w:hAnsi="Times New Roman"/>
                <w:sz w:val="24"/>
              </w:rPr>
              <w:t>251</w:t>
            </w:r>
          </w:p>
        </w:tc>
        <w:tc>
          <w:tcPr>
            <w:tcW w:w="7903" w:type="dxa"/>
          </w:tcPr>
          <w:p w:rsidR="00C55547" w:rsidRPr="00661595" w:rsidRDefault="00C55547" w:rsidP="00E10B85">
            <w:pPr>
              <w:autoSpaceDE w:val="0"/>
              <w:autoSpaceDN w:val="0"/>
              <w:adjustRightInd w:val="0"/>
              <w:spacing w:before="0" w:after="0"/>
              <w:jc w:val="left"/>
              <w:rPr>
                <w:rFonts w:ascii="Times New Roman" w:hAnsi="Times New Roman"/>
                <w:b/>
                <w:sz w:val="24"/>
                <w:u w:val="single"/>
              </w:rPr>
            </w:pPr>
            <w:r w:rsidRPr="00661595">
              <w:rPr>
                <w:rFonts w:ascii="Times New Roman" w:hAnsi="Times New Roman"/>
                <w:b/>
                <w:sz w:val="24"/>
                <w:u w:val="single"/>
              </w:rPr>
              <w:t>DETACHMENT POINT (%)</w:t>
            </w:r>
          </w:p>
          <w:p w:rsidR="00C55547" w:rsidRPr="00661595" w:rsidRDefault="00C55547" w:rsidP="00E10B85">
            <w:pPr>
              <w:autoSpaceDE w:val="0"/>
              <w:autoSpaceDN w:val="0"/>
              <w:adjustRightInd w:val="0"/>
              <w:spacing w:before="0" w:after="0"/>
              <w:jc w:val="left"/>
              <w:rPr>
                <w:rFonts w:ascii="Times New Roman" w:hAnsi="Times New Roman"/>
                <w:b/>
                <w:sz w:val="24"/>
                <w:u w:val="single"/>
              </w:rPr>
            </w:pPr>
          </w:p>
          <w:p w:rsidR="00C55547" w:rsidRPr="00661595" w:rsidRDefault="00C55547" w:rsidP="00E10B85">
            <w:pPr>
              <w:autoSpaceDE w:val="0"/>
              <w:autoSpaceDN w:val="0"/>
              <w:adjustRightInd w:val="0"/>
              <w:spacing w:before="0" w:after="0"/>
              <w:jc w:val="left"/>
              <w:rPr>
                <w:rFonts w:ascii="Times New Roman" w:hAnsi="Times New Roman"/>
                <w:sz w:val="24"/>
              </w:rPr>
            </w:pPr>
            <w:r w:rsidRPr="00661595">
              <w:rPr>
                <w:rFonts w:ascii="Times New Roman" w:hAnsi="Times New Roman"/>
                <w:sz w:val="24"/>
              </w:rPr>
              <w:t xml:space="preserve">The detachment point (%) </w:t>
            </w:r>
            <w:r w:rsidR="005E5070" w:rsidRPr="00661595">
              <w:rPr>
                <w:rFonts w:ascii="Times New Roman" w:hAnsi="Times New Roman"/>
                <w:sz w:val="24"/>
              </w:rPr>
              <w:t>as</w:t>
            </w:r>
            <w:r w:rsidRPr="00661595">
              <w:rPr>
                <w:rFonts w:ascii="Times New Roman" w:hAnsi="Times New Roman"/>
                <w:sz w:val="24"/>
              </w:rPr>
              <w:t xml:space="preserve"> </w:t>
            </w:r>
            <w:r w:rsidR="005E5070" w:rsidRPr="00661595">
              <w:rPr>
                <w:rFonts w:ascii="Times New Roman" w:hAnsi="Times New Roman"/>
                <w:sz w:val="24"/>
              </w:rPr>
              <w:t xml:space="preserve">referred to </w:t>
            </w:r>
            <w:r w:rsidRPr="00661595">
              <w:rPr>
                <w:rFonts w:ascii="Times New Roman" w:hAnsi="Times New Roman"/>
                <w:sz w:val="24"/>
              </w:rPr>
              <w:t xml:space="preserve">in Article 256(2) </w:t>
            </w:r>
            <w:r w:rsidR="00C7103D" w:rsidRPr="00661595">
              <w:rPr>
                <w:rFonts w:ascii="Times New Roman" w:hAnsi="Times New Roman"/>
                <w:sz w:val="24"/>
              </w:rPr>
              <w:t>CRR</w:t>
            </w:r>
          </w:p>
          <w:p w:rsidR="00C55547" w:rsidRPr="00661595" w:rsidRDefault="00C55547" w:rsidP="00E10B85">
            <w:pPr>
              <w:autoSpaceDE w:val="0"/>
              <w:autoSpaceDN w:val="0"/>
              <w:adjustRightInd w:val="0"/>
              <w:spacing w:before="0" w:after="0"/>
              <w:jc w:val="left"/>
              <w:rPr>
                <w:rFonts w:ascii="Times New Roman" w:hAnsi="Times New Roman"/>
                <w:b/>
                <w:sz w:val="24"/>
                <w:u w:val="single"/>
              </w:rPr>
            </w:pPr>
          </w:p>
        </w:tc>
      </w:tr>
      <w:tr w:rsidR="00C55547" w:rsidRPr="00661595" w:rsidTr="00E10B85">
        <w:tc>
          <w:tcPr>
            <w:tcW w:w="1101" w:type="dxa"/>
          </w:tcPr>
          <w:p w:rsidR="00C55547" w:rsidRPr="00661595" w:rsidRDefault="00973973"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0</w:t>
            </w:r>
            <w:r w:rsidR="00C55547" w:rsidRPr="00661595">
              <w:rPr>
                <w:rFonts w:ascii="Times New Roman" w:hAnsi="Times New Roman"/>
                <w:sz w:val="24"/>
              </w:rPr>
              <w:t>260-</w:t>
            </w:r>
            <w:r w:rsidRPr="00661595">
              <w:rPr>
                <w:rFonts w:ascii="Times New Roman" w:hAnsi="Times New Roman"/>
                <w:sz w:val="24"/>
              </w:rPr>
              <w:t>0</w:t>
            </w:r>
            <w:r w:rsidR="00C55547" w:rsidRPr="00661595">
              <w:rPr>
                <w:rFonts w:ascii="Times New Roman" w:hAnsi="Times New Roman"/>
                <w:sz w:val="24"/>
              </w:rPr>
              <w:t>280</w:t>
            </w:r>
          </w:p>
        </w:tc>
        <w:tc>
          <w:tcPr>
            <w:tcW w:w="7903" w:type="dxa"/>
          </w:tcPr>
          <w:p w:rsidR="00C55547" w:rsidRPr="00661595" w:rsidRDefault="00C55547" w:rsidP="00E10B85">
            <w:pPr>
              <w:autoSpaceDE w:val="0"/>
              <w:autoSpaceDN w:val="0"/>
              <w:adjustRightInd w:val="0"/>
              <w:spacing w:before="0" w:after="0"/>
              <w:jc w:val="left"/>
              <w:rPr>
                <w:rFonts w:ascii="Times New Roman" w:hAnsi="Times New Roman"/>
                <w:b/>
                <w:sz w:val="24"/>
                <w:u w:val="single"/>
              </w:rPr>
            </w:pPr>
            <w:r w:rsidRPr="00661595">
              <w:rPr>
                <w:rFonts w:ascii="Times New Roman" w:hAnsi="Times New Roman"/>
                <w:b/>
                <w:sz w:val="24"/>
                <w:u w:val="single"/>
              </w:rPr>
              <w:t>OFF-BALANCE SHEET ITEMS AND DERIVATIVES</w:t>
            </w:r>
          </w:p>
          <w:p w:rsidR="00C55547" w:rsidRPr="00661595" w:rsidRDefault="00C55547" w:rsidP="00E10B85">
            <w:pPr>
              <w:autoSpaceDE w:val="0"/>
              <w:autoSpaceDN w:val="0"/>
              <w:adjustRightInd w:val="0"/>
              <w:spacing w:before="0" w:after="0"/>
              <w:jc w:val="left"/>
              <w:rPr>
                <w:rFonts w:ascii="Times New Roman" w:hAnsi="Times New Roman"/>
                <w:b/>
                <w:sz w:val="24"/>
                <w:u w:val="single"/>
              </w:rPr>
            </w:pPr>
          </w:p>
          <w:p w:rsidR="00C55547" w:rsidRPr="00661595" w:rsidRDefault="00C55547" w:rsidP="00E10B85">
            <w:pPr>
              <w:autoSpaceDE w:val="0"/>
              <w:autoSpaceDN w:val="0"/>
              <w:adjustRightInd w:val="0"/>
              <w:spacing w:before="0" w:after="0"/>
              <w:jc w:val="left"/>
              <w:rPr>
                <w:rFonts w:ascii="Times New Roman" w:hAnsi="Times New Roman"/>
                <w:sz w:val="24"/>
              </w:rPr>
            </w:pPr>
            <w:r w:rsidRPr="00661595">
              <w:rPr>
                <w:rFonts w:ascii="Times New Roman" w:hAnsi="Times New Roman"/>
                <w:sz w:val="24"/>
              </w:rPr>
              <w:t>This block of columns gathers information on off-balance sheet items and derivatives broken down by tranches (senior/mezzanine/first loss).</w:t>
            </w:r>
          </w:p>
          <w:p w:rsidR="00C55547" w:rsidRPr="00661595" w:rsidRDefault="00C55547" w:rsidP="00E10B85">
            <w:pPr>
              <w:autoSpaceDE w:val="0"/>
              <w:autoSpaceDN w:val="0"/>
              <w:adjustRightInd w:val="0"/>
              <w:spacing w:before="0" w:after="0"/>
              <w:rPr>
                <w:rFonts w:ascii="Times New Roman" w:hAnsi="Times New Roman"/>
                <w:sz w:val="24"/>
                <w:lang w:eastAsia="es-ES_tradnl"/>
              </w:rPr>
            </w:pPr>
            <w:r w:rsidRPr="00661595">
              <w:rPr>
                <w:rFonts w:ascii="Times New Roman" w:hAnsi="Times New Roman"/>
                <w:sz w:val="24"/>
                <w:lang w:eastAsia="es-ES_tradnl"/>
              </w:rPr>
              <w:t>The same criteria of classification among tranches used for on-balance sheet items shall be applied here.</w:t>
            </w:r>
          </w:p>
          <w:p w:rsidR="00C55547" w:rsidRPr="00661595" w:rsidRDefault="00C55547" w:rsidP="00E10B85">
            <w:pPr>
              <w:autoSpaceDE w:val="0"/>
              <w:autoSpaceDN w:val="0"/>
              <w:adjustRightInd w:val="0"/>
              <w:spacing w:before="0" w:after="0"/>
              <w:jc w:val="left"/>
              <w:rPr>
                <w:rFonts w:ascii="Times New Roman" w:hAnsi="Times New Roman"/>
                <w:b/>
                <w:sz w:val="24"/>
                <w:u w:val="single"/>
              </w:rPr>
            </w:pPr>
          </w:p>
        </w:tc>
      </w:tr>
      <w:tr w:rsidR="00C55547" w:rsidRPr="00661595" w:rsidTr="00E10B85">
        <w:tc>
          <w:tcPr>
            <w:tcW w:w="1101" w:type="dxa"/>
            <w:shd w:val="clear" w:color="auto" w:fill="auto"/>
          </w:tcPr>
          <w:p w:rsidR="00C55547" w:rsidRPr="00661595" w:rsidRDefault="00973973" w:rsidP="00E10B85">
            <w:pPr>
              <w:autoSpaceDE w:val="0"/>
              <w:autoSpaceDN w:val="0"/>
              <w:adjustRightInd w:val="0"/>
              <w:spacing w:before="0" w:after="0"/>
              <w:rPr>
                <w:rFonts w:ascii="Times New Roman" w:hAnsi="Times New Roman"/>
                <w:sz w:val="24"/>
              </w:rPr>
            </w:pPr>
            <w:r w:rsidRPr="00661595">
              <w:rPr>
                <w:rFonts w:ascii="Times New Roman" w:hAnsi="Times New Roman"/>
                <w:sz w:val="24"/>
                <w:lang w:bidi="ne-NP"/>
              </w:rPr>
              <w:t>0</w:t>
            </w:r>
            <w:r w:rsidR="00C55547" w:rsidRPr="00661595">
              <w:rPr>
                <w:rFonts w:ascii="Times New Roman" w:hAnsi="Times New Roman"/>
                <w:sz w:val="24"/>
                <w:lang w:bidi="ne-NP"/>
              </w:rPr>
              <w:t>290-</w:t>
            </w:r>
            <w:r w:rsidRPr="00661595">
              <w:rPr>
                <w:rFonts w:ascii="Times New Roman" w:hAnsi="Times New Roman"/>
                <w:sz w:val="24"/>
                <w:lang w:bidi="ne-NP"/>
              </w:rPr>
              <w:t>0</w:t>
            </w:r>
            <w:r w:rsidR="00C55547" w:rsidRPr="00661595">
              <w:rPr>
                <w:rFonts w:ascii="Times New Roman" w:hAnsi="Times New Roman"/>
                <w:sz w:val="24"/>
                <w:lang w:bidi="ne-NP"/>
              </w:rPr>
              <w:t>300</w:t>
            </w:r>
          </w:p>
        </w:tc>
        <w:tc>
          <w:tcPr>
            <w:tcW w:w="7903" w:type="dxa"/>
            <w:shd w:val="clear" w:color="auto" w:fill="auto"/>
          </w:tcPr>
          <w:p w:rsidR="00C55547" w:rsidRPr="00661595" w:rsidRDefault="00C55547" w:rsidP="00E10B85">
            <w:pPr>
              <w:spacing w:before="0" w:after="0"/>
              <w:jc w:val="left"/>
              <w:rPr>
                <w:rFonts w:ascii="Times New Roman" w:hAnsi="Times New Roman"/>
                <w:b/>
                <w:sz w:val="24"/>
                <w:u w:val="single"/>
              </w:rPr>
            </w:pPr>
            <w:r w:rsidRPr="00661595">
              <w:rPr>
                <w:rFonts w:ascii="Times New Roman" w:hAnsi="Times New Roman"/>
                <w:b/>
                <w:sz w:val="24"/>
                <w:u w:val="single"/>
                <w:lang w:bidi="ne-NP"/>
              </w:rPr>
              <w:t>MATURITY</w:t>
            </w:r>
          </w:p>
        </w:tc>
      </w:tr>
      <w:tr w:rsidR="00C55547" w:rsidRPr="00661595" w:rsidTr="00E10B85">
        <w:tc>
          <w:tcPr>
            <w:tcW w:w="1101" w:type="dxa"/>
            <w:shd w:val="clear" w:color="auto" w:fill="auto"/>
          </w:tcPr>
          <w:p w:rsidR="00C55547" w:rsidRPr="00661595" w:rsidDel="00304CB1" w:rsidRDefault="00973973"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0</w:t>
            </w:r>
            <w:r w:rsidR="00C55547" w:rsidRPr="00661595">
              <w:rPr>
                <w:rFonts w:ascii="Times New Roman" w:hAnsi="Times New Roman"/>
                <w:sz w:val="24"/>
              </w:rPr>
              <w:t>290</w:t>
            </w:r>
          </w:p>
        </w:tc>
        <w:tc>
          <w:tcPr>
            <w:tcW w:w="7903" w:type="dxa"/>
            <w:shd w:val="clear" w:color="auto" w:fill="auto"/>
          </w:tcPr>
          <w:p w:rsidR="00C55547" w:rsidRPr="00661595" w:rsidRDefault="00C55547" w:rsidP="00E10B85">
            <w:pPr>
              <w:spacing w:before="0" w:after="0"/>
              <w:jc w:val="left"/>
              <w:rPr>
                <w:rFonts w:ascii="Times New Roman" w:hAnsi="Times New Roman"/>
                <w:b/>
                <w:sz w:val="24"/>
                <w:u w:val="single"/>
              </w:rPr>
            </w:pPr>
            <w:r w:rsidRPr="00661595">
              <w:rPr>
                <w:rFonts w:ascii="Times New Roman" w:hAnsi="Times New Roman"/>
                <w:b/>
                <w:sz w:val="24"/>
                <w:u w:val="single"/>
              </w:rPr>
              <w:t>FIRST FORESEEABLE TERMINATION DATE</w:t>
            </w:r>
          </w:p>
          <w:p w:rsidR="00C55547" w:rsidRPr="00661595" w:rsidRDefault="00C55547" w:rsidP="00E10B85">
            <w:pPr>
              <w:spacing w:before="0" w:after="0"/>
              <w:jc w:val="left"/>
              <w:rPr>
                <w:rFonts w:ascii="Times New Roman" w:hAnsi="Times New Roman"/>
                <w:b/>
                <w:sz w:val="24"/>
                <w:u w:val="single"/>
              </w:rPr>
            </w:pPr>
          </w:p>
          <w:p w:rsidR="00C55547" w:rsidRPr="00661595" w:rsidRDefault="00C55547" w:rsidP="00E10B85">
            <w:pPr>
              <w:spacing w:before="0" w:after="0"/>
              <w:jc w:val="left"/>
              <w:rPr>
                <w:rFonts w:ascii="Times New Roman" w:hAnsi="Times New Roman"/>
                <w:sz w:val="24"/>
              </w:rPr>
            </w:pPr>
            <w:r w:rsidRPr="00661595">
              <w:rPr>
                <w:rFonts w:ascii="Times New Roman" w:hAnsi="Times New Roman"/>
                <w:sz w:val="24"/>
              </w:rPr>
              <w:t xml:space="preserve">The likely termination date of the whole securitisation in the light of its contractual clauses and the currently expected financial conditions. Generally, it would be the earliest of the following dates: </w:t>
            </w:r>
          </w:p>
          <w:p w:rsidR="00C55547" w:rsidRPr="00661595" w:rsidRDefault="00C55547" w:rsidP="00E10B85">
            <w:pPr>
              <w:spacing w:before="0" w:after="0"/>
              <w:jc w:val="left"/>
              <w:rPr>
                <w:rFonts w:ascii="Times New Roman" w:hAnsi="Times New Roman"/>
                <w:sz w:val="24"/>
              </w:rPr>
            </w:pPr>
          </w:p>
          <w:p w:rsidR="00C55547" w:rsidRPr="00661595" w:rsidRDefault="00C55547" w:rsidP="00E10B85">
            <w:pPr>
              <w:spacing w:before="0" w:after="0"/>
              <w:jc w:val="left"/>
              <w:rPr>
                <w:rFonts w:ascii="Times New Roman" w:hAnsi="Times New Roman"/>
                <w:sz w:val="24"/>
              </w:rPr>
            </w:pPr>
            <w:r w:rsidRPr="00661595">
              <w:rPr>
                <w:rFonts w:ascii="Times New Roman" w:hAnsi="Times New Roman"/>
                <w:sz w:val="24"/>
              </w:rPr>
              <w:t>(i)</w:t>
            </w:r>
            <w:r w:rsidRPr="00661595">
              <w:rPr>
                <w:rFonts w:ascii="Times New Roman" w:hAnsi="Times New Roman"/>
                <w:sz w:val="24"/>
              </w:rPr>
              <w:tab/>
              <w:t xml:space="preserve">the date when a clean-up call </w:t>
            </w:r>
            <w:r w:rsidR="005E5070" w:rsidRPr="00661595">
              <w:rPr>
                <w:rFonts w:ascii="Times New Roman" w:hAnsi="Times New Roman"/>
                <w:sz w:val="24"/>
              </w:rPr>
              <w:t xml:space="preserve">option </w:t>
            </w:r>
            <w:r w:rsidRPr="00661595">
              <w:rPr>
                <w:rFonts w:ascii="Times New Roman" w:hAnsi="Times New Roman"/>
                <w:sz w:val="24"/>
              </w:rPr>
              <w:t>(</w:t>
            </w:r>
            <w:r w:rsidR="005E5070" w:rsidRPr="00661595">
              <w:rPr>
                <w:rFonts w:ascii="Times New Roman" w:hAnsi="Times New Roman"/>
                <w:sz w:val="24"/>
              </w:rPr>
              <w:t xml:space="preserve">as </w:t>
            </w:r>
            <w:r w:rsidRPr="00661595">
              <w:rPr>
                <w:rFonts w:ascii="Times New Roman" w:hAnsi="Times New Roman"/>
                <w:sz w:val="24"/>
              </w:rPr>
              <w:t xml:space="preserve">defined in Article 242(1) </w:t>
            </w:r>
            <w:r w:rsidR="00C7103D" w:rsidRPr="00661595">
              <w:rPr>
                <w:rFonts w:ascii="Times New Roman" w:hAnsi="Times New Roman"/>
                <w:sz w:val="24"/>
              </w:rPr>
              <w:t>CRR</w:t>
            </w:r>
            <w:r w:rsidRPr="00661595">
              <w:rPr>
                <w:rFonts w:ascii="Times New Roman" w:hAnsi="Times New Roman"/>
                <w:sz w:val="24"/>
              </w:rPr>
              <w:t>) might first be exercised</w:t>
            </w:r>
            <w:r w:rsidR="005E5070" w:rsidRPr="00661595">
              <w:rPr>
                <w:rFonts w:ascii="Times New Roman" w:hAnsi="Times New Roman"/>
                <w:sz w:val="24"/>
              </w:rPr>
              <w:t>,</w:t>
            </w:r>
            <w:r w:rsidRPr="00661595">
              <w:rPr>
                <w:rFonts w:ascii="Times New Roman" w:hAnsi="Times New Roman"/>
                <w:sz w:val="24"/>
              </w:rPr>
              <w:t xml:space="preserve"> taking into account the maturity of the underlying exposure(s) as well as their expected pre-payment rate or potential re-negotiation activities;</w:t>
            </w:r>
          </w:p>
          <w:p w:rsidR="00C55547" w:rsidRPr="00661595" w:rsidRDefault="00C55547" w:rsidP="00E10B85">
            <w:pPr>
              <w:spacing w:before="0" w:after="0"/>
              <w:jc w:val="left"/>
              <w:rPr>
                <w:rFonts w:ascii="Times New Roman" w:hAnsi="Times New Roman"/>
                <w:sz w:val="24"/>
              </w:rPr>
            </w:pPr>
          </w:p>
          <w:p w:rsidR="00C55547" w:rsidRPr="00661595" w:rsidRDefault="00C55547" w:rsidP="00E10B85">
            <w:pPr>
              <w:spacing w:before="0" w:after="0"/>
              <w:jc w:val="left"/>
              <w:rPr>
                <w:rFonts w:ascii="Times New Roman" w:hAnsi="Times New Roman"/>
                <w:sz w:val="24"/>
              </w:rPr>
            </w:pPr>
            <w:r w:rsidRPr="00661595">
              <w:rPr>
                <w:rFonts w:ascii="Times New Roman" w:hAnsi="Times New Roman"/>
                <w:sz w:val="24"/>
              </w:rPr>
              <w:t>(ii)</w:t>
            </w:r>
            <w:r w:rsidRPr="00661595">
              <w:rPr>
                <w:rFonts w:ascii="Times New Roman" w:hAnsi="Times New Roman"/>
                <w:sz w:val="24"/>
              </w:rPr>
              <w:tab/>
              <w:t>the date on which the originator may first exercise any other call option embedded in the contractual clauses of the securitisation which would result in the total redemption of the securitisation.</w:t>
            </w:r>
          </w:p>
          <w:p w:rsidR="00C55547" w:rsidRPr="00661595" w:rsidRDefault="00C55547" w:rsidP="00E10B85">
            <w:pPr>
              <w:spacing w:before="0" w:after="0"/>
              <w:jc w:val="left"/>
              <w:rPr>
                <w:rFonts w:ascii="Times New Roman" w:hAnsi="Times New Roman"/>
                <w:sz w:val="24"/>
              </w:rPr>
            </w:pPr>
          </w:p>
          <w:p w:rsidR="00C55547" w:rsidRPr="00661595" w:rsidRDefault="00C55547"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 xml:space="preserve">The day, month and year of the first </w:t>
            </w:r>
            <w:r w:rsidR="005E5070" w:rsidRPr="00661595">
              <w:rPr>
                <w:rFonts w:ascii="Times New Roman" w:hAnsi="Times New Roman"/>
                <w:sz w:val="24"/>
              </w:rPr>
              <w:t xml:space="preserve">expected </w:t>
            </w:r>
            <w:r w:rsidRPr="00661595">
              <w:rPr>
                <w:rFonts w:ascii="Times New Roman" w:hAnsi="Times New Roman"/>
                <w:sz w:val="24"/>
              </w:rPr>
              <w:t>termination date shall be reported.</w:t>
            </w:r>
            <w:r w:rsidRPr="00661595">
              <w:rPr>
                <w:rFonts w:ascii="Times New Roman" w:hAnsi="Times New Roman"/>
                <w:szCs w:val="20"/>
              </w:rPr>
              <w:t xml:space="preserve"> </w:t>
            </w:r>
            <w:r w:rsidRPr="00661595">
              <w:rPr>
                <w:rFonts w:ascii="Times New Roman" w:hAnsi="Times New Roman"/>
                <w:sz w:val="24"/>
              </w:rPr>
              <w:t xml:space="preserve">The exact day shall be reported </w:t>
            </w:r>
            <w:r w:rsidR="005E5070" w:rsidRPr="00661595">
              <w:rPr>
                <w:rFonts w:ascii="Times New Roman" w:hAnsi="Times New Roman"/>
                <w:sz w:val="24"/>
              </w:rPr>
              <w:t>where</w:t>
            </w:r>
            <w:r w:rsidRPr="00661595">
              <w:rPr>
                <w:rFonts w:ascii="Times New Roman" w:hAnsi="Times New Roman"/>
                <w:sz w:val="24"/>
              </w:rPr>
              <w:t xml:space="preserve"> th</w:t>
            </w:r>
            <w:r w:rsidR="005E5070" w:rsidRPr="00661595">
              <w:rPr>
                <w:rFonts w:ascii="Times New Roman" w:hAnsi="Times New Roman"/>
                <w:sz w:val="24"/>
              </w:rPr>
              <w:t>at information</w:t>
            </w:r>
            <w:r w:rsidRPr="00661595">
              <w:rPr>
                <w:rFonts w:ascii="Times New Roman" w:hAnsi="Times New Roman"/>
                <w:sz w:val="24"/>
              </w:rPr>
              <w:t xml:space="preserve"> is available, otherwise the first day of the month shall be reported.</w:t>
            </w:r>
          </w:p>
          <w:p w:rsidR="00C55547" w:rsidRPr="00661595" w:rsidRDefault="00C55547" w:rsidP="00E10B85">
            <w:pPr>
              <w:spacing w:before="0" w:after="0"/>
              <w:jc w:val="left"/>
              <w:rPr>
                <w:rFonts w:ascii="Times New Roman" w:hAnsi="Times New Roman"/>
                <w:sz w:val="24"/>
              </w:rPr>
            </w:pPr>
          </w:p>
        </w:tc>
      </w:tr>
      <w:tr w:rsidR="00C55547" w:rsidRPr="00661595" w:rsidTr="00E10B85">
        <w:tc>
          <w:tcPr>
            <w:tcW w:w="1101" w:type="dxa"/>
            <w:shd w:val="clear" w:color="auto" w:fill="auto"/>
          </w:tcPr>
          <w:p w:rsidR="00C55547" w:rsidRPr="00661595" w:rsidRDefault="00973973" w:rsidP="00E10B85">
            <w:pPr>
              <w:autoSpaceDE w:val="0"/>
              <w:autoSpaceDN w:val="0"/>
              <w:adjustRightInd w:val="0"/>
              <w:spacing w:before="0" w:after="0"/>
              <w:rPr>
                <w:rFonts w:ascii="Times New Roman" w:hAnsi="Times New Roman"/>
                <w:sz w:val="24"/>
              </w:rPr>
            </w:pPr>
            <w:r w:rsidRPr="00661595">
              <w:rPr>
                <w:rFonts w:ascii="Times New Roman" w:hAnsi="Times New Roman"/>
                <w:bCs/>
                <w:sz w:val="24"/>
                <w:lang w:eastAsia="nl-BE"/>
              </w:rPr>
              <w:t>0</w:t>
            </w:r>
            <w:r w:rsidR="00C55547" w:rsidRPr="00661595">
              <w:rPr>
                <w:rFonts w:ascii="Times New Roman" w:hAnsi="Times New Roman"/>
                <w:bCs/>
                <w:sz w:val="24"/>
                <w:lang w:eastAsia="nl-BE"/>
              </w:rPr>
              <w:t>291</w:t>
            </w:r>
          </w:p>
        </w:tc>
        <w:tc>
          <w:tcPr>
            <w:tcW w:w="7903" w:type="dxa"/>
            <w:shd w:val="clear" w:color="auto" w:fill="auto"/>
          </w:tcPr>
          <w:p w:rsidR="00C55547" w:rsidRPr="00661595" w:rsidRDefault="00C55547" w:rsidP="00E10B85">
            <w:pPr>
              <w:spacing w:before="0" w:after="0"/>
              <w:jc w:val="left"/>
              <w:rPr>
                <w:rFonts w:ascii="Times New Roman" w:hAnsi="Times New Roman"/>
                <w:b/>
                <w:sz w:val="24"/>
                <w:u w:val="single"/>
              </w:rPr>
            </w:pPr>
            <w:r w:rsidRPr="00661595">
              <w:rPr>
                <w:rFonts w:ascii="Times New Roman" w:hAnsi="Times New Roman"/>
                <w:b/>
                <w:sz w:val="24"/>
                <w:u w:val="single"/>
              </w:rPr>
              <w:t>ORIGINATOR’S CALL OPTIONS INCLUDED IN TRANSACTION</w:t>
            </w:r>
          </w:p>
          <w:p w:rsidR="00C55547" w:rsidRPr="00661595" w:rsidRDefault="00C55547" w:rsidP="00E10B85">
            <w:pPr>
              <w:spacing w:before="0" w:after="0"/>
              <w:jc w:val="left"/>
              <w:rPr>
                <w:rFonts w:ascii="Times New Roman" w:hAnsi="Times New Roman"/>
                <w:b/>
                <w:sz w:val="24"/>
                <w:u w:val="single"/>
              </w:rPr>
            </w:pPr>
          </w:p>
          <w:p w:rsidR="00C55547" w:rsidRPr="00661595" w:rsidRDefault="00C55547" w:rsidP="00E10B85">
            <w:pPr>
              <w:spacing w:before="0" w:after="0"/>
              <w:jc w:val="left"/>
              <w:rPr>
                <w:rFonts w:ascii="Times New Roman" w:hAnsi="Times New Roman"/>
                <w:sz w:val="24"/>
              </w:rPr>
            </w:pPr>
            <w:r w:rsidRPr="00661595">
              <w:rPr>
                <w:rFonts w:ascii="Times New Roman" w:hAnsi="Times New Roman"/>
                <w:sz w:val="24"/>
              </w:rPr>
              <w:t xml:space="preserve">Type of call relevant for the first </w:t>
            </w:r>
            <w:r w:rsidR="005E5070" w:rsidRPr="00661595">
              <w:rPr>
                <w:rFonts w:ascii="Times New Roman" w:hAnsi="Times New Roman"/>
                <w:sz w:val="24"/>
              </w:rPr>
              <w:t xml:space="preserve">expected </w:t>
            </w:r>
            <w:r w:rsidRPr="00661595">
              <w:rPr>
                <w:rFonts w:ascii="Times New Roman" w:hAnsi="Times New Roman"/>
                <w:sz w:val="24"/>
              </w:rPr>
              <w:t>termination date:</w:t>
            </w:r>
          </w:p>
          <w:p w:rsidR="00C55547" w:rsidRPr="00661595" w:rsidRDefault="00C55547" w:rsidP="0002267E">
            <w:pPr>
              <w:pStyle w:val="ListParagraph"/>
              <w:numPr>
                <w:ilvl w:val="0"/>
                <w:numId w:val="29"/>
              </w:numPr>
              <w:spacing w:before="0" w:after="0"/>
              <w:jc w:val="left"/>
              <w:rPr>
                <w:rFonts w:ascii="Times New Roman" w:hAnsi="Times New Roman"/>
                <w:sz w:val="24"/>
              </w:rPr>
            </w:pPr>
            <w:r w:rsidRPr="00661595">
              <w:rPr>
                <w:rFonts w:ascii="Times New Roman" w:hAnsi="Times New Roman"/>
                <w:sz w:val="24"/>
              </w:rPr>
              <w:t xml:space="preserve">Clean-up call option meeting the requirements of </w:t>
            </w:r>
            <w:r w:rsidR="002B004B" w:rsidRPr="00661595">
              <w:rPr>
                <w:rFonts w:ascii="Times New Roman" w:hAnsi="Times New Roman"/>
                <w:sz w:val="24"/>
              </w:rPr>
              <w:t xml:space="preserve">point (g) of </w:t>
            </w:r>
            <w:r w:rsidRPr="00661595">
              <w:rPr>
                <w:rFonts w:ascii="Times New Roman" w:hAnsi="Times New Roman"/>
                <w:sz w:val="24"/>
              </w:rPr>
              <w:t>Article 244(4)</w:t>
            </w:r>
            <w:r w:rsidR="002B004B" w:rsidRPr="00661595">
              <w:rPr>
                <w:rFonts w:ascii="Times New Roman" w:hAnsi="Times New Roman"/>
                <w:sz w:val="24"/>
              </w:rPr>
              <w:t xml:space="preserve"> </w:t>
            </w:r>
            <w:r w:rsidRPr="00661595">
              <w:rPr>
                <w:rFonts w:ascii="Times New Roman" w:hAnsi="Times New Roman"/>
                <w:sz w:val="24"/>
              </w:rPr>
              <w:t>CRR</w:t>
            </w:r>
            <w:r w:rsidR="005E5070" w:rsidRPr="00661595">
              <w:rPr>
                <w:rFonts w:ascii="Times New Roman" w:hAnsi="Times New Roman"/>
                <w:sz w:val="24"/>
              </w:rPr>
              <w:t>;</w:t>
            </w:r>
          </w:p>
          <w:p w:rsidR="00C55547" w:rsidRPr="00661595" w:rsidRDefault="00C55547" w:rsidP="0002267E">
            <w:pPr>
              <w:pStyle w:val="ListParagraph"/>
              <w:numPr>
                <w:ilvl w:val="0"/>
                <w:numId w:val="29"/>
              </w:numPr>
              <w:spacing w:before="0" w:after="0"/>
              <w:jc w:val="left"/>
              <w:rPr>
                <w:rFonts w:ascii="Times New Roman" w:hAnsi="Times New Roman"/>
                <w:sz w:val="24"/>
              </w:rPr>
            </w:pPr>
            <w:r w:rsidRPr="00661595">
              <w:rPr>
                <w:rFonts w:ascii="Times New Roman" w:hAnsi="Times New Roman"/>
                <w:sz w:val="24"/>
              </w:rPr>
              <w:t>Other clean-up call option</w:t>
            </w:r>
            <w:r w:rsidR="005E5070" w:rsidRPr="00661595">
              <w:rPr>
                <w:rFonts w:ascii="Times New Roman" w:hAnsi="Times New Roman"/>
                <w:sz w:val="24"/>
              </w:rPr>
              <w:t>;</w:t>
            </w:r>
          </w:p>
          <w:p w:rsidR="00C55547" w:rsidRPr="00661595" w:rsidRDefault="00C55547" w:rsidP="0002267E">
            <w:pPr>
              <w:pStyle w:val="ListParagraph"/>
              <w:numPr>
                <w:ilvl w:val="0"/>
                <w:numId w:val="29"/>
              </w:numPr>
              <w:spacing w:before="0" w:after="0"/>
              <w:jc w:val="left"/>
              <w:rPr>
                <w:rFonts w:ascii="Times New Roman" w:hAnsi="Times New Roman"/>
                <w:sz w:val="24"/>
              </w:rPr>
            </w:pPr>
            <w:r w:rsidRPr="00661595">
              <w:rPr>
                <w:rFonts w:ascii="Times New Roman" w:hAnsi="Times New Roman"/>
                <w:sz w:val="24"/>
              </w:rPr>
              <w:t>Other type of call option.</w:t>
            </w:r>
          </w:p>
          <w:p w:rsidR="00C55547" w:rsidRPr="00661595" w:rsidRDefault="00C55547" w:rsidP="00E10B85">
            <w:pPr>
              <w:spacing w:before="0" w:after="0"/>
              <w:jc w:val="left"/>
              <w:rPr>
                <w:rFonts w:ascii="Times New Roman" w:hAnsi="Times New Roman"/>
                <w:b/>
                <w:sz w:val="24"/>
                <w:u w:val="single"/>
              </w:rPr>
            </w:pPr>
          </w:p>
        </w:tc>
      </w:tr>
      <w:tr w:rsidR="00C55547" w:rsidRPr="00661595" w:rsidTr="00E10B85">
        <w:tc>
          <w:tcPr>
            <w:tcW w:w="1101" w:type="dxa"/>
            <w:shd w:val="clear" w:color="auto" w:fill="auto"/>
          </w:tcPr>
          <w:p w:rsidR="00C55547" w:rsidRPr="00661595" w:rsidDel="00304CB1" w:rsidRDefault="00973973"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0</w:t>
            </w:r>
            <w:r w:rsidR="00C55547" w:rsidRPr="00661595">
              <w:rPr>
                <w:rFonts w:ascii="Times New Roman" w:hAnsi="Times New Roman"/>
                <w:sz w:val="24"/>
              </w:rPr>
              <w:t>300</w:t>
            </w:r>
          </w:p>
        </w:tc>
        <w:tc>
          <w:tcPr>
            <w:tcW w:w="7903" w:type="dxa"/>
            <w:shd w:val="clear" w:color="auto" w:fill="auto"/>
          </w:tcPr>
          <w:p w:rsidR="00C55547" w:rsidRPr="00661595" w:rsidRDefault="00C55547" w:rsidP="00E10B85">
            <w:pPr>
              <w:spacing w:before="0" w:after="0"/>
              <w:jc w:val="left"/>
              <w:rPr>
                <w:rFonts w:ascii="Times New Roman" w:hAnsi="Times New Roman"/>
                <w:b/>
                <w:sz w:val="24"/>
                <w:u w:val="single"/>
              </w:rPr>
            </w:pPr>
            <w:r w:rsidRPr="00661595">
              <w:rPr>
                <w:rFonts w:ascii="Times New Roman" w:hAnsi="Times New Roman"/>
                <w:b/>
                <w:sz w:val="24"/>
                <w:u w:val="single"/>
              </w:rPr>
              <w:t>LEGAL FINAL MATURITY DATE</w:t>
            </w:r>
          </w:p>
          <w:p w:rsidR="00C55547" w:rsidRPr="00661595" w:rsidRDefault="00C55547" w:rsidP="00E10B85">
            <w:pPr>
              <w:spacing w:before="0" w:after="0"/>
              <w:jc w:val="left"/>
              <w:rPr>
                <w:rFonts w:ascii="Times New Roman" w:hAnsi="Times New Roman"/>
                <w:b/>
                <w:sz w:val="24"/>
                <w:u w:val="single"/>
              </w:rPr>
            </w:pPr>
          </w:p>
          <w:p w:rsidR="00C55547" w:rsidRPr="00661595" w:rsidRDefault="00C55547" w:rsidP="00E10B85">
            <w:pPr>
              <w:spacing w:before="0" w:after="0"/>
              <w:jc w:val="left"/>
              <w:rPr>
                <w:rFonts w:ascii="Times New Roman" w:hAnsi="Times New Roman"/>
                <w:sz w:val="24"/>
              </w:rPr>
            </w:pPr>
            <w:r w:rsidRPr="00661595">
              <w:rPr>
                <w:rFonts w:ascii="Times New Roman" w:hAnsi="Times New Roman"/>
                <w:sz w:val="24"/>
              </w:rPr>
              <w:t>The date upon which all principal and interest of the securitisation must be legally repaid (based on the transaction documentation).</w:t>
            </w:r>
          </w:p>
          <w:p w:rsidR="00C55547" w:rsidRPr="00661595" w:rsidRDefault="00C55547" w:rsidP="00E10B85">
            <w:pPr>
              <w:spacing w:before="0" w:after="0"/>
              <w:jc w:val="left"/>
              <w:rPr>
                <w:rFonts w:ascii="Times New Roman" w:hAnsi="Times New Roman"/>
                <w:sz w:val="24"/>
              </w:rPr>
            </w:pPr>
          </w:p>
          <w:p w:rsidR="00C55547" w:rsidRPr="00661595" w:rsidRDefault="00C55547"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The day, month and year of the legal final maturity date shall be reported.</w:t>
            </w:r>
            <w:r w:rsidRPr="00661595">
              <w:rPr>
                <w:rFonts w:ascii="Times New Roman" w:hAnsi="Times New Roman"/>
                <w:szCs w:val="20"/>
              </w:rPr>
              <w:t xml:space="preserve"> </w:t>
            </w:r>
            <w:r w:rsidRPr="00661595">
              <w:rPr>
                <w:rFonts w:ascii="Times New Roman" w:hAnsi="Times New Roman"/>
                <w:sz w:val="24"/>
              </w:rPr>
              <w:t xml:space="preserve">The exact day shall be reported </w:t>
            </w:r>
            <w:r w:rsidR="005E5070" w:rsidRPr="00661595">
              <w:rPr>
                <w:rFonts w:ascii="Times New Roman" w:hAnsi="Times New Roman"/>
                <w:sz w:val="24"/>
              </w:rPr>
              <w:t>where</w:t>
            </w:r>
            <w:r w:rsidRPr="00661595">
              <w:rPr>
                <w:rFonts w:ascii="Times New Roman" w:hAnsi="Times New Roman"/>
                <w:sz w:val="24"/>
              </w:rPr>
              <w:t xml:space="preserve"> th</w:t>
            </w:r>
            <w:r w:rsidR="005E5070" w:rsidRPr="00661595">
              <w:rPr>
                <w:rFonts w:ascii="Times New Roman" w:hAnsi="Times New Roman"/>
                <w:sz w:val="24"/>
              </w:rPr>
              <w:t>at information</w:t>
            </w:r>
            <w:r w:rsidRPr="00661595">
              <w:rPr>
                <w:rFonts w:ascii="Times New Roman" w:hAnsi="Times New Roman"/>
                <w:sz w:val="24"/>
              </w:rPr>
              <w:t xml:space="preserve"> is available, otherwise the first day of the month shall be reported.</w:t>
            </w:r>
          </w:p>
          <w:p w:rsidR="00C55547" w:rsidRPr="00661595" w:rsidRDefault="00C55547" w:rsidP="00E10B85">
            <w:pPr>
              <w:spacing w:before="0" w:after="0"/>
              <w:jc w:val="left"/>
              <w:rPr>
                <w:rFonts w:ascii="Times New Roman" w:hAnsi="Times New Roman"/>
                <w:sz w:val="24"/>
              </w:rPr>
            </w:pPr>
          </w:p>
        </w:tc>
      </w:tr>
      <w:tr w:rsidR="00C55547" w:rsidRPr="00661595" w:rsidTr="00E10B85">
        <w:tc>
          <w:tcPr>
            <w:tcW w:w="1101" w:type="dxa"/>
            <w:shd w:val="clear" w:color="auto" w:fill="auto"/>
          </w:tcPr>
          <w:p w:rsidR="00C55547" w:rsidRPr="00661595" w:rsidRDefault="00973973" w:rsidP="00BF37A9">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bidi="ne-NP"/>
              </w:rPr>
              <w:t>0</w:t>
            </w:r>
            <w:r w:rsidR="00C55547" w:rsidRPr="00661595">
              <w:rPr>
                <w:rFonts w:ascii="Times New Roman" w:hAnsi="Times New Roman"/>
                <w:bCs/>
                <w:sz w:val="24"/>
                <w:lang w:eastAsia="nl-BE" w:bidi="ne-NP"/>
              </w:rPr>
              <w:t>30</w:t>
            </w:r>
            <w:r w:rsidR="00BF37A9" w:rsidRPr="00661595">
              <w:rPr>
                <w:rFonts w:ascii="Times New Roman" w:hAnsi="Times New Roman"/>
                <w:bCs/>
                <w:sz w:val="24"/>
                <w:lang w:eastAsia="nl-BE" w:bidi="ne-NP"/>
              </w:rPr>
              <w:t>2</w:t>
            </w:r>
            <w:r w:rsidR="00C55547" w:rsidRPr="00661595">
              <w:rPr>
                <w:rFonts w:ascii="Times New Roman" w:hAnsi="Times New Roman"/>
                <w:bCs/>
                <w:sz w:val="24"/>
                <w:lang w:eastAsia="nl-BE" w:bidi="ne-NP"/>
              </w:rPr>
              <w:t>-</w:t>
            </w:r>
            <w:r w:rsidRPr="00661595">
              <w:rPr>
                <w:rFonts w:ascii="Times New Roman" w:hAnsi="Times New Roman"/>
                <w:bCs/>
                <w:sz w:val="24"/>
                <w:lang w:eastAsia="nl-BE" w:bidi="ne-NP"/>
              </w:rPr>
              <w:t>0</w:t>
            </w:r>
            <w:r w:rsidR="00C55547" w:rsidRPr="00661595">
              <w:rPr>
                <w:rFonts w:ascii="Times New Roman" w:hAnsi="Times New Roman"/>
                <w:bCs/>
                <w:sz w:val="24"/>
                <w:lang w:eastAsia="nl-BE" w:bidi="ne-NP"/>
              </w:rPr>
              <w:t>30</w:t>
            </w:r>
            <w:r w:rsidR="00BF37A9" w:rsidRPr="00661595">
              <w:rPr>
                <w:rFonts w:ascii="Times New Roman" w:hAnsi="Times New Roman"/>
                <w:bCs/>
                <w:sz w:val="24"/>
                <w:lang w:eastAsia="nl-BE" w:bidi="ne-NP"/>
              </w:rPr>
              <w:t>4</w:t>
            </w:r>
          </w:p>
        </w:tc>
        <w:tc>
          <w:tcPr>
            <w:tcW w:w="7903" w:type="dxa"/>
            <w:shd w:val="clear" w:color="auto" w:fill="auto"/>
          </w:tcPr>
          <w:p w:rsidR="00C55547" w:rsidRPr="00661595" w:rsidRDefault="00C55547" w:rsidP="00E10B85">
            <w:pPr>
              <w:spacing w:before="0" w:after="0"/>
              <w:jc w:val="left"/>
              <w:rPr>
                <w:rFonts w:ascii="Times New Roman" w:hAnsi="Times New Roman"/>
                <w:b/>
                <w:sz w:val="24"/>
                <w:u w:val="single"/>
              </w:rPr>
            </w:pPr>
            <w:r w:rsidRPr="00661595">
              <w:rPr>
                <w:rFonts w:ascii="Times New Roman" w:hAnsi="Times New Roman"/>
                <w:b/>
                <w:sz w:val="24"/>
                <w:u w:val="single"/>
                <w:lang w:bidi="ne-NP"/>
              </w:rPr>
              <w:t xml:space="preserve">MEMORANDUM ITEMS </w:t>
            </w:r>
          </w:p>
        </w:tc>
      </w:tr>
      <w:tr w:rsidR="00C55547" w:rsidRPr="00661595" w:rsidTr="00E10B85">
        <w:tc>
          <w:tcPr>
            <w:tcW w:w="1101" w:type="dxa"/>
            <w:shd w:val="clear" w:color="auto" w:fill="auto"/>
          </w:tcPr>
          <w:p w:rsidR="00C55547" w:rsidRPr="00661595" w:rsidRDefault="00973973" w:rsidP="00BF37A9">
            <w:pPr>
              <w:autoSpaceDE w:val="0"/>
              <w:autoSpaceDN w:val="0"/>
              <w:adjustRightInd w:val="0"/>
              <w:spacing w:before="0" w:after="0"/>
              <w:rPr>
                <w:rFonts w:ascii="Times New Roman" w:hAnsi="Times New Roman"/>
                <w:sz w:val="24"/>
              </w:rPr>
            </w:pPr>
            <w:r w:rsidRPr="00661595">
              <w:rPr>
                <w:rFonts w:ascii="Times New Roman" w:hAnsi="Times New Roman"/>
                <w:bCs/>
                <w:sz w:val="24"/>
                <w:lang w:eastAsia="nl-BE"/>
              </w:rPr>
              <w:t>0</w:t>
            </w:r>
            <w:r w:rsidR="00C55547" w:rsidRPr="00661595">
              <w:rPr>
                <w:rFonts w:ascii="Times New Roman" w:hAnsi="Times New Roman"/>
                <w:bCs/>
                <w:sz w:val="24"/>
                <w:lang w:eastAsia="nl-BE"/>
              </w:rPr>
              <w:t>30</w:t>
            </w:r>
            <w:r w:rsidR="00BF37A9" w:rsidRPr="00661595">
              <w:rPr>
                <w:rFonts w:ascii="Times New Roman" w:hAnsi="Times New Roman"/>
                <w:bCs/>
                <w:sz w:val="24"/>
                <w:lang w:eastAsia="nl-BE"/>
              </w:rPr>
              <w:t>2</w:t>
            </w:r>
          </w:p>
        </w:tc>
        <w:tc>
          <w:tcPr>
            <w:tcW w:w="7903" w:type="dxa"/>
            <w:shd w:val="clear" w:color="auto" w:fill="auto"/>
          </w:tcPr>
          <w:p w:rsidR="00C55547" w:rsidRPr="00661595" w:rsidRDefault="00C55547" w:rsidP="00E10B85">
            <w:pPr>
              <w:spacing w:before="0" w:after="0"/>
              <w:jc w:val="left"/>
              <w:rPr>
                <w:rFonts w:ascii="Times New Roman" w:hAnsi="Times New Roman"/>
                <w:b/>
                <w:sz w:val="24"/>
                <w:u w:val="single"/>
              </w:rPr>
            </w:pPr>
            <w:r w:rsidRPr="00661595">
              <w:rPr>
                <w:rFonts w:ascii="Times New Roman" w:hAnsi="Times New Roman"/>
                <w:b/>
                <w:sz w:val="24"/>
                <w:u w:val="single"/>
              </w:rPr>
              <w:t>ATTACHMENT POINT OF RISK SOLD (%)</w:t>
            </w:r>
          </w:p>
          <w:p w:rsidR="00C55547" w:rsidRPr="00661595" w:rsidRDefault="00C55547" w:rsidP="00E10B85">
            <w:pPr>
              <w:spacing w:before="0" w:after="0"/>
              <w:jc w:val="left"/>
              <w:rPr>
                <w:rFonts w:ascii="Times New Roman" w:hAnsi="Times New Roman"/>
                <w:b/>
                <w:sz w:val="24"/>
                <w:u w:val="single"/>
              </w:rPr>
            </w:pPr>
          </w:p>
          <w:p w:rsidR="00C55547" w:rsidRPr="00661595" w:rsidRDefault="00C55547" w:rsidP="00E10B85">
            <w:pPr>
              <w:spacing w:before="0" w:after="0"/>
              <w:jc w:val="left"/>
              <w:rPr>
                <w:rFonts w:ascii="Times New Roman" w:hAnsi="Times New Roman"/>
                <w:b/>
                <w:sz w:val="24"/>
                <w:u w:val="single"/>
              </w:rPr>
            </w:pPr>
            <w:r w:rsidRPr="00661595">
              <w:rPr>
                <w:rFonts w:ascii="Times New Roman" w:hAnsi="Times New Roman"/>
                <w:sz w:val="24"/>
              </w:rPr>
              <w:t xml:space="preserve">Originators, only, shall report the attachment point of the most subordinated tranche sold to, </w:t>
            </w:r>
            <w:r w:rsidR="005E5070" w:rsidRPr="00661595">
              <w:rPr>
                <w:rFonts w:ascii="Times New Roman" w:hAnsi="Times New Roman"/>
                <w:sz w:val="24"/>
              </w:rPr>
              <w:t>for</w:t>
            </w:r>
            <w:r w:rsidRPr="00661595">
              <w:rPr>
                <w:rFonts w:ascii="Times New Roman" w:hAnsi="Times New Roman"/>
                <w:sz w:val="24"/>
              </w:rPr>
              <w:t xml:space="preserve"> traditional securitisations, or protected by, </w:t>
            </w:r>
            <w:r w:rsidR="005E5070" w:rsidRPr="00661595">
              <w:rPr>
                <w:rFonts w:ascii="Times New Roman" w:hAnsi="Times New Roman"/>
                <w:sz w:val="24"/>
              </w:rPr>
              <w:t>for</w:t>
            </w:r>
            <w:r w:rsidRPr="00661595">
              <w:rPr>
                <w:rFonts w:ascii="Times New Roman" w:hAnsi="Times New Roman"/>
                <w:sz w:val="24"/>
              </w:rPr>
              <w:t xml:space="preserve"> synthetic securitisations, third parties.</w:t>
            </w:r>
          </w:p>
          <w:p w:rsidR="00C55547" w:rsidRPr="00661595" w:rsidRDefault="00C55547" w:rsidP="00E10B85">
            <w:pPr>
              <w:spacing w:before="0" w:after="0"/>
              <w:jc w:val="left"/>
              <w:rPr>
                <w:rFonts w:ascii="Times New Roman" w:hAnsi="Times New Roman"/>
                <w:b/>
                <w:sz w:val="24"/>
                <w:u w:val="single"/>
              </w:rPr>
            </w:pPr>
          </w:p>
        </w:tc>
      </w:tr>
      <w:tr w:rsidR="00C55547" w:rsidRPr="00661595" w:rsidTr="00E10B85">
        <w:tc>
          <w:tcPr>
            <w:tcW w:w="1101" w:type="dxa"/>
            <w:shd w:val="clear" w:color="auto" w:fill="auto"/>
          </w:tcPr>
          <w:p w:rsidR="00C55547" w:rsidRPr="00661595" w:rsidRDefault="00973973" w:rsidP="00BF37A9">
            <w:pPr>
              <w:autoSpaceDE w:val="0"/>
              <w:autoSpaceDN w:val="0"/>
              <w:adjustRightInd w:val="0"/>
              <w:spacing w:before="0" w:after="0"/>
              <w:rPr>
                <w:rFonts w:ascii="Times New Roman" w:hAnsi="Times New Roman"/>
                <w:sz w:val="24"/>
              </w:rPr>
            </w:pPr>
            <w:r w:rsidRPr="00661595">
              <w:rPr>
                <w:rFonts w:ascii="Times New Roman" w:hAnsi="Times New Roman"/>
                <w:bCs/>
                <w:sz w:val="24"/>
                <w:lang w:eastAsia="nl-BE"/>
              </w:rPr>
              <w:t>0</w:t>
            </w:r>
            <w:r w:rsidR="00C55547" w:rsidRPr="00661595">
              <w:rPr>
                <w:rFonts w:ascii="Times New Roman" w:hAnsi="Times New Roman"/>
                <w:bCs/>
                <w:sz w:val="24"/>
                <w:lang w:eastAsia="nl-BE"/>
              </w:rPr>
              <w:t>30</w:t>
            </w:r>
            <w:r w:rsidR="00BF37A9" w:rsidRPr="00661595">
              <w:rPr>
                <w:rFonts w:ascii="Times New Roman" w:hAnsi="Times New Roman"/>
                <w:bCs/>
                <w:sz w:val="24"/>
                <w:lang w:eastAsia="nl-BE"/>
              </w:rPr>
              <w:t>3</w:t>
            </w:r>
          </w:p>
        </w:tc>
        <w:tc>
          <w:tcPr>
            <w:tcW w:w="7903" w:type="dxa"/>
            <w:shd w:val="clear" w:color="auto" w:fill="auto"/>
          </w:tcPr>
          <w:p w:rsidR="00C55547" w:rsidRPr="00661595" w:rsidRDefault="00C55547" w:rsidP="00E10B85">
            <w:pPr>
              <w:spacing w:before="0" w:after="0"/>
              <w:jc w:val="left"/>
              <w:rPr>
                <w:rFonts w:ascii="Times New Roman" w:hAnsi="Times New Roman"/>
                <w:b/>
                <w:sz w:val="24"/>
                <w:u w:val="single"/>
              </w:rPr>
            </w:pPr>
            <w:r w:rsidRPr="00661595">
              <w:rPr>
                <w:rFonts w:ascii="Times New Roman" w:hAnsi="Times New Roman"/>
                <w:b/>
                <w:sz w:val="24"/>
                <w:u w:val="single"/>
              </w:rPr>
              <w:t>DETACHMENT POINT OF RISK SOLD (%)</w:t>
            </w:r>
          </w:p>
          <w:p w:rsidR="00C55547" w:rsidRPr="00661595" w:rsidRDefault="00C55547" w:rsidP="00E10B85">
            <w:pPr>
              <w:spacing w:before="0" w:after="0"/>
              <w:jc w:val="left"/>
              <w:rPr>
                <w:rFonts w:ascii="Times New Roman" w:hAnsi="Times New Roman"/>
                <w:b/>
                <w:sz w:val="24"/>
                <w:u w:val="single"/>
              </w:rPr>
            </w:pPr>
          </w:p>
          <w:p w:rsidR="00C55547" w:rsidRPr="00661595" w:rsidRDefault="00C55547" w:rsidP="00E10B85">
            <w:pPr>
              <w:spacing w:before="0" w:after="0"/>
              <w:jc w:val="left"/>
              <w:rPr>
                <w:rFonts w:ascii="Times New Roman" w:hAnsi="Times New Roman"/>
                <w:sz w:val="24"/>
              </w:rPr>
            </w:pPr>
            <w:r w:rsidRPr="00661595">
              <w:rPr>
                <w:rFonts w:ascii="Times New Roman" w:hAnsi="Times New Roman"/>
                <w:sz w:val="24"/>
              </w:rPr>
              <w:t xml:space="preserve">Originators, only, shall report the detachment point of the most senior tranche sold to, </w:t>
            </w:r>
            <w:r w:rsidR="005E5070" w:rsidRPr="00661595">
              <w:rPr>
                <w:rFonts w:ascii="Times New Roman" w:hAnsi="Times New Roman"/>
                <w:sz w:val="24"/>
              </w:rPr>
              <w:t>for</w:t>
            </w:r>
            <w:r w:rsidRPr="00661595">
              <w:rPr>
                <w:rFonts w:ascii="Times New Roman" w:hAnsi="Times New Roman"/>
                <w:sz w:val="24"/>
              </w:rPr>
              <w:t xml:space="preserve">traditional securitisations, or protected by, </w:t>
            </w:r>
            <w:r w:rsidR="005E5070" w:rsidRPr="00661595">
              <w:rPr>
                <w:rFonts w:ascii="Times New Roman" w:hAnsi="Times New Roman"/>
                <w:sz w:val="24"/>
              </w:rPr>
              <w:t xml:space="preserve">for </w:t>
            </w:r>
            <w:r w:rsidRPr="00661595">
              <w:rPr>
                <w:rFonts w:ascii="Times New Roman" w:hAnsi="Times New Roman"/>
                <w:sz w:val="24"/>
              </w:rPr>
              <w:t>synthetic securitisations, third parties.</w:t>
            </w:r>
          </w:p>
          <w:p w:rsidR="00C55547" w:rsidRPr="00661595" w:rsidRDefault="00C55547" w:rsidP="00E10B85">
            <w:pPr>
              <w:spacing w:before="0" w:after="0"/>
              <w:jc w:val="left"/>
              <w:rPr>
                <w:rFonts w:ascii="Times New Roman" w:hAnsi="Times New Roman"/>
                <w:b/>
                <w:sz w:val="24"/>
                <w:u w:val="single"/>
              </w:rPr>
            </w:pPr>
          </w:p>
        </w:tc>
      </w:tr>
      <w:tr w:rsidR="00C55547" w:rsidRPr="00661595" w:rsidTr="00E10B85">
        <w:tc>
          <w:tcPr>
            <w:tcW w:w="1101" w:type="dxa"/>
            <w:shd w:val="clear" w:color="auto" w:fill="auto"/>
          </w:tcPr>
          <w:p w:rsidR="00C55547" w:rsidRPr="00661595" w:rsidRDefault="00973973" w:rsidP="00BF37A9">
            <w:pPr>
              <w:autoSpaceDE w:val="0"/>
              <w:autoSpaceDN w:val="0"/>
              <w:adjustRightInd w:val="0"/>
              <w:spacing w:before="0" w:after="0"/>
              <w:rPr>
                <w:rFonts w:ascii="Times New Roman" w:hAnsi="Times New Roman"/>
                <w:sz w:val="24"/>
              </w:rPr>
            </w:pPr>
            <w:r w:rsidRPr="00661595">
              <w:rPr>
                <w:rFonts w:ascii="Times New Roman" w:hAnsi="Times New Roman"/>
                <w:bCs/>
                <w:sz w:val="24"/>
                <w:lang w:eastAsia="nl-BE"/>
              </w:rPr>
              <w:t>0</w:t>
            </w:r>
            <w:r w:rsidR="00C55547" w:rsidRPr="00661595">
              <w:rPr>
                <w:rFonts w:ascii="Times New Roman" w:hAnsi="Times New Roman"/>
                <w:bCs/>
                <w:sz w:val="24"/>
                <w:lang w:eastAsia="nl-BE"/>
              </w:rPr>
              <w:t>30</w:t>
            </w:r>
            <w:r w:rsidR="00BF37A9" w:rsidRPr="00661595">
              <w:rPr>
                <w:rFonts w:ascii="Times New Roman" w:hAnsi="Times New Roman"/>
                <w:bCs/>
                <w:sz w:val="24"/>
                <w:lang w:eastAsia="nl-BE"/>
              </w:rPr>
              <w:t>4</w:t>
            </w:r>
          </w:p>
        </w:tc>
        <w:tc>
          <w:tcPr>
            <w:tcW w:w="7903" w:type="dxa"/>
            <w:shd w:val="clear" w:color="auto" w:fill="auto"/>
          </w:tcPr>
          <w:p w:rsidR="00C55547" w:rsidRPr="00661595" w:rsidRDefault="00C55547" w:rsidP="00E10B85">
            <w:pPr>
              <w:spacing w:before="0" w:after="0"/>
              <w:jc w:val="left"/>
              <w:rPr>
                <w:rFonts w:ascii="Times New Roman" w:hAnsi="Times New Roman"/>
                <w:b/>
                <w:sz w:val="24"/>
                <w:u w:val="single"/>
              </w:rPr>
            </w:pPr>
            <w:r w:rsidRPr="00661595">
              <w:rPr>
                <w:rFonts w:ascii="Times New Roman" w:hAnsi="Times New Roman"/>
                <w:b/>
                <w:sz w:val="24"/>
                <w:u w:val="single"/>
              </w:rPr>
              <w:t>RISK TRANSFER CLAIMED BY ORIGINATOR INSTITUTION (%)</w:t>
            </w:r>
          </w:p>
          <w:p w:rsidR="00C55547" w:rsidRPr="00661595" w:rsidRDefault="00C55547" w:rsidP="00E10B85">
            <w:pPr>
              <w:spacing w:before="0" w:after="0"/>
              <w:jc w:val="left"/>
              <w:rPr>
                <w:rFonts w:ascii="Times New Roman" w:hAnsi="Times New Roman"/>
                <w:b/>
                <w:sz w:val="24"/>
                <w:u w:val="single"/>
              </w:rPr>
            </w:pPr>
          </w:p>
          <w:p w:rsidR="00C55547" w:rsidRPr="00661595" w:rsidRDefault="00C55547" w:rsidP="00E10B85">
            <w:pPr>
              <w:spacing w:before="0" w:after="0"/>
              <w:jc w:val="left"/>
              <w:rPr>
                <w:rFonts w:ascii="Times New Roman" w:hAnsi="Times New Roman"/>
                <w:sz w:val="24"/>
              </w:rPr>
            </w:pPr>
            <w:r w:rsidRPr="00661595">
              <w:rPr>
                <w:rFonts w:ascii="Times New Roman" w:hAnsi="Times New Roman"/>
                <w:sz w:val="24"/>
              </w:rPr>
              <w:t xml:space="preserve">Originators, only, shall report the Expected Loss (EL) plus the Unexpected loss (UL) of the securitised assets transferred to third parties as a percentage of the total EL plus UL. </w:t>
            </w:r>
            <w:r w:rsidR="005E5070" w:rsidRPr="00661595">
              <w:rPr>
                <w:rFonts w:ascii="Times New Roman" w:hAnsi="Times New Roman"/>
                <w:sz w:val="24"/>
              </w:rPr>
              <w:t>T</w:t>
            </w:r>
            <w:r w:rsidRPr="00661595">
              <w:rPr>
                <w:rFonts w:ascii="Times New Roman" w:hAnsi="Times New Roman"/>
                <w:sz w:val="24"/>
              </w:rPr>
              <w:t>he EL and UL of the underlying exposures</w:t>
            </w:r>
            <w:r w:rsidR="005E5070" w:rsidRPr="00661595">
              <w:rPr>
                <w:rFonts w:ascii="Times New Roman" w:hAnsi="Times New Roman"/>
                <w:sz w:val="24"/>
              </w:rPr>
              <w:t xml:space="preserve"> shall be reported, </w:t>
            </w:r>
            <w:r w:rsidRPr="00661595">
              <w:rPr>
                <w:rFonts w:ascii="Times New Roman" w:hAnsi="Times New Roman"/>
                <w:sz w:val="24"/>
              </w:rPr>
              <w:t xml:space="preserve">which </w:t>
            </w:r>
            <w:r w:rsidR="005E5070" w:rsidRPr="00661595">
              <w:rPr>
                <w:rFonts w:ascii="Times New Roman" w:hAnsi="Times New Roman"/>
                <w:sz w:val="24"/>
              </w:rPr>
              <w:t>shall</w:t>
            </w:r>
            <w:r w:rsidRPr="00661595">
              <w:rPr>
                <w:rFonts w:ascii="Times New Roman" w:hAnsi="Times New Roman"/>
                <w:sz w:val="24"/>
              </w:rPr>
              <w:t xml:space="preserve"> then </w:t>
            </w:r>
            <w:r w:rsidR="005E5070" w:rsidRPr="00661595">
              <w:rPr>
                <w:rFonts w:ascii="Times New Roman" w:hAnsi="Times New Roman"/>
                <w:sz w:val="24"/>
              </w:rPr>
              <w:t xml:space="preserve">be </w:t>
            </w:r>
            <w:r w:rsidRPr="00661595">
              <w:rPr>
                <w:rFonts w:ascii="Times New Roman" w:hAnsi="Times New Roman"/>
                <w:sz w:val="24"/>
              </w:rPr>
              <w:t xml:space="preserve">allocated via the securitisation waterfall to the respective tranches of the securitisation. </w:t>
            </w:r>
            <w:r w:rsidR="005E5070" w:rsidRPr="00661595">
              <w:rPr>
                <w:rFonts w:ascii="Times New Roman" w:hAnsi="Times New Roman"/>
                <w:sz w:val="24"/>
              </w:rPr>
              <w:t xml:space="preserve">For </w:t>
            </w:r>
            <w:r w:rsidRPr="00661595">
              <w:rPr>
                <w:rFonts w:ascii="Times New Roman" w:hAnsi="Times New Roman"/>
                <w:sz w:val="24"/>
              </w:rPr>
              <w:t>SA banks, EL sh</w:t>
            </w:r>
            <w:r w:rsidR="005E5070" w:rsidRPr="00661595">
              <w:rPr>
                <w:rFonts w:ascii="Times New Roman" w:hAnsi="Times New Roman"/>
                <w:sz w:val="24"/>
              </w:rPr>
              <w:t>all</w:t>
            </w:r>
            <w:r w:rsidRPr="00661595">
              <w:rPr>
                <w:rFonts w:ascii="Times New Roman" w:hAnsi="Times New Roman"/>
                <w:sz w:val="24"/>
              </w:rPr>
              <w:t xml:space="preserve"> be the specific credit risk adjustment of the securitised assets and the UL </w:t>
            </w:r>
            <w:r w:rsidR="005E5070" w:rsidRPr="00661595">
              <w:rPr>
                <w:rFonts w:ascii="Times New Roman" w:hAnsi="Times New Roman"/>
                <w:sz w:val="24"/>
              </w:rPr>
              <w:t xml:space="preserve">shall </w:t>
            </w:r>
            <w:r w:rsidRPr="00661595">
              <w:rPr>
                <w:rFonts w:ascii="Times New Roman" w:hAnsi="Times New Roman"/>
                <w:sz w:val="24"/>
              </w:rPr>
              <w:t xml:space="preserve">be the capital requirement of the securitised exposures. </w:t>
            </w:r>
          </w:p>
          <w:p w:rsidR="00C55547" w:rsidRPr="00661595" w:rsidRDefault="00C55547" w:rsidP="00E10B85">
            <w:pPr>
              <w:spacing w:before="0" w:after="0"/>
              <w:jc w:val="left"/>
              <w:rPr>
                <w:rFonts w:ascii="Times New Roman" w:hAnsi="Times New Roman"/>
                <w:b/>
                <w:sz w:val="24"/>
                <w:u w:val="single"/>
              </w:rPr>
            </w:pPr>
          </w:p>
        </w:tc>
      </w:tr>
    </w:tbl>
    <w:p w:rsidR="00612780" w:rsidRPr="00661595" w:rsidRDefault="00612780">
      <w:pPr>
        <w:spacing w:before="0" w:after="0"/>
        <w:jc w:val="left"/>
        <w:rPr>
          <w:rStyle w:val="InstructionsTabelleText"/>
          <w:rFonts w:ascii="Times New Roman" w:hAnsi="Times New Roman"/>
          <w:sz w:val="24"/>
        </w:rPr>
      </w:pPr>
    </w:p>
    <w:p w:rsidR="00FC6275" w:rsidRPr="00661595" w:rsidRDefault="00FC6275" w:rsidP="00FC6275">
      <w:pPr>
        <w:pStyle w:val="Instructionsberschrift2"/>
        <w:numPr>
          <w:ilvl w:val="0"/>
          <w:numId w:val="0"/>
        </w:numPr>
        <w:ind w:left="357" w:hanging="357"/>
        <w:rPr>
          <w:rFonts w:ascii="Times New Roman" w:hAnsi="Times New Roman" w:cs="Times New Roman"/>
          <w:sz w:val="24"/>
          <w:lang w:val="en-GB"/>
        </w:rPr>
      </w:pPr>
      <w:bookmarkStart w:id="433" w:name="_Toc522019895"/>
      <w:bookmarkStart w:id="434" w:name="_Toc57831590"/>
      <w:r w:rsidRPr="00661595">
        <w:rPr>
          <w:rFonts w:ascii="Times New Roman" w:hAnsi="Times New Roman" w:cs="Times New Roman"/>
          <w:sz w:val="24"/>
          <w:u w:val="none"/>
          <w:lang w:val="en-GB"/>
        </w:rPr>
        <w:t>3.</w:t>
      </w:r>
      <w:r w:rsidR="00A2220F" w:rsidRPr="00661595">
        <w:rPr>
          <w:rFonts w:ascii="Times New Roman" w:hAnsi="Times New Roman" w:cs="Times New Roman"/>
          <w:sz w:val="24"/>
          <w:u w:val="none"/>
          <w:lang w:val="en-GB"/>
        </w:rPr>
        <w:t>8</w:t>
      </w:r>
      <w:r w:rsidRPr="00661595">
        <w:rPr>
          <w:rFonts w:ascii="Times New Roman" w:hAnsi="Times New Roman" w:cs="Times New Roman"/>
          <w:sz w:val="24"/>
          <w:u w:val="none"/>
          <w:lang w:val="en-GB"/>
        </w:rPr>
        <w:t>.4.</w:t>
      </w:r>
      <w:r w:rsidRPr="00661595">
        <w:rPr>
          <w:rFonts w:ascii="Times New Roman" w:hAnsi="Times New Roman" w:cs="Times New Roman"/>
          <w:sz w:val="24"/>
          <w:u w:val="none"/>
          <w:lang w:val="en-GB"/>
        </w:rPr>
        <w:tab/>
      </w:r>
      <w:r w:rsidRPr="00661595">
        <w:rPr>
          <w:rFonts w:ascii="Times New Roman" w:hAnsi="Times New Roman" w:cs="Times New Roman"/>
          <w:sz w:val="24"/>
          <w:lang w:val="en-GB"/>
        </w:rPr>
        <w:t>C 14.01 – Detailed information on securitisations (SEC DETAILS 2)</w:t>
      </w:r>
      <w:bookmarkEnd w:id="433"/>
      <w:bookmarkEnd w:id="434"/>
    </w:p>
    <w:bookmarkStart w:id="435" w:name="_Toc522019896"/>
    <w:p w:rsidR="00CA4EB2" w:rsidRPr="00661595" w:rsidRDefault="00771068" w:rsidP="00487A02">
      <w:pPr>
        <w:pStyle w:val="InstructionsText2"/>
        <w:numPr>
          <w:ilvl w:val="0"/>
          <w:numId w:val="0"/>
        </w:numPr>
        <w:ind w:left="1353" w:hanging="360"/>
      </w:pPr>
      <w:r>
        <w:fldChar w:fldCharType="begin"/>
      </w:r>
      <w:r>
        <w:instrText xml:space="preserve"> seq paragraphs </w:instrText>
      </w:r>
      <w:r>
        <w:fldChar w:fldCharType="separate"/>
      </w:r>
      <w:r>
        <w:rPr>
          <w:noProof/>
        </w:rPr>
        <w:t>118</w:t>
      </w:r>
      <w:r>
        <w:fldChar w:fldCharType="end"/>
      </w:r>
      <w:r w:rsidR="00CA4EB2" w:rsidRPr="00661595">
        <w:t>. The template SEC DETAILS 2 shall be reported separately for the following approaches:</w:t>
      </w:r>
    </w:p>
    <w:p w:rsidR="00CA4EB2" w:rsidRPr="00661595" w:rsidRDefault="00CA4EB2" w:rsidP="00487A02">
      <w:pPr>
        <w:pStyle w:val="InstructionsText2"/>
        <w:numPr>
          <w:ilvl w:val="0"/>
          <w:numId w:val="0"/>
        </w:numPr>
        <w:ind w:left="1353" w:hanging="360"/>
        <w:rPr>
          <w:lang w:val="fr-FR"/>
        </w:rPr>
      </w:pPr>
      <w:r w:rsidRPr="00661595">
        <w:rPr>
          <w:lang w:val="fr-FR"/>
        </w:rPr>
        <w:t>1) SEC-IRBA</w:t>
      </w:r>
      <w:r w:rsidR="005E5070" w:rsidRPr="00661595">
        <w:rPr>
          <w:lang w:val="fr-FR"/>
        </w:rPr>
        <w:t>;</w:t>
      </w:r>
    </w:p>
    <w:p w:rsidR="00CA4EB2" w:rsidRPr="00661595" w:rsidRDefault="00CA4EB2" w:rsidP="00487A02">
      <w:pPr>
        <w:pStyle w:val="InstructionsText2"/>
        <w:numPr>
          <w:ilvl w:val="0"/>
          <w:numId w:val="0"/>
        </w:numPr>
        <w:ind w:left="1353" w:hanging="360"/>
        <w:rPr>
          <w:lang w:val="fr-FR"/>
        </w:rPr>
      </w:pPr>
      <w:r w:rsidRPr="00661595">
        <w:rPr>
          <w:lang w:val="fr-FR"/>
        </w:rPr>
        <w:t>2) SEC-SA</w:t>
      </w:r>
      <w:r w:rsidR="005E5070" w:rsidRPr="00661595">
        <w:rPr>
          <w:lang w:val="fr-FR"/>
        </w:rPr>
        <w:t>;</w:t>
      </w:r>
    </w:p>
    <w:p w:rsidR="00CA4EB2" w:rsidRPr="00661595" w:rsidRDefault="00CA4EB2" w:rsidP="00487A02">
      <w:pPr>
        <w:pStyle w:val="InstructionsText2"/>
        <w:numPr>
          <w:ilvl w:val="0"/>
          <w:numId w:val="0"/>
        </w:numPr>
        <w:ind w:left="1353" w:hanging="360"/>
        <w:rPr>
          <w:lang w:val="fr-FR"/>
        </w:rPr>
      </w:pPr>
      <w:r w:rsidRPr="00661595">
        <w:rPr>
          <w:lang w:val="fr-FR"/>
        </w:rPr>
        <w:t>3) SEC-ERBA</w:t>
      </w:r>
      <w:r w:rsidR="005E5070" w:rsidRPr="00661595">
        <w:rPr>
          <w:lang w:val="fr-FR"/>
        </w:rPr>
        <w:t>;</w:t>
      </w:r>
    </w:p>
    <w:p w:rsidR="00CA4EB2" w:rsidRPr="00661595" w:rsidRDefault="00CA4EB2" w:rsidP="00487A02">
      <w:pPr>
        <w:pStyle w:val="InstructionsText2"/>
        <w:numPr>
          <w:ilvl w:val="0"/>
          <w:numId w:val="0"/>
        </w:numPr>
        <w:ind w:left="1353" w:hanging="360"/>
      </w:pPr>
      <w:r w:rsidRPr="00661595">
        <w:t>4) 1</w:t>
      </w:r>
      <w:r w:rsidR="006A66C9" w:rsidRPr="00661595">
        <w:t xml:space="preserve"> </w:t>
      </w:r>
      <w:r w:rsidRPr="00661595">
        <w:t>250%</w:t>
      </w:r>
      <w:r w:rsidR="005E5070" w:rsidRPr="00661595">
        <w:t>.</w:t>
      </w:r>
    </w:p>
    <w:p w:rsidR="000B73C4" w:rsidRPr="00661595" w:rsidRDefault="000B73C4" w:rsidP="00487A02">
      <w:pPr>
        <w:pStyle w:val="InstructionsText2"/>
        <w:numPr>
          <w:ilvl w:val="0"/>
          <w:numId w:val="0"/>
        </w:numPr>
        <w:ind w:left="1353" w:hanging="360"/>
      </w:pPr>
    </w:p>
    <w:bookmarkEnd w:id="435"/>
    <w:tbl>
      <w:tblPr>
        <w:tblW w:w="90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1"/>
        <w:gridCol w:w="7903"/>
      </w:tblGrid>
      <w:tr w:rsidR="00FC6275" w:rsidRPr="00661595" w:rsidTr="00E10B85">
        <w:tc>
          <w:tcPr>
            <w:tcW w:w="9004" w:type="dxa"/>
            <w:gridSpan w:val="2"/>
            <w:shd w:val="clear" w:color="auto" w:fill="CCCCCC"/>
          </w:tcPr>
          <w:p w:rsidR="00FC6275" w:rsidRPr="00661595" w:rsidRDefault="00FC6275" w:rsidP="00E10B85">
            <w:pPr>
              <w:autoSpaceDE w:val="0"/>
              <w:autoSpaceDN w:val="0"/>
              <w:adjustRightInd w:val="0"/>
              <w:spacing w:before="0" w:after="0"/>
              <w:rPr>
                <w:rFonts w:ascii="Times New Roman" w:hAnsi="Times New Roman"/>
                <w:bCs/>
                <w:sz w:val="24"/>
                <w:lang w:eastAsia="nl-BE"/>
              </w:rPr>
            </w:pPr>
          </w:p>
          <w:p w:rsidR="00FC6275" w:rsidRPr="00661595" w:rsidRDefault="00FC6275" w:rsidP="00E10B85">
            <w:pPr>
              <w:autoSpaceDE w:val="0"/>
              <w:autoSpaceDN w:val="0"/>
              <w:adjustRightInd w:val="0"/>
              <w:spacing w:before="0" w:after="0"/>
              <w:rPr>
                <w:rFonts w:ascii="Times New Roman" w:hAnsi="Times New Roman"/>
                <w:b/>
                <w:bCs/>
                <w:sz w:val="24"/>
                <w:lang w:eastAsia="nl-BE"/>
              </w:rPr>
            </w:pPr>
            <w:r w:rsidRPr="00661595">
              <w:rPr>
                <w:rFonts w:ascii="Times New Roman" w:hAnsi="Times New Roman"/>
                <w:b/>
                <w:sz w:val="24"/>
                <w:lang w:eastAsia="de-DE"/>
              </w:rPr>
              <w:t>Columns</w:t>
            </w:r>
          </w:p>
          <w:p w:rsidR="00FC6275" w:rsidRPr="00661595" w:rsidRDefault="00FC6275" w:rsidP="00E10B85">
            <w:pPr>
              <w:autoSpaceDE w:val="0"/>
              <w:autoSpaceDN w:val="0"/>
              <w:adjustRightInd w:val="0"/>
              <w:spacing w:before="0" w:after="0"/>
              <w:rPr>
                <w:rFonts w:ascii="Times New Roman" w:hAnsi="Times New Roman"/>
                <w:bCs/>
                <w:sz w:val="24"/>
                <w:lang w:eastAsia="nl-BE"/>
              </w:rPr>
            </w:pPr>
          </w:p>
        </w:tc>
      </w:tr>
      <w:tr w:rsidR="00FC6275" w:rsidRPr="00661595" w:rsidTr="00E10B85">
        <w:tc>
          <w:tcPr>
            <w:tcW w:w="1101" w:type="dxa"/>
          </w:tcPr>
          <w:p w:rsidR="00FC6275" w:rsidRPr="00661595" w:rsidRDefault="00FC6275"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w:t>
            </w:r>
            <w:r w:rsidR="00973973" w:rsidRPr="00661595">
              <w:rPr>
                <w:rFonts w:ascii="Times New Roman" w:hAnsi="Times New Roman"/>
                <w:bCs/>
                <w:sz w:val="24"/>
                <w:lang w:eastAsia="nl-BE"/>
              </w:rPr>
              <w:t>0</w:t>
            </w:r>
            <w:r w:rsidRPr="00661595">
              <w:rPr>
                <w:rFonts w:ascii="Times New Roman" w:hAnsi="Times New Roman"/>
                <w:bCs/>
                <w:sz w:val="24"/>
                <w:lang w:eastAsia="nl-BE"/>
              </w:rPr>
              <w:t>10</w:t>
            </w:r>
          </w:p>
        </w:tc>
        <w:tc>
          <w:tcPr>
            <w:tcW w:w="7903" w:type="dxa"/>
          </w:tcPr>
          <w:p w:rsidR="00FC6275" w:rsidRPr="00661595" w:rsidRDefault="00FC6275" w:rsidP="00E10B85">
            <w:pPr>
              <w:spacing w:before="0" w:after="0"/>
              <w:jc w:val="left"/>
              <w:rPr>
                <w:rFonts w:ascii="Times New Roman" w:hAnsi="Times New Roman"/>
                <w:b/>
                <w:sz w:val="24"/>
                <w:u w:val="single"/>
              </w:rPr>
            </w:pPr>
            <w:r w:rsidRPr="00661595">
              <w:rPr>
                <w:rFonts w:ascii="Times New Roman" w:hAnsi="Times New Roman"/>
                <w:b/>
                <w:sz w:val="24"/>
                <w:u w:val="single"/>
              </w:rPr>
              <w:t>INTERNAL CODE</w:t>
            </w:r>
          </w:p>
          <w:p w:rsidR="00FC6275" w:rsidRPr="00661595" w:rsidRDefault="00FC6275" w:rsidP="00E10B85">
            <w:pPr>
              <w:spacing w:before="0" w:after="0"/>
              <w:jc w:val="left"/>
              <w:rPr>
                <w:rFonts w:ascii="Times New Roman" w:hAnsi="Times New Roman"/>
                <w:sz w:val="24"/>
              </w:rPr>
            </w:pPr>
          </w:p>
          <w:p w:rsidR="00FC6275" w:rsidRPr="00661595" w:rsidRDefault="00FC6275"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Internal (alpha-numerical) code used by the institution to identify the securitisation. The internal code shall be associated to the identifier of the securitisation</w:t>
            </w:r>
            <w:r w:rsidR="00D956C2" w:rsidRPr="00661595">
              <w:rPr>
                <w:rFonts w:ascii="Times New Roman" w:hAnsi="Times New Roman"/>
                <w:sz w:val="24"/>
              </w:rPr>
              <w:t xml:space="preserve"> transaction</w:t>
            </w:r>
            <w:r w:rsidRPr="00661595">
              <w:rPr>
                <w:rFonts w:ascii="Times New Roman" w:hAnsi="Times New Roman"/>
                <w:sz w:val="24"/>
              </w:rPr>
              <w:t>.</w:t>
            </w:r>
          </w:p>
          <w:p w:rsidR="00FC6275" w:rsidRPr="00661595" w:rsidRDefault="00FC6275" w:rsidP="00E10B85">
            <w:pPr>
              <w:autoSpaceDE w:val="0"/>
              <w:autoSpaceDN w:val="0"/>
              <w:adjustRightInd w:val="0"/>
              <w:spacing w:before="0" w:after="0"/>
              <w:jc w:val="left"/>
              <w:rPr>
                <w:rFonts w:ascii="Times New Roman" w:hAnsi="Times New Roman"/>
                <w:bCs/>
                <w:sz w:val="24"/>
                <w:lang w:eastAsia="nl-BE"/>
              </w:rPr>
            </w:pPr>
          </w:p>
        </w:tc>
      </w:tr>
      <w:tr w:rsidR="00FC6275" w:rsidRPr="00661595" w:rsidTr="00E10B85">
        <w:tc>
          <w:tcPr>
            <w:tcW w:w="1101" w:type="dxa"/>
          </w:tcPr>
          <w:p w:rsidR="00FC6275" w:rsidRPr="00661595" w:rsidRDefault="00973973"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sz w:val="24"/>
              </w:rPr>
              <w:t>0</w:t>
            </w:r>
            <w:r w:rsidR="00FC6275" w:rsidRPr="00661595">
              <w:rPr>
                <w:rFonts w:ascii="Times New Roman" w:hAnsi="Times New Roman"/>
                <w:sz w:val="24"/>
              </w:rPr>
              <w:t>020</w:t>
            </w:r>
          </w:p>
        </w:tc>
        <w:tc>
          <w:tcPr>
            <w:tcW w:w="7903" w:type="dxa"/>
          </w:tcPr>
          <w:p w:rsidR="00FC6275" w:rsidRPr="00661595" w:rsidRDefault="00FC6275" w:rsidP="00E10B85">
            <w:pPr>
              <w:autoSpaceDE w:val="0"/>
              <w:autoSpaceDN w:val="0"/>
              <w:adjustRightInd w:val="0"/>
              <w:spacing w:before="0" w:after="0"/>
              <w:jc w:val="left"/>
              <w:rPr>
                <w:rFonts w:ascii="Times New Roman" w:hAnsi="Times New Roman"/>
                <w:b/>
                <w:sz w:val="24"/>
                <w:u w:val="single"/>
              </w:rPr>
            </w:pPr>
            <w:r w:rsidRPr="00661595">
              <w:rPr>
                <w:rFonts w:ascii="Times New Roman" w:hAnsi="Times New Roman"/>
                <w:b/>
                <w:sz w:val="24"/>
                <w:u w:val="single"/>
              </w:rPr>
              <w:t>IDENTIFIER OF THE SECURITISATION</w:t>
            </w:r>
            <w:r w:rsidRPr="00661595">
              <w:rPr>
                <w:rFonts w:ascii="Times New Roman" w:hAnsi="Times New Roman"/>
                <w:b/>
                <w:sz w:val="24"/>
              </w:rPr>
              <w:t xml:space="preserve"> (Code/Name)</w:t>
            </w:r>
          </w:p>
          <w:p w:rsidR="00FC6275" w:rsidRPr="00661595" w:rsidRDefault="00FC6275" w:rsidP="00E10B85">
            <w:pPr>
              <w:spacing w:before="0" w:after="0"/>
              <w:jc w:val="left"/>
              <w:rPr>
                <w:rFonts w:ascii="Times New Roman" w:hAnsi="Times New Roman"/>
                <w:sz w:val="24"/>
              </w:rPr>
            </w:pPr>
          </w:p>
          <w:p w:rsidR="00FC6275" w:rsidRPr="00661595" w:rsidRDefault="00FC6275"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 xml:space="preserve">Code used for the legal registration of the securitisation </w:t>
            </w:r>
            <w:r w:rsidR="00D956C2" w:rsidRPr="00661595">
              <w:rPr>
                <w:rFonts w:ascii="Times New Roman" w:hAnsi="Times New Roman"/>
                <w:sz w:val="24"/>
              </w:rPr>
              <w:t xml:space="preserve">position, or transaction in case of several positions that can be reported in the same row, </w:t>
            </w:r>
            <w:r w:rsidRPr="00661595">
              <w:rPr>
                <w:rFonts w:ascii="Times New Roman" w:hAnsi="Times New Roman"/>
                <w:sz w:val="24"/>
              </w:rPr>
              <w:t>or, if not available, the name by which the securitisation</w:t>
            </w:r>
            <w:r w:rsidR="00D956C2" w:rsidRPr="00661595">
              <w:rPr>
                <w:rFonts w:ascii="Times New Roman" w:hAnsi="Times New Roman"/>
                <w:sz w:val="24"/>
              </w:rPr>
              <w:t xml:space="preserve"> position or transaction</w:t>
            </w:r>
            <w:r w:rsidRPr="00661595">
              <w:rPr>
                <w:rFonts w:ascii="Times New Roman" w:hAnsi="Times New Roman"/>
                <w:sz w:val="24"/>
              </w:rPr>
              <w:t xml:space="preserve"> is known in the market, or within the institution in the case of an internal or private securitisation. Whe</w:t>
            </w:r>
            <w:r w:rsidR="001C3443" w:rsidRPr="00661595">
              <w:rPr>
                <w:rFonts w:ascii="Times New Roman" w:hAnsi="Times New Roman"/>
                <w:sz w:val="24"/>
              </w:rPr>
              <w:t>re</w:t>
            </w:r>
            <w:r w:rsidRPr="00661595">
              <w:rPr>
                <w:rFonts w:ascii="Times New Roman" w:hAnsi="Times New Roman"/>
                <w:sz w:val="24"/>
              </w:rPr>
              <w:t xml:space="preserve"> the International Securities Identification Number -ISIN- is available (i.e. for public transactions)</w:t>
            </w:r>
            <w:r w:rsidR="001C3443" w:rsidRPr="00661595">
              <w:rPr>
                <w:rFonts w:ascii="Times New Roman" w:hAnsi="Times New Roman"/>
                <w:sz w:val="24"/>
              </w:rPr>
              <w:t>,</w:t>
            </w:r>
            <w:r w:rsidRPr="00661595">
              <w:rPr>
                <w:rFonts w:ascii="Times New Roman" w:hAnsi="Times New Roman"/>
                <w:sz w:val="24"/>
              </w:rPr>
              <w:t xml:space="preserve"> the characters that are common to all tranches of the securitisation shall be reported in this column.</w:t>
            </w:r>
          </w:p>
          <w:p w:rsidR="00FC6275" w:rsidRPr="00661595" w:rsidRDefault="00FC6275" w:rsidP="00E10B85">
            <w:pPr>
              <w:autoSpaceDE w:val="0"/>
              <w:autoSpaceDN w:val="0"/>
              <w:adjustRightInd w:val="0"/>
              <w:spacing w:before="0" w:after="0"/>
              <w:jc w:val="left"/>
              <w:rPr>
                <w:rFonts w:ascii="Times New Roman" w:hAnsi="Times New Roman"/>
                <w:bCs/>
                <w:sz w:val="24"/>
                <w:lang w:eastAsia="nl-BE"/>
              </w:rPr>
            </w:pPr>
          </w:p>
        </w:tc>
      </w:tr>
      <w:tr w:rsidR="00FC6275" w:rsidRPr="00661595" w:rsidTr="00E10B85">
        <w:tc>
          <w:tcPr>
            <w:tcW w:w="1101" w:type="dxa"/>
          </w:tcPr>
          <w:p w:rsidR="00FC6275" w:rsidRPr="00661595" w:rsidRDefault="00973973"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sz w:val="24"/>
              </w:rPr>
              <w:t>0</w:t>
            </w:r>
            <w:r w:rsidR="00FC6275" w:rsidRPr="00661595">
              <w:rPr>
                <w:rFonts w:ascii="Times New Roman" w:hAnsi="Times New Roman"/>
                <w:sz w:val="24"/>
              </w:rPr>
              <w:t>310-</w:t>
            </w:r>
            <w:r w:rsidRPr="00661595">
              <w:rPr>
                <w:rFonts w:ascii="Times New Roman" w:hAnsi="Times New Roman"/>
                <w:sz w:val="24"/>
              </w:rPr>
              <w:t>0</w:t>
            </w:r>
            <w:r w:rsidR="00FC6275" w:rsidRPr="00661595">
              <w:rPr>
                <w:rFonts w:ascii="Times New Roman" w:hAnsi="Times New Roman"/>
                <w:sz w:val="24"/>
              </w:rPr>
              <w:t>400</w:t>
            </w:r>
          </w:p>
        </w:tc>
        <w:tc>
          <w:tcPr>
            <w:tcW w:w="7903" w:type="dxa"/>
          </w:tcPr>
          <w:p w:rsidR="00FC6275" w:rsidRPr="00661595" w:rsidRDefault="00FC6275" w:rsidP="00E10B85">
            <w:pPr>
              <w:spacing w:before="0" w:after="0"/>
              <w:jc w:val="left"/>
              <w:rPr>
                <w:rFonts w:ascii="Times New Roman" w:hAnsi="Times New Roman"/>
                <w:b/>
                <w:sz w:val="24"/>
                <w:u w:val="single"/>
              </w:rPr>
            </w:pPr>
            <w:r w:rsidRPr="00661595">
              <w:rPr>
                <w:rFonts w:ascii="Times New Roman" w:hAnsi="Times New Roman"/>
                <w:b/>
                <w:sz w:val="24"/>
                <w:u w:val="single"/>
              </w:rPr>
              <w:t>SECURITISATION POSITIONS: ORIGINAL EXPOSURE PRE</w:t>
            </w:r>
            <w:r w:rsidR="007574C3" w:rsidRPr="00661595">
              <w:rPr>
                <w:rFonts w:ascii="Times New Roman" w:hAnsi="Times New Roman"/>
                <w:b/>
                <w:sz w:val="24"/>
                <w:u w:val="single"/>
              </w:rPr>
              <w:t>-</w:t>
            </w:r>
            <w:r w:rsidRPr="00661595">
              <w:rPr>
                <w:rFonts w:ascii="Times New Roman" w:hAnsi="Times New Roman"/>
                <w:b/>
                <w:sz w:val="24"/>
                <w:u w:val="single"/>
              </w:rPr>
              <w:t>CONVERSION FACTORS</w:t>
            </w:r>
          </w:p>
          <w:p w:rsidR="00FC6275" w:rsidRPr="00661595" w:rsidRDefault="00FC6275" w:rsidP="00E10B85">
            <w:pPr>
              <w:spacing w:before="0" w:after="0"/>
              <w:jc w:val="left"/>
              <w:rPr>
                <w:rFonts w:ascii="Times New Roman" w:hAnsi="Times New Roman"/>
                <w:sz w:val="24"/>
              </w:rPr>
            </w:pPr>
          </w:p>
          <w:p w:rsidR="00FC6275" w:rsidRPr="00661595" w:rsidRDefault="00FC6275" w:rsidP="00E10B85">
            <w:pPr>
              <w:spacing w:before="0" w:after="0"/>
              <w:rPr>
                <w:rFonts w:ascii="Times New Roman" w:hAnsi="Times New Roman"/>
                <w:sz w:val="24"/>
              </w:rPr>
            </w:pPr>
            <w:r w:rsidRPr="00661595">
              <w:rPr>
                <w:rFonts w:ascii="Times New Roman" w:hAnsi="Times New Roman"/>
                <w:sz w:val="24"/>
              </w:rPr>
              <w:t xml:space="preserve">This block of columns gathers information on the securitisation positions </w:t>
            </w:r>
            <w:r w:rsidR="0094380A" w:rsidRPr="00661595">
              <w:rPr>
                <w:rFonts w:ascii="Times New Roman" w:hAnsi="Times New Roman"/>
                <w:sz w:val="24"/>
              </w:rPr>
              <w:t>broken down by</w:t>
            </w:r>
            <w:r w:rsidRPr="00661595">
              <w:rPr>
                <w:rFonts w:ascii="Times New Roman" w:hAnsi="Times New Roman"/>
                <w:sz w:val="24"/>
              </w:rPr>
              <w:t xml:space="preserve"> on/off balance sheet positions and the tranches (senior/mezzanine/ first loss) at reporting date. </w:t>
            </w:r>
          </w:p>
          <w:p w:rsidR="00FC6275" w:rsidRPr="00661595" w:rsidRDefault="00FC6275" w:rsidP="00E10B85">
            <w:pPr>
              <w:spacing w:before="0" w:after="0"/>
              <w:jc w:val="left"/>
              <w:rPr>
                <w:rFonts w:ascii="Times New Roman" w:hAnsi="Times New Roman"/>
                <w:sz w:val="24"/>
              </w:rPr>
            </w:pPr>
          </w:p>
        </w:tc>
      </w:tr>
      <w:tr w:rsidR="00FC6275" w:rsidRPr="00661595" w:rsidTr="00E10B85">
        <w:tc>
          <w:tcPr>
            <w:tcW w:w="1101" w:type="dxa"/>
          </w:tcPr>
          <w:p w:rsidR="00FC6275" w:rsidRPr="00661595" w:rsidRDefault="00973973"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sz w:val="24"/>
              </w:rPr>
              <w:t>0</w:t>
            </w:r>
            <w:r w:rsidR="00FC6275" w:rsidRPr="00661595">
              <w:rPr>
                <w:rFonts w:ascii="Times New Roman" w:hAnsi="Times New Roman"/>
                <w:sz w:val="24"/>
              </w:rPr>
              <w:t>310-</w:t>
            </w:r>
            <w:r w:rsidRPr="00661595">
              <w:rPr>
                <w:rFonts w:ascii="Times New Roman" w:hAnsi="Times New Roman"/>
                <w:sz w:val="24"/>
              </w:rPr>
              <w:t>0</w:t>
            </w:r>
            <w:r w:rsidR="00FC6275" w:rsidRPr="00661595">
              <w:rPr>
                <w:rFonts w:ascii="Times New Roman" w:hAnsi="Times New Roman"/>
                <w:sz w:val="24"/>
              </w:rPr>
              <w:t>330</w:t>
            </w:r>
          </w:p>
        </w:tc>
        <w:tc>
          <w:tcPr>
            <w:tcW w:w="7903" w:type="dxa"/>
          </w:tcPr>
          <w:p w:rsidR="00FC6275" w:rsidRPr="00661595" w:rsidRDefault="00FC6275" w:rsidP="00E10B85">
            <w:pPr>
              <w:spacing w:before="0" w:after="0"/>
              <w:jc w:val="left"/>
              <w:rPr>
                <w:rFonts w:ascii="Times New Roman" w:hAnsi="Times New Roman"/>
                <w:b/>
                <w:sz w:val="24"/>
                <w:u w:val="single"/>
              </w:rPr>
            </w:pPr>
            <w:r w:rsidRPr="00661595">
              <w:rPr>
                <w:rFonts w:ascii="Times New Roman" w:hAnsi="Times New Roman"/>
                <w:b/>
                <w:sz w:val="24"/>
                <w:u w:val="single"/>
              </w:rPr>
              <w:t xml:space="preserve">ON-BALANCE SHEET ITEMS </w:t>
            </w:r>
          </w:p>
          <w:p w:rsidR="00FC6275" w:rsidRPr="00661595" w:rsidRDefault="00FC6275" w:rsidP="00E10B85">
            <w:pPr>
              <w:spacing w:before="0" w:after="0"/>
              <w:jc w:val="left"/>
              <w:rPr>
                <w:rFonts w:ascii="Times New Roman" w:hAnsi="Times New Roman"/>
                <w:sz w:val="24"/>
              </w:rPr>
            </w:pPr>
          </w:p>
          <w:p w:rsidR="00FC6275" w:rsidRPr="00661595" w:rsidRDefault="00FC6275" w:rsidP="00E10B85">
            <w:pPr>
              <w:spacing w:before="0" w:after="0"/>
              <w:jc w:val="left"/>
              <w:rPr>
                <w:rFonts w:ascii="Times New Roman" w:hAnsi="Times New Roman"/>
                <w:sz w:val="24"/>
                <w:lang w:eastAsia="es-ES_tradnl"/>
              </w:rPr>
            </w:pPr>
            <w:r w:rsidRPr="00661595">
              <w:rPr>
                <w:rFonts w:ascii="Times New Roman" w:hAnsi="Times New Roman"/>
                <w:sz w:val="24"/>
                <w:lang w:eastAsia="es-ES_tradnl"/>
              </w:rPr>
              <w:t xml:space="preserve">The same criteria of classification among tranches used for columns </w:t>
            </w:r>
            <w:r w:rsidR="00973973" w:rsidRPr="00661595">
              <w:rPr>
                <w:rFonts w:ascii="Times New Roman" w:hAnsi="Times New Roman"/>
                <w:sz w:val="24"/>
                <w:lang w:eastAsia="es-ES_tradnl"/>
              </w:rPr>
              <w:t>0</w:t>
            </w:r>
            <w:r w:rsidRPr="00661595">
              <w:rPr>
                <w:rFonts w:ascii="Times New Roman" w:hAnsi="Times New Roman"/>
                <w:sz w:val="24"/>
                <w:lang w:eastAsia="es-ES_tradnl"/>
              </w:rPr>
              <w:t xml:space="preserve">230, </w:t>
            </w:r>
            <w:r w:rsidR="00973973" w:rsidRPr="00661595">
              <w:rPr>
                <w:rFonts w:ascii="Times New Roman" w:hAnsi="Times New Roman"/>
                <w:sz w:val="24"/>
                <w:lang w:eastAsia="es-ES_tradnl"/>
              </w:rPr>
              <w:t>0</w:t>
            </w:r>
            <w:r w:rsidRPr="00661595">
              <w:rPr>
                <w:rFonts w:ascii="Times New Roman" w:hAnsi="Times New Roman"/>
                <w:sz w:val="24"/>
                <w:lang w:eastAsia="es-ES_tradnl"/>
              </w:rPr>
              <w:t xml:space="preserve">240 and </w:t>
            </w:r>
            <w:r w:rsidR="00973973" w:rsidRPr="00661595">
              <w:rPr>
                <w:rFonts w:ascii="Times New Roman" w:hAnsi="Times New Roman"/>
                <w:sz w:val="24"/>
                <w:lang w:eastAsia="es-ES_tradnl"/>
              </w:rPr>
              <w:t>0</w:t>
            </w:r>
            <w:r w:rsidRPr="00661595">
              <w:rPr>
                <w:rFonts w:ascii="Times New Roman" w:hAnsi="Times New Roman"/>
                <w:sz w:val="24"/>
                <w:lang w:eastAsia="es-ES_tradnl"/>
              </w:rPr>
              <w:t>250 shall be applied here.</w:t>
            </w:r>
          </w:p>
          <w:p w:rsidR="00FC6275" w:rsidRPr="00661595" w:rsidRDefault="00FC6275" w:rsidP="00E10B85">
            <w:pPr>
              <w:spacing w:before="0" w:after="0"/>
              <w:jc w:val="left"/>
              <w:rPr>
                <w:rFonts w:ascii="Times New Roman" w:hAnsi="Times New Roman"/>
                <w:sz w:val="24"/>
              </w:rPr>
            </w:pPr>
          </w:p>
        </w:tc>
      </w:tr>
      <w:tr w:rsidR="00FC6275" w:rsidRPr="00661595" w:rsidTr="00E10B85">
        <w:tc>
          <w:tcPr>
            <w:tcW w:w="1101" w:type="dxa"/>
          </w:tcPr>
          <w:p w:rsidR="00FC6275" w:rsidRPr="00661595" w:rsidRDefault="00973973"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w:t>
            </w:r>
            <w:r w:rsidR="00FC6275" w:rsidRPr="00661595">
              <w:rPr>
                <w:rFonts w:ascii="Times New Roman" w:hAnsi="Times New Roman"/>
                <w:bCs/>
                <w:sz w:val="24"/>
                <w:lang w:eastAsia="nl-BE"/>
              </w:rPr>
              <w:t>340-</w:t>
            </w:r>
            <w:r w:rsidRPr="00661595">
              <w:rPr>
                <w:rFonts w:ascii="Times New Roman" w:hAnsi="Times New Roman"/>
                <w:bCs/>
                <w:sz w:val="24"/>
                <w:lang w:eastAsia="nl-BE"/>
              </w:rPr>
              <w:t>0</w:t>
            </w:r>
            <w:r w:rsidR="00FC6275" w:rsidRPr="00661595">
              <w:rPr>
                <w:rFonts w:ascii="Times New Roman" w:hAnsi="Times New Roman"/>
                <w:bCs/>
                <w:sz w:val="24"/>
                <w:lang w:eastAsia="nl-BE"/>
              </w:rPr>
              <w:t>361</w:t>
            </w:r>
          </w:p>
        </w:tc>
        <w:tc>
          <w:tcPr>
            <w:tcW w:w="7903" w:type="dxa"/>
          </w:tcPr>
          <w:p w:rsidR="00FC6275" w:rsidRPr="00661595" w:rsidRDefault="00FC6275" w:rsidP="00E10B85">
            <w:pPr>
              <w:spacing w:before="0" w:after="0"/>
              <w:jc w:val="left"/>
              <w:rPr>
                <w:rFonts w:ascii="Times New Roman" w:hAnsi="Times New Roman"/>
                <w:b/>
                <w:sz w:val="24"/>
                <w:u w:val="single"/>
              </w:rPr>
            </w:pPr>
            <w:r w:rsidRPr="00661595">
              <w:rPr>
                <w:rFonts w:ascii="Times New Roman" w:hAnsi="Times New Roman"/>
                <w:b/>
                <w:sz w:val="24"/>
                <w:u w:val="single"/>
              </w:rPr>
              <w:t>OFF-BALANCE SHEET ITEMS AND DERIVATIVES</w:t>
            </w:r>
          </w:p>
          <w:p w:rsidR="00FC6275" w:rsidRPr="00661595" w:rsidRDefault="00FC6275" w:rsidP="00E10B85">
            <w:pPr>
              <w:spacing w:before="0" w:after="0"/>
              <w:jc w:val="left"/>
              <w:rPr>
                <w:rFonts w:ascii="Times New Roman" w:hAnsi="Times New Roman"/>
                <w:sz w:val="24"/>
              </w:rPr>
            </w:pPr>
          </w:p>
          <w:p w:rsidR="00FC6275" w:rsidRPr="00661595" w:rsidRDefault="00FC6275" w:rsidP="00E10B85">
            <w:pPr>
              <w:spacing w:before="0" w:after="0"/>
              <w:jc w:val="left"/>
              <w:rPr>
                <w:rFonts w:ascii="Times New Roman" w:hAnsi="Times New Roman"/>
                <w:sz w:val="24"/>
                <w:lang w:eastAsia="es-ES_tradnl"/>
              </w:rPr>
            </w:pPr>
            <w:r w:rsidRPr="00661595">
              <w:rPr>
                <w:rFonts w:ascii="Times New Roman" w:hAnsi="Times New Roman"/>
                <w:sz w:val="24"/>
                <w:lang w:eastAsia="es-ES_tradnl"/>
              </w:rPr>
              <w:t xml:space="preserve">The same criteria of classification among tranches used for columns </w:t>
            </w:r>
            <w:r w:rsidR="00973973" w:rsidRPr="00661595">
              <w:rPr>
                <w:rFonts w:ascii="Times New Roman" w:hAnsi="Times New Roman"/>
                <w:sz w:val="24"/>
                <w:lang w:eastAsia="es-ES_tradnl"/>
              </w:rPr>
              <w:t>0</w:t>
            </w:r>
            <w:r w:rsidRPr="00661595">
              <w:rPr>
                <w:rFonts w:ascii="Times New Roman" w:hAnsi="Times New Roman"/>
                <w:sz w:val="24"/>
                <w:lang w:eastAsia="es-ES_tradnl"/>
              </w:rPr>
              <w:t xml:space="preserve">260 to </w:t>
            </w:r>
            <w:r w:rsidR="00973973" w:rsidRPr="00661595">
              <w:rPr>
                <w:rFonts w:ascii="Times New Roman" w:hAnsi="Times New Roman"/>
                <w:sz w:val="24"/>
                <w:lang w:eastAsia="es-ES_tradnl"/>
              </w:rPr>
              <w:t>0</w:t>
            </w:r>
            <w:r w:rsidRPr="00661595">
              <w:rPr>
                <w:rFonts w:ascii="Times New Roman" w:hAnsi="Times New Roman"/>
                <w:sz w:val="24"/>
                <w:lang w:eastAsia="es-ES_tradnl"/>
              </w:rPr>
              <w:t>280 shall be applied here.</w:t>
            </w:r>
          </w:p>
          <w:p w:rsidR="00FC6275" w:rsidRPr="00661595" w:rsidRDefault="00FC6275" w:rsidP="00E10B85">
            <w:pPr>
              <w:spacing w:before="0" w:after="0"/>
              <w:jc w:val="left"/>
              <w:rPr>
                <w:rFonts w:ascii="Times New Roman" w:hAnsi="Times New Roman"/>
                <w:sz w:val="24"/>
              </w:rPr>
            </w:pPr>
          </w:p>
        </w:tc>
      </w:tr>
      <w:tr w:rsidR="00FC6275" w:rsidRPr="00661595" w:rsidTr="00E10B85">
        <w:tc>
          <w:tcPr>
            <w:tcW w:w="1101" w:type="dxa"/>
          </w:tcPr>
          <w:p w:rsidR="00FC6275" w:rsidRPr="00661595" w:rsidRDefault="00973973"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0</w:t>
            </w:r>
            <w:r w:rsidR="00FC6275" w:rsidRPr="00661595">
              <w:rPr>
                <w:rFonts w:ascii="Times New Roman" w:hAnsi="Times New Roman"/>
                <w:sz w:val="24"/>
              </w:rPr>
              <w:t xml:space="preserve">351 and </w:t>
            </w:r>
            <w:r w:rsidRPr="00661595">
              <w:rPr>
                <w:rFonts w:ascii="Times New Roman" w:hAnsi="Times New Roman"/>
                <w:sz w:val="24"/>
              </w:rPr>
              <w:t>0</w:t>
            </w:r>
            <w:r w:rsidR="00FC6275" w:rsidRPr="00661595">
              <w:rPr>
                <w:rFonts w:ascii="Times New Roman" w:hAnsi="Times New Roman"/>
                <w:sz w:val="24"/>
              </w:rPr>
              <w:t>361</w:t>
            </w:r>
          </w:p>
        </w:tc>
        <w:tc>
          <w:tcPr>
            <w:tcW w:w="7903" w:type="dxa"/>
          </w:tcPr>
          <w:p w:rsidR="00FC6275" w:rsidRPr="00661595" w:rsidRDefault="00FC6275" w:rsidP="00E10B85">
            <w:pPr>
              <w:autoSpaceDE w:val="0"/>
              <w:autoSpaceDN w:val="0"/>
              <w:adjustRightInd w:val="0"/>
              <w:spacing w:before="0" w:after="0"/>
              <w:jc w:val="left"/>
              <w:rPr>
                <w:rFonts w:ascii="Times New Roman" w:hAnsi="Times New Roman"/>
                <w:b/>
                <w:sz w:val="24"/>
                <w:u w:val="single"/>
              </w:rPr>
            </w:pPr>
            <w:r w:rsidRPr="00661595">
              <w:rPr>
                <w:rFonts w:ascii="Times New Roman" w:hAnsi="Times New Roman"/>
                <w:b/>
                <w:sz w:val="24"/>
                <w:u w:val="single"/>
              </w:rPr>
              <w:t>RW CORRESPONDING TO PROTECTION PROVIDER / INSTRUMENT</w:t>
            </w:r>
          </w:p>
          <w:p w:rsidR="00FC6275" w:rsidRPr="00661595" w:rsidRDefault="00FC6275" w:rsidP="00E10B85">
            <w:pPr>
              <w:autoSpaceDE w:val="0"/>
              <w:autoSpaceDN w:val="0"/>
              <w:adjustRightInd w:val="0"/>
              <w:spacing w:before="0" w:after="0"/>
              <w:jc w:val="left"/>
              <w:rPr>
                <w:rFonts w:ascii="Times New Roman" w:hAnsi="Times New Roman"/>
                <w:b/>
                <w:sz w:val="24"/>
                <w:u w:val="single"/>
              </w:rPr>
            </w:pPr>
          </w:p>
          <w:p w:rsidR="00FC6275" w:rsidRPr="00661595" w:rsidRDefault="00FC6275" w:rsidP="00E10B85">
            <w:pPr>
              <w:autoSpaceDE w:val="0"/>
              <w:autoSpaceDN w:val="0"/>
              <w:adjustRightInd w:val="0"/>
              <w:spacing w:before="0" w:after="0"/>
              <w:jc w:val="left"/>
              <w:rPr>
                <w:rFonts w:ascii="Times New Roman" w:hAnsi="Times New Roman"/>
                <w:sz w:val="24"/>
              </w:rPr>
            </w:pPr>
            <w:r w:rsidRPr="00661595">
              <w:rPr>
                <w:rFonts w:ascii="Times New Roman" w:hAnsi="Times New Roman"/>
                <w:sz w:val="24"/>
              </w:rPr>
              <w:t xml:space="preserve">% RW of the eligible guarantor or % RW of the corresponding instrument that provides </w:t>
            </w:r>
            <w:r w:rsidR="0073527C" w:rsidRPr="00661595">
              <w:rPr>
                <w:rFonts w:ascii="Times New Roman" w:hAnsi="Times New Roman"/>
                <w:sz w:val="24"/>
              </w:rPr>
              <w:t xml:space="preserve">credit protection </w:t>
            </w:r>
            <w:r w:rsidR="00BB22D4" w:rsidRPr="00661595">
              <w:rPr>
                <w:rFonts w:ascii="Times New Roman" w:hAnsi="Times New Roman"/>
                <w:sz w:val="24"/>
              </w:rPr>
              <w:t>in accordance with</w:t>
            </w:r>
            <w:r w:rsidR="00D956C2" w:rsidRPr="00661595">
              <w:rPr>
                <w:rFonts w:ascii="Times New Roman" w:hAnsi="Times New Roman"/>
                <w:sz w:val="24"/>
              </w:rPr>
              <w:t xml:space="preserve"> Article 249</w:t>
            </w:r>
            <w:r w:rsidRPr="00661595">
              <w:rPr>
                <w:rFonts w:ascii="Times New Roman" w:hAnsi="Times New Roman"/>
                <w:sz w:val="24"/>
              </w:rPr>
              <w:t xml:space="preserve"> </w:t>
            </w:r>
            <w:r w:rsidR="00C7103D" w:rsidRPr="00661595">
              <w:rPr>
                <w:rFonts w:ascii="Times New Roman" w:hAnsi="Times New Roman"/>
                <w:sz w:val="24"/>
              </w:rPr>
              <w:t>CRR</w:t>
            </w:r>
            <w:r w:rsidRPr="00661595">
              <w:rPr>
                <w:rFonts w:ascii="Times New Roman" w:hAnsi="Times New Roman"/>
                <w:sz w:val="24"/>
              </w:rPr>
              <w:t>.</w:t>
            </w:r>
          </w:p>
          <w:p w:rsidR="00FC6275" w:rsidRPr="00661595" w:rsidRDefault="00FC6275" w:rsidP="00E10B85">
            <w:pPr>
              <w:autoSpaceDE w:val="0"/>
              <w:autoSpaceDN w:val="0"/>
              <w:adjustRightInd w:val="0"/>
              <w:spacing w:before="0" w:after="0"/>
              <w:jc w:val="left"/>
              <w:rPr>
                <w:rFonts w:ascii="Times New Roman" w:hAnsi="Times New Roman"/>
                <w:b/>
                <w:sz w:val="24"/>
                <w:u w:val="single"/>
              </w:rPr>
            </w:pPr>
          </w:p>
        </w:tc>
      </w:tr>
      <w:tr w:rsidR="00FC6275" w:rsidRPr="00661595" w:rsidTr="00E10B85">
        <w:tc>
          <w:tcPr>
            <w:tcW w:w="1101" w:type="dxa"/>
          </w:tcPr>
          <w:p w:rsidR="00FC6275" w:rsidRPr="00661595" w:rsidRDefault="00973973"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0</w:t>
            </w:r>
            <w:r w:rsidR="00FC6275" w:rsidRPr="00661595">
              <w:rPr>
                <w:rFonts w:ascii="Times New Roman" w:hAnsi="Times New Roman"/>
                <w:sz w:val="24"/>
              </w:rPr>
              <w:t>370-</w:t>
            </w:r>
            <w:r w:rsidRPr="00661595">
              <w:rPr>
                <w:rFonts w:ascii="Times New Roman" w:hAnsi="Times New Roman"/>
                <w:sz w:val="24"/>
              </w:rPr>
              <w:t>0</w:t>
            </w:r>
            <w:r w:rsidR="00FC6275" w:rsidRPr="00661595">
              <w:rPr>
                <w:rFonts w:ascii="Times New Roman" w:hAnsi="Times New Roman"/>
                <w:sz w:val="24"/>
              </w:rPr>
              <w:t>400</w:t>
            </w:r>
          </w:p>
        </w:tc>
        <w:tc>
          <w:tcPr>
            <w:tcW w:w="7903" w:type="dxa"/>
          </w:tcPr>
          <w:p w:rsidR="00FC6275" w:rsidRPr="00661595" w:rsidRDefault="00FC6275" w:rsidP="00E10B85">
            <w:pPr>
              <w:autoSpaceDE w:val="0"/>
              <w:autoSpaceDN w:val="0"/>
              <w:adjustRightInd w:val="0"/>
              <w:spacing w:before="0" w:after="0"/>
              <w:jc w:val="left"/>
              <w:rPr>
                <w:rFonts w:ascii="Times New Roman" w:hAnsi="Times New Roman"/>
                <w:b/>
                <w:sz w:val="24"/>
                <w:u w:val="single"/>
              </w:rPr>
            </w:pPr>
            <w:r w:rsidRPr="00661595">
              <w:rPr>
                <w:rFonts w:ascii="Times New Roman" w:hAnsi="Times New Roman"/>
                <w:b/>
                <w:sz w:val="24"/>
                <w:u w:val="single"/>
              </w:rPr>
              <w:t>MEMORANDUM ITEMS: OFF-BALANCE SHEET ITEMS AND DERIVATIVES PRE</w:t>
            </w:r>
            <w:r w:rsidR="007574C3" w:rsidRPr="00661595">
              <w:rPr>
                <w:rFonts w:ascii="Times New Roman" w:hAnsi="Times New Roman"/>
                <w:b/>
                <w:sz w:val="24"/>
                <w:u w:val="single"/>
              </w:rPr>
              <w:t>-</w:t>
            </w:r>
            <w:r w:rsidRPr="00661595">
              <w:rPr>
                <w:rFonts w:ascii="Times New Roman" w:hAnsi="Times New Roman"/>
                <w:b/>
                <w:sz w:val="24"/>
                <w:u w:val="single"/>
              </w:rPr>
              <w:t>CONVERSION FACTORS</w:t>
            </w:r>
          </w:p>
          <w:p w:rsidR="00FC6275" w:rsidRPr="00661595" w:rsidRDefault="00FC6275" w:rsidP="00E10B85">
            <w:pPr>
              <w:autoSpaceDE w:val="0"/>
              <w:autoSpaceDN w:val="0"/>
              <w:adjustRightInd w:val="0"/>
              <w:spacing w:before="0" w:after="0"/>
              <w:jc w:val="left"/>
              <w:rPr>
                <w:rFonts w:ascii="Times New Roman" w:hAnsi="Times New Roman"/>
                <w:b/>
                <w:sz w:val="24"/>
                <w:u w:val="single"/>
              </w:rPr>
            </w:pPr>
          </w:p>
          <w:p w:rsidR="00FC6275" w:rsidRPr="00661595" w:rsidRDefault="00FC6275"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 xml:space="preserve">This block of columns gathers additional information on the total off-balance sheet items and derivatives (which are already reported under a different breakdown in columns </w:t>
            </w:r>
            <w:r w:rsidR="00973973" w:rsidRPr="00661595">
              <w:rPr>
                <w:rFonts w:ascii="Times New Roman" w:hAnsi="Times New Roman"/>
                <w:sz w:val="24"/>
              </w:rPr>
              <w:t>0</w:t>
            </w:r>
            <w:r w:rsidRPr="00661595">
              <w:rPr>
                <w:rFonts w:ascii="Times New Roman" w:hAnsi="Times New Roman"/>
                <w:sz w:val="24"/>
              </w:rPr>
              <w:t>340-</w:t>
            </w:r>
            <w:r w:rsidR="00973973" w:rsidRPr="00661595">
              <w:rPr>
                <w:rFonts w:ascii="Times New Roman" w:hAnsi="Times New Roman"/>
                <w:sz w:val="24"/>
              </w:rPr>
              <w:t>0</w:t>
            </w:r>
            <w:r w:rsidRPr="00661595">
              <w:rPr>
                <w:rFonts w:ascii="Times New Roman" w:hAnsi="Times New Roman"/>
                <w:sz w:val="24"/>
              </w:rPr>
              <w:t>361).</w:t>
            </w:r>
          </w:p>
          <w:p w:rsidR="00FC6275" w:rsidRPr="00661595" w:rsidRDefault="00FC6275" w:rsidP="00E10B85">
            <w:pPr>
              <w:autoSpaceDE w:val="0"/>
              <w:autoSpaceDN w:val="0"/>
              <w:adjustRightInd w:val="0"/>
              <w:spacing w:before="0" w:after="0"/>
              <w:jc w:val="left"/>
              <w:rPr>
                <w:rFonts w:ascii="Times New Roman" w:hAnsi="Times New Roman"/>
                <w:sz w:val="24"/>
              </w:rPr>
            </w:pPr>
          </w:p>
        </w:tc>
      </w:tr>
      <w:tr w:rsidR="00FC6275" w:rsidRPr="00661595" w:rsidTr="00E10B85">
        <w:tc>
          <w:tcPr>
            <w:tcW w:w="1101" w:type="dxa"/>
          </w:tcPr>
          <w:p w:rsidR="00FC6275" w:rsidRPr="00661595" w:rsidRDefault="00973973"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0</w:t>
            </w:r>
            <w:r w:rsidR="00FC6275" w:rsidRPr="00661595">
              <w:rPr>
                <w:rFonts w:ascii="Times New Roman" w:hAnsi="Times New Roman"/>
                <w:sz w:val="24"/>
              </w:rPr>
              <w:t>370</w:t>
            </w:r>
          </w:p>
        </w:tc>
        <w:tc>
          <w:tcPr>
            <w:tcW w:w="7903" w:type="dxa"/>
          </w:tcPr>
          <w:p w:rsidR="00FC6275" w:rsidRPr="00661595" w:rsidRDefault="00FC6275" w:rsidP="00E10B85">
            <w:pPr>
              <w:autoSpaceDE w:val="0"/>
              <w:autoSpaceDN w:val="0"/>
              <w:adjustRightInd w:val="0"/>
              <w:spacing w:before="0" w:after="0"/>
              <w:jc w:val="left"/>
              <w:rPr>
                <w:rFonts w:ascii="Times New Roman" w:hAnsi="Times New Roman"/>
                <w:b/>
                <w:sz w:val="24"/>
                <w:u w:val="single"/>
              </w:rPr>
            </w:pPr>
            <w:r w:rsidRPr="00661595">
              <w:rPr>
                <w:rFonts w:ascii="Times New Roman" w:hAnsi="Times New Roman"/>
                <w:b/>
                <w:sz w:val="24"/>
                <w:u w:val="single"/>
              </w:rPr>
              <w:t>DIRECT CREDIT SUBSTITUTES (DCS)</w:t>
            </w:r>
          </w:p>
          <w:p w:rsidR="00FC6275" w:rsidRPr="00661595" w:rsidRDefault="00FC6275" w:rsidP="00E10B85">
            <w:pPr>
              <w:autoSpaceDE w:val="0"/>
              <w:autoSpaceDN w:val="0"/>
              <w:adjustRightInd w:val="0"/>
              <w:spacing w:before="0" w:after="0"/>
              <w:jc w:val="left"/>
              <w:rPr>
                <w:rFonts w:ascii="Times New Roman" w:hAnsi="Times New Roman"/>
                <w:b/>
                <w:sz w:val="24"/>
                <w:u w:val="single"/>
              </w:rPr>
            </w:pPr>
          </w:p>
          <w:p w:rsidR="00FC6275" w:rsidRPr="00661595" w:rsidRDefault="00FC6275" w:rsidP="00E10B85">
            <w:pPr>
              <w:spacing w:before="0" w:after="0"/>
              <w:rPr>
                <w:rFonts w:ascii="Times New Roman" w:hAnsi="Times New Roman"/>
                <w:sz w:val="24"/>
              </w:rPr>
            </w:pPr>
            <w:r w:rsidRPr="00661595">
              <w:rPr>
                <w:rFonts w:ascii="Times New Roman" w:hAnsi="Times New Roman"/>
                <w:sz w:val="24"/>
              </w:rPr>
              <w:t>This column applies to those securitisation positions held by the originator and guaranteed with direct credit substitutes (DCS).</w:t>
            </w:r>
          </w:p>
          <w:p w:rsidR="00FC6275" w:rsidRPr="00661595" w:rsidRDefault="00FC6275" w:rsidP="00E10B85">
            <w:pPr>
              <w:spacing w:before="0" w:after="0"/>
              <w:rPr>
                <w:rFonts w:ascii="Times New Roman" w:hAnsi="Times New Roman"/>
                <w:sz w:val="24"/>
              </w:rPr>
            </w:pPr>
          </w:p>
          <w:p w:rsidR="00FC6275" w:rsidRPr="00661595" w:rsidRDefault="00BB22D4" w:rsidP="00E10B85">
            <w:pPr>
              <w:spacing w:before="0" w:after="0"/>
              <w:rPr>
                <w:rFonts w:ascii="Times New Roman" w:hAnsi="Times New Roman"/>
                <w:sz w:val="24"/>
              </w:rPr>
            </w:pPr>
            <w:r w:rsidRPr="00661595">
              <w:rPr>
                <w:rFonts w:ascii="Times New Roman" w:hAnsi="Times New Roman"/>
                <w:sz w:val="24"/>
              </w:rPr>
              <w:t>In accordance with</w:t>
            </w:r>
            <w:r w:rsidR="00FC6275" w:rsidRPr="00661595">
              <w:rPr>
                <w:rFonts w:ascii="Times New Roman" w:hAnsi="Times New Roman"/>
                <w:sz w:val="24"/>
              </w:rPr>
              <w:t xml:space="preserve"> Annex I </w:t>
            </w:r>
            <w:r w:rsidR="001C3443" w:rsidRPr="00661595">
              <w:rPr>
                <w:rFonts w:ascii="Times New Roman" w:hAnsi="Times New Roman"/>
                <w:sz w:val="24"/>
              </w:rPr>
              <w:t xml:space="preserve">to </w:t>
            </w:r>
            <w:r w:rsidR="00C7103D" w:rsidRPr="00661595">
              <w:rPr>
                <w:rFonts w:ascii="Times New Roman" w:hAnsi="Times New Roman"/>
                <w:sz w:val="24"/>
              </w:rPr>
              <w:t>CRR</w:t>
            </w:r>
            <w:r w:rsidR="001C3443" w:rsidRPr="00661595">
              <w:rPr>
                <w:rFonts w:ascii="Times New Roman" w:hAnsi="Times New Roman"/>
                <w:sz w:val="24"/>
              </w:rPr>
              <w:t>,</w:t>
            </w:r>
            <w:r w:rsidR="00FC6275" w:rsidRPr="00661595">
              <w:rPr>
                <w:rFonts w:ascii="Times New Roman" w:hAnsi="Times New Roman"/>
                <w:sz w:val="24"/>
              </w:rPr>
              <w:t xml:space="preserve"> the following full risk off-balance sheet items </w:t>
            </w:r>
            <w:r w:rsidR="001C3443" w:rsidRPr="00661595">
              <w:rPr>
                <w:rFonts w:ascii="Times New Roman" w:hAnsi="Times New Roman"/>
                <w:sz w:val="24"/>
              </w:rPr>
              <w:t>shall be</w:t>
            </w:r>
            <w:r w:rsidR="00FC6275" w:rsidRPr="00661595">
              <w:rPr>
                <w:rFonts w:ascii="Times New Roman" w:hAnsi="Times New Roman"/>
                <w:sz w:val="24"/>
              </w:rPr>
              <w:t xml:space="preserve"> regarded as DCS:</w:t>
            </w:r>
          </w:p>
          <w:p w:rsidR="00FC6275" w:rsidRPr="00661595" w:rsidRDefault="00FC6275" w:rsidP="00E10B85">
            <w:pPr>
              <w:spacing w:before="0" w:after="0"/>
              <w:rPr>
                <w:rFonts w:ascii="Times New Roman" w:hAnsi="Times New Roman"/>
                <w:sz w:val="24"/>
              </w:rPr>
            </w:pPr>
          </w:p>
          <w:p w:rsidR="00FC6275" w:rsidRPr="00661595" w:rsidRDefault="00FC6275" w:rsidP="00E10B85">
            <w:pPr>
              <w:spacing w:before="0" w:after="0"/>
              <w:rPr>
                <w:rFonts w:ascii="Times New Roman" w:hAnsi="Times New Roman"/>
                <w:i/>
                <w:sz w:val="24"/>
              </w:rPr>
            </w:pPr>
            <w:r w:rsidRPr="00661595">
              <w:rPr>
                <w:rFonts w:ascii="Times New Roman" w:hAnsi="Times New Roman"/>
                <w:i/>
                <w:sz w:val="24"/>
              </w:rPr>
              <w:t>- Guarantees having the character of credit substitutes.</w:t>
            </w:r>
          </w:p>
          <w:p w:rsidR="00FC6275" w:rsidRPr="00661595" w:rsidRDefault="00FC6275" w:rsidP="00E10B85">
            <w:pPr>
              <w:spacing w:before="0" w:after="0"/>
              <w:rPr>
                <w:rFonts w:ascii="Times New Roman" w:hAnsi="Times New Roman"/>
                <w:i/>
                <w:sz w:val="24"/>
              </w:rPr>
            </w:pPr>
            <w:r w:rsidRPr="00661595">
              <w:rPr>
                <w:rFonts w:ascii="Times New Roman" w:hAnsi="Times New Roman"/>
                <w:i/>
                <w:sz w:val="24"/>
              </w:rPr>
              <w:t>- Irrevocable standby letters of credit having the character of credit substitutes.</w:t>
            </w:r>
          </w:p>
          <w:p w:rsidR="00FC6275" w:rsidRPr="00661595" w:rsidRDefault="00FC6275" w:rsidP="00E10B85">
            <w:pPr>
              <w:autoSpaceDE w:val="0"/>
              <w:autoSpaceDN w:val="0"/>
              <w:adjustRightInd w:val="0"/>
              <w:spacing w:before="0" w:after="0"/>
              <w:jc w:val="left"/>
              <w:rPr>
                <w:rFonts w:ascii="Times New Roman" w:hAnsi="Times New Roman"/>
                <w:b/>
                <w:sz w:val="24"/>
                <w:u w:val="single"/>
              </w:rPr>
            </w:pPr>
          </w:p>
        </w:tc>
      </w:tr>
      <w:tr w:rsidR="00FC6275" w:rsidRPr="00661595" w:rsidTr="00E10B85">
        <w:tc>
          <w:tcPr>
            <w:tcW w:w="1101" w:type="dxa"/>
          </w:tcPr>
          <w:p w:rsidR="00FC6275" w:rsidRPr="00661595" w:rsidRDefault="00973973"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w:t>
            </w:r>
            <w:r w:rsidR="00FC6275" w:rsidRPr="00661595">
              <w:rPr>
                <w:rFonts w:ascii="Times New Roman" w:hAnsi="Times New Roman"/>
                <w:bCs/>
                <w:sz w:val="24"/>
                <w:lang w:eastAsia="nl-BE"/>
              </w:rPr>
              <w:t>380</w:t>
            </w:r>
          </w:p>
        </w:tc>
        <w:tc>
          <w:tcPr>
            <w:tcW w:w="7903" w:type="dxa"/>
          </w:tcPr>
          <w:p w:rsidR="00FC6275" w:rsidRPr="00661595" w:rsidRDefault="00FC6275" w:rsidP="00E10B85">
            <w:pPr>
              <w:spacing w:before="0" w:after="0"/>
              <w:jc w:val="left"/>
              <w:rPr>
                <w:rFonts w:ascii="Times New Roman" w:hAnsi="Times New Roman"/>
                <w:b/>
                <w:sz w:val="24"/>
                <w:u w:val="single"/>
              </w:rPr>
            </w:pPr>
            <w:r w:rsidRPr="00661595">
              <w:rPr>
                <w:rFonts w:ascii="Times New Roman" w:hAnsi="Times New Roman"/>
                <w:b/>
                <w:sz w:val="24"/>
                <w:u w:val="single"/>
              </w:rPr>
              <w:t>IRS / CRS</w:t>
            </w:r>
          </w:p>
          <w:p w:rsidR="00FC6275" w:rsidRPr="00661595" w:rsidRDefault="00FC6275" w:rsidP="00E10B85">
            <w:pPr>
              <w:spacing w:before="0" w:after="0"/>
              <w:jc w:val="left"/>
              <w:rPr>
                <w:rFonts w:ascii="Times New Roman" w:hAnsi="Times New Roman"/>
                <w:sz w:val="24"/>
              </w:rPr>
            </w:pPr>
          </w:p>
          <w:p w:rsidR="00FC6275" w:rsidRPr="00661595" w:rsidRDefault="00FC6275" w:rsidP="00E10B85">
            <w:pPr>
              <w:spacing w:before="0" w:after="0"/>
              <w:rPr>
                <w:rFonts w:ascii="Times New Roman" w:hAnsi="Times New Roman"/>
                <w:sz w:val="24"/>
              </w:rPr>
            </w:pPr>
            <w:r w:rsidRPr="00661595">
              <w:rPr>
                <w:rFonts w:ascii="Times New Roman" w:hAnsi="Times New Roman"/>
                <w:sz w:val="24"/>
              </w:rPr>
              <w:t>IRS stands for Interest Rate Swaps, whereas CRS stands for Currency Rate Swaps. Th</w:t>
            </w:r>
            <w:r w:rsidR="001C3443" w:rsidRPr="00661595">
              <w:rPr>
                <w:rFonts w:ascii="Times New Roman" w:hAnsi="Times New Roman"/>
                <w:sz w:val="24"/>
              </w:rPr>
              <w:t>o</w:t>
            </w:r>
            <w:r w:rsidRPr="00661595">
              <w:rPr>
                <w:rFonts w:ascii="Times New Roman" w:hAnsi="Times New Roman"/>
                <w:sz w:val="24"/>
              </w:rPr>
              <w:t xml:space="preserve">se derivatives are listed in Annex II </w:t>
            </w:r>
            <w:r w:rsidR="001C3443" w:rsidRPr="00661595">
              <w:rPr>
                <w:rFonts w:ascii="Times New Roman" w:hAnsi="Times New Roman"/>
                <w:sz w:val="24"/>
              </w:rPr>
              <w:t xml:space="preserve">to </w:t>
            </w:r>
            <w:r w:rsidR="0094380A" w:rsidRPr="00661595">
              <w:rPr>
                <w:rFonts w:ascii="Times New Roman" w:hAnsi="Times New Roman"/>
                <w:sz w:val="24"/>
              </w:rPr>
              <w:t xml:space="preserve">the </w:t>
            </w:r>
            <w:r w:rsidR="00C7103D" w:rsidRPr="00661595">
              <w:rPr>
                <w:rFonts w:ascii="Times New Roman" w:hAnsi="Times New Roman"/>
                <w:sz w:val="24"/>
              </w:rPr>
              <w:t>CRR</w:t>
            </w:r>
            <w:r w:rsidRPr="00661595">
              <w:rPr>
                <w:rFonts w:ascii="Times New Roman" w:hAnsi="Times New Roman"/>
                <w:sz w:val="24"/>
              </w:rPr>
              <w:t>.</w:t>
            </w:r>
          </w:p>
          <w:p w:rsidR="00FC6275" w:rsidRPr="00661595" w:rsidRDefault="00FC6275" w:rsidP="00E10B85">
            <w:pPr>
              <w:spacing w:before="0" w:after="0"/>
              <w:jc w:val="left"/>
              <w:rPr>
                <w:rFonts w:ascii="Times New Roman" w:hAnsi="Times New Roman"/>
                <w:sz w:val="24"/>
              </w:rPr>
            </w:pPr>
          </w:p>
        </w:tc>
      </w:tr>
      <w:tr w:rsidR="00FC6275" w:rsidRPr="00661595" w:rsidTr="00E10B85">
        <w:tc>
          <w:tcPr>
            <w:tcW w:w="1101" w:type="dxa"/>
          </w:tcPr>
          <w:p w:rsidR="00FC6275" w:rsidRPr="00661595" w:rsidRDefault="00973973"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w:t>
            </w:r>
            <w:r w:rsidR="00FC6275" w:rsidRPr="00661595">
              <w:rPr>
                <w:rFonts w:ascii="Times New Roman" w:hAnsi="Times New Roman"/>
                <w:bCs/>
                <w:sz w:val="24"/>
                <w:lang w:eastAsia="nl-BE"/>
              </w:rPr>
              <w:t>390</w:t>
            </w:r>
          </w:p>
        </w:tc>
        <w:tc>
          <w:tcPr>
            <w:tcW w:w="7903" w:type="dxa"/>
          </w:tcPr>
          <w:p w:rsidR="00FC6275" w:rsidRPr="00661595" w:rsidRDefault="00FC6275" w:rsidP="00E10B85">
            <w:pPr>
              <w:spacing w:before="0" w:after="0"/>
              <w:jc w:val="left"/>
              <w:rPr>
                <w:rFonts w:ascii="Times New Roman" w:hAnsi="Times New Roman"/>
                <w:b/>
                <w:sz w:val="24"/>
                <w:u w:val="single"/>
              </w:rPr>
            </w:pPr>
            <w:r w:rsidRPr="00661595">
              <w:rPr>
                <w:rFonts w:ascii="Times New Roman" w:hAnsi="Times New Roman"/>
                <w:b/>
                <w:sz w:val="24"/>
                <w:u w:val="single"/>
              </w:rPr>
              <w:t>LIQUIDITY FACILITIES</w:t>
            </w:r>
          </w:p>
          <w:p w:rsidR="00FC6275" w:rsidRPr="00661595" w:rsidRDefault="00FC6275" w:rsidP="00E10B85">
            <w:pPr>
              <w:spacing w:before="0" w:after="0"/>
              <w:jc w:val="left"/>
              <w:rPr>
                <w:rFonts w:ascii="Times New Roman" w:hAnsi="Times New Roman"/>
                <w:sz w:val="24"/>
              </w:rPr>
            </w:pPr>
          </w:p>
          <w:p w:rsidR="00FC6275" w:rsidRPr="00661595" w:rsidRDefault="00FC6275" w:rsidP="00E10B85">
            <w:pPr>
              <w:spacing w:before="0" w:after="0"/>
              <w:rPr>
                <w:rFonts w:ascii="Times New Roman" w:hAnsi="Times New Roman"/>
                <w:sz w:val="24"/>
              </w:rPr>
            </w:pPr>
            <w:r w:rsidRPr="00661595">
              <w:rPr>
                <w:rFonts w:ascii="Times New Roman" w:hAnsi="Times New Roman"/>
                <w:sz w:val="24"/>
              </w:rPr>
              <w:t>Liquidity facilities (LF)</w:t>
            </w:r>
            <w:r w:rsidR="001C3443" w:rsidRPr="00661595">
              <w:rPr>
                <w:rFonts w:ascii="Times New Roman" w:hAnsi="Times New Roman"/>
                <w:sz w:val="24"/>
              </w:rPr>
              <w:t xml:space="preserve"> as</w:t>
            </w:r>
            <w:r w:rsidRPr="00661595">
              <w:rPr>
                <w:rFonts w:ascii="Times New Roman" w:hAnsi="Times New Roman"/>
                <w:sz w:val="24"/>
              </w:rPr>
              <w:t xml:space="preserve"> defined in Article 242(3) </w:t>
            </w:r>
            <w:r w:rsidR="00C7103D" w:rsidRPr="00661595">
              <w:rPr>
                <w:rFonts w:ascii="Times New Roman" w:hAnsi="Times New Roman"/>
                <w:sz w:val="24"/>
              </w:rPr>
              <w:t>CRR</w:t>
            </w:r>
            <w:r w:rsidRPr="00661595">
              <w:rPr>
                <w:rFonts w:ascii="Times New Roman" w:hAnsi="Times New Roman"/>
                <w:sz w:val="24"/>
              </w:rPr>
              <w:t>.</w:t>
            </w:r>
          </w:p>
          <w:p w:rsidR="00FC6275" w:rsidRPr="00661595" w:rsidRDefault="00FC6275" w:rsidP="00E10B85">
            <w:pPr>
              <w:spacing w:before="0" w:after="0"/>
              <w:rPr>
                <w:rFonts w:ascii="Times New Roman" w:hAnsi="Times New Roman"/>
                <w:sz w:val="24"/>
              </w:rPr>
            </w:pPr>
          </w:p>
        </w:tc>
      </w:tr>
      <w:tr w:rsidR="00FC6275" w:rsidRPr="00661595" w:rsidTr="00E10B85">
        <w:tc>
          <w:tcPr>
            <w:tcW w:w="1101" w:type="dxa"/>
          </w:tcPr>
          <w:p w:rsidR="00FC6275" w:rsidRPr="00661595" w:rsidRDefault="00973973"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w:t>
            </w:r>
            <w:r w:rsidR="00FC6275" w:rsidRPr="00661595">
              <w:rPr>
                <w:rFonts w:ascii="Times New Roman" w:hAnsi="Times New Roman"/>
                <w:bCs/>
                <w:sz w:val="24"/>
                <w:lang w:eastAsia="nl-BE"/>
              </w:rPr>
              <w:t>400</w:t>
            </w:r>
          </w:p>
        </w:tc>
        <w:tc>
          <w:tcPr>
            <w:tcW w:w="7903" w:type="dxa"/>
          </w:tcPr>
          <w:p w:rsidR="00FC6275" w:rsidRPr="00661595" w:rsidRDefault="00FC6275" w:rsidP="00E10B85">
            <w:pPr>
              <w:spacing w:before="0" w:after="0"/>
              <w:jc w:val="left"/>
              <w:rPr>
                <w:rFonts w:ascii="Times New Roman" w:hAnsi="Times New Roman"/>
                <w:b/>
                <w:sz w:val="24"/>
                <w:u w:val="single"/>
              </w:rPr>
            </w:pPr>
            <w:r w:rsidRPr="00661595">
              <w:rPr>
                <w:rFonts w:ascii="Times New Roman" w:hAnsi="Times New Roman"/>
                <w:b/>
                <w:sz w:val="24"/>
                <w:u w:val="single"/>
              </w:rPr>
              <w:t xml:space="preserve">OTHER </w:t>
            </w:r>
          </w:p>
          <w:p w:rsidR="00FC6275" w:rsidRPr="00661595" w:rsidRDefault="00FC6275" w:rsidP="00E10B85">
            <w:pPr>
              <w:spacing w:before="0" w:after="0"/>
              <w:jc w:val="left"/>
              <w:rPr>
                <w:rFonts w:ascii="Times New Roman" w:hAnsi="Times New Roman"/>
                <w:sz w:val="24"/>
              </w:rPr>
            </w:pPr>
          </w:p>
          <w:p w:rsidR="00FC6275" w:rsidRPr="00661595" w:rsidRDefault="001C3443" w:rsidP="00E10B85">
            <w:pPr>
              <w:spacing w:before="0" w:after="0"/>
              <w:rPr>
                <w:rFonts w:ascii="Times New Roman" w:hAnsi="Times New Roman"/>
                <w:sz w:val="24"/>
              </w:rPr>
            </w:pPr>
            <w:r w:rsidRPr="00661595">
              <w:rPr>
                <w:rFonts w:ascii="Times New Roman" w:hAnsi="Times New Roman"/>
                <w:sz w:val="24"/>
              </w:rPr>
              <w:t>R</w:t>
            </w:r>
            <w:r w:rsidR="00FC6275" w:rsidRPr="00661595">
              <w:rPr>
                <w:rFonts w:ascii="Times New Roman" w:hAnsi="Times New Roman"/>
                <w:sz w:val="24"/>
              </w:rPr>
              <w:t>emaining off-balance sheet items.</w:t>
            </w:r>
          </w:p>
          <w:p w:rsidR="00FC6275" w:rsidRPr="00661595" w:rsidRDefault="00FC6275" w:rsidP="00E10B85">
            <w:pPr>
              <w:spacing w:before="0" w:after="0"/>
              <w:jc w:val="left"/>
              <w:rPr>
                <w:rFonts w:ascii="Times New Roman" w:hAnsi="Times New Roman"/>
                <w:sz w:val="24"/>
              </w:rPr>
            </w:pPr>
          </w:p>
        </w:tc>
      </w:tr>
      <w:tr w:rsidR="00FC6275" w:rsidRPr="00661595" w:rsidTr="00E10B85">
        <w:tc>
          <w:tcPr>
            <w:tcW w:w="1101" w:type="dxa"/>
          </w:tcPr>
          <w:p w:rsidR="00FC6275" w:rsidRPr="00661595" w:rsidRDefault="00973973"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w:t>
            </w:r>
            <w:r w:rsidR="00FC6275" w:rsidRPr="00661595">
              <w:rPr>
                <w:rFonts w:ascii="Times New Roman" w:hAnsi="Times New Roman"/>
                <w:bCs/>
                <w:sz w:val="24"/>
                <w:lang w:eastAsia="nl-BE"/>
              </w:rPr>
              <w:t>411</w:t>
            </w:r>
          </w:p>
        </w:tc>
        <w:tc>
          <w:tcPr>
            <w:tcW w:w="7903" w:type="dxa"/>
          </w:tcPr>
          <w:p w:rsidR="00FC6275" w:rsidRPr="00661595" w:rsidRDefault="00FC6275" w:rsidP="00E10B85">
            <w:pPr>
              <w:spacing w:before="0" w:after="0"/>
              <w:jc w:val="left"/>
              <w:rPr>
                <w:rFonts w:ascii="Times New Roman" w:hAnsi="Times New Roman"/>
                <w:b/>
                <w:sz w:val="24"/>
                <w:u w:val="single"/>
              </w:rPr>
            </w:pPr>
            <w:r w:rsidRPr="00661595">
              <w:rPr>
                <w:rFonts w:ascii="Times New Roman" w:hAnsi="Times New Roman"/>
                <w:b/>
                <w:sz w:val="24"/>
                <w:u w:val="single"/>
              </w:rPr>
              <w:t>EXPOSURE VALUE</w:t>
            </w:r>
          </w:p>
          <w:p w:rsidR="00FC6275" w:rsidRPr="00661595" w:rsidRDefault="00FC6275" w:rsidP="00E10B85">
            <w:pPr>
              <w:spacing w:before="0" w:after="0"/>
              <w:jc w:val="left"/>
              <w:rPr>
                <w:rFonts w:ascii="Times New Roman" w:hAnsi="Times New Roman"/>
                <w:b/>
                <w:sz w:val="24"/>
                <w:u w:val="single"/>
              </w:rPr>
            </w:pPr>
          </w:p>
          <w:p w:rsidR="00FC6275" w:rsidRPr="00661595" w:rsidRDefault="00FC6275" w:rsidP="00E10B85">
            <w:pPr>
              <w:spacing w:before="0" w:after="0"/>
              <w:rPr>
                <w:rFonts w:ascii="Times New Roman" w:hAnsi="Times New Roman"/>
                <w:sz w:val="24"/>
              </w:rPr>
            </w:pPr>
            <w:r w:rsidRPr="00661595">
              <w:rPr>
                <w:rFonts w:ascii="Times New Roman" w:hAnsi="Times New Roman"/>
                <w:sz w:val="24"/>
              </w:rPr>
              <w:t>This information is closely related to column 0180 in the CR SEC template.</w:t>
            </w:r>
          </w:p>
          <w:p w:rsidR="00FC6275" w:rsidRPr="00661595" w:rsidRDefault="00FC6275" w:rsidP="00E10B85">
            <w:pPr>
              <w:spacing w:before="0" w:after="0"/>
              <w:jc w:val="left"/>
              <w:rPr>
                <w:rFonts w:ascii="Times New Roman" w:hAnsi="Times New Roman"/>
                <w:b/>
                <w:sz w:val="24"/>
                <w:u w:val="single"/>
              </w:rPr>
            </w:pPr>
          </w:p>
        </w:tc>
      </w:tr>
      <w:tr w:rsidR="00FC6275" w:rsidRPr="00661595" w:rsidTr="00E10B85">
        <w:tc>
          <w:tcPr>
            <w:tcW w:w="1101" w:type="dxa"/>
          </w:tcPr>
          <w:p w:rsidR="00FC6275" w:rsidRPr="00661595" w:rsidRDefault="00973973"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w:t>
            </w:r>
            <w:r w:rsidR="00FC6275" w:rsidRPr="00661595">
              <w:rPr>
                <w:rFonts w:ascii="Times New Roman" w:hAnsi="Times New Roman"/>
                <w:bCs/>
                <w:sz w:val="24"/>
                <w:lang w:eastAsia="nl-BE"/>
              </w:rPr>
              <w:t>420</w:t>
            </w:r>
          </w:p>
        </w:tc>
        <w:tc>
          <w:tcPr>
            <w:tcW w:w="7903" w:type="dxa"/>
          </w:tcPr>
          <w:p w:rsidR="00FC6275" w:rsidRPr="00661595" w:rsidRDefault="00FC6275" w:rsidP="00E10B85">
            <w:pPr>
              <w:spacing w:before="0" w:after="0"/>
              <w:jc w:val="left"/>
              <w:rPr>
                <w:rFonts w:ascii="Times New Roman" w:hAnsi="Times New Roman"/>
                <w:b/>
                <w:sz w:val="24"/>
                <w:u w:val="single"/>
              </w:rPr>
            </w:pPr>
            <w:r w:rsidRPr="00661595">
              <w:rPr>
                <w:rFonts w:ascii="Times New Roman" w:hAnsi="Times New Roman"/>
                <w:b/>
                <w:sz w:val="24"/>
                <w:u w:val="single"/>
              </w:rPr>
              <w:t>(-) EXPOSURE VALUE DEDUCTED FROM OWN FUNDS</w:t>
            </w:r>
          </w:p>
          <w:p w:rsidR="00FC6275" w:rsidRPr="00661595" w:rsidRDefault="00FC6275" w:rsidP="00E10B85">
            <w:pPr>
              <w:spacing w:before="0" w:after="0"/>
              <w:jc w:val="left"/>
              <w:rPr>
                <w:rFonts w:ascii="Times New Roman" w:hAnsi="Times New Roman"/>
                <w:sz w:val="24"/>
              </w:rPr>
            </w:pPr>
          </w:p>
          <w:p w:rsidR="00FC6275" w:rsidRPr="00661595" w:rsidRDefault="00FC6275" w:rsidP="00E10B85">
            <w:pPr>
              <w:spacing w:before="0" w:after="0"/>
              <w:rPr>
                <w:rFonts w:ascii="Times New Roman" w:hAnsi="Times New Roman"/>
                <w:sz w:val="24"/>
              </w:rPr>
            </w:pPr>
            <w:r w:rsidRPr="00661595">
              <w:rPr>
                <w:rFonts w:ascii="Times New Roman" w:hAnsi="Times New Roman"/>
                <w:sz w:val="24"/>
              </w:rPr>
              <w:t>This information is closely related to column 0190 in the CR SEC template.</w:t>
            </w:r>
          </w:p>
          <w:p w:rsidR="00FC6275" w:rsidRPr="00661595" w:rsidRDefault="00FC6275" w:rsidP="00E10B85">
            <w:pPr>
              <w:spacing w:before="0" w:after="0"/>
              <w:rPr>
                <w:rFonts w:ascii="Times New Roman" w:hAnsi="Times New Roman"/>
                <w:sz w:val="24"/>
              </w:rPr>
            </w:pPr>
          </w:p>
          <w:p w:rsidR="00FC6275" w:rsidRPr="00661595" w:rsidRDefault="00FC6275" w:rsidP="00E10B85">
            <w:pPr>
              <w:spacing w:before="0" w:after="0"/>
              <w:rPr>
                <w:rFonts w:ascii="Times New Roman" w:hAnsi="Times New Roman"/>
                <w:sz w:val="24"/>
              </w:rPr>
            </w:pPr>
            <w:r w:rsidRPr="00661595">
              <w:rPr>
                <w:rFonts w:ascii="Times New Roman" w:hAnsi="Times New Roman"/>
                <w:sz w:val="24"/>
              </w:rPr>
              <w:t>A negative figure shall be reported in this column.</w:t>
            </w:r>
          </w:p>
          <w:p w:rsidR="00FC6275" w:rsidRPr="00661595" w:rsidRDefault="00FC6275" w:rsidP="00E10B85">
            <w:pPr>
              <w:spacing w:before="0" w:after="0"/>
              <w:jc w:val="left"/>
              <w:rPr>
                <w:rFonts w:ascii="Times New Roman" w:hAnsi="Times New Roman"/>
                <w:sz w:val="24"/>
              </w:rPr>
            </w:pPr>
          </w:p>
        </w:tc>
      </w:tr>
      <w:tr w:rsidR="00FC6275" w:rsidRPr="00661595" w:rsidTr="00E10B85">
        <w:tc>
          <w:tcPr>
            <w:tcW w:w="1101" w:type="dxa"/>
          </w:tcPr>
          <w:p w:rsidR="00FC6275" w:rsidRPr="00661595" w:rsidDel="00304CB1" w:rsidRDefault="00973973"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w:t>
            </w:r>
            <w:r w:rsidR="00FC6275" w:rsidRPr="00661595">
              <w:rPr>
                <w:rFonts w:ascii="Times New Roman" w:hAnsi="Times New Roman"/>
                <w:bCs/>
                <w:sz w:val="24"/>
                <w:lang w:eastAsia="nl-BE"/>
              </w:rPr>
              <w:t>430</w:t>
            </w:r>
          </w:p>
        </w:tc>
        <w:tc>
          <w:tcPr>
            <w:tcW w:w="7903" w:type="dxa"/>
          </w:tcPr>
          <w:p w:rsidR="00FC6275" w:rsidRPr="00661595" w:rsidRDefault="00FC6275" w:rsidP="00E10B85">
            <w:pPr>
              <w:spacing w:before="0" w:after="0"/>
              <w:jc w:val="left"/>
              <w:rPr>
                <w:rFonts w:ascii="Times New Roman" w:hAnsi="Times New Roman"/>
                <w:b/>
                <w:sz w:val="24"/>
                <w:u w:val="single"/>
              </w:rPr>
            </w:pPr>
            <w:r w:rsidRPr="00661595">
              <w:rPr>
                <w:rFonts w:ascii="Times New Roman" w:hAnsi="Times New Roman"/>
                <w:b/>
                <w:sz w:val="24"/>
                <w:u w:val="single"/>
              </w:rPr>
              <w:t>TOTAL RISK WEIGHTED EXPOSURE AMOUNT</w:t>
            </w:r>
            <w:r w:rsidRPr="00661595" w:rsidDel="00E9212F">
              <w:rPr>
                <w:rFonts w:ascii="Times New Roman" w:hAnsi="Times New Roman"/>
                <w:b/>
                <w:sz w:val="24"/>
                <w:u w:val="single"/>
              </w:rPr>
              <w:t xml:space="preserve"> </w:t>
            </w:r>
            <w:r w:rsidRPr="00661595">
              <w:rPr>
                <w:rFonts w:ascii="Times New Roman" w:hAnsi="Times New Roman"/>
                <w:b/>
                <w:sz w:val="24"/>
                <w:u w:val="single"/>
              </w:rPr>
              <w:t>BEFORE CAP</w:t>
            </w:r>
          </w:p>
          <w:p w:rsidR="00FC6275" w:rsidRPr="00661595" w:rsidRDefault="00FC6275" w:rsidP="00E10B85">
            <w:pPr>
              <w:spacing w:before="0" w:after="0"/>
              <w:jc w:val="left"/>
              <w:rPr>
                <w:rFonts w:ascii="Times New Roman" w:hAnsi="Times New Roman"/>
                <w:sz w:val="24"/>
              </w:rPr>
            </w:pPr>
          </w:p>
          <w:p w:rsidR="00FC6275" w:rsidRPr="00661595" w:rsidRDefault="00FC6275" w:rsidP="00E10B85">
            <w:pPr>
              <w:spacing w:before="0" w:after="0"/>
              <w:rPr>
                <w:rFonts w:ascii="Times New Roman" w:hAnsi="Times New Roman"/>
                <w:sz w:val="24"/>
              </w:rPr>
            </w:pPr>
            <w:r w:rsidRPr="00661595">
              <w:rPr>
                <w:rFonts w:ascii="Times New Roman" w:hAnsi="Times New Roman"/>
                <w:sz w:val="24"/>
              </w:rPr>
              <w:t xml:space="preserve">This column gathers information on the risk weighted exposure amount before cap applicable to the securitisation positions (i.e. </w:t>
            </w:r>
            <w:r w:rsidR="001C3443" w:rsidRPr="00661595">
              <w:rPr>
                <w:rFonts w:ascii="Times New Roman" w:hAnsi="Times New Roman"/>
                <w:sz w:val="24"/>
              </w:rPr>
              <w:t xml:space="preserve">for </w:t>
            </w:r>
            <w:r w:rsidRPr="00661595">
              <w:rPr>
                <w:rFonts w:ascii="Times New Roman" w:hAnsi="Times New Roman"/>
                <w:sz w:val="24"/>
              </w:rPr>
              <w:t xml:space="preserve">securitisation schemes with significant risk transfer). </w:t>
            </w:r>
            <w:r w:rsidR="001C3443" w:rsidRPr="00661595">
              <w:rPr>
                <w:rFonts w:ascii="Times New Roman" w:hAnsi="Times New Roman"/>
                <w:sz w:val="24"/>
              </w:rPr>
              <w:t xml:space="preserve">For </w:t>
            </w:r>
            <w:r w:rsidRPr="00661595">
              <w:rPr>
                <w:rFonts w:ascii="Times New Roman" w:hAnsi="Times New Roman"/>
                <w:sz w:val="24"/>
              </w:rPr>
              <w:t xml:space="preserve">securitisation schemes without significant risk transfer (i.e. risk weighted exposure amount </w:t>
            </w:r>
            <w:r w:rsidR="0073527C" w:rsidRPr="00661595">
              <w:rPr>
                <w:rFonts w:ascii="Times New Roman" w:hAnsi="Times New Roman"/>
                <w:sz w:val="24"/>
              </w:rPr>
              <w:t>determined on the basis of</w:t>
            </w:r>
            <w:r w:rsidRPr="00661595">
              <w:rPr>
                <w:rFonts w:ascii="Times New Roman" w:hAnsi="Times New Roman"/>
                <w:sz w:val="24"/>
              </w:rPr>
              <w:t xml:space="preserve"> securitised exposures)</w:t>
            </w:r>
            <w:r w:rsidR="001C3443" w:rsidRPr="00661595">
              <w:rPr>
                <w:rFonts w:ascii="Times New Roman" w:hAnsi="Times New Roman"/>
                <w:sz w:val="24"/>
              </w:rPr>
              <w:t>,</w:t>
            </w:r>
            <w:r w:rsidRPr="00661595">
              <w:rPr>
                <w:rFonts w:ascii="Times New Roman" w:hAnsi="Times New Roman"/>
                <w:sz w:val="24"/>
              </w:rPr>
              <w:t xml:space="preserve"> no data shall be reported in this column.</w:t>
            </w:r>
          </w:p>
          <w:p w:rsidR="00FC6275" w:rsidRPr="00661595" w:rsidRDefault="00FC6275" w:rsidP="00E10B85">
            <w:pPr>
              <w:spacing w:before="0" w:after="0"/>
              <w:jc w:val="left"/>
              <w:rPr>
                <w:rFonts w:ascii="Times New Roman" w:hAnsi="Times New Roman"/>
                <w:sz w:val="24"/>
              </w:rPr>
            </w:pPr>
          </w:p>
          <w:p w:rsidR="00FC6275" w:rsidRPr="00661595" w:rsidRDefault="00FC6275" w:rsidP="00E10B85">
            <w:pPr>
              <w:spacing w:before="0" w:after="0"/>
              <w:jc w:val="left"/>
              <w:rPr>
                <w:rFonts w:ascii="Times New Roman" w:hAnsi="Times New Roman"/>
                <w:sz w:val="24"/>
              </w:rPr>
            </w:pPr>
            <w:r w:rsidRPr="00661595">
              <w:rPr>
                <w:rFonts w:ascii="Times New Roman" w:hAnsi="Times New Roman"/>
                <w:sz w:val="24"/>
              </w:rPr>
              <w:t>In the case of securitisations of liabilities</w:t>
            </w:r>
            <w:r w:rsidR="001C3443" w:rsidRPr="00661595">
              <w:rPr>
                <w:rFonts w:ascii="Times New Roman" w:hAnsi="Times New Roman"/>
                <w:sz w:val="24"/>
              </w:rPr>
              <w:t>,</w:t>
            </w:r>
            <w:r w:rsidRPr="00661595">
              <w:rPr>
                <w:rFonts w:ascii="Times New Roman" w:hAnsi="Times New Roman"/>
                <w:sz w:val="24"/>
              </w:rPr>
              <w:t xml:space="preserve"> this column shall not be reported. </w:t>
            </w:r>
          </w:p>
          <w:p w:rsidR="00FC6275" w:rsidRPr="00661595" w:rsidRDefault="00FC6275" w:rsidP="00E10B85">
            <w:pPr>
              <w:spacing w:before="0" w:after="0"/>
              <w:jc w:val="left"/>
              <w:rPr>
                <w:rFonts w:ascii="Times New Roman" w:hAnsi="Times New Roman"/>
                <w:sz w:val="24"/>
              </w:rPr>
            </w:pPr>
          </w:p>
          <w:p w:rsidR="00FC6275" w:rsidRPr="00661595" w:rsidRDefault="00FC6275" w:rsidP="00E10B85">
            <w:pPr>
              <w:spacing w:before="0" w:after="0"/>
              <w:jc w:val="left"/>
              <w:rPr>
                <w:rFonts w:ascii="Times New Roman" w:hAnsi="Times New Roman"/>
                <w:sz w:val="24"/>
              </w:rPr>
            </w:pPr>
            <w:r w:rsidRPr="00661595">
              <w:rPr>
                <w:rFonts w:ascii="Times New Roman" w:hAnsi="Times New Roman"/>
                <w:sz w:val="24"/>
              </w:rPr>
              <w:t>In the case of securitisations in the trading book, the RWEA concerning the specific risk</w:t>
            </w:r>
            <w:r w:rsidR="00037FCC" w:rsidRPr="00661595">
              <w:rPr>
                <w:rFonts w:ascii="Times New Roman" w:hAnsi="Times New Roman"/>
                <w:sz w:val="24"/>
              </w:rPr>
              <w:t xml:space="preserve"> shall be reported</w:t>
            </w:r>
            <w:r w:rsidRPr="00661595">
              <w:rPr>
                <w:rFonts w:ascii="Times New Roman" w:hAnsi="Times New Roman"/>
                <w:sz w:val="24"/>
              </w:rPr>
              <w:t xml:space="preserve">. See column </w:t>
            </w:r>
            <w:r w:rsidR="00973973" w:rsidRPr="00661595">
              <w:rPr>
                <w:rFonts w:ascii="Times New Roman" w:hAnsi="Times New Roman"/>
                <w:sz w:val="24"/>
              </w:rPr>
              <w:t>0</w:t>
            </w:r>
            <w:r w:rsidRPr="00661595">
              <w:rPr>
                <w:rFonts w:ascii="Times New Roman" w:hAnsi="Times New Roman"/>
                <w:sz w:val="24"/>
              </w:rPr>
              <w:t xml:space="preserve">570 of MKR SA SEC, or columns </w:t>
            </w:r>
            <w:r w:rsidR="00973973" w:rsidRPr="00661595">
              <w:rPr>
                <w:rFonts w:ascii="Times New Roman" w:hAnsi="Times New Roman"/>
                <w:sz w:val="24"/>
              </w:rPr>
              <w:t>0</w:t>
            </w:r>
            <w:r w:rsidRPr="00661595">
              <w:rPr>
                <w:rFonts w:ascii="Times New Roman" w:hAnsi="Times New Roman"/>
                <w:sz w:val="24"/>
              </w:rPr>
              <w:t xml:space="preserve">410 and </w:t>
            </w:r>
            <w:r w:rsidR="00973973" w:rsidRPr="00661595">
              <w:rPr>
                <w:rFonts w:ascii="Times New Roman" w:hAnsi="Times New Roman"/>
                <w:sz w:val="24"/>
              </w:rPr>
              <w:t>0</w:t>
            </w:r>
            <w:r w:rsidRPr="00661595">
              <w:rPr>
                <w:rFonts w:ascii="Times New Roman" w:hAnsi="Times New Roman"/>
                <w:sz w:val="24"/>
              </w:rPr>
              <w:t xml:space="preserve">420 (the relevant for the own funds requirement) of MKR SA CTP, respectively. </w:t>
            </w:r>
          </w:p>
          <w:p w:rsidR="00FC6275" w:rsidRPr="00661595" w:rsidRDefault="00FC6275" w:rsidP="00E10B85">
            <w:pPr>
              <w:spacing w:before="0" w:after="0"/>
              <w:jc w:val="left"/>
              <w:rPr>
                <w:rFonts w:ascii="Times New Roman" w:hAnsi="Times New Roman"/>
                <w:b/>
                <w:sz w:val="24"/>
                <w:u w:val="single"/>
              </w:rPr>
            </w:pPr>
          </w:p>
        </w:tc>
      </w:tr>
      <w:tr w:rsidR="00FC6275" w:rsidRPr="00661595" w:rsidTr="00E10B85">
        <w:tc>
          <w:tcPr>
            <w:tcW w:w="1101" w:type="dxa"/>
          </w:tcPr>
          <w:p w:rsidR="00FC6275" w:rsidRPr="00661595" w:rsidRDefault="00973973"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0</w:t>
            </w:r>
            <w:r w:rsidR="00FC6275" w:rsidRPr="00661595">
              <w:rPr>
                <w:rFonts w:ascii="Times New Roman" w:hAnsi="Times New Roman"/>
                <w:sz w:val="24"/>
              </w:rPr>
              <w:t>431</w:t>
            </w:r>
          </w:p>
        </w:tc>
        <w:tc>
          <w:tcPr>
            <w:tcW w:w="7903" w:type="dxa"/>
          </w:tcPr>
          <w:p w:rsidR="00FC6275" w:rsidRPr="00661595" w:rsidRDefault="00FC6275" w:rsidP="00E10B85">
            <w:pPr>
              <w:spacing w:before="0" w:after="0"/>
              <w:jc w:val="left"/>
              <w:rPr>
                <w:rFonts w:ascii="Times New Roman" w:hAnsi="Times New Roman"/>
                <w:b/>
                <w:sz w:val="24"/>
                <w:u w:val="single"/>
              </w:rPr>
            </w:pPr>
            <w:r w:rsidRPr="00661595">
              <w:rPr>
                <w:rFonts w:ascii="Times New Roman" w:hAnsi="Times New Roman"/>
                <w:b/>
                <w:sz w:val="24"/>
                <w:u w:val="single"/>
              </w:rPr>
              <w:t>(-) REDUCTION DUE TO RISK WEIGHT CAP</w:t>
            </w:r>
          </w:p>
          <w:p w:rsidR="00FC6275" w:rsidRPr="00661595" w:rsidRDefault="00FC6275" w:rsidP="00E10B85">
            <w:pPr>
              <w:spacing w:before="0" w:after="0"/>
              <w:jc w:val="left"/>
              <w:rPr>
                <w:rFonts w:ascii="Times New Roman" w:hAnsi="Times New Roman"/>
                <w:b/>
                <w:sz w:val="24"/>
                <w:u w:val="single"/>
              </w:rPr>
            </w:pPr>
          </w:p>
          <w:p w:rsidR="00FC6275" w:rsidRPr="00661595" w:rsidRDefault="00FC6275" w:rsidP="00E10B85">
            <w:pPr>
              <w:spacing w:before="0" w:after="0"/>
              <w:jc w:val="left"/>
              <w:rPr>
                <w:rFonts w:ascii="Times New Roman" w:hAnsi="Times New Roman"/>
                <w:sz w:val="24"/>
              </w:rPr>
            </w:pPr>
            <w:r w:rsidRPr="00661595">
              <w:rPr>
                <w:rFonts w:ascii="Times New Roman" w:hAnsi="Times New Roman"/>
                <w:sz w:val="24"/>
              </w:rPr>
              <w:t>Article 267 CRR</w:t>
            </w:r>
          </w:p>
          <w:p w:rsidR="00FC6275" w:rsidRPr="00661595" w:rsidRDefault="00FC6275" w:rsidP="00E10B85">
            <w:pPr>
              <w:spacing w:before="0" w:after="0"/>
              <w:jc w:val="left"/>
              <w:rPr>
                <w:rFonts w:ascii="Times New Roman" w:hAnsi="Times New Roman"/>
                <w:b/>
                <w:sz w:val="24"/>
                <w:u w:val="single"/>
              </w:rPr>
            </w:pPr>
          </w:p>
        </w:tc>
      </w:tr>
      <w:tr w:rsidR="00FC6275" w:rsidRPr="00661595" w:rsidTr="00E10B85">
        <w:tc>
          <w:tcPr>
            <w:tcW w:w="1101" w:type="dxa"/>
          </w:tcPr>
          <w:p w:rsidR="00FC6275" w:rsidRPr="00661595" w:rsidRDefault="00973973"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0</w:t>
            </w:r>
            <w:r w:rsidR="00FC6275" w:rsidRPr="00661595">
              <w:rPr>
                <w:rFonts w:ascii="Times New Roman" w:hAnsi="Times New Roman"/>
                <w:sz w:val="24"/>
              </w:rPr>
              <w:t>432</w:t>
            </w:r>
          </w:p>
        </w:tc>
        <w:tc>
          <w:tcPr>
            <w:tcW w:w="7903" w:type="dxa"/>
          </w:tcPr>
          <w:p w:rsidR="00FC6275" w:rsidRPr="00661595" w:rsidRDefault="00FC6275" w:rsidP="00E10B85">
            <w:pPr>
              <w:spacing w:before="0" w:after="0"/>
              <w:jc w:val="left"/>
              <w:rPr>
                <w:rFonts w:ascii="Times New Roman" w:hAnsi="Times New Roman"/>
                <w:b/>
                <w:sz w:val="24"/>
                <w:u w:val="single"/>
              </w:rPr>
            </w:pPr>
            <w:r w:rsidRPr="00661595">
              <w:rPr>
                <w:rFonts w:ascii="Times New Roman" w:hAnsi="Times New Roman"/>
                <w:b/>
                <w:sz w:val="24"/>
                <w:u w:val="single"/>
              </w:rPr>
              <w:t>(-) REDUCTION DUE TO OVERALL CAP</w:t>
            </w:r>
          </w:p>
          <w:p w:rsidR="00FC6275" w:rsidRPr="00661595" w:rsidRDefault="00FC6275" w:rsidP="00E10B85">
            <w:pPr>
              <w:spacing w:before="0" w:after="0"/>
              <w:jc w:val="left"/>
              <w:rPr>
                <w:rFonts w:ascii="Times New Roman" w:hAnsi="Times New Roman"/>
                <w:b/>
                <w:sz w:val="24"/>
                <w:u w:val="single"/>
              </w:rPr>
            </w:pPr>
          </w:p>
          <w:p w:rsidR="00FC6275" w:rsidRPr="00661595" w:rsidRDefault="00FC6275" w:rsidP="00E10B85">
            <w:pPr>
              <w:spacing w:before="0" w:after="0"/>
              <w:jc w:val="left"/>
              <w:rPr>
                <w:rFonts w:ascii="Times New Roman" w:hAnsi="Times New Roman"/>
                <w:sz w:val="24"/>
              </w:rPr>
            </w:pPr>
            <w:r w:rsidRPr="00661595">
              <w:rPr>
                <w:rFonts w:ascii="Times New Roman" w:hAnsi="Times New Roman"/>
                <w:sz w:val="24"/>
              </w:rPr>
              <w:t>Article 268 CRR</w:t>
            </w:r>
          </w:p>
          <w:p w:rsidR="00FC6275" w:rsidRPr="00661595" w:rsidRDefault="00FC6275" w:rsidP="00E10B85">
            <w:pPr>
              <w:spacing w:before="0" w:after="0"/>
              <w:jc w:val="left"/>
              <w:rPr>
                <w:rFonts w:ascii="Times New Roman" w:hAnsi="Times New Roman"/>
                <w:b/>
                <w:sz w:val="24"/>
                <w:u w:val="single"/>
              </w:rPr>
            </w:pPr>
          </w:p>
        </w:tc>
      </w:tr>
      <w:tr w:rsidR="00FC6275" w:rsidRPr="00661595" w:rsidTr="00E10B85">
        <w:tc>
          <w:tcPr>
            <w:tcW w:w="1101" w:type="dxa"/>
          </w:tcPr>
          <w:p w:rsidR="00FC6275" w:rsidRPr="00661595" w:rsidRDefault="00973973"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sz w:val="24"/>
              </w:rPr>
              <w:t>0</w:t>
            </w:r>
            <w:r w:rsidR="00FC6275" w:rsidRPr="00661595">
              <w:rPr>
                <w:rFonts w:ascii="Times New Roman" w:hAnsi="Times New Roman"/>
                <w:sz w:val="24"/>
              </w:rPr>
              <w:t>440</w:t>
            </w:r>
          </w:p>
        </w:tc>
        <w:tc>
          <w:tcPr>
            <w:tcW w:w="7903" w:type="dxa"/>
          </w:tcPr>
          <w:p w:rsidR="00FC6275" w:rsidRPr="00661595" w:rsidRDefault="00FC6275" w:rsidP="00E10B85">
            <w:pPr>
              <w:spacing w:before="0" w:after="0"/>
              <w:jc w:val="left"/>
              <w:rPr>
                <w:rFonts w:ascii="Times New Roman" w:hAnsi="Times New Roman"/>
                <w:b/>
                <w:sz w:val="24"/>
                <w:u w:val="single"/>
              </w:rPr>
            </w:pPr>
            <w:r w:rsidRPr="00661595">
              <w:rPr>
                <w:rFonts w:ascii="Times New Roman" w:hAnsi="Times New Roman"/>
                <w:b/>
                <w:sz w:val="24"/>
                <w:u w:val="single"/>
              </w:rPr>
              <w:t>TOTAL RISK WEIGHTED EXPOSURE AMOUNT AFTER CAP</w:t>
            </w:r>
          </w:p>
          <w:p w:rsidR="00FC6275" w:rsidRPr="00661595" w:rsidRDefault="00FC6275" w:rsidP="00E10B85">
            <w:pPr>
              <w:spacing w:before="0" w:after="0"/>
              <w:jc w:val="left"/>
              <w:rPr>
                <w:rFonts w:ascii="Times New Roman" w:hAnsi="Times New Roman"/>
                <w:sz w:val="24"/>
              </w:rPr>
            </w:pPr>
          </w:p>
          <w:p w:rsidR="00FC6275" w:rsidRPr="00661595" w:rsidRDefault="00FC6275" w:rsidP="00E10B85">
            <w:pPr>
              <w:spacing w:before="0" w:after="0"/>
              <w:rPr>
                <w:rFonts w:ascii="Times New Roman" w:hAnsi="Times New Roman"/>
                <w:sz w:val="24"/>
              </w:rPr>
            </w:pPr>
            <w:r w:rsidRPr="00661595">
              <w:rPr>
                <w:rFonts w:ascii="Times New Roman" w:hAnsi="Times New Roman"/>
                <w:sz w:val="24"/>
              </w:rPr>
              <w:t xml:space="preserve">This column gathers information on the risk weighted exposure amount after caps applicable to the securitisation positions (i.e. </w:t>
            </w:r>
            <w:r w:rsidR="001C3443" w:rsidRPr="00661595">
              <w:rPr>
                <w:rFonts w:ascii="Times New Roman" w:hAnsi="Times New Roman"/>
                <w:sz w:val="24"/>
              </w:rPr>
              <w:t xml:space="preserve">for </w:t>
            </w:r>
            <w:r w:rsidRPr="00661595">
              <w:rPr>
                <w:rFonts w:ascii="Times New Roman" w:hAnsi="Times New Roman"/>
                <w:sz w:val="24"/>
              </w:rPr>
              <w:t xml:space="preserve">securitisation schemes with significant risk transfer). </w:t>
            </w:r>
            <w:r w:rsidR="001C3443" w:rsidRPr="00661595">
              <w:rPr>
                <w:rFonts w:ascii="Times New Roman" w:hAnsi="Times New Roman"/>
                <w:sz w:val="24"/>
              </w:rPr>
              <w:t xml:space="preserve">For </w:t>
            </w:r>
            <w:r w:rsidRPr="00661595">
              <w:rPr>
                <w:rFonts w:ascii="Times New Roman" w:hAnsi="Times New Roman"/>
                <w:sz w:val="24"/>
              </w:rPr>
              <w:t xml:space="preserve">securitisation schemes without significant risk transfer (i.e. own funds requirements </w:t>
            </w:r>
            <w:r w:rsidR="0073527C" w:rsidRPr="00661595">
              <w:rPr>
                <w:rFonts w:ascii="Times New Roman" w:hAnsi="Times New Roman"/>
                <w:sz w:val="24"/>
              </w:rPr>
              <w:t>determined on the basis of</w:t>
            </w:r>
            <w:r w:rsidRPr="00661595">
              <w:rPr>
                <w:rFonts w:ascii="Times New Roman" w:hAnsi="Times New Roman"/>
                <w:sz w:val="24"/>
              </w:rPr>
              <w:t xml:space="preserve"> securitised exposures) no data shall be reported in this column.</w:t>
            </w:r>
          </w:p>
          <w:p w:rsidR="00FC6275" w:rsidRPr="00661595" w:rsidRDefault="00FC6275" w:rsidP="00E10B85">
            <w:pPr>
              <w:spacing w:before="0" w:after="0"/>
              <w:rPr>
                <w:rFonts w:ascii="Times New Roman" w:hAnsi="Times New Roman"/>
                <w:sz w:val="24"/>
              </w:rPr>
            </w:pPr>
          </w:p>
          <w:p w:rsidR="00FC6275" w:rsidRPr="00661595" w:rsidRDefault="00FC6275" w:rsidP="00E10B85">
            <w:pPr>
              <w:spacing w:before="0" w:after="0"/>
              <w:rPr>
                <w:rFonts w:ascii="Times New Roman" w:hAnsi="Times New Roman"/>
                <w:sz w:val="24"/>
              </w:rPr>
            </w:pPr>
            <w:r w:rsidRPr="00661595">
              <w:rPr>
                <w:rFonts w:ascii="Times New Roman" w:hAnsi="Times New Roman"/>
                <w:sz w:val="24"/>
              </w:rPr>
              <w:t>In the case of</w:t>
            </w:r>
            <w:r w:rsidR="001C3443" w:rsidRPr="00661595">
              <w:rPr>
                <w:rFonts w:ascii="Times New Roman" w:hAnsi="Times New Roman"/>
                <w:sz w:val="24"/>
              </w:rPr>
              <w:t xml:space="preserve"> </w:t>
            </w:r>
            <w:r w:rsidRPr="00661595">
              <w:rPr>
                <w:rFonts w:ascii="Times New Roman" w:hAnsi="Times New Roman"/>
                <w:sz w:val="24"/>
              </w:rPr>
              <w:t>securitisations of liabilities</w:t>
            </w:r>
            <w:r w:rsidR="001C3443" w:rsidRPr="00661595">
              <w:rPr>
                <w:rFonts w:ascii="Times New Roman" w:hAnsi="Times New Roman"/>
                <w:sz w:val="24"/>
              </w:rPr>
              <w:t>,</w:t>
            </w:r>
            <w:r w:rsidRPr="00661595">
              <w:rPr>
                <w:rFonts w:ascii="Times New Roman" w:hAnsi="Times New Roman"/>
                <w:sz w:val="24"/>
              </w:rPr>
              <w:t xml:space="preserve"> this column shall not be reported. </w:t>
            </w:r>
          </w:p>
          <w:p w:rsidR="00FC6275" w:rsidRPr="00661595" w:rsidRDefault="00FC6275" w:rsidP="00E10B85">
            <w:pPr>
              <w:spacing w:before="0" w:after="0"/>
              <w:rPr>
                <w:rFonts w:ascii="Times New Roman" w:hAnsi="Times New Roman"/>
                <w:sz w:val="24"/>
              </w:rPr>
            </w:pPr>
          </w:p>
          <w:p w:rsidR="00FC6275" w:rsidRPr="00661595" w:rsidRDefault="00FC6275" w:rsidP="00E10B85">
            <w:pPr>
              <w:spacing w:before="0" w:after="0"/>
              <w:rPr>
                <w:rFonts w:ascii="Times New Roman" w:hAnsi="Times New Roman"/>
                <w:sz w:val="24"/>
              </w:rPr>
            </w:pPr>
            <w:r w:rsidRPr="00661595">
              <w:rPr>
                <w:rFonts w:ascii="Times New Roman" w:hAnsi="Times New Roman"/>
                <w:sz w:val="24"/>
              </w:rPr>
              <w:t>In the case of securitisations in the trading book, the RWEA concerning the specific risk</w:t>
            </w:r>
            <w:r w:rsidR="00037FCC" w:rsidRPr="00661595">
              <w:rPr>
                <w:rFonts w:ascii="Times New Roman" w:hAnsi="Times New Roman"/>
                <w:sz w:val="24"/>
              </w:rPr>
              <w:t xml:space="preserve"> shall be reported</w:t>
            </w:r>
            <w:r w:rsidRPr="00661595">
              <w:rPr>
                <w:rFonts w:ascii="Times New Roman" w:hAnsi="Times New Roman"/>
                <w:sz w:val="24"/>
              </w:rPr>
              <w:t xml:space="preserve">. See column </w:t>
            </w:r>
            <w:r w:rsidR="00973973" w:rsidRPr="00661595">
              <w:rPr>
                <w:rFonts w:ascii="Times New Roman" w:hAnsi="Times New Roman"/>
                <w:sz w:val="24"/>
              </w:rPr>
              <w:t>0</w:t>
            </w:r>
            <w:r w:rsidRPr="00661595">
              <w:rPr>
                <w:rFonts w:ascii="Times New Roman" w:hAnsi="Times New Roman"/>
                <w:sz w:val="24"/>
              </w:rPr>
              <w:t xml:space="preserve">600 of MKR SA SEC, or column </w:t>
            </w:r>
            <w:r w:rsidR="00973973" w:rsidRPr="00661595">
              <w:rPr>
                <w:rFonts w:ascii="Times New Roman" w:hAnsi="Times New Roman"/>
                <w:sz w:val="24"/>
              </w:rPr>
              <w:t>0</w:t>
            </w:r>
            <w:r w:rsidRPr="00661595">
              <w:rPr>
                <w:rFonts w:ascii="Times New Roman" w:hAnsi="Times New Roman"/>
                <w:sz w:val="24"/>
              </w:rPr>
              <w:t>450 of MKR SA CTP, respectively.</w:t>
            </w:r>
          </w:p>
          <w:p w:rsidR="00FC6275" w:rsidRPr="00661595" w:rsidRDefault="00FC6275" w:rsidP="00E10B85">
            <w:pPr>
              <w:spacing w:before="0" w:after="0"/>
              <w:jc w:val="left"/>
              <w:rPr>
                <w:rFonts w:ascii="Times New Roman" w:hAnsi="Times New Roman"/>
                <w:sz w:val="24"/>
              </w:rPr>
            </w:pPr>
          </w:p>
        </w:tc>
      </w:tr>
      <w:tr w:rsidR="00FC6275" w:rsidRPr="00661595" w:rsidTr="00E10B85">
        <w:tc>
          <w:tcPr>
            <w:tcW w:w="1101" w:type="dxa"/>
          </w:tcPr>
          <w:p w:rsidR="00FC6275" w:rsidRPr="00661595" w:rsidRDefault="00973973"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0</w:t>
            </w:r>
            <w:r w:rsidR="00FC6275" w:rsidRPr="00661595">
              <w:rPr>
                <w:rFonts w:ascii="Times New Roman" w:hAnsi="Times New Roman"/>
                <w:sz w:val="24"/>
              </w:rPr>
              <w:t>447-</w:t>
            </w:r>
            <w:r w:rsidRPr="00661595">
              <w:rPr>
                <w:rFonts w:ascii="Times New Roman" w:hAnsi="Times New Roman"/>
                <w:sz w:val="24"/>
              </w:rPr>
              <w:t>0</w:t>
            </w:r>
            <w:r w:rsidR="00FC6275" w:rsidRPr="00661595">
              <w:rPr>
                <w:rFonts w:ascii="Times New Roman" w:hAnsi="Times New Roman"/>
                <w:sz w:val="24"/>
              </w:rPr>
              <w:t>448</w:t>
            </w:r>
          </w:p>
        </w:tc>
        <w:tc>
          <w:tcPr>
            <w:tcW w:w="7903" w:type="dxa"/>
          </w:tcPr>
          <w:p w:rsidR="00FC6275" w:rsidRPr="00661595" w:rsidRDefault="00FC6275" w:rsidP="00E10B85">
            <w:pPr>
              <w:spacing w:before="0" w:after="0"/>
              <w:jc w:val="left"/>
              <w:rPr>
                <w:rFonts w:ascii="Times New Roman" w:hAnsi="Times New Roman"/>
                <w:b/>
                <w:sz w:val="24"/>
                <w:u w:val="single"/>
              </w:rPr>
            </w:pPr>
            <w:r w:rsidRPr="00661595">
              <w:rPr>
                <w:rFonts w:ascii="Times New Roman" w:hAnsi="Times New Roman"/>
                <w:b/>
                <w:sz w:val="24"/>
                <w:u w:val="single"/>
              </w:rPr>
              <w:t>MEMORANDUM ITEMS</w:t>
            </w:r>
          </w:p>
        </w:tc>
      </w:tr>
      <w:tr w:rsidR="00FC6275" w:rsidRPr="00661595" w:rsidTr="00E10B85">
        <w:tc>
          <w:tcPr>
            <w:tcW w:w="1101" w:type="dxa"/>
          </w:tcPr>
          <w:p w:rsidR="00FC6275" w:rsidRPr="00661595" w:rsidRDefault="00973973"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0</w:t>
            </w:r>
            <w:r w:rsidR="00FC6275" w:rsidRPr="00661595">
              <w:rPr>
                <w:rFonts w:ascii="Times New Roman" w:hAnsi="Times New Roman"/>
                <w:sz w:val="24"/>
              </w:rPr>
              <w:t>447</w:t>
            </w:r>
          </w:p>
        </w:tc>
        <w:tc>
          <w:tcPr>
            <w:tcW w:w="7903" w:type="dxa"/>
          </w:tcPr>
          <w:p w:rsidR="00FC6275" w:rsidRPr="00661595" w:rsidRDefault="00FC6275" w:rsidP="00E10B85">
            <w:pPr>
              <w:spacing w:before="0" w:after="0"/>
              <w:jc w:val="left"/>
              <w:rPr>
                <w:rFonts w:ascii="Times New Roman" w:hAnsi="Times New Roman"/>
                <w:b/>
                <w:sz w:val="24"/>
                <w:u w:val="single"/>
              </w:rPr>
            </w:pPr>
            <w:r w:rsidRPr="00661595">
              <w:rPr>
                <w:rFonts w:ascii="Times New Roman" w:hAnsi="Times New Roman"/>
                <w:b/>
                <w:sz w:val="24"/>
                <w:u w:val="single"/>
              </w:rPr>
              <w:t>RISK WEIGHTED EXPOSURE AMOUNT UNDER SEC-ERBA</w:t>
            </w:r>
          </w:p>
          <w:p w:rsidR="00FC6275" w:rsidRPr="00661595" w:rsidRDefault="00FC6275" w:rsidP="00E10B85">
            <w:pPr>
              <w:spacing w:before="0" w:after="0"/>
              <w:jc w:val="left"/>
              <w:rPr>
                <w:rFonts w:ascii="Times New Roman" w:hAnsi="Times New Roman"/>
                <w:b/>
                <w:sz w:val="24"/>
                <w:u w:val="single"/>
              </w:rPr>
            </w:pPr>
          </w:p>
          <w:p w:rsidR="00FC6275" w:rsidRPr="00661595" w:rsidRDefault="00FC6275" w:rsidP="00E10B85">
            <w:pPr>
              <w:spacing w:before="0" w:after="0"/>
              <w:jc w:val="left"/>
              <w:rPr>
                <w:rFonts w:ascii="Times New Roman" w:hAnsi="Times New Roman"/>
                <w:sz w:val="24"/>
              </w:rPr>
            </w:pPr>
            <w:r w:rsidRPr="00661595">
              <w:rPr>
                <w:rFonts w:ascii="Times New Roman" w:hAnsi="Times New Roman"/>
                <w:sz w:val="24"/>
              </w:rPr>
              <w:t>Article</w:t>
            </w:r>
            <w:r w:rsidR="001C3443" w:rsidRPr="00661595">
              <w:rPr>
                <w:rFonts w:ascii="Times New Roman" w:hAnsi="Times New Roman"/>
                <w:sz w:val="24"/>
              </w:rPr>
              <w:t>s</w:t>
            </w:r>
            <w:r w:rsidRPr="00661595">
              <w:rPr>
                <w:rFonts w:ascii="Times New Roman" w:hAnsi="Times New Roman"/>
                <w:sz w:val="24"/>
              </w:rPr>
              <w:t xml:space="preserve"> 263 and 264 </w:t>
            </w:r>
            <w:r w:rsidR="00C7103D" w:rsidRPr="00661595">
              <w:rPr>
                <w:rFonts w:ascii="Times New Roman" w:hAnsi="Times New Roman"/>
                <w:sz w:val="24"/>
              </w:rPr>
              <w:t>CRR</w:t>
            </w:r>
            <w:r w:rsidRPr="00661595">
              <w:rPr>
                <w:rFonts w:ascii="Times New Roman" w:hAnsi="Times New Roman"/>
                <w:sz w:val="24"/>
              </w:rPr>
              <w:t>. This column sh</w:t>
            </w:r>
            <w:r w:rsidR="00037FCC" w:rsidRPr="00661595">
              <w:rPr>
                <w:rFonts w:ascii="Times New Roman" w:hAnsi="Times New Roman"/>
                <w:sz w:val="24"/>
              </w:rPr>
              <w:t>all</w:t>
            </w:r>
            <w:r w:rsidRPr="00661595">
              <w:rPr>
                <w:rFonts w:ascii="Times New Roman" w:hAnsi="Times New Roman"/>
                <w:sz w:val="24"/>
              </w:rPr>
              <w:t xml:space="preserve"> only be reported for rated transactions before cap and it sh</w:t>
            </w:r>
            <w:r w:rsidR="00037FCC" w:rsidRPr="00661595">
              <w:rPr>
                <w:rFonts w:ascii="Times New Roman" w:hAnsi="Times New Roman"/>
                <w:sz w:val="24"/>
              </w:rPr>
              <w:t>all</w:t>
            </w:r>
            <w:r w:rsidRPr="00661595">
              <w:rPr>
                <w:rFonts w:ascii="Times New Roman" w:hAnsi="Times New Roman"/>
                <w:sz w:val="24"/>
              </w:rPr>
              <w:t xml:space="preserve"> not be reported for transactions under SEC-ERBA. </w:t>
            </w:r>
          </w:p>
          <w:p w:rsidR="00FC6275" w:rsidRPr="00661595" w:rsidRDefault="00FC6275" w:rsidP="00E10B85">
            <w:pPr>
              <w:spacing w:before="0" w:after="0"/>
              <w:jc w:val="left"/>
              <w:rPr>
                <w:rFonts w:ascii="Times New Roman" w:hAnsi="Times New Roman"/>
                <w:b/>
                <w:sz w:val="24"/>
                <w:u w:val="single"/>
              </w:rPr>
            </w:pPr>
          </w:p>
        </w:tc>
      </w:tr>
      <w:tr w:rsidR="00FC6275" w:rsidRPr="00661595" w:rsidTr="00E10B85">
        <w:tc>
          <w:tcPr>
            <w:tcW w:w="1101" w:type="dxa"/>
          </w:tcPr>
          <w:p w:rsidR="00FC6275" w:rsidRPr="00661595" w:rsidRDefault="00973973"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0</w:t>
            </w:r>
            <w:r w:rsidR="00FC6275" w:rsidRPr="00661595">
              <w:rPr>
                <w:rFonts w:ascii="Times New Roman" w:hAnsi="Times New Roman"/>
                <w:sz w:val="24"/>
              </w:rPr>
              <w:t>448</w:t>
            </w:r>
          </w:p>
        </w:tc>
        <w:tc>
          <w:tcPr>
            <w:tcW w:w="7903" w:type="dxa"/>
          </w:tcPr>
          <w:p w:rsidR="00FC6275" w:rsidRPr="00661595" w:rsidRDefault="00FC6275" w:rsidP="00E10B85">
            <w:pPr>
              <w:spacing w:before="0" w:after="0"/>
              <w:jc w:val="left"/>
              <w:rPr>
                <w:rFonts w:ascii="Times New Roman" w:hAnsi="Times New Roman"/>
                <w:b/>
                <w:sz w:val="24"/>
                <w:u w:val="single"/>
              </w:rPr>
            </w:pPr>
            <w:r w:rsidRPr="00661595">
              <w:rPr>
                <w:rFonts w:ascii="Times New Roman" w:hAnsi="Times New Roman"/>
                <w:b/>
                <w:sz w:val="24"/>
                <w:u w:val="single"/>
              </w:rPr>
              <w:t>RISK WEIGHTED EXPOSURE AMOUNT UNDER SEC-SA</w:t>
            </w:r>
          </w:p>
          <w:p w:rsidR="00FC6275" w:rsidRPr="00661595" w:rsidRDefault="00FC6275" w:rsidP="00E10B85">
            <w:pPr>
              <w:spacing w:before="0" w:after="0"/>
              <w:jc w:val="left"/>
              <w:rPr>
                <w:rFonts w:ascii="Times New Roman" w:hAnsi="Times New Roman"/>
                <w:b/>
                <w:sz w:val="24"/>
                <w:u w:val="single"/>
              </w:rPr>
            </w:pPr>
          </w:p>
          <w:p w:rsidR="00FC6275" w:rsidRPr="00661595" w:rsidRDefault="00FC6275" w:rsidP="00E10B85">
            <w:pPr>
              <w:spacing w:before="0" w:after="0"/>
              <w:jc w:val="left"/>
              <w:rPr>
                <w:rFonts w:ascii="Times New Roman" w:hAnsi="Times New Roman"/>
                <w:sz w:val="24"/>
              </w:rPr>
            </w:pPr>
            <w:r w:rsidRPr="00661595">
              <w:rPr>
                <w:rFonts w:ascii="Times New Roman" w:hAnsi="Times New Roman"/>
                <w:sz w:val="24"/>
              </w:rPr>
              <w:t>Article</w:t>
            </w:r>
            <w:r w:rsidR="001C3443" w:rsidRPr="00661595">
              <w:rPr>
                <w:rFonts w:ascii="Times New Roman" w:hAnsi="Times New Roman"/>
                <w:sz w:val="24"/>
              </w:rPr>
              <w:t>s</w:t>
            </w:r>
            <w:r w:rsidRPr="00661595">
              <w:rPr>
                <w:rFonts w:ascii="Times New Roman" w:hAnsi="Times New Roman"/>
                <w:sz w:val="24"/>
              </w:rPr>
              <w:t xml:space="preserve"> 261 and 262 </w:t>
            </w:r>
            <w:r w:rsidR="00C7103D" w:rsidRPr="00661595">
              <w:rPr>
                <w:rFonts w:ascii="Times New Roman" w:hAnsi="Times New Roman"/>
                <w:sz w:val="24"/>
              </w:rPr>
              <w:t>CRR</w:t>
            </w:r>
            <w:r w:rsidRPr="00661595">
              <w:rPr>
                <w:rFonts w:ascii="Times New Roman" w:hAnsi="Times New Roman"/>
                <w:sz w:val="24"/>
              </w:rPr>
              <w:t>. This column sh</w:t>
            </w:r>
            <w:r w:rsidR="00037FCC" w:rsidRPr="00661595">
              <w:rPr>
                <w:rFonts w:ascii="Times New Roman" w:hAnsi="Times New Roman"/>
                <w:sz w:val="24"/>
              </w:rPr>
              <w:t>all</w:t>
            </w:r>
            <w:r w:rsidRPr="00661595">
              <w:rPr>
                <w:rFonts w:ascii="Times New Roman" w:hAnsi="Times New Roman"/>
                <w:sz w:val="24"/>
              </w:rPr>
              <w:t xml:space="preserve"> be reported before cap and it sh</w:t>
            </w:r>
            <w:r w:rsidR="00037FCC" w:rsidRPr="00661595">
              <w:rPr>
                <w:rFonts w:ascii="Times New Roman" w:hAnsi="Times New Roman"/>
                <w:sz w:val="24"/>
              </w:rPr>
              <w:t>all</w:t>
            </w:r>
            <w:r w:rsidRPr="00661595">
              <w:rPr>
                <w:rFonts w:ascii="Times New Roman" w:hAnsi="Times New Roman"/>
                <w:sz w:val="24"/>
              </w:rPr>
              <w:t xml:space="preserve"> not be reported for transactions under SEC-SA.</w:t>
            </w:r>
          </w:p>
          <w:p w:rsidR="00FC6275" w:rsidRPr="00661595" w:rsidRDefault="00FC6275" w:rsidP="00E10B85">
            <w:pPr>
              <w:spacing w:before="0" w:after="0"/>
              <w:jc w:val="left"/>
              <w:rPr>
                <w:rFonts w:ascii="Times New Roman" w:hAnsi="Times New Roman"/>
                <w:b/>
                <w:sz w:val="24"/>
                <w:u w:val="single"/>
              </w:rPr>
            </w:pPr>
          </w:p>
        </w:tc>
      </w:tr>
      <w:tr w:rsidR="00FC6275" w:rsidRPr="00661595" w:rsidTr="00E10B85">
        <w:tc>
          <w:tcPr>
            <w:tcW w:w="1101" w:type="dxa"/>
            <w:shd w:val="clear" w:color="auto" w:fill="auto"/>
          </w:tcPr>
          <w:p w:rsidR="00FC6275" w:rsidRPr="00661595" w:rsidRDefault="00973973" w:rsidP="00677A91">
            <w:pPr>
              <w:autoSpaceDE w:val="0"/>
              <w:autoSpaceDN w:val="0"/>
              <w:adjustRightInd w:val="0"/>
              <w:spacing w:before="0" w:after="0"/>
              <w:rPr>
                <w:rFonts w:ascii="Times New Roman" w:hAnsi="Times New Roman"/>
                <w:sz w:val="24"/>
              </w:rPr>
            </w:pPr>
            <w:r w:rsidRPr="00661595">
              <w:rPr>
                <w:rFonts w:ascii="Times New Roman" w:hAnsi="Times New Roman"/>
                <w:sz w:val="24"/>
              </w:rPr>
              <w:t>0</w:t>
            </w:r>
            <w:r w:rsidR="00677A91" w:rsidRPr="00661595">
              <w:rPr>
                <w:rFonts w:ascii="Times New Roman" w:hAnsi="Times New Roman"/>
                <w:sz w:val="24"/>
              </w:rPr>
              <w:t>450-</w:t>
            </w:r>
            <w:r w:rsidRPr="00661595">
              <w:rPr>
                <w:rFonts w:ascii="Times New Roman" w:hAnsi="Times New Roman"/>
                <w:sz w:val="24"/>
              </w:rPr>
              <w:t>0</w:t>
            </w:r>
            <w:r w:rsidR="00677A91" w:rsidRPr="00661595">
              <w:rPr>
                <w:rFonts w:ascii="Times New Roman" w:hAnsi="Times New Roman"/>
                <w:sz w:val="24"/>
              </w:rPr>
              <w:t>47</w:t>
            </w:r>
            <w:r w:rsidR="00FC6275" w:rsidRPr="00661595">
              <w:rPr>
                <w:rFonts w:ascii="Times New Roman" w:hAnsi="Times New Roman"/>
                <w:sz w:val="24"/>
              </w:rPr>
              <w:t>0</w:t>
            </w:r>
          </w:p>
        </w:tc>
        <w:tc>
          <w:tcPr>
            <w:tcW w:w="7903" w:type="dxa"/>
            <w:shd w:val="clear" w:color="auto" w:fill="auto"/>
          </w:tcPr>
          <w:p w:rsidR="00FC6275" w:rsidRPr="00661595" w:rsidRDefault="00FC6275" w:rsidP="00E10B85">
            <w:pPr>
              <w:spacing w:before="0" w:after="0"/>
              <w:jc w:val="left"/>
              <w:rPr>
                <w:rFonts w:ascii="Times New Roman" w:hAnsi="Times New Roman"/>
                <w:b/>
                <w:sz w:val="24"/>
                <w:u w:val="single"/>
              </w:rPr>
            </w:pPr>
            <w:r w:rsidRPr="00661595">
              <w:rPr>
                <w:rFonts w:ascii="Times New Roman" w:hAnsi="Times New Roman"/>
                <w:b/>
                <w:sz w:val="24"/>
                <w:u w:val="single"/>
              </w:rPr>
              <w:t>SECURITISATION POSITIONS - TRADING BOOK</w:t>
            </w:r>
          </w:p>
          <w:p w:rsidR="00FC6275" w:rsidRPr="00661595" w:rsidRDefault="00FC6275" w:rsidP="00E10B85">
            <w:pPr>
              <w:spacing w:before="0" w:after="0"/>
              <w:jc w:val="left"/>
              <w:rPr>
                <w:rFonts w:ascii="Times New Roman" w:hAnsi="Times New Roman"/>
                <w:b/>
                <w:sz w:val="24"/>
                <w:u w:val="single"/>
              </w:rPr>
            </w:pPr>
          </w:p>
        </w:tc>
      </w:tr>
      <w:tr w:rsidR="00FC6275" w:rsidRPr="00661595" w:rsidTr="00E10B85">
        <w:tc>
          <w:tcPr>
            <w:tcW w:w="1101" w:type="dxa"/>
            <w:tcBorders>
              <w:top w:val="single" w:sz="4" w:space="0" w:color="auto"/>
              <w:left w:val="single" w:sz="4" w:space="0" w:color="auto"/>
              <w:bottom w:val="single" w:sz="4" w:space="0" w:color="auto"/>
              <w:right w:val="single" w:sz="4" w:space="0" w:color="auto"/>
            </w:tcBorders>
            <w:shd w:val="clear" w:color="auto" w:fill="auto"/>
          </w:tcPr>
          <w:p w:rsidR="00FC6275" w:rsidRPr="00661595" w:rsidDel="00304CB1" w:rsidRDefault="00973973"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0</w:t>
            </w:r>
            <w:r w:rsidR="00FC6275" w:rsidRPr="00661595">
              <w:rPr>
                <w:rFonts w:ascii="Times New Roman" w:hAnsi="Times New Roman"/>
                <w:sz w:val="24"/>
              </w:rPr>
              <w:t>450</w:t>
            </w:r>
          </w:p>
        </w:tc>
        <w:tc>
          <w:tcPr>
            <w:tcW w:w="7903" w:type="dxa"/>
            <w:tcBorders>
              <w:top w:val="single" w:sz="4" w:space="0" w:color="auto"/>
              <w:left w:val="single" w:sz="4" w:space="0" w:color="auto"/>
              <w:bottom w:val="single" w:sz="4" w:space="0" w:color="auto"/>
              <w:right w:val="single" w:sz="4" w:space="0" w:color="auto"/>
            </w:tcBorders>
            <w:shd w:val="clear" w:color="auto" w:fill="auto"/>
          </w:tcPr>
          <w:p w:rsidR="00FC6275" w:rsidRPr="00661595" w:rsidRDefault="00FC6275" w:rsidP="00E10B85">
            <w:pPr>
              <w:spacing w:before="0" w:after="0"/>
              <w:jc w:val="left"/>
              <w:rPr>
                <w:rFonts w:ascii="Times New Roman" w:hAnsi="Times New Roman"/>
                <w:b/>
                <w:sz w:val="24"/>
                <w:u w:val="single"/>
              </w:rPr>
            </w:pPr>
            <w:r w:rsidRPr="00661595">
              <w:rPr>
                <w:rFonts w:ascii="Times New Roman" w:hAnsi="Times New Roman"/>
                <w:b/>
                <w:sz w:val="24"/>
                <w:u w:val="single"/>
              </w:rPr>
              <w:t>CTP OR NON-CTP?</w:t>
            </w:r>
          </w:p>
          <w:p w:rsidR="00FC6275" w:rsidRPr="00661595" w:rsidRDefault="00FC6275" w:rsidP="00E10B85">
            <w:pPr>
              <w:spacing w:before="0" w:after="0"/>
              <w:jc w:val="left"/>
              <w:rPr>
                <w:rStyle w:val="InstructionsTabelleText"/>
                <w:rFonts w:ascii="Times New Roman" w:hAnsi="Times New Roman"/>
                <w:sz w:val="24"/>
              </w:rPr>
            </w:pPr>
          </w:p>
          <w:p w:rsidR="00FC6275" w:rsidRPr="00661595" w:rsidRDefault="00037FCC" w:rsidP="00E10B85">
            <w:pPr>
              <w:spacing w:before="0" w:after="0"/>
              <w:jc w:val="left"/>
              <w:rPr>
                <w:rStyle w:val="InstructionsTabelleText"/>
                <w:rFonts w:ascii="Times New Roman" w:hAnsi="Times New Roman"/>
                <w:sz w:val="24"/>
              </w:rPr>
            </w:pPr>
            <w:r w:rsidRPr="00661595">
              <w:rPr>
                <w:rStyle w:val="InstructionsTabelleText"/>
                <w:rFonts w:ascii="Times New Roman" w:hAnsi="Times New Roman"/>
                <w:sz w:val="24"/>
              </w:rPr>
              <w:t>Institutions shall r</w:t>
            </w:r>
            <w:r w:rsidR="00FC6275" w:rsidRPr="00661595">
              <w:rPr>
                <w:rStyle w:val="InstructionsTabelleText"/>
                <w:rFonts w:ascii="Times New Roman" w:hAnsi="Times New Roman"/>
                <w:sz w:val="24"/>
              </w:rPr>
              <w:t>eport the following abbreviations:</w:t>
            </w:r>
          </w:p>
          <w:p w:rsidR="00FC6275" w:rsidRPr="00661595" w:rsidRDefault="00FC6275" w:rsidP="00E10B85">
            <w:pPr>
              <w:spacing w:before="0" w:after="0"/>
              <w:jc w:val="left"/>
              <w:rPr>
                <w:rStyle w:val="InstructionsTabelleText"/>
                <w:rFonts w:ascii="Times New Roman" w:hAnsi="Times New Roman"/>
                <w:sz w:val="24"/>
              </w:rPr>
            </w:pPr>
            <w:r w:rsidRPr="00661595">
              <w:rPr>
                <w:rStyle w:val="InstructionsTabelleText"/>
                <w:rFonts w:ascii="Times New Roman" w:hAnsi="Times New Roman"/>
                <w:sz w:val="24"/>
              </w:rPr>
              <w:t>C - Correlation Trading Portfolio (CTP);</w:t>
            </w:r>
          </w:p>
          <w:p w:rsidR="00FC6275" w:rsidRPr="00661595" w:rsidRDefault="00FC6275" w:rsidP="00E10B85">
            <w:pPr>
              <w:spacing w:before="0" w:after="0"/>
              <w:jc w:val="left"/>
              <w:rPr>
                <w:rStyle w:val="InstructionsTabelleText"/>
                <w:rFonts w:ascii="Times New Roman" w:hAnsi="Times New Roman"/>
                <w:sz w:val="24"/>
              </w:rPr>
            </w:pPr>
            <w:r w:rsidRPr="00661595">
              <w:rPr>
                <w:rStyle w:val="InstructionsTabelleText"/>
                <w:rFonts w:ascii="Times New Roman" w:hAnsi="Times New Roman"/>
                <w:sz w:val="24"/>
              </w:rPr>
              <w:t>N - Non-CTP</w:t>
            </w:r>
          </w:p>
          <w:p w:rsidR="00FC6275" w:rsidRPr="00661595" w:rsidRDefault="00FC6275" w:rsidP="00E10B85">
            <w:pPr>
              <w:spacing w:before="0" w:after="0"/>
              <w:jc w:val="left"/>
              <w:rPr>
                <w:rFonts w:ascii="Times New Roman" w:hAnsi="Times New Roman"/>
                <w:b/>
                <w:sz w:val="24"/>
                <w:u w:val="single"/>
              </w:rPr>
            </w:pPr>
          </w:p>
        </w:tc>
      </w:tr>
      <w:tr w:rsidR="00FC6275" w:rsidRPr="00661595" w:rsidTr="00E10B85">
        <w:tc>
          <w:tcPr>
            <w:tcW w:w="1101" w:type="dxa"/>
            <w:tcBorders>
              <w:top w:val="single" w:sz="4" w:space="0" w:color="auto"/>
              <w:left w:val="single" w:sz="4" w:space="0" w:color="auto"/>
              <w:bottom w:val="single" w:sz="4" w:space="0" w:color="auto"/>
              <w:right w:val="single" w:sz="4" w:space="0" w:color="auto"/>
            </w:tcBorders>
            <w:shd w:val="clear" w:color="auto" w:fill="auto"/>
          </w:tcPr>
          <w:p w:rsidR="00FC6275" w:rsidRPr="00661595" w:rsidDel="00304CB1" w:rsidRDefault="00973973" w:rsidP="00E10B85">
            <w:pPr>
              <w:autoSpaceDE w:val="0"/>
              <w:autoSpaceDN w:val="0"/>
              <w:adjustRightInd w:val="0"/>
              <w:spacing w:before="0" w:after="0"/>
              <w:rPr>
                <w:rFonts w:ascii="Times New Roman" w:hAnsi="Times New Roman"/>
                <w:sz w:val="24"/>
              </w:rPr>
            </w:pPr>
            <w:r w:rsidRPr="00661595">
              <w:rPr>
                <w:rFonts w:ascii="Times New Roman" w:hAnsi="Times New Roman"/>
                <w:sz w:val="24"/>
              </w:rPr>
              <w:t>0</w:t>
            </w:r>
            <w:r w:rsidR="00FC6275" w:rsidRPr="00661595">
              <w:rPr>
                <w:rFonts w:ascii="Times New Roman" w:hAnsi="Times New Roman"/>
                <w:sz w:val="24"/>
              </w:rPr>
              <w:t>460-</w:t>
            </w:r>
            <w:r w:rsidRPr="00661595">
              <w:rPr>
                <w:rFonts w:ascii="Times New Roman" w:hAnsi="Times New Roman"/>
                <w:sz w:val="24"/>
              </w:rPr>
              <w:t>0</w:t>
            </w:r>
            <w:r w:rsidR="00FC6275" w:rsidRPr="00661595">
              <w:rPr>
                <w:rFonts w:ascii="Times New Roman" w:hAnsi="Times New Roman"/>
                <w:sz w:val="24"/>
              </w:rPr>
              <w:t>470</w:t>
            </w:r>
          </w:p>
        </w:tc>
        <w:tc>
          <w:tcPr>
            <w:tcW w:w="7903" w:type="dxa"/>
            <w:tcBorders>
              <w:top w:val="single" w:sz="4" w:space="0" w:color="auto"/>
              <w:left w:val="single" w:sz="4" w:space="0" w:color="auto"/>
              <w:bottom w:val="single" w:sz="4" w:space="0" w:color="auto"/>
              <w:right w:val="single" w:sz="4" w:space="0" w:color="auto"/>
            </w:tcBorders>
            <w:shd w:val="clear" w:color="auto" w:fill="auto"/>
          </w:tcPr>
          <w:p w:rsidR="00FC6275" w:rsidRPr="00661595" w:rsidRDefault="00FC6275" w:rsidP="00E10B85">
            <w:pPr>
              <w:spacing w:before="0" w:after="0"/>
              <w:jc w:val="left"/>
              <w:rPr>
                <w:rStyle w:val="InstructionsTabelleberschrift"/>
                <w:rFonts w:ascii="Times New Roman" w:hAnsi="Times New Roman"/>
                <w:sz w:val="24"/>
              </w:rPr>
            </w:pPr>
            <w:r w:rsidRPr="00661595">
              <w:rPr>
                <w:rStyle w:val="InstructionsTabelleberschrift"/>
                <w:rFonts w:ascii="Times New Roman" w:hAnsi="Times New Roman"/>
                <w:sz w:val="24"/>
              </w:rPr>
              <w:t>NET POSITIONS - LONG/SHORT</w:t>
            </w:r>
          </w:p>
          <w:p w:rsidR="00FC6275" w:rsidRPr="00661595" w:rsidRDefault="00FC6275" w:rsidP="00E10B85">
            <w:pPr>
              <w:spacing w:before="0" w:after="0"/>
              <w:jc w:val="left"/>
              <w:rPr>
                <w:rFonts w:ascii="Times New Roman" w:hAnsi="Times New Roman"/>
                <w:b/>
                <w:sz w:val="24"/>
                <w:u w:val="single"/>
              </w:rPr>
            </w:pPr>
          </w:p>
          <w:p w:rsidR="00FC6275" w:rsidRPr="00661595" w:rsidRDefault="00FC6275" w:rsidP="00E10B85">
            <w:pPr>
              <w:spacing w:before="0" w:after="0"/>
              <w:jc w:val="left"/>
              <w:rPr>
                <w:rStyle w:val="InstructionsTabelleText"/>
                <w:rFonts w:ascii="Times New Roman" w:hAnsi="Times New Roman"/>
                <w:sz w:val="24"/>
              </w:rPr>
            </w:pPr>
            <w:r w:rsidRPr="00661595">
              <w:rPr>
                <w:rStyle w:val="InstructionsTabelleText"/>
                <w:rFonts w:ascii="Times New Roman" w:hAnsi="Times New Roman"/>
                <w:sz w:val="24"/>
              </w:rPr>
              <w:t>See columns 0</w:t>
            </w:r>
            <w:r w:rsidR="00973973" w:rsidRPr="00661595">
              <w:rPr>
                <w:rStyle w:val="InstructionsTabelleText"/>
                <w:rFonts w:ascii="Times New Roman" w:hAnsi="Times New Roman"/>
                <w:sz w:val="24"/>
              </w:rPr>
              <w:t>0</w:t>
            </w:r>
            <w:r w:rsidRPr="00661595">
              <w:rPr>
                <w:rStyle w:val="InstructionsTabelleText"/>
                <w:rFonts w:ascii="Times New Roman" w:hAnsi="Times New Roman"/>
                <w:sz w:val="24"/>
              </w:rPr>
              <w:t>50 / 0</w:t>
            </w:r>
            <w:r w:rsidR="00973973" w:rsidRPr="00661595">
              <w:rPr>
                <w:rStyle w:val="InstructionsTabelleText"/>
                <w:rFonts w:ascii="Times New Roman" w:hAnsi="Times New Roman"/>
                <w:sz w:val="24"/>
              </w:rPr>
              <w:t>0</w:t>
            </w:r>
            <w:r w:rsidRPr="00661595">
              <w:rPr>
                <w:rStyle w:val="InstructionsTabelleText"/>
                <w:rFonts w:ascii="Times New Roman" w:hAnsi="Times New Roman"/>
                <w:sz w:val="24"/>
              </w:rPr>
              <w:t xml:space="preserve">60 of MKR SA SEC or MKR SA CTP, respectively. </w:t>
            </w:r>
          </w:p>
          <w:p w:rsidR="00FC6275" w:rsidRPr="00661595" w:rsidRDefault="00FC6275" w:rsidP="00E10B85">
            <w:pPr>
              <w:spacing w:before="0" w:after="0"/>
              <w:jc w:val="left"/>
              <w:rPr>
                <w:rFonts w:ascii="Times New Roman" w:hAnsi="Times New Roman"/>
                <w:b/>
                <w:sz w:val="24"/>
                <w:u w:val="single"/>
              </w:rPr>
            </w:pPr>
          </w:p>
        </w:tc>
      </w:tr>
    </w:tbl>
    <w:p w:rsidR="00595FAD" w:rsidRPr="00661595" w:rsidRDefault="00595FAD" w:rsidP="002F29AF">
      <w:pPr>
        <w:pStyle w:val="ListParagraph"/>
        <w:keepNext/>
        <w:numPr>
          <w:ilvl w:val="1"/>
          <w:numId w:val="48"/>
        </w:numPr>
        <w:spacing w:before="240" w:after="240"/>
        <w:outlineLvl w:val="1"/>
        <w:rPr>
          <w:rFonts w:ascii="Times New Roman" w:hAnsi="Times New Roman"/>
          <w:sz w:val="24"/>
        </w:rPr>
      </w:pPr>
      <w:bookmarkStart w:id="436" w:name="_Toc19715796"/>
      <w:bookmarkStart w:id="437" w:name="_Toc57831591"/>
      <w:r w:rsidRPr="00661595">
        <w:rPr>
          <w:rFonts w:ascii="Times New Roman" w:hAnsi="Times New Roman"/>
          <w:sz w:val="24"/>
        </w:rPr>
        <w:t>Counterparty Credit Risk</w:t>
      </w:r>
      <w:bookmarkEnd w:id="436"/>
      <w:bookmarkEnd w:id="437"/>
    </w:p>
    <w:p w:rsidR="00595FAD" w:rsidRPr="00661595" w:rsidRDefault="00595FAD" w:rsidP="002F29AF">
      <w:pPr>
        <w:pStyle w:val="Instructionsberschrift2"/>
        <w:numPr>
          <w:ilvl w:val="2"/>
          <w:numId w:val="48"/>
        </w:numPr>
        <w:rPr>
          <w:rFonts w:ascii="Times New Roman" w:hAnsi="Times New Roman" w:cs="Times New Roman"/>
          <w:sz w:val="24"/>
          <w:lang w:val="en-GB"/>
        </w:rPr>
      </w:pPr>
      <w:bookmarkStart w:id="438" w:name="_Toc19712307"/>
      <w:bookmarkStart w:id="439" w:name="_Toc19715797"/>
      <w:bookmarkStart w:id="440" w:name="_Toc19715798"/>
      <w:bookmarkStart w:id="441" w:name="_Toc19715799"/>
      <w:bookmarkStart w:id="442" w:name="_Toc19715800"/>
      <w:bookmarkStart w:id="443" w:name="_Toc19715801"/>
      <w:bookmarkStart w:id="444" w:name="_Toc5612629"/>
      <w:bookmarkStart w:id="445" w:name="_Toc19715802"/>
      <w:bookmarkStart w:id="446" w:name="_Toc57831592"/>
      <w:bookmarkEnd w:id="438"/>
      <w:bookmarkEnd w:id="439"/>
      <w:bookmarkEnd w:id="440"/>
      <w:bookmarkEnd w:id="441"/>
      <w:bookmarkEnd w:id="442"/>
      <w:bookmarkEnd w:id="443"/>
      <w:r w:rsidRPr="00661595">
        <w:rPr>
          <w:rFonts w:ascii="Times New Roman" w:hAnsi="Times New Roman" w:cs="Times New Roman"/>
          <w:sz w:val="24"/>
          <w:lang w:val="en-GB"/>
        </w:rPr>
        <w:t>Scope of the counterparty credit risk templates</w:t>
      </w:r>
      <w:bookmarkEnd w:id="444"/>
      <w:bookmarkEnd w:id="445"/>
      <w:bookmarkEnd w:id="446"/>
    </w:p>
    <w:p w:rsidR="00595FAD" w:rsidRPr="00661595" w:rsidRDefault="00D11E4C" w:rsidP="00487A02">
      <w:pPr>
        <w:pStyle w:val="InstructionsText2"/>
        <w:numPr>
          <w:ilvl w:val="0"/>
          <w:numId w:val="0"/>
        </w:numPr>
        <w:ind w:left="1353" w:hanging="360"/>
      </w:pPr>
      <w:fldSimple w:instr=" seq paragraphs ">
        <w:r w:rsidR="00771068">
          <w:rPr>
            <w:noProof/>
          </w:rPr>
          <w:t>119</w:t>
        </w:r>
      </w:fldSimple>
      <w:r w:rsidR="00595FAD" w:rsidRPr="00661595">
        <w:t>. The counterparty credit risk templates cover information on exposures  subject to counterparty credit risk in application of Chapters 4 and 6 of Title II of Part Three CRR.</w:t>
      </w:r>
    </w:p>
    <w:p w:rsidR="00595FAD" w:rsidRPr="00661595" w:rsidRDefault="00D11E4C" w:rsidP="00487A02">
      <w:pPr>
        <w:pStyle w:val="InstructionsText2"/>
        <w:numPr>
          <w:ilvl w:val="0"/>
          <w:numId w:val="0"/>
        </w:numPr>
        <w:ind w:left="1353" w:hanging="360"/>
      </w:pPr>
      <w:fldSimple w:instr=" seq paragraphs ">
        <w:r w:rsidR="00771068">
          <w:rPr>
            <w:noProof/>
          </w:rPr>
          <w:t>120</w:t>
        </w:r>
      </w:fldSimple>
      <w:r w:rsidR="00595FAD" w:rsidRPr="00661595">
        <w:t xml:space="preserve">. The templates exclude the own funds requirements for CVA risk (point (d) of Article 92(3) and Title VI of Part Three CRR), which are reported in the CVA risk template. </w:t>
      </w:r>
    </w:p>
    <w:p w:rsidR="00595FAD" w:rsidRPr="00661595" w:rsidRDefault="00D11E4C" w:rsidP="00487A02">
      <w:pPr>
        <w:pStyle w:val="InstructionsText2"/>
        <w:numPr>
          <w:ilvl w:val="0"/>
          <w:numId w:val="0"/>
        </w:numPr>
        <w:ind w:left="1353" w:hanging="360"/>
      </w:pPr>
      <w:fldSimple w:instr=" seq paragraphs ">
        <w:r w:rsidR="00771068">
          <w:rPr>
            <w:noProof/>
          </w:rPr>
          <w:t>121</w:t>
        </w:r>
      </w:fldSimple>
      <w:r w:rsidR="00595FAD" w:rsidRPr="00661595">
        <w:t>. Counterparty credit risk exposures to central counterparties (Chapter 4 and Section 9 of Chapter 6 of Title II of Part Three CRR) should be included in the CCR figures, unless otherwise stated. However, default fund contributions calculated in accordance with Articles 307 to 310 CRR shall not be reported in the counterparty credit risk templates, with the exception of template C</w:t>
      </w:r>
      <w:r w:rsidR="00DC0A81">
        <w:t xml:space="preserve"> </w:t>
      </w:r>
      <w:r w:rsidR="00595FAD" w:rsidRPr="00661595">
        <w:t>34.10, in particular the corresponding rows. Generally, the risk weighted exposure amounts of default fund contributions are directly reported in template C</w:t>
      </w:r>
      <w:r w:rsidR="00DC0A81">
        <w:t xml:space="preserve"> </w:t>
      </w:r>
      <w:r w:rsidR="00595FAD" w:rsidRPr="00661595">
        <w:t>02.00 row 0460.</w:t>
      </w:r>
    </w:p>
    <w:p w:rsidR="00595FAD" w:rsidRPr="00661595" w:rsidRDefault="00595FAD" w:rsidP="002F29AF">
      <w:pPr>
        <w:pStyle w:val="Instructionsberschrift2"/>
        <w:numPr>
          <w:ilvl w:val="2"/>
          <w:numId w:val="48"/>
        </w:numPr>
        <w:rPr>
          <w:rFonts w:ascii="Times New Roman" w:hAnsi="Times New Roman" w:cs="Times New Roman"/>
          <w:sz w:val="24"/>
          <w:lang w:val="en-GB"/>
        </w:rPr>
      </w:pPr>
      <w:bookmarkStart w:id="447" w:name="_Toc19715803"/>
      <w:bookmarkStart w:id="448" w:name="_Toc57831593"/>
      <w:bookmarkStart w:id="449" w:name="_Toc516210659"/>
      <w:r w:rsidRPr="00661595">
        <w:rPr>
          <w:rFonts w:ascii="Times New Roman" w:hAnsi="Times New Roman" w:cs="Times New Roman"/>
          <w:sz w:val="24"/>
          <w:lang w:val="en-GB"/>
        </w:rPr>
        <w:t>C 34.01 - Size of the derivative business</w:t>
      </w:r>
      <w:bookmarkEnd w:id="447"/>
      <w:bookmarkEnd w:id="448"/>
    </w:p>
    <w:p w:rsidR="00595FAD" w:rsidRPr="00661595" w:rsidRDefault="00595FAD" w:rsidP="002F29AF">
      <w:pPr>
        <w:pStyle w:val="Instructionsberschrift2"/>
        <w:numPr>
          <w:ilvl w:val="3"/>
          <w:numId w:val="48"/>
        </w:numPr>
        <w:rPr>
          <w:rFonts w:ascii="Times New Roman" w:hAnsi="Times New Roman" w:cs="Times New Roman"/>
          <w:sz w:val="24"/>
          <w:lang w:val="en-GB"/>
        </w:rPr>
      </w:pPr>
      <w:bookmarkStart w:id="450" w:name="_Toc19715804"/>
      <w:bookmarkStart w:id="451" w:name="_Toc57831594"/>
      <w:r w:rsidRPr="00661595">
        <w:rPr>
          <w:rFonts w:ascii="Times New Roman" w:hAnsi="Times New Roman" w:cs="Times New Roman"/>
          <w:sz w:val="24"/>
          <w:lang w:val="en-GB"/>
        </w:rPr>
        <w:t>General remarks</w:t>
      </w:r>
      <w:bookmarkEnd w:id="449"/>
      <w:bookmarkEnd w:id="450"/>
      <w:bookmarkEnd w:id="451"/>
    </w:p>
    <w:p w:rsidR="00595FAD" w:rsidRPr="00661595" w:rsidRDefault="00D11E4C" w:rsidP="00487A02">
      <w:pPr>
        <w:pStyle w:val="InstructionsText2"/>
        <w:numPr>
          <w:ilvl w:val="0"/>
          <w:numId w:val="0"/>
        </w:numPr>
        <w:ind w:left="1353" w:hanging="360"/>
      </w:pPr>
      <w:fldSimple w:instr=" seq paragraphs ">
        <w:r w:rsidR="00771068">
          <w:rPr>
            <w:noProof/>
          </w:rPr>
          <w:t>122</w:t>
        </w:r>
      </w:fldSimple>
      <w:r w:rsidR="00595FAD" w:rsidRPr="00661595">
        <w:t>. In accordance with Article 273a CRR an institution may calculate the exposure value of its derivative positions in accordance with the method set out in Section 4 or 5 of Chapter 6 of Title II of Part Three CRR, provided that the size of its on- and off-balance-sheet derivative business is equal to or less than pre-defined thresholds, respectively. The corresponding assessment is to be carried out on a monthly basis using the data as of the last day of the month. This template provides the information on the compliance with those thresholds and, more generally, important information on the size of the derivative business.</w:t>
      </w:r>
    </w:p>
    <w:p w:rsidR="00595FAD" w:rsidRPr="00661595" w:rsidRDefault="00D11E4C" w:rsidP="00487A02">
      <w:pPr>
        <w:pStyle w:val="InstructionsText2"/>
        <w:numPr>
          <w:ilvl w:val="0"/>
          <w:numId w:val="0"/>
        </w:numPr>
        <w:ind w:left="1353" w:hanging="360"/>
      </w:pPr>
      <w:fldSimple w:instr=" seq paragraphs ">
        <w:r w:rsidR="00771068">
          <w:rPr>
            <w:noProof/>
          </w:rPr>
          <w:t>123</w:t>
        </w:r>
      </w:fldSimple>
      <w:r w:rsidR="00595FAD" w:rsidRPr="00661595">
        <w:t>. Month 1, Month 2 and Month 3 refer to the first, second and last month, respectively, of the quarter that is being reported. Information shall be reported only for month-ends after the 28 June 2021.</w:t>
      </w:r>
    </w:p>
    <w:p w:rsidR="00595FAD" w:rsidRPr="00661595" w:rsidRDefault="00595FAD" w:rsidP="002F29AF">
      <w:pPr>
        <w:pStyle w:val="Instructionsberschrift2"/>
        <w:numPr>
          <w:ilvl w:val="3"/>
          <w:numId w:val="48"/>
        </w:numPr>
        <w:rPr>
          <w:rFonts w:ascii="Times New Roman" w:hAnsi="Times New Roman" w:cs="Times New Roman"/>
          <w:sz w:val="24"/>
          <w:lang w:val="en-GB"/>
        </w:rPr>
      </w:pPr>
      <w:bookmarkStart w:id="452" w:name="_Toc516210660"/>
      <w:bookmarkStart w:id="453" w:name="_Toc19715805"/>
      <w:bookmarkStart w:id="454" w:name="_Toc57831595"/>
      <w:r w:rsidRPr="00661595">
        <w:rPr>
          <w:rFonts w:ascii="Times New Roman" w:hAnsi="Times New Roman" w:cs="Times New Roman"/>
          <w:sz w:val="24"/>
          <w:lang w:val="en-GB"/>
        </w:rPr>
        <w:t>Instructions concerning specific positions</w:t>
      </w:r>
      <w:bookmarkEnd w:id="452"/>
      <w:bookmarkEnd w:id="453"/>
      <w:bookmarkEnd w:id="454"/>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7771"/>
      </w:tblGrid>
      <w:tr w:rsidR="00595FAD" w:rsidRPr="00661595" w:rsidTr="00FF15C6">
        <w:tc>
          <w:tcPr>
            <w:tcW w:w="851" w:type="dxa"/>
            <w:gridSpan w:val="2"/>
            <w:shd w:val="clear" w:color="auto" w:fill="CCCCCC"/>
          </w:tcPr>
          <w:p w:rsidR="00595FAD" w:rsidRPr="00661595" w:rsidRDefault="00595FAD" w:rsidP="00FF15C6">
            <w:pPr>
              <w:spacing w:beforeLines="60" w:before="144" w:afterLines="60" w:after="144"/>
              <w:rPr>
                <w:rFonts w:ascii="Times New Roman" w:hAnsi="Times New Roman"/>
                <w:b/>
                <w:sz w:val="24"/>
              </w:rPr>
            </w:pPr>
            <w:r w:rsidRPr="00661595">
              <w:rPr>
                <w:rFonts w:ascii="Times New Roman" w:hAnsi="Times New Roman"/>
                <w:b/>
                <w:sz w:val="24"/>
              </w:rPr>
              <w:t>Columns</w:t>
            </w:r>
          </w:p>
        </w:tc>
      </w:tr>
      <w:tr w:rsidR="00595FAD" w:rsidRPr="00661595" w:rsidTr="00FF15C6">
        <w:tc>
          <w:tcPr>
            <w:tcW w:w="851" w:type="dxa"/>
          </w:tcPr>
          <w:p w:rsidR="00595FAD" w:rsidRPr="00661595" w:rsidRDefault="00595FAD" w:rsidP="00FF15C6">
            <w:pPr>
              <w:spacing w:beforeLines="60" w:before="144" w:afterLines="60" w:after="144"/>
              <w:rPr>
                <w:rFonts w:ascii="Times New Roman" w:hAnsi="Times New Roman"/>
                <w:sz w:val="24"/>
              </w:rPr>
            </w:pPr>
            <w:r w:rsidRPr="00661595">
              <w:rPr>
                <w:rFonts w:ascii="Times New Roman" w:hAnsi="Times New Roman"/>
                <w:sz w:val="24"/>
              </w:rPr>
              <w:t>0010,0040, 0070</w:t>
            </w:r>
          </w:p>
        </w:tc>
        <w:tc>
          <w:tcPr>
            <w:tcW w:w="8108" w:type="dxa"/>
          </w:tcPr>
          <w:p w:rsidR="00595FAD" w:rsidRPr="00661595" w:rsidRDefault="00595FAD" w:rsidP="00FF15C6">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LONG DERIVATIVE POSITIONS</w:t>
            </w:r>
          </w:p>
          <w:p w:rsidR="00595FAD" w:rsidRPr="00661595" w:rsidRDefault="00595FAD" w:rsidP="00FF15C6">
            <w:pPr>
              <w:spacing w:beforeLines="60" w:before="144" w:afterLines="60" w:after="144"/>
              <w:rPr>
                <w:rStyle w:val="InstructionsTabelleberschrift"/>
                <w:rFonts w:ascii="Times New Roman" w:hAnsi="Times New Roman"/>
                <w:b w:val="0"/>
                <w:sz w:val="24"/>
              </w:rPr>
            </w:pPr>
            <w:r w:rsidRPr="00661595">
              <w:rPr>
                <w:rStyle w:val="InstructionsTabelleberschrift"/>
                <w:rFonts w:ascii="Times New Roman" w:hAnsi="Times New Roman"/>
                <w:sz w:val="24"/>
              </w:rPr>
              <w:t>Article 273a(3) CRR</w:t>
            </w:r>
          </w:p>
          <w:p w:rsidR="00595FAD" w:rsidRPr="00661595" w:rsidRDefault="00595FAD" w:rsidP="00FF15C6">
            <w:pPr>
              <w:spacing w:beforeLines="60" w:before="144" w:afterLines="60" w:after="144"/>
              <w:rPr>
                <w:rFonts w:ascii="Times New Roman" w:hAnsi="Times New Roman"/>
                <w:sz w:val="24"/>
              </w:rPr>
            </w:pPr>
            <w:r w:rsidRPr="00661595">
              <w:rPr>
                <w:rFonts w:ascii="Times New Roman" w:hAnsi="Times New Roman"/>
                <w:sz w:val="24"/>
              </w:rPr>
              <w:t>The sum of the absolute market values of long derivative positions on the last date of the month shall be reported.</w:t>
            </w:r>
          </w:p>
        </w:tc>
      </w:tr>
      <w:tr w:rsidR="00595FAD" w:rsidRPr="00661595" w:rsidTr="00FF15C6">
        <w:tc>
          <w:tcPr>
            <w:tcW w:w="851" w:type="dxa"/>
          </w:tcPr>
          <w:p w:rsidR="00595FAD" w:rsidRPr="00661595" w:rsidRDefault="00595FAD" w:rsidP="00FF15C6">
            <w:pPr>
              <w:spacing w:beforeLines="60" w:before="144" w:afterLines="60" w:after="144"/>
              <w:rPr>
                <w:rFonts w:ascii="Times New Roman" w:hAnsi="Times New Roman"/>
                <w:sz w:val="24"/>
              </w:rPr>
            </w:pPr>
            <w:r w:rsidRPr="00661595">
              <w:rPr>
                <w:rFonts w:ascii="Times New Roman" w:hAnsi="Times New Roman"/>
                <w:sz w:val="24"/>
              </w:rPr>
              <w:t>0020,0050,</w:t>
            </w:r>
          </w:p>
          <w:p w:rsidR="00595FAD" w:rsidRPr="00661595" w:rsidRDefault="00595FAD" w:rsidP="00FF15C6">
            <w:pPr>
              <w:spacing w:beforeLines="60" w:before="144" w:afterLines="60" w:after="144"/>
              <w:rPr>
                <w:rFonts w:ascii="Times New Roman" w:hAnsi="Times New Roman"/>
                <w:sz w:val="24"/>
              </w:rPr>
            </w:pPr>
            <w:r w:rsidRPr="00661595">
              <w:rPr>
                <w:rFonts w:ascii="Times New Roman" w:hAnsi="Times New Roman"/>
                <w:sz w:val="24"/>
              </w:rPr>
              <w:t>0080</w:t>
            </w:r>
          </w:p>
        </w:tc>
        <w:tc>
          <w:tcPr>
            <w:tcW w:w="8108" w:type="dxa"/>
          </w:tcPr>
          <w:p w:rsidR="00595FAD" w:rsidRPr="00661595" w:rsidRDefault="00595FAD" w:rsidP="00FF15C6">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SHORT DERIVATIVE POSITIONS</w:t>
            </w:r>
          </w:p>
          <w:p w:rsidR="00595FAD" w:rsidRPr="00661595" w:rsidRDefault="00595FAD" w:rsidP="00FF15C6">
            <w:pPr>
              <w:spacing w:beforeLines="60" w:before="144" w:afterLines="60" w:after="144"/>
              <w:rPr>
                <w:rStyle w:val="InstructionsTabelleberschrift"/>
                <w:rFonts w:ascii="Times New Roman" w:hAnsi="Times New Roman"/>
                <w:b w:val="0"/>
                <w:sz w:val="24"/>
              </w:rPr>
            </w:pPr>
            <w:r w:rsidRPr="00661595">
              <w:rPr>
                <w:rStyle w:val="InstructionsTabelleberschrift"/>
                <w:rFonts w:ascii="Times New Roman" w:hAnsi="Times New Roman"/>
                <w:sz w:val="24"/>
              </w:rPr>
              <w:t>Article 273a(3) CRR</w:t>
            </w:r>
          </w:p>
          <w:p w:rsidR="00595FAD" w:rsidRPr="00661595" w:rsidRDefault="00595FAD" w:rsidP="00FF15C6">
            <w:pPr>
              <w:spacing w:beforeLines="60" w:before="144" w:afterLines="60" w:after="144"/>
              <w:rPr>
                <w:rFonts w:ascii="Times New Roman" w:hAnsi="Times New Roman"/>
                <w:sz w:val="24"/>
              </w:rPr>
            </w:pPr>
            <w:r w:rsidRPr="00661595">
              <w:rPr>
                <w:rFonts w:ascii="Times New Roman" w:hAnsi="Times New Roman"/>
                <w:sz w:val="24"/>
              </w:rPr>
              <w:t>The sum of the absolute market values of short derivative positions on the last date of the month shall be reported.</w:t>
            </w:r>
          </w:p>
        </w:tc>
      </w:tr>
      <w:tr w:rsidR="00595FAD" w:rsidRPr="00661595" w:rsidTr="00FF15C6">
        <w:tc>
          <w:tcPr>
            <w:tcW w:w="851" w:type="dxa"/>
          </w:tcPr>
          <w:p w:rsidR="00595FAD" w:rsidRPr="00661595" w:rsidRDefault="00595FAD" w:rsidP="00FF15C6">
            <w:pPr>
              <w:spacing w:beforeLines="60" w:before="144" w:afterLines="60" w:after="144"/>
              <w:rPr>
                <w:rFonts w:ascii="Times New Roman" w:hAnsi="Times New Roman"/>
                <w:sz w:val="24"/>
              </w:rPr>
            </w:pPr>
            <w:r w:rsidRPr="00661595">
              <w:rPr>
                <w:rFonts w:ascii="Times New Roman" w:hAnsi="Times New Roman"/>
                <w:sz w:val="24"/>
              </w:rPr>
              <w:t>0030,0060,</w:t>
            </w:r>
          </w:p>
          <w:p w:rsidR="00595FAD" w:rsidRPr="00661595" w:rsidRDefault="00595FAD" w:rsidP="00FF15C6">
            <w:pPr>
              <w:spacing w:beforeLines="60" w:before="144" w:afterLines="60" w:after="144"/>
              <w:rPr>
                <w:rFonts w:ascii="Times New Roman" w:hAnsi="Times New Roman"/>
                <w:sz w:val="24"/>
              </w:rPr>
            </w:pPr>
            <w:r w:rsidRPr="00661595">
              <w:rPr>
                <w:rFonts w:ascii="Times New Roman" w:hAnsi="Times New Roman"/>
                <w:sz w:val="24"/>
              </w:rPr>
              <w:t>0090</w:t>
            </w:r>
          </w:p>
        </w:tc>
        <w:tc>
          <w:tcPr>
            <w:tcW w:w="8108" w:type="dxa"/>
          </w:tcPr>
          <w:p w:rsidR="00595FAD" w:rsidRPr="00661595" w:rsidRDefault="00595FAD" w:rsidP="00FF15C6">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TOTAL</w:t>
            </w:r>
          </w:p>
          <w:p w:rsidR="00595FAD" w:rsidRPr="00661595" w:rsidRDefault="00595FAD" w:rsidP="00FF15C6">
            <w:pPr>
              <w:spacing w:beforeLines="60" w:before="144" w:afterLines="60" w:after="144"/>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Point (b) of Article 273a(3) CRR</w:t>
            </w:r>
          </w:p>
          <w:p w:rsidR="00595FAD" w:rsidRPr="00661595" w:rsidRDefault="00595FAD" w:rsidP="00FF15C6">
            <w:pPr>
              <w:spacing w:beforeLines="60" w:before="144" w:afterLines="60" w:after="144"/>
              <w:rPr>
                <w:rFonts w:ascii="Times New Roman" w:hAnsi="Times New Roman"/>
                <w:sz w:val="24"/>
              </w:rPr>
            </w:pPr>
            <w:r w:rsidRPr="00661595">
              <w:rPr>
                <w:rFonts w:ascii="Times New Roman" w:hAnsi="Times New Roman"/>
                <w:sz w:val="24"/>
              </w:rPr>
              <w:t>The sum of the absolute value of long derivative positions and the absolute value of short derivative positions.</w:t>
            </w:r>
          </w:p>
        </w:tc>
      </w:tr>
    </w:tbl>
    <w:p w:rsidR="00595FAD" w:rsidRPr="00661595" w:rsidRDefault="00595FAD" w:rsidP="00595FAD">
      <w:pPr>
        <w:rPr>
          <w:rFonts w:ascii="Times New Roman" w:hAnsi="Times New Roman"/>
          <w:noProof/>
          <w:szCs w:val="22"/>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
        <w:gridCol w:w="8187"/>
      </w:tblGrid>
      <w:tr w:rsidR="00595FAD" w:rsidRPr="00661595" w:rsidTr="00FF15C6">
        <w:tc>
          <w:tcPr>
            <w:tcW w:w="9039" w:type="dxa"/>
            <w:gridSpan w:val="2"/>
            <w:shd w:val="clear" w:color="auto" w:fill="CCCCCC"/>
          </w:tcPr>
          <w:p w:rsidR="00595FAD" w:rsidRPr="00661595" w:rsidRDefault="00595FAD" w:rsidP="00FF15C6">
            <w:pPr>
              <w:spacing w:beforeLines="60" w:before="144" w:afterLines="60" w:after="144"/>
              <w:rPr>
                <w:rFonts w:ascii="Times New Roman" w:hAnsi="Times New Roman"/>
                <w:b/>
                <w:sz w:val="24"/>
              </w:rPr>
            </w:pPr>
            <w:r w:rsidRPr="00661595">
              <w:rPr>
                <w:rFonts w:ascii="Times New Roman" w:hAnsi="Times New Roman"/>
                <w:b/>
                <w:sz w:val="24"/>
              </w:rPr>
              <w:t>Rows</w:t>
            </w:r>
          </w:p>
        </w:tc>
      </w:tr>
      <w:tr w:rsidR="00595FAD" w:rsidRPr="00661595" w:rsidTr="00FF15C6">
        <w:tc>
          <w:tcPr>
            <w:tcW w:w="852" w:type="dxa"/>
          </w:tcPr>
          <w:p w:rsidR="00595FAD" w:rsidRPr="00661595" w:rsidRDefault="00595FAD" w:rsidP="00FF15C6">
            <w:pPr>
              <w:spacing w:beforeLines="60" w:before="144" w:afterLines="60" w:after="144"/>
              <w:rPr>
                <w:rFonts w:ascii="Times New Roman" w:hAnsi="Times New Roman"/>
                <w:sz w:val="24"/>
              </w:rPr>
            </w:pPr>
            <w:r w:rsidRPr="00661595">
              <w:rPr>
                <w:rFonts w:ascii="Times New Roman" w:hAnsi="Times New Roman"/>
                <w:sz w:val="24"/>
              </w:rPr>
              <w:t>0010</w:t>
            </w:r>
          </w:p>
        </w:tc>
        <w:tc>
          <w:tcPr>
            <w:tcW w:w="8187" w:type="dxa"/>
          </w:tcPr>
          <w:p w:rsidR="00595FAD" w:rsidRPr="00661595" w:rsidRDefault="00595FAD" w:rsidP="00FF15C6">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Size of the derivative business</w:t>
            </w:r>
          </w:p>
          <w:p w:rsidR="00595FAD" w:rsidRPr="00661595" w:rsidRDefault="00595FAD" w:rsidP="00FF15C6">
            <w:pPr>
              <w:spacing w:beforeLines="60" w:before="144" w:afterLines="60" w:after="144"/>
              <w:rPr>
                <w:rFonts w:ascii="Times New Roman" w:hAnsi="Times New Roman"/>
                <w:bCs/>
                <w:sz w:val="24"/>
              </w:rPr>
            </w:pPr>
            <w:r w:rsidRPr="00661595">
              <w:rPr>
                <w:rStyle w:val="InstructionsTabelleberschrift"/>
                <w:rFonts w:ascii="Times New Roman" w:hAnsi="Times New Roman"/>
                <w:b w:val="0"/>
                <w:sz w:val="24"/>
                <w:u w:val="none"/>
              </w:rPr>
              <w:t>Article 273a(3) CRR</w:t>
            </w:r>
          </w:p>
          <w:p w:rsidR="00595FAD" w:rsidRPr="00661595" w:rsidRDefault="00595FAD" w:rsidP="00FF15C6">
            <w:pPr>
              <w:spacing w:beforeLines="60" w:before="144" w:afterLines="60" w:after="144"/>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All on- and off-balance sheet derivatives shall be included, except credit derivatives that are recognised as internal hedges against non-trading book credit risk exposures.</w:t>
            </w:r>
          </w:p>
        </w:tc>
      </w:tr>
      <w:tr w:rsidR="00595FAD" w:rsidRPr="00661595" w:rsidTr="00FF15C6">
        <w:tc>
          <w:tcPr>
            <w:tcW w:w="852" w:type="dxa"/>
          </w:tcPr>
          <w:p w:rsidR="00595FAD" w:rsidRPr="00661595" w:rsidRDefault="00595FAD" w:rsidP="00FF15C6">
            <w:pPr>
              <w:spacing w:beforeLines="60" w:before="144" w:afterLines="60" w:after="144"/>
              <w:rPr>
                <w:rFonts w:ascii="Times New Roman" w:hAnsi="Times New Roman"/>
                <w:sz w:val="24"/>
              </w:rPr>
            </w:pPr>
            <w:r w:rsidRPr="00661595">
              <w:rPr>
                <w:rFonts w:ascii="Times New Roman" w:hAnsi="Times New Roman"/>
                <w:sz w:val="24"/>
              </w:rPr>
              <w:t xml:space="preserve">0020 </w:t>
            </w:r>
          </w:p>
        </w:tc>
        <w:tc>
          <w:tcPr>
            <w:tcW w:w="8187" w:type="dxa"/>
          </w:tcPr>
          <w:p w:rsidR="00595FAD" w:rsidRPr="00661595" w:rsidRDefault="00595FAD" w:rsidP="00FF15C6">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On- and off-balance sheet derivatives</w:t>
            </w:r>
          </w:p>
          <w:p w:rsidR="00595FAD" w:rsidRPr="00661595" w:rsidRDefault="00595FAD" w:rsidP="00FF15C6">
            <w:pPr>
              <w:spacing w:beforeLines="60" w:before="144" w:afterLines="60" w:after="144"/>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Point (a) and (b) Article 273a(3) CRR</w:t>
            </w:r>
          </w:p>
          <w:p w:rsidR="00595FAD" w:rsidRPr="00661595" w:rsidRDefault="00595FAD" w:rsidP="00FF15C6">
            <w:pPr>
              <w:spacing w:beforeLines="60" w:before="144" w:afterLines="60" w:after="144"/>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The total market value of the on- and off-balance sheet derivative positions as of the last day of the month shall be reported.</w:t>
            </w:r>
            <w:r w:rsidRPr="00661595">
              <w:rPr>
                <w:rFonts w:ascii="Times New Roman" w:hAnsi="Times New Roman"/>
                <w:sz w:val="24"/>
              </w:rPr>
              <w:t xml:space="preserve"> Where the market value of a position is not available on that date, institutions shall take a fair value for the position on that date; where the market value and fair value of a position are not available on that date, institutions shall take the most recent of the market value or fair value for that position.</w:t>
            </w:r>
          </w:p>
        </w:tc>
      </w:tr>
      <w:tr w:rsidR="00595FAD" w:rsidRPr="00661595" w:rsidTr="00FF15C6">
        <w:tc>
          <w:tcPr>
            <w:tcW w:w="852" w:type="dxa"/>
          </w:tcPr>
          <w:p w:rsidR="00595FAD" w:rsidRPr="00661595" w:rsidRDefault="00595FAD" w:rsidP="00FF15C6">
            <w:pPr>
              <w:spacing w:beforeLines="60" w:before="144" w:afterLines="60" w:after="144"/>
              <w:rPr>
                <w:rFonts w:ascii="Times New Roman" w:hAnsi="Times New Roman"/>
                <w:sz w:val="24"/>
              </w:rPr>
            </w:pPr>
            <w:r w:rsidRPr="00661595">
              <w:rPr>
                <w:rFonts w:ascii="Times New Roman" w:hAnsi="Times New Roman"/>
                <w:sz w:val="24"/>
              </w:rPr>
              <w:t xml:space="preserve">0030 </w:t>
            </w:r>
          </w:p>
        </w:tc>
        <w:tc>
          <w:tcPr>
            <w:tcW w:w="8187" w:type="dxa"/>
          </w:tcPr>
          <w:p w:rsidR="00595FAD" w:rsidRPr="00661595" w:rsidRDefault="00595FAD" w:rsidP="00FF15C6">
            <w:pPr>
              <w:spacing w:beforeLines="60" w:before="144" w:afterLines="60" w:after="144"/>
              <w:rPr>
                <w:rFonts w:ascii="Times New Roman" w:hAnsi="Times New Roman"/>
                <w:b/>
                <w:sz w:val="24"/>
                <w:u w:val="single"/>
              </w:rPr>
            </w:pPr>
            <w:r w:rsidRPr="00661595">
              <w:rPr>
                <w:rFonts w:ascii="Times New Roman" w:hAnsi="Times New Roman"/>
                <w:b/>
                <w:sz w:val="24"/>
                <w:u w:val="single"/>
              </w:rPr>
              <w:t>(-) Credit derivatives that are recognised as internal hedges against non-trading book credit risk exposures</w:t>
            </w:r>
          </w:p>
          <w:p w:rsidR="00595FAD" w:rsidRPr="00661595" w:rsidRDefault="00595FAD" w:rsidP="00FF15C6">
            <w:pPr>
              <w:spacing w:beforeLines="60" w:before="144" w:afterLines="60" w:after="144"/>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Point (c) of Article 273a(3) CRR</w:t>
            </w:r>
          </w:p>
          <w:p w:rsidR="00595FAD" w:rsidRPr="00661595" w:rsidRDefault="00595FAD" w:rsidP="00FF15C6">
            <w:pPr>
              <w:spacing w:beforeLines="60" w:before="144" w:afterLines="60" w:after="144"/>
              <w:rPr>
                <w:rFonts w:ascii="Times New Roman" w:hAnsi="Times New Roman"/>
                <w:sz w:val="24"/>
              </w:rPr>
            </w:pPr>
            <w:r w:rsidRPr="00661595">
              <w:rPr>
                <w:rFonts w:ascii="Times New Roman" w:hAnsi="Times New Roman"/>
                <w:sz w:val="24"/>
              </w:rPr>
              <w:t>The total market value of the credit derivatives that are recognised as internal hedges against non-trading book credit risk exposures.</w:t>
            </w:r>
          </w:p>
        </w:tc>
      </w:tr>
      <w:tr w:rsidR="00595FAD" w:rsidRPr="00661595" w:rsidTr="00FF15C6">
        <w:tc>
          <w:tcPr>
            <w:tcW w:w="852" w:type="dxa"/>
          </w:tcPr>
          <w:p w:rsidR="00595FAD" w:rsidRPr="00661595" w:rsidRDefault="00595FAD" w:rsidP="00FF15C6">
            <w:pPr>
              <w:spacing w:beforeLines="60" w:before="144" w:afterLines="60" w:after="144"/>
              <w:rPr>
                <w:rFonts w:ascii="Times New Roman" w:hAnsi="Times New Roman"/>
                <w:sz w:val="24"/>
              </w:rPr>
            </w:pPr>
            <w:r w:rsidRPr="00661595">
              <w:rPr>
                <w:rFonts w:ascii="Times New Roman" w:hAnsi="Times New Roman"/>
                <w:sz w:val="24"/>
              </w:rPr>
              <w:t>0040</w:t>
            </w:r>
          </w:p>
        </w:tc>
        <w:tc>
          <w:tcPr>
            <w:tcW w:w="8187" w:type="dxa"/>
          </w:tcPr>
          <w:p w:rsidR="00595FAD" w:rsidRPr="00661595" w:rsidRDefault="00595FAD" w:rsidP="00FF15C6">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Total assets</w:t>
            </w:r>
          </w:p>
          <w:p w:rsidR="00595FAD" w:rsidRPr="00661595" w:rsidRDefault="00595FAD" w:rsidP="00FF15C6">
            <w:pPr>
              <w:spacing w:beforeLines="60" w:before="144" w:afterLines="60" w:after="144"/>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The total assets in accordance with the applicable accounting standards.</w:t>
            </w:r>
          </w:p>
          <w:p w:rsidR="00595FAD" w:rsidRPr="00661595" w:rsidRDefault="00595FAD" w:rsidP="00FF15C6">
            <w:pPr>
              <w:spacing w:beforeLines="60" w:before="144" w:afterLines="60" w:after="144"/>
              <w:rPr>
                <w:rStyle w:val="InstructionsTabelleberschrift"/>
                <w:rFonts w:ascii="Times New Roman" w:hAnsi="Times New Roman"/>
                <w:b w:val="0"/>
                <w:sz w:val="24"/>
              </w:rPr>
            </w:pPr>
            <w:r w:rsidRPr="00661595">
              <w:rPr>
                <w:rStyle w:val="InstructionsTabelleberschrift"/>
                <w:rFonts w:ascii="Times New Roman" w:hAnsi="Times New Roman"/>
                <w:b w:val="0"/>
                <w:sz w:val="24"/>
                <w:u w:val="none"/>
              </w:rPr>
              <w:t>For consolidated reporting the institution shall report the total assets following the prudential scope of consolidation in accordance with Section 2 of Chapter 2 of Title II of Part One CRR.</w:t>
            </w:r>
          </w:p>
        </w:tc>
      </w:tr>
      <w:tr w:rsidR="00595FAD" w:rsidRPr="00661595" w:rsidTr="00FF15C6">
        <w:tc>
          <w:tcPr>
            <w:tcW w:w="852" w:type="dxa"/>
          </w:tcPr>
          <w:p w:rsidR="00595FAD" w:rsidRPr="00661595" w:rsidRDefault="00595FAD" w:rsidP="00FF15C6">
            <w:pPr>
              <w:spacing w:beforeLines="60" w:before="144" w:afterLines="60" w:after="144"/>
              <w:rPr>
                <w:rFonts w:ascii="Times New Roman" w:hAnsi="Times New Roman"/>
                <w:sz w:val="24"/>
              </w:rPr>
            </w:pPr>
            <w:r w:rsidRPr="00661595">
              <w:rPr>
                <w:rFonts w:ascii="Times New Roman" w:hAnsi="Times New Roman"/>
                <w:sz w:val="24"/>
              </w:rPr>
              <w:t>0050</w:t>
            </w:r>
          </w:p>
        </w:tc>
        <w:tc>
          <w:tcPr>
            <w:tcW w:w="8187" w:type="dxa"/>
          </w:tcPr>
          <w:p w:rsidR="00595FAD" w:rsidRPr="00661595" w:rsidRDefault="00595FAD" w:rsidP="00FF15C6">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Percentage of total assets</w:t>
            </w:r>
          </w:p>
          <w:p w:rsidR="00595FAD" w:rsidRPr="00661595" w:rsidRDefault="00595FAD" w:rsidP="00FF15C6">
            <w:pPr>
              <w:spacing w:beforeLines="60" w:before="144" w:afterLines="60" w:after="144"/>
              <w:rPr>
                <w:rFonts w:ascii="Times New Roman" w:hAnsi="Times New Roman"/>
                <w:b/>
                <w:sz w:val="24"/>
              </w:rPr>
            </w:pPr>
            <w:r w:rsidRPr="00661595">
              <w:rPr>
                <w:rStyle w:val="InstructionsTabelleberschrift"/>
                <w:rFonts w:ascii="Times New Roman" w:hAnsi="Times New Roman"/>
                <w:b w:val="0"/>
                <w:sz w:val="24"/>
                <w:u w:val="none"/>
              </w:rPr>
              <w:t xml:space="preserve">Ratio to be calculated taking the size of the derivative business (row 0010) divided by total assets (row 0040). </w:t>
            </w:r>
          </w:p>
        </w:tc>
      </w:tr>
      <w:tr w:rsidR="00595FAD" w:rsidRPr="00661595" w:rsidTr="00FF15C6">
        <w:tc>
          <w:tcPr>
            <w:tcW w:w="9039" w:type="dxa"/>
            <w:gridSpan w:val="2"/>
            <w:shd w:val="clear" w:color="auto" w:fill="A6A6A6" w:themeFill="background1" w:themeFillShade="A6"/>
          </w:tcPr>
          <w:p w:rsidR="00595FAD" w:rsidRPr="00661595" w:rsidRDefault="00595FAD" w:rsidP="00FF15C6">
            <w:pPr>
              <w:spacing w:beforeLines="60" w:before="144" w:afterLines="60" w:after="144"/>
              <w:rPr>
                <w:rFonts w:ascii="Times New Roman" w:hAnsi="Times New Roman"/>
                <w:b/>
                <w:sz w:val="24"/>
              </w:rPr>
            </w:pPr>
            <w:r w:rsidRPr="00661595">
              <w:rPr>
                <w:rFonts w:ascii="Times New Roman" w:hAnsi="Times New Roman"/>
                <w:b/>
                <w:sz w:val="24"/>
              </w:rPr>
              <w:t>DEROGATION IN ACCORDANCE WITH ARTICLE 273a (4) CRR</w:t>
            </w:r>
          </w:p>
        </w:tc>
      </w:tr>
      <w:tr w:rsidR="00595FAD" w:rsidRPr="00661595" w:rsidTr="007063EE">
        <w:trPr>
          <w:trHeight w:val="3003"/>
        </w:trPr>
        <w:tc>
          <w:tcPr>
            <w:tcW w:w="852" w:type="dxa"/>
          </w:tcPr>
          <w:p w:rsidR="00595FAD" w:rsidRPr="00661595" w:rsidRDefault="00595FAD" w:rsidP="00FF15C6">
            <w:pPr>
              <w:spacing w:beforeLines="60" w:before="144" w:afterLines="60" w:after="144"/>
              <w:rPr>
                <w:rFonts w:ascii="Times New Roman" w:hAnsi="Times New Roman"/>
                <w:sz w:val="24"/>
              </w:rPr>
            </w:pPr>
            <w:r w:rsidRPr="00661595">
              <w:rPr>
                <w:rFonts w:ascii="Times New Roman" w:hAnsi="Times New Roman"/>
                <w:sz w:val="24"/>
              </w:rPr>
              <w:t>0060</w:t>
            </w:r>
          </w:p>
        </w:tc>
        <w:tc>
          <w:tcPr>
            <w:tcW w:w="8187" w:type="dxa"/>
          </w:tcPr>
          <w:p w:rsidR="00595FAD" w:rsidRPr="00661595" w:rsidRDefault="00595FAD" w:rsidP="00FF15C6">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Are the conditions of article 273a (4) crr met, including the approval from the competent authority?</w:t>
            </w:r>
          </w:p>
          <w:p w:rsidR="00595FAD" w:rsidRPr="00661595" w:rsidRDefault="00595FAD" w:rsidP="00FF15C6">
            <w:pPr>
              <w:spacing w:beforeLines="60" w:before="144" w:afterLines="60" w:after="144"/>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Article 273a(4) CRR</w:t>
            </w:r>
          </w:p>
          <w:p w:rsidR="00595FAD" w:rsidRPr="00661595" w:rsidRDefault="00595FAD" w:rsidP="00FF15C6">
            <w:pPr>
              <w:spacing w:beforeLines="60" w:before="144" w:afterLines="60" w:after="144"/>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Institutions that exceed the thresholds  to use a simplified approach for counterparty credit risk but which are still using one of them on the basis of Article 273a(4) CRR, shall indicate (with Yes/No) whether they meet all the conditions of that article.</w:t>
            </w:r>
          </w:p>
          <w:p w:rsidR="00595FAD" w:rsidRPr="00661595" w:rsidRDefault="00595FAD" w:rsidP="00FF15C6">
            <w:pPr>
              <w:spacing w:beforeLines="60" w:before="144" w:afterLines="60" w:after="144"/>
              <w:rPr>
                <w:rFonts w:ascii="Times New Roman" w:hAnsi="Times New Roman"/>
                <w:b/>
                <w:sz w:val="24"/>
              </w:rPr>
            </w:pPr>
            <w:r w:rsidRPr="00661595">
              <w:rPr>
                <w:rStyle w:val="InstructionsTabelleberschrift"/>
                <w:rFonts w:ascii="Times New Roman" w:hAnsi="Times New Roman"/>
                <w:b w:val="0"/>
                <w:sz w:val="24"/>
                <w:u w:val="none"/>
              </w:rPr>
              <w:t>This item shall be reported only by those institutions applying the derogation in accordance with Article 273a(4) CRR.</w:t>
            </w:r>
          </w:p>
        </w:tc>
      </w:tr>
      <w:tr w:rsidR="00595FAD" w:rsidRPr="00661595" w:rsidTr="00FF15C6">
        <w:tc>
          <w:tcPr>
            <w:tcW w:w="852" w:type="dxa"/>
          </w:tcPr>
          <w:p w:rsidR="00595FAD" w:rsidRPr="00661595" w:rsidRDefault="00595FAD" w:rsidP="00FF15C6">
            <w:pPr>
              <w:spacing w:beforeLines="60" w:before="144" w:afterLines="60" w:after="144"/>
              <w:rPr>
                <w:rFonts w:ascii="Times New Roman" w:hAnsi="Times New Roman"/>
                <w:sz w:val="24"/>
              </w:rPr>
            </w:pPr>
            <w:r w:rsidRPr="00661595">
              <w:rPr>
                <w:rFonts w:ascii="Times New Roman" w:hAnsi="Times New Roman"/>
                <w:sz w:val="24"/>
              </w:rPr>
              <w:t>0070</w:t>
            </w:r>
          </w:p>
        </w:tc>
        <w:tc>
          <w:tcPr>
            <w:tcW w:w="8187" w:type="dxa"/>
          </w:tcPr>
          <w:p w:rsidR="00595FAD" w:rsidRPr="00661595" w:rsidRDefault="00595FAD" w:rsidP="00FF15C6">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Method for calculating exposure values at consolidated level</w:t>
            </w:r>
          </w:p>
          <w:p w:rsidR="00595FAD" w:rsidRPr="00661595" w:rsidRDefault="00595FAD" w:rsidP="00FF15C6">
            <w:pPr>
              <w:spacing w:beforeLines="60" w:before="144" w:afterLines="60" w:after="144"/>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Article 273a(4) CRR</w:t>
            </w:r>
          </w:p>
          <w:p w:rsidR="00595FAD" w:rsidRPr="00661595" w:rsidRDefault="00595FAD" w:rsidP="00FF15C6">
            <w:pPr>
              <w:spacing w:beforeLines="60" w:before="144" w:afterLines="60" w:after="144"/>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The method for calculating the exposure values of derivative positions on consolidated basis which is also used on solo entity level in accordance with Article 273a(4) CRR:</w:t>
            </w:r>
          </w:p>
          <w:p w:rsidR="00595FAD" w:rsidRPr="00661595" w:rsidRDefault="00595FAD" w:rsidP="00FF15C6">
            <w:pPr>
              <w:spacing w:beforeLines="60" w:before="144" w:afterLines="60" w:after="144"/>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 OEM: Original Exposure Method</w:t>
            </w:r>
          </w:p>
          <w:p w:rsidR="00595FAD" w:rsidRPr="00661595" w:rsidRDefault="00595FAD" w:rsidP="00FF15C6">
            <w:pPr>
              <w:spacing w:beforeLines="60" w:before="144" w:afterLines="60" w:after="144"/>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 xml:space="preserve">- Simplified SA-CCR: Simplified standardised approach for counterparty credit risk </w:t>
            </w:r>
          </w:p>
          <w:p w:rsidR="00595FAD" w:rsidRPr="00661595" w:rsidRDefault="00595FAD" w:rsidP="00FF15C6">
            <w:pPr>
              <w:spacing w:beforeLines="60" w:before="144" w:afterLines="60" w:after="144"/>
              <w:rPr>
                <w:rFonts w:ascii="Times New Roman" w:hAnsi="Times New Roman"/>
                <w:b/>
                <w:sz w:val="24"/>
              </w:rPr>
            </w:pPr>
            <w:r w:rsidRPr="00661595">
              <w:rPr>
                <w:rStyle w:val="InstructionsTabelleberschrift"/>
                <w:rFonts w:ascii="Times New Roman" w:hAnsi="Times New Roman"/>
                <w:b w:val="0"/>
                <w:sz w:val="24"/>
                <w:u w:val="none"/>
              </w:rPr>
              <w:t>This item shall be reported only by those institutions applying the derogation in accordance with Article 273a(4) CRR.</w:t>
            </w:r>
          </w:p>
        </w:tc>
      </w:tr>
    </w:tbl>
    <w:p w:rsidR="00595FAD" w:rsidRPr="00661595" w:rsidRDefault="00595FAD" w:rsidP="002F29AF">
      <w:pPr>
        <w:pStyle w:val="Instructionsberschrift2"/>
        <w:numPr>
          <w:ilvl w:val="2"/>
          <w:numId w:val="48"/>
        </w:numPr>
        <w:rPr>
          <w:rFonts w:ascii="Times New Roman" w:hAnsi="Times New Roman" w:cs="Times New Roman"/>
          <w:sz w:val="24"/>
          <w:lang w:val="en-GB"/>
        </w:rPr>
      </w:pPr>
      <w:bookmarkStart w:id="455" w:name="_Toc19715806"/>
      <w:bookmarkStart w:id="456" w:name="_Toc57831596"/>
      <w:r w:rsidRPr="00661595">
        <w:rPr>
          <w:rFonts w:ascii="Times New Roman" w:hAnsi="Times New Roman" w:cs="Times New Roman"/>
          <w:sz w:val="24"/>
          <w:lang w:val="en-GB"/>
        </w:rPr>
        <w:t>C 34.02 - CCR exposures by approach</w:t>
      </w:r>
      <w:bookmarkEnd w:id="455"/>
      <w:bookmarkEnd w:id="456"/>
      <w:r w:rsidRPr="00661595">
        <w:rPr>
          <w:rFonts w:ascii="Times New Roman" w:hAnsi="Times New Roman" w:cs="Times New Roman"/>
          <w:sz w:val="24"/>
          <w:lang w:val="en-GB"/>
        </w:rPr>
        <w:t xml:space="preserve"> </w:t>
      </w:r>
    </w:p>
    <w:p w:rsidR="00595FAD" w:rsidRPr="00661595" w:rsidRDefault="00595FAD" w:rsidP="002F29AF">
      <w:pPr>
        <w:pStyle w:val="Instructionsberschrift2"/>
        <w:numPr>
          <w:ilvl w:val="3"/>
          <w:numId w:val="48"/>
        </w:numPr>
        <w:rPr>
          <w:rFonts w:ascii="Times New Roman" w:hAnsi="Times New Roman" w:cs="Times New Roman"/>
          <w:sz w:val="24"/>
          <w:lang w:val="en-GB"/>
        </w:rPr>
      </w:pPr>
      <w:bookmarkStart w:id="457" w:name="_Toc19715807"/>
      <w:bookmarkStart w:id="458" w:name="_Toc57831597"/>
      <w:r w:rsidRPr="00661595">
        <w:rPr>
          <w:rFonts w:ascii="Times New Roman" w:hAnsi="Times New Roman" w:cs="Times New Roman"/>
          <w:sz w:val="24"/>
          <w:lang w:val="en-GB"/>
        </w:rPr>
        <w:t>General remarks</w:t>
      </w:r>
      <w:bookmarkEnd w:id="457"/>
      <w:bookmarkEnd w:id="458"/>
    </w:p>
    <w:p w:rsidR="00595FAD" w:rsidRPr="00661595" w:rsidRDefault="00D11E4C" w:rsidP="00487A02">
      <w:pPr>
        <w:pStyle w:val="InstructionsText2"/>
        <w:numPr>
          <w:ilvl w:val="0"/>
          <w:numId w:val="0"/>
        </w:numPr>
        <w:ind w:left="1353" w:hanging="360"/>
      </w:pPr>
      <w:fldSimple w:instr=" seq paragraphs ">
        <w:r w:rsidR="00771068">
          <w:rPr>
            <w:noProof/>
          </w:rPr>
          <w:t>124</w:t>
        </w:r>
      </w:fldSimple>
      <w:r w:rsidR="00595FAD" w:rsidRPr="00661595">
        <w:t>. Institutions shall report the template separately for all CCR exposures and for all CCR exposures excluding exposures to central counterparties (CCPs) as defined for the purpose of template C</w:t>
      </w:r>
      <w:r w:rsidR="00DC0A81">
        <w:t xml:space="preserve"> </w:t>
      </w:r>
      <w:r w:rsidR="00595FAD" w:rsidRPr="00661595">
        <w:t>34.10.</w:t>
      </w:r>
    </w:p>
    <w:p w:rsidR="00595FAD" w:rsidRPr="00661595" w:rsidRDefault="00595FAD" w:rsidP="002F29AF">
      <w:pPr>
        <w:pStyle w:val="Instructionsberschrift2"/>
        <w:numPr>
          <w:ilvl w:val="3"/>
          <w:numId w:val="48"/>
        </w:numPr>
        <w:rPr>
          <w:rFonts w:ascii="Times New Roman" w:hAnsi="Times New Roman" w:cs="Times New Roman"/>
          <w:sz w:val="24"/>
          <w:lang w:val="en-GB"/>
        </w:rPr>
      </w:pPr>
      <w:bookmarkStart w:id="459" w:name="_Toc19715808"/>
      <w:bookmarkStart w:id="460" w:name="_Toc57831598"/>
      <w:r w:rsidRPr="00661595">
        <w:rPr>
          <w:rFonts w:ascii="Times New Roman" w:hAnsi="Times New Roman" w:cs="Times New Roman"/>
          <w:sz w:val="24"/>
          <w:lang w:val="en-GB"/>
        </w:rPr>
        <w:t>Instructions concerning specific positions</w:t>
      </w:r>
      <w:bookmarkEnd w:id="459"/>
      <w:bookmarkEnd w:id="460"/>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655"/>
      </w:tblGrid>
      <w:tr w:rsidR="00595FAD" w:rsidRPr="00661595" w:rsidTr="00751FBE">
        <w:trPr>
          <w:trHeight w:val="616"/>
        </w:trPr>
        <w:tc>
          <w:tcPr>
            <w:tcW w:w="9039" w:type="dxa"/>
            <w:gridSpan w:val="2"/>
            <w:tcBorders>
              <w:right w:val="single" w:sz="4" w:space="0" w:color="auto"/>
            </w:tcBorders>
            <w:shd w:val="clear" w:color="auto" w:fill="D9D9D9" w:themeFill="background1" w:themeFillShade="D9"/>
          </w:tcPr>
          <w:p w:rsidR="00595FAD" w:rsidRPr="00751FBE" w:rsidRDefault="00595FAD" w:rsidP="00751FBE">
            <w:pPr>
              <w:autoSpaceDE w:val="0"/>
              <w:autoSpaceDN w:val="0"/>
              <w:adjustRightInd w:val="0"/>
              <w:rPr>
                <w:rFonts w:ascii="Times New Roman" w:hAnsi="Times New Roman"/>
                <w:b/>
                <w:sz w:val="24"/>
              </w:rPr>
            </w:pPr>
            <w:r w:rsidRPr="00661595">
              <w:rPr>
                <w:rFonts w:ascii="Times New Roman" w:hAnsi="Times New Roman"/>
                <w:b/>
                <w:sz w:val="24"/>
              </w:rPr>
              <w:t>Columns</w:t>
            </w:r>
          </w:p>
        </w:tc>
      </w:tr>
      <w:tr w:rsidR="00595FAD" w:rsidRPr="00661595" w:rsidTr="00FF15C6">
        <w:trPr>
          <w:trHeight w:val="680"/>
        </w:trPr>
        <w:tc>
          <w:tcPr>
            <w:tcW w:w="1384" w:type="dxa"/>
          </w:tcPr>
          <w:p w:rsidR="00595FAD" w:rsidRPr="00661595" w:rsidRDefault="00595FAD" w:rsidP="00FF15C6">
            <w:pPr>
              <w:pStyle w:val="Applicationdirecte"/>
              <w:spacing w:before="0" w:after="0"/>
            </w:pPr>
            <w:r w:rsidRPr="00661595">
              <w:t>0010</w:t>
            </w:r>
          </w:p>
        </w:tc>
        <w:tc>
          <w:tcPr>
            <w:tcW w:w="7655" w:type="dxa"/>
            <w:vAlign w:val="center"/>
          </w:tcPr>
          <w:p w:rsidR="00595FAD" w:rsidRPr="00661595" w:rsidRDefault="00595FAD" w:rsidP="00FF15C6">
            <w:pPr>
              <w:keepNext/>
              <w:spacing w:before="60"/>
              <w:rPr>
                <w:rStyle w:val="InstructionsTabelleberschrift"/>
                <w:rFonts w:ascii="Times New Roman" w:hAnsi="Times New Roman"/>
                <w:sz w:val="24"/>
              </w:rPr>
            </w:pPr>
            <w:r w:rsidRPr="00661595">
              <w:rPr>
                <w:rStyle w:val="InstructionsTabelleberschrift"/>
                <w:rFonts w:ascii="Times New Roman" w:hAnsi="Times New Roman"/>
                <w:sz w:val="24"/>
              </w:rPr>
              <w:t>NUMBER OF COUNTERPARTIES</w:t>
            </w:r>
          </w:p>
          <w:p w:rsidR="00595FAD" w:rsidRPr="00661595" w:rsidRDefault="00595FAD" w:rsidP="00FF15C6">
            <w:pPr>
              <w:autoSpaceDE w:val="0"/>
              <w:autoSpaceDN w:val="0"/>
              <w:adjustRightInd w:val="0"/>
              <w:spacing w:before="60"/>
              <w:rPr>
                <w:rFonts w:ascii="Times New Roman" w:hAnsi="Times New Roman"/>
                <w:i/>
                <w:sz w:val="24"/>
              </w:rPr>
            </w:pPr>
            <w:r w:rsidRPr="00661595">
              <w:rPr>
                <w:rFonts w:ascii="Times New Roman" w:hAnsi="Times New Roman"/>
                <w:sz w:val="24"/>
              </w:rPr>
              <w:t>Number of individual counterparties towards which the institution has CCR exposures.</w:t>
            </w:r>
          </w:p>
        </w:tc>
      </w:tr>
      <w:tr w:rsidR="00595FAD" w:rsidRPr="00661595" w:rsidTr="00FF15C6">
        <w:trPr>
          <w:trHeight w:val="416"/>
        </w:trPr>
        <w:tc>
          <w:tcPr>
            <w:tcW w:w="1384" w:type="dxa"/>
          </w:tcPr>
          <w:p w:rsidR="00595FAD" w:rsidRPr="00661595" w:rsidRDefault="00595FAD" w:rsidP="00FF15C6">
            <w:pPr>
              <w:pStyle w:val="Applicationdirecte"/>
              <w:spacing w:before="0" w:after="0"/>
            </w:pPr>
            <w:r w:rsidRPr="00661595">
              <w:t>0020</w:t>
            </w:r>
          </w:p>
        </w:tc>
        <w:tc>
          <w:tcPr>
            <w:tcW w:w="7655" w:type="dxa"/>
            <w:vAlign w:val="center"/>
          </w:tcPr>
          <w:p w:rsidR="00595FAD" w:rsidRPr="00661595" w:rsidRDefault="00595FAD" w:rsidP="00FF15C6">
            <w:pPr>
              <w:keepNext/>
              <w:spacing w:before="60"/>
              <w:rPr>
                <w:rStyle w:val="InstructionsTabelleberschrift"/>
                <w:rFonts w:ascii="Times New Roman" w:hAnsi="Times New Roman"/>
                <w:sz w:val="24"/>
              </w:rPr>
            </w:pPr>
            <w:r w:rsidRPr="00661595">
              <w:rPr>
                <w:rStyle w:val="InstructionsTabelleberschrift"/>
                <w:rFonts w:ascii="Times New Roman" w:hAnsi="Times New Roman"/>
                <w:sz w:val="24"/>
              </w:rPr>
              <w:t>NUMBER OF TRANSACTIONS</w:t>
            </w:r>
          </w:p>
          <w:p w:rsidR="00595FAD" w:rsidRPr="00661595" w:rsidRDefault="00595FAD" w:rsidP="00FF15C6">
            <w:pPr>
              <w:autoSpaceDE w:val="0"/>
              <w:autoSpaceDN w:val="0"/>
              <w:adjustRightInd w:val="0"/>
              <w:spacing w:before="60"/>
              <w:rPr>
                <w:rFonts w:ascii="Times New Roman" w:hAnsi="Times New Roman"/>
                <w:sz w:val="24"/>
              </w:rPr>
            </w:pPr>
            <w:r w:rsidRPr="00661595">
              <w:rPr>
                <w:rFonts w:ascii="Times New Roman" w:hAnsi="Times New Roman"/>
                <w:sz w:val="24"/>
              </w:rPr>
              <w:t>Number of transactions subject to counterparty credit risk at the reporting date. Note that for CCP business numbers should not comprise in or outflows but the overall positions in the CCR portfolio at the reporting date. Furthermore, a derivative instrument or SFT that is split into two or more legs (at least) for the sake of modelling shall still be considered as one single transaction.</w:t>
            </w:r>
          </w:p>
        </w:tc>
      </w:tr>
      <w:tr w:rsidR="00595FAD" w:rsidRPr="00661595" w:rsidTr="00FF15C6">
        <w:trPr>
          <w:trHeight w:val="680"/>
        </w:trPr>
        <w:tc>
          <w:tcPr>
            <w:tcW w:w="1384" w:type="dxa"/>
          </w:tcPr>
          <w:p w:rsidR="00595FAD" w:rsidRPr="00661595" w:rsidRDefault="00595FAD" w:rsidP="00FF15C6">
            <w:pPr>
              <w:pStyle w:val="Applicationdirecte"/>
              <w:spacing w:before="0" w:after="0"/>
            </w:pPr>
            <w:r w:rsidRPr="00661595">
              <w:t>0030</w:t>
            </w:r>
          </w:p>
        </w:tc>
        <w:tc>
          <w:tcPr>
            <w:tcW w:w="7655" w:type="dxa"/>
            <w:vAlign w:val="center"/>
          </w:tcPr>
          <w:p w:rsidR="00595FAD" w:rsidRPr="00661595" w:rsidRDefault="00595FAD" w:rsidP="00FF15C6">
            <w:pPr>
              <w:keepNext/>
              <w:spacing w:before="60"/>
              <w:rPr>
                <w:rStyle w:val="InstructionsTabelleberschrift"/>
                <w:rFonts w:ascii="Times New Roman" w:hAnsi="Times New Roman"/>
                <w:sz w:val="24"/>
              </w:rPr>
            </w:pPr>
            <w:r w:rsidRPr="00661595">
              <w:rPr>
                <w:rStyle w:val="InstructionsTabelleberschrift"/>
                <w:rFonts w:ascii="Times New Roman" w:hAnsi="Times New Roman"/>
                <w:sz w:val="24"/>
              </w:rPr>
              <w:t>NOTIONAL AMOUNTS</w:t>
            </w:r>
          </w:p>
          <w:p w:rsidR="00595FAD" w:rsidRPr="00661595" w:rsidRDefault="00595FAD" w:rsidP="00FF15C6">
            <w:pPr>
              <w:keepNext/>
              <w:spacing w:before="60"/>
              <w:rPr>
                <w:rFonts w:ascii="Times New Roman" w:hAnsi="Times New Roman"/>
                <w:sz w:val="24"/>
                <w:lang w:eastAsia="en-CA"/>
              </w:rPr>
            </w:pPr>
            <w:r w:rsidRPr="00661595">
              <w:rPr>
                <w:rFonts w:ascii="Times New Roman" w:hAnsi="Times New Roman"/>
                <w:sz w:val="24"/>
              </w:rPr>
              <w:t>Sum of the notional amounts for derivatives and for SFTs before any netting and without any adjustments in accordance with Article 279b CRR.</w:t>
            </w:r>
          </w:p>
        </w:tc>
      </w:tr>
      <w:tr w:rsidR="00595FAD" w:rsidRPr="00661595" w:rsidTr="00FF15C6">
        <w:trPr>
          <w:trHeight w:val="680"/>
        </w:trPr>
        <w:tc>
          <w:tcPr>
            <w:tcW w:w="1384" w:type="dxa"/>
          </w:tcPr>
          <w:p w:rsidR="00595FAD" w:rsidRPr="00661595" w:rsidRDefault="00595FAD" w:rsidP="00FF15C6">
            <w:pPr>
              <w:pStyle w:val="Applicationdirecte"/>
              <w:spacing w:before="0" w:after="0"/>
            </w:pPr>
            <w:r w:rsidRPr="00661595">
              <w:t>0040</w:t>
            </w:r>
          </w:p>
        </w:tc>
        <w:tc>
          <w:tcPr>
            <w:tcW w:w="7655" w:type="dxa"/>
            <w:vAlign w:val="center"/>
          </w:tcPr>
          <w:p w:rsidR="00595FAD" w:rsidRPr="00661595" w:rsidRDefault="00595FAD" w:rsidP="00FF15C6">
            <w:pPr>
              <w:keepNext/>
              <w:spacing w:before="60"/>
              <w:rPr>
                <w:rStyle w:val="InstructionsTabelleberschrift"/>
                <w:rFonts w:ascii="Times New Roman" w:hAnsi="Times New Roman"/>
                <w:sz w:val="24"/>
              </w:rPr>
            </w:pPr>
            <w:r w:rsidRPr="00661595">
              <w:rPr>
                <w:rStyle w:val="InstructionsTabelleberschrift"/>
                <w:rFonts w:ascii="Times New Roman" w:hAnsi="Times New Roman"/>
                <w:sz w:val="24"/>
              </w:rPr>
              <w:t>CURRENT MARKET VALUE (CMV), POSITIVE</w:t>
            </w:r>
          </w:p>
          <w:p w:rsidR="00595FAD" w:rsidRPr="00661595" w:rsidRDefault="00595FAD" w:rsidP="00FF15C6">
            <w:pPr>
              <w:keepNext/>
              <w:spacing w:before="60"/>
              <w:rPr>
                <w:rFonts w:ascii="Times New Roman" w:hAnsi="Times New Roman"/>
                <w:sz w:val="24"/>
                <w:lang w:eastAsia="en-CA"/>
              </w:rPr>
            </w:pPr>
            <w:r w:rsidRPr="00661595">
              <w:rPr>
                <w:rFonts w:ascii="Times New Roman" w:hAnsi="Times New Roman"/>
                <w:sz w:val="24"/>
                <w:lang w:eastAsia="en-CA"/>
              </w:rPr>
              <w:t>Article 272(12) CRR</w:t>
            </w:r>
          </w:p>
          <w:p w:rsidR="00595FAD" w:rsidRPr="00661595" w:rsidRDefault="00595FAD" w:rsidP="00FF15C6">
            <w:pPr>
              <w:keepNext/>
              <w:spacing w:before="60"/>
              <w:rPr>
                <w:rFonts w:ascii="Times New Roman" w:hAnsi="Times New Roman"/>
                <w:sz w:val="24"/>
              </w:rPr>
            </w:pPr>
            <w:r w:rsidRPr="00661595">
              <w:rPr>
                <w:rFonts w:ascii="Times New Roman" w:hAnsi="Times New Roman"/>
                <w:sz w:val="24"/>
              </w:rPr>
              <w:t xml:space="preserve">Sum of the current market values (CMV) of all the netting sets with positive CMV </w:t>
            </w:r>
            <w:r w:rsidRPr="00661595">
              <w:rPr>
                <w:rFonts w:ascii="Times New Roman" w:hAnsi="Times New Roman"/>
                <w:sz w:val="24"/>
                <w:lang w:eastAsia="en-CA"/>
              </w:rPr>
              <w:t xml:space="preserve">as defined in Article 272(12) CRR. </w:t>
            </w:r>
          </w:p>
        </w:tc>
      </w:tr>
      <w:tr w:rsidR="00595FAD" w:rsidRPr="00661595" w:rsidTr="00FF15C6">
        <w:trPr>
          <w:trHeight w:val="680"/>
        </w:trPr>
        <w:tc>
          <w:tcPr>
            <w:tcW w:w="1384" w:type="dxa"/>
          </w:tcPr>
          <w:p w:rsidR="00595FAD" w:rsidRPr="00661595" w:rsidRDefault="00595FAD" w:rsidP="00FF15C6">
            <w:pPr>
              <w:pStyle w:val="Applicationdirecte"/>
              <w:spacing w:before="0" w:after="0"/>
            </w:pPr>
            <w:r w:rsidRPr="00661595">
              <w:t>0050</w:t>
            </w:r>
          </w:p>
        </w:tc>
        <w:tc>
          <w:tcPr>
            <w:tcW w:w="7655" w:type="dxa"/>
            <w:vAlign w:val="center"/>
          </w:tcPr>
          <w:p w:rsidR="00595FAD" w:rsidRPr="00661595" w:rsidRDefault="00595FAD" w:rsidP="00FF15C6">
            <w:pPr>
              <w:keepNext/>
              <w:spacing w:before="60"/>
              <w:rPr>
                <w:rStyle w:val="InstructionsTabelleberschrift"/>
                <w:rFonts w:ascii="Times New Roman" w:hAnsi="Times New Roman"/>
                <w:sz w:val="24"/>
              </w:rPr>
            </w:pPr>
            <w:r w:rsidRPr="00661595">
              <w:rPr>
                <w:rStyle w:val="InstructionsTabelleberschrift"/>
                <w:rFonts w:ascii="Times New Roman" w:hAnsi="Times New Roman"/>
                <w:sz w:val="24"/>
              </w:rPr>
              <w:t>CURRENT MARKET VALUE (CMV), NEGATIVE</w:t>
            </w:r>
          </w:p>
          <w:p w:rsidR="00595FAD" w:rsidRPr="00661595" w:rsidRDefault="00595FAD" w:rsidP="00FF15C6">
            <w:pPr>
              <w:keepNext/>
              <w:spacing w:before="60"/>
              <w:rPr>
                <w:rFonts w:ascii="Times New Roman" w:hAnsi="Times New Roman"/>
                <w:sz w:val="24"/>
                <w:lang w:eastAsia="en-CA"/>
              </w:rPr>
            </w:pPr>
            <w:r w:rsidRPr="00661595">
              <w:rPr>
                <w:rFonts w:ascii="Times New Roman" w:hAnsi="Times New Roman"/>
                <w:sz w:val="24"/>
                <w:lang w:eastAsia="en-CA"/>
              </w:rPr>
              <w:t>Article 272(12) CRR</w:t>
            </w:r>
          </w:p>
          <w:p w:rsidR="00595FAD" w:rsidRPr="00661595" w:rsidRDefault="00595FAD" w:rsidP="00FF15C6">
            <w:pPr>
              <w:keepNext/>
              <w:spacing w:before="60"/>
              <w:rPr>
                <w:rStyle w:val="InstructionsTabelleberschrift"/>
                <w:rFonts w:ascii="Times New Roman" w:hAnsi="Times New Roman"/>
                <w:sz w:val="24"/>
              </w:rPr>
            </w:pPr>
            <w:r w:rsidRPr="00661595">
              <w:rPr>
                <w:rFonts w:ascii="Times New Roman" w:hAnsi="Times New Roman"/>
                <w:sz w:val="24"/>
              </w:rPr>
              <w:t xml:space="preserve">Sum of the absolute current market values (CMV) of all the netting sets with negative CMV </w:t>
            </w:r>
            <w:r w:rsidRPr="00661595">
              <w:rPr>
                <w:rFonts w:ascii="Times New Roman" w:hAnsi="Times New Roman"/>
                <w:sz w:val="24"/>
                <w:lang w:eastAsia="en-CA"/>
              </w:rPr>
              <w:t>as defined in Article 272(12) CRR.</w:t>
            </w:r>
          </w:p>
        </w:tc>
      </w:tr>
      <w:tr w:rsidR="00595FAD" w:rsidRPr="00661595" w:rsidTr="00FF15C6">
        <w:trPr>
          <w:trHeight w:val="680"/>
        </w:trPr>
        <w:tc>
          <w:tcPr>
            <w:tcW w:w="1384" w:type="dxa"/>
          </w:tcPr>
          <w:p w:rsidR="00595FAD" w:rsidRPr="00661595" w:rsidRDefault="00595FAD" w:rsidP="00FF15C6">
            <w:pPr>
              <w:pStyle w:val="Fait"/>
            </w:pPr>
            <w:r w:rsidRPr="00661595">
              <w:t>0060</w:t>
            </w:r>
          </w:p>
        </w:tc>
        <w:tc>
          <w:tcPr>
            <w:tcW w:w="7655" w:type="dxa"/>
            <w:vAlign w:val="center"/>
          </w:tcPr>
          <w:p w:rsidR="00595FAD" w:rsidRPr="00661595" w:rsidRDefault="00595FAD" w:rsidP="00FF15C6">
            <w:pPr>
              <w:keepNext/>
              <w:spacing w:before="60"/>
              <w:rPr>
                <w:rStyle w:val="InstructionsTabelleberschrift"/>
                <w:rFonts w:ascii="Times New Roman" w:hAnsi="Times New Roman"/>
                <w:b w:val="0"/>
                <w:bCs w:val="0"/>
                <w:sz w:val="24"/>
              </w:rPr>
            </w:pPr>
            <w:r w:rsidRPr="00661595">
              <w:rPr>
                <w:rStyle w:val="InstructionsTabelleberschrift"/>
                <w:rFonts w:ascii="Times New Roman" w:hAnsi="Times New Roman"/>
                <w:sz w:val="24"/>
              </w:rPr>
              <w:t>VARIATION MARGIN (VM), RECEIVED</w:t>
            </w:r>
          </w:p>
          <w:p w:rsidR="00595FAD" w:rsidRPr="00661595" w:rsidRDefault="00595FAD" w:rsidP="00FF15C6">
            <w:pPr>
              <w:keepNext/>
              <w:spacing w:before="60"/>
              <w:rPr>
                <w:rFonts w:ascii="Times New Roman" w:hAnsi="Times New Roman"/>
                <w:sz w:val="24"/>
                <w:lang w:eastAsia="en-CA"/>
              </w:rPr>
            </w:pPr>
            <w:r w:rsidRPr="00661595">
              <w:rPr>
                <w:rFonts w:ascii="Times New Roman" w:hAnsi="Times New Roman"/>
                <w:sz w:val="24"/>
                <w:lang w:eastAsia="en-CA"/>
              </w:rPr>
              <w:t>Article 275(2), 275(3)  and 276 CRR</w:t>
            </w:r>
          </w:p>
          <w:p w:rsidR="00595FAD" w:rsidRPr="00661595" w:rsidRDefault="00595FAD" w:rsidP="00FF15C6">
            <w:pPr>
              <w:keepNext/>
              <w:spacing w:before="60"/>
              <w:rPr>
                <w:rFonts w:ascii="Times New Roman" w:hAnsi="Times New Roman"/>
                <w:sz w:val="24"/>
                <w:lang w:eastAsia="en-CA"/>
              </w:rPr>
            </w:pPr>
            <w:r w:rsidRPr="00661595">
              <w:rPr>
                <w:rFonts w:ascii="Times New Roman" w:hAnsi="Times New Roman"/>
                <w:sz w:val="24"/>
              </w:rPr>
              <w:t xml:space="preserve">Sum of the variation margin amounts (VM) of all the margin agreements for which the VM is received, </w:t>
            </w:r>
            <w:r w:rsidRPr="00661595">
              <w:rPr>
                <w:rFonts w:ascii="Times New Roman" w:hAnsi="Times New Roman"/>
                <w:sz w:val="24"/>
                <w:lang w:eastAsia="en-CA"/>
              </w:rPr>
              <w:t>computed in accordance with Article 276</w:t>
            </w:r>
            <w:r w:rsidR="004134E6">
              <w:rPr>
                <w:rFonts w:ascii="Times New Roman" w:hAnsi="Times New Roman"/>
                <w:sz w:val="24"/>
                <w:lang w:eastAsia="en-CA"/>
              </w:rPr>
              <w:t xml:space="preserve"> CRR</w:t>
            </w:r>
            <w:r w:rsidRPr="00661595">
              <w:rPr>
                <w:rFonts w:ascii="Times New Roman" w:hAnsi="Times New Roman"/>
                <w:sz w:val="24"/>
                <w:lang w:eastAsia="en-CA"/>
              </w:rPr>
              <w:t>.</w:t>
            </w:r>
          </w:p>
        </w:tc>
      </w:tr>
      <w:tr w:rsidR="00595FAD" w:rsidRPr="00661595" w:rsidTr="00FF15C6">
        <w:trPr>
          <w:trHeight w:val="680"/>
        </w:trPr>
        <w:tc>
          <w:tcPr>
            <w:tcW w:w="1384" w:type="dxa"/>
          </w:tcPr>
          <w:p w:rsidR="00595FAD" w:rsidRPr="00661595" w:rsidRDefault="00595FAD" w:rsidP="00FF15C6">
            <w:pPr>
              <w:pStyle w:val="Fait"/>
            </w:pPr>
            <w:r w:rsidRPr="00661595">
              <w:t>0070</w:t>
            </w:r>
          </w:p>
        </w:tc>
        <w:tc>
          <w:tcPr>
            <w:tcW w:w="7655" w:type="dxa"/>
            <w:vAlign w:val="center"/>
          </w:tcPr>
          <w:p w:rsidR="00595FAD" w:rsidRPr="00661595" w:rsidRDefault="00595FAD" w:rsidP="00FF15C6">
            <w:pPr>
              <w:keepNext/>
              <w:spacing w:before="60"/>
              <w:rPr>
                <w:rStyle w:val="InstructionsTabelleberschrift"/>
                <w:rFonts w:ascii="Times New Roman" w:hAnsi="Times New Roman"/>
                <w:b w:val="0"/>
                <w:bCs w:val="0"/>
                <w:sz w:val="24"/>
              </w:rPr>
            </w:pPr>
            <w:r w:rsidRPr="00661595">
              <w:rPr>
                <w:rStyle w:val="InstructionsTabelleberschrift"/>
                <w:rFonts w:ascii="Times New Roman" w:hAnsi="Times New Roman"/>
                <w:sz w:val="24"/>
              </w:rPr>
              <w:t>VARIATION MARGIN (VM), POSTED</w:t>
            </w:r>
          </w:p>
          <w:p w:rsidR="00595FAD" w:rsidRPr="00661595" w:rsidRDefault="00595FAD" w:rsidP="00FF15C6">
            <w:pPr>
              <w:keepNext/>
              <w:spacing w:before="60"/>
              <w:rPr>
                <w:rFonts w:ascii="Times New Roman" w:hAnsi="Times New Roman"/>
                <w:sz w:val="24"/>
                <w:lang w:eastAsia="en-CA"/>
              </w:rPr>
            </w:pPr>
            <w:r w:rsidRPr="00661595">
              <w:rPr>
                <w:rFonts w:ascii="Times New Roman" w:hAnsi="Times New Roman"/>
                <w:sz w:val="24"/>
                <w:lang w:eastAsia="en-CA"/>
              </w:rPr>
              <w:t>Article 275(2), 275(3) and 276 CRR</w:t>
            </w:r>
          </w:p>
          <w:p w:rsidR="00595FAD" w:rsidRPr="00661595" w:rsidRDefault="00595FAD" w:rsidP="007063EE">
            <w:pPr>
              <w:keepNext/>
              <w:spacing w:before="60"/>
              <w:rPr>
                <w:rStyle w:val="InstructionsTabelleberschrift"/>
                <w:rFonts w:ascii="Times New Roman" w:hAnsi="Times New Roman"/>
                <w:sz w:val="24"/>
              </w:rPr>
            </w:pPr>
            <w:r w:rsidRPr="00661595">
              <w:rPr>
                <w:rFonts w:ascii="Times New Roman" w:hAnsi="Times New Roman"/>
                <w:sz w:val="24"/>
              </w:rPr>
              <w:t xml:space="preserve">Sum of the variation margin amounts (VM) of all the margin agreements for which the VM is posted, </w:t>
            </w:r>
            <w:r w:rsidRPr="00661595">
              <w:rPr>
                <w:rFonts w:ascii="Times New Roman" w:hAnsi="Times New Roman"/>
                <w:sz w:val="24"/>
                <w:lang w:eastAsia="en-CA"/>
              </w:rPr>
              <w:t>computed in accordance with Article 276 CRR.</w:t>
            </w:r>
          </w:p>
        </w:tc>
      </w:tr>
      <w:tr w:rsidR="00595FAD" w:rsidRPr="00661595" w:rsidTr="00FF15C6">
        <w:trPr>
          <w:trHeight w:val="680"/>
        </w:trPr>
        <w:tc>
          <w:tcPr>
            <w:tcW w:w="1384" w:type="dxa"/>
          </w:tcPr>
          <w:p w:rsidR="00595FAD" w:rsidRPr="00661595" w:rsidRDefault="00595FAD" w:rsidP="00FF15C6">
            <w:pPr>
              <w:pStyle w:val="Applicationdirecte"/>
              <w:spacing w:before="0" w:after="0"/>
            </w:pPr>
            <w:r w:rsidRPr="00661595">
              <w:t>0080</w:t>
            </w:r>
          </w:p>
        </w:tc>
        <w:tc>
          <w:tcPr>
            <w:tcW w:w="7655" w:type="dxa"/>
            <w:vAlign w:val="center"/>
          </w:tcPr>
          <w:p w:rsidR="00595FAD" w:rsidRPr="00661595" w:rsidRDefault="00595FAD" w:rsidP="00FF15C6">
            <w:pPr>
              <w:spacing w:before="60"/>
              <w:rPr>
                <w:rStyle w:val="InstructionsTabelleberschrift"/>
                <w:rFonts w:ascii="Times New Roman" w:hAnsi="Times New Roman"/>
                <w:sz w:val="24"/>
              </w:rPr>
            </w:pPr>
            <w:r w:rsidRPr="00661595">
              <w:rPr>
                <w:rStyle w:val="InstructionsTabelleberschrift"/>
                <w:rFonts w:ascii="Times New Roman" w:hAnsi="Times New Roman"/>
                <w:sz w:val="24"/>
              </w:rPr>
              <w:t xml:space="preserve">NET INDEPENDENT COLLATERAL AMOUNT (NICA), RECEIVED </w:t>
            </w:r>
          </w:p>
          <w:p w:rsidR="00595FAD" w:rsidRPr="00661595" w:rsidRDefault="00595FAD" w:rsidP="00FF15C6">
            <w:pPr>
              <w:keepNext/>
              <w:spacing w:before="60"/>
              <w:rPr>
                <w:rFonts w:ascii="Times New Roman" w:hAnsi="Times New Roman"/>
                <w:sz w:val="24"/>
                <w:lang w:eastAsia="en-CA"/>
              </w:rPr>
            </w:pPr>
            <w:r w:rsidRPr="00661595">
              <w:rPr>
                <w:rFonts w:ascii="Times New Roman" w:hAnsi="Times New Roman"/>
                <w:sz w:val="24"/>
                <w:lang w:eastAsia="en-CA"/>
              </w:rPr>
              <w:t>Article 272(12a), 275(3) and 276 CRR</w:t>
            </w:r>
          </w:p>
          <w:p w:rsidR="00595FAD" w:rsidRPr="00661595" w:rsidRDefault="00595FAD" w:rsidP="00FF15C6">
            <w:pPr>
              <w:keepNext/>
              <w:spacing w:before="60"/>
              <w:rPr>
                <w:rFonts w:ascii="Times New Roman" w:hAnsi="Times New Roman"/>
                <w:sz w:val="24"/>
                <w:lang w:eastAsia="en-CA"/>
              </w:rPr>
            </w:pPr>
            <w:r w:rsidRPr="00661595">
              <w:rPr>
                <w:rFonts w:ascii="Times New Roman" w:hAnsi="Times New Roman"/>
                <w:sz w:val="24"/>
              </w:rPr>
              <w:t xml:space="preserve">Sum of the net independent collateral amounts (NICA) of all the margin agreements for which the NICA is received, </w:t>
            </w:r>
            <w:r w:rsidRPr="00661595">
              <w:rPr>
                <w:rFonts w:ascii="Times New Roman" w:hAnsi="Times New Roman"/>
                <w:sz w:val="24"/>
                <w:lang w:eastAsia="en-CA"/>
              </w:rPr>
              <w:t>computed in accordance with Article 276 CRR.</w:t>
            </w:r>
          </w:p>
        </w:tc>
      </w:tr>
      <w:tr w:rsidR="00595FAD" w:rsidRPr="00661595" w:rsidTr="00FF15C6">
        <w:trPr>
          <w:trHeight w:val="680"/>
        </w:trPr>
        <w:tc>
          <w:tcPr>
            <w:tcW w:w="1384" w:type="dxa"/>
          </w:tcPr>
          <w:p w:rsidR="00595FAD" w:rsidRPr="00661595" w:rsidRDefault="00595FAD" w:rsidP="00FF15C6">
            <w:pPr>
              <w:pStyle w:val="Applicationdirecte"/>
              <w:spacing w:before="0" w:after="0"/>
            </w:pPr>
            <w:r w:rsidRPr="00661595">
              <w:t>0090</w:t>
            </w:r>
          </w:p>
        </w:tc>
        <w:tc>
          <w:tcPr>
            <w:tcW w:w="7655" w:type="dxa"/>
            <w:vAlign w:val="center"/>
          </w:tcPr>
          <w:p w:rsidR="00595FAD" w:rsidRPr="00661595" w:rsidRDefault="00595FAD" w:rsidP="00FF15C6">
            <w:pPr>
              <w:spacing w:before="60"/>
              <w:rPr>
                <w:rStyle w:val="InstructionsTabelleberschrift"/>
                <w:rFonts w:ascii="Times New Roman" w:hAnsi="Times New Roman"/>
                <w:sz w:val="24"/>
              </w:rPr>
            </w:pPr>
            <w:r w:rsidRPr="00661595">
              <w:rPr>
                <w:rStyle w:val="InstructionsTabelleberschrift"/>
                <w:rFonts w:ascii="Times New Roman" w:hAnsi="Times New Roman"/>
                <w:sz w:val="24"/>
              </w:rPr>
              <w:t xml:space="preserve">NET INDEPENDENT COLLATERAL AMOUNT (NICA), POSTED </w:t>
            </w:r>
          </w:p>
          <w:p w:rsidR="00595FAD" w:rsidRPr="00661595" w:rsidRDefault="00595FAD" w:rsidP="00FF15C6">
            <w:pPr>
              <w:keepNext/>
              <w:spacing w:before="60"/>
              <w:rPr>
                <w:rFonts w:ascii="Times New Roman" w:hAnsi="Times New Roman"/>
                <w:sz w:val="24"/>
                <w:lang w:eastAsia="en-CA"/>
              </w:rPr>
            </w:pPr>
            <w:r w:rsidRPr="00661595">
              <w:rPr>
                <w:rFonts w:ascii="Times New Roman" w:hAnsi="Times New Roman"/>
                <w:sz w:val="24"/>
                <w:lang w:eastAsia="en-CA"/>
              </w:rPr>
              <w:t>Article 272(12a), 275(3) and 276 CRR</w:t>
            </w:r>
          </w:p>
          <w:p w:rsidR="00595FAD" w:rsidRPr="00661595" w:rsidRDefault="00595FAD" w:rsidP="00FF15C6">
            <w:pPr>
              <w:spacing w:before="60"/>
              <w:rPr>
                <w:rStyle w:val="InstructionsTabelleberschrift"/>
                <w:rFonts w:ascii="Times New Roman" w:hAnsi="Times New Roman"/>
                <w:sz w:val="24"/>
              </w:rPr>
            </w:pPr>
            <w:r w:rsidRPr="00661595">
              <w:rPr>
                <w:rFonts w:ascii="Times New Roman" w:hAnsi="Times New Roman"/>
                <w:sz w:val="24"/>
              </w:rPr>
              <w:t xml:space="preserve">Sum of the net independent collateral amounts (NICA) of all the margin agreements for which the NICA is posted, </w:t>
            </w:r>
            <w:r w:rsidRPr="00661595">
              <w:rPr>
                <w:rFonts w:ascii="Times New Roman" w:hAnsi="Times New Roman"/>
                <w:sz w:val="24"/>
                <w:lang w:eastAsia="en-CA"/>
              </w:rPr>
              <w:t>computed in accordance with Article 276 CRR.</w:t>
            </w:r>
          </w:p>
        </w:tc>
      </w:tr>
      <w:tr w:rsidR="00595FAD" w:rsidRPr="00661595" w:rsidTr="00FF15C6">
        <w:trPr>
          <w:trHeight w:val="680"/>
        </w:trPr>
        <w:tc>
          <w:tcPr>
            <w:tcW w:w="1384" w:type="dxa"/>
          </w:tcPr>
          <w:p w:rsidR="00595FAD" w:rsidRPr="00661595" w:rsidRDefault="00595FAD" w:rsidP="00FF15C6">
            <w:pPr>
              <w:pStyle w:val="Applicationdirecte"/>
              <w:spacing w:before="0" w:after="0"/>
            </w:pPr>
            <w:r w:rsidRPr="00661595">
              <w:t>0100</w:t>
            </w:r>
          </w:p>
        </w:tc>
        <w:tc>
          <w:tcPr>
            <w:tcW w:w="7655" w:type="dxa"/>
            <w:vAlign w:val="center"/>
          </w:tcPr>
          <w:p w:rsidR="00595FAD" w:rsidRPr="00661595" w:rsidRDefault="00595FAD" w:rsidP="00FF15C6">
            <w:pPr>
              <w:spacing w:before="60"/>
              <w:rPr>
                <w:rStyle w:val="InstructionsTabelleberschrift"/>
                <w:rFonts w:ascii="Times New Roman" w:hAnsi="Times New Roman"/>
                <w:sz w:val="24"/>
              </w:rPr>
            </w:pPr>
            <w:r w:rsidRPr="00661595">
              <w:rPr>
                <w:rStyle w:val="InstructionsTabelleberschrift"/>
                <w:rFonts w:ascii="Times New Roman" w:hAnsi="Times New Roman"/>
                <w:sz w:val="24"/>
              </w:rPr>
              <w:t xml:space="preserve">REPLACEMENT COST (RC) </w:t>
            </w:r>
          </w:p>
          <w:p w:rsidR="00595FAD" w:rsidRPr="00661595" w:rsidRDefault="00595FAD" w:rsidP="00FF15C6">
            <w:pPr>
              <w:spacing w:before="60"/>
              <w:rPr>
                <w:rFonts w:ascii="Times New Roman" w:eastAsia="Calibri" w:hAnsi="Times New Roman"/>
                <w:sz w:val="24"/>
                <w:lang w:eastAsia="en-GB"/>
              </w:rPr>
            </w:pPr>
            <w:r w:rsidRPr="00661595">
              <w:rPr>
                <w:rFonts w:ascii="Times New Roman" w:hAnsi="Times New Roman"/>
                <w:sz w:val="24"/>
                <w:lang w:eastAsia="en-CA"/>
              </w:rPr>
              <w:t>Articles 275, 281 and 282 CRR</w:t>
            </w:r>
          </w:p>
          <w:p w:rsidR="00595FAD" w:rsidRPr="00661595" w:rsidRDefault="00595FAD" w:rsidP="00FF15C6">
            <w:pPr>
              <w:pStyle w:val="TableMainHeading"/>
              <w:spacing w:before="0" w:after="0"/>
              <w:jc w:val="both"/>
              <w:rPr>
                <w:rFonts w:ascii="Times New Roman" w:hAnsi="Times New Roman"/>
                <w:sz w:val="24"/>
                <w:szCs w:val="24"/>
              </w:rPr>
            </w:pPr>
            <w:r w:rsidRPr="00661595">
              <w:rPr>
                <w:rFonts w:ascii="Times New Roman" w:hAnsi="Times New Roman"/>
                <w:sz w:val="24"/>
                <w:szCs w:val="24"/>
                <w:lang w:eastAsia="en-CA"/>
              </w:rPr>
              <w:t xml:space="preserve">The </w:t>
            </w:r>
            <w:r w:rsidRPr="00661595">
              <w:rPr>
                <w:rFonts w:ascii="Times New Roman" w:hAnsi="Times New Roman"/>
                <w:sz w:val="24"/>
                <w:szCs w:val="24"/>
              </w:rPr>
              <w:t xml:space="preserve">replacement cost (RC) per netting set shall be calculated in accordance with: </w:t>
            </w:r>
          </w:p>
          <w:p w:rsidR="00595FAD" w:rsidRPr="00661595" w:rsidRDefault="00595FAD" w:rsidP="00FF15C6">
            <w:pPr>
              <w:spacing w:before="60"/>
              <w:rPr>
                <w:rFonts w:ascii="Times New Roman" w:hAnsi="Times New Roman"/>
                <w:sz w:val="24"/>
              </w:rPr>
            </w:pPr>
            <w:r w:rsidRPr="00661595">
              <w:rPr>
                <w:rFonts w:ascii="Times New Roman" w:hAnsi="Times New Roman"/>
                <w:sz w:val="24"/>
              </w:rPr>
              <w:t xml:space="preserve">- Article 282(3) CRR for the Original Exposure Method, </w:t>
            </w:r>
          </w:p>
          <w:p w:rsidR="00595FAD" w:rsidRPr="00661595" w:rsidRDefault="00595FAD" w:rsidP="00FF15C6">
            <w:pPr>
              <w:spacing w:before="60"/>
              <w:rPr>
                <w:rFonts w:ascii="Times New Roman" w:hAnsi="Times New Roman"/>
                <w:sz w:val="24"/>
              </w:rPr>
            </w:pPr>
            <w:r w:rsidRPr="00661595">
              <w:rPr>
                <w:rFonts w:ascii="Times New Roman" w:hAnsi="Times New Roman"/>
                <w:sz w:val="24"/>
              </w:rPr>
              <w:t>- Article 281 CRR for the Simplified SA-CCR,</w:t>
            </w:r>
          </w:p>
          <w:p w:rsidR="00595FAD" w:rsidRPr="00661595" w:rsidRDefault="00595FAD" w:rsidP="00FF15C6">
            <w:pPr>
              <w:spacing w:before="60"/>
              <w:rPr>
                <w:rFonts w:ascii="Times New Roman" w:hAnsi="Times New Roman"/>
                <w:sz w:val="24"/>
              </w:rPr>
            </w:pPr>
            <w:r w:rsidRPr="00661595">
              <w:rPr>
                <w:rFonts w:ascii="Times New Roman" w:hAnsi="Times New Roman"/>
                <w:sz w:val="24"/>
              </w:rPr>
              <w:t>- Article 275 CRR for the SA-CCR.</w:t>
            </w:r>
          </w:p>
          <w:p w:rsidR="00595FAD" w:rsidRPr="00661595" w:rsidRDefault="00595FAD" w:rsidP="00FF15C6">
            <w:pPr>
              <w:spacing w:before="60"/>
              <w:rPr>
                <w:rFonts w:ascii="Times New Roman" w:hAnsi="Times New Roman"/>
                <w:sz w:val="24"/>
              </w:rPr>
            </w:pPr>
            <w:r w:rsidRPr="00661595">
              <w:rPr>
                <w:rFonts w:ascii="Times New Roman" w:hAnsi="Times New Roman"/>
                <w:sz w:val="24"/>
              </w:rPr>
              <w:t>The institution shall report the sum of the replacement costs of the netting sets in the respective row.</w:t>
            </w:r>
          </w:p>
        </w:tc>
      </w:tr>
      <w:tr w:rsidR="00595FAD" w:rsidRPr="00661595" w:rsidTr="00FF15C6">
        <w:trPr>
          <w:trHeight w:val="680"/>
        </w:trPr>
        <w:tc>
          <w:tcPr>
            <w:tcW w:w="1384" w:type="dxa"/>
          </w:tcPr>
          <w:p w:rsidR="00595FAD" w:rsidRPr="00661595" w:rsidRDefault="00595FAD" w:rsidP="00FF15C6">
            <w:pPr>
              <w:pStyle w:val="Applicationdirecte"/>
              <w:spacing w:before="0" w:after="0"/>
            </w:pPr>
            <w:r w:rsidRPr="00661595">
              <w:t>0110</w:t>
            </w:r>
          </w:p>
        </w:tc>
        <w:tc>
          <w:tcPr>
            <w:tcW w:w="7655" w:type="dxa"/>
            <w:vAlign w:val="center"/>
          </w:tcPr>
          <w:p w:rsidR="00595FAD" w:rsidRPr="00661595" w:rsidRDefault="00595FAD" w:rsidP="00FF15C6">
            <w:pPr>
              <w:spacing w:before="60"/>
              <w:rPr>
                <w:rStyle w:val="InstructionsTabelleberschrift"/>
                <w:rFonts w:ascii="Times New Roman" w:hAnsi="Times New Roman"/>
                <w:sz w:val="24"/>
              </w:rPr>
            </w:pPr>
            <w:r w:rsidRPr="00661595">
              <w:rPr>
                <w:rStyle w:val="InstructionsTabelleberschrift"/>
                <w:rFonts w:ascii="Times New Roman" w:hAnsi="Times New Roman"/>
                <w:sz w:val="24"/>
              </w:rPr>
              <w:t>POTENTIAL FUTURE EXPOSURE (PFE)</w:t>
            </w:r>
          </w:p>
          <w:p w:rsidR="00595FAD" w:rsidRPr="00661595" w:rsidRDefault="00595FAD" w:rsidP="00FF15C6">
            <w:pPr>
              <w:spacing w:before="60"/>
              <w:rPr>
                <w:rFonts w:ascii="Times New Roman" w:eastAsia="Calibri" w:hAnsi="Times New Roman"/>
                <w:sz w:val="24"/>
                <w:lang w:eastAsia="en-GB"/>
              </w:rPr>
            </w:pPr>
            <w:r w:rsidRPr="00661595">
              <w:rPr>
                <w:rFonts w:ascii="Times New Roman" w:hAnsi="Times New Roman"/>
                <w:sz w:val="24"/>
                <w:lang w:eastAsia="en-CA"/>
              </w:rPr>
              <w:t>Articles 278, 281 and 282 CRR</w:t>
            </w:r>
          </w:p>
          <w:p w:rsidR="00595FAD" w:rsidRPr="00661595" w:rsidRDefault="00595FAD" w:rsidP="00FF15C6">
            <w:pPr>
              <w:spacing w:before="60"/>
              <w:rPr>
                <w:rFonts w:ascii="Times New Roman" w:hAnsi="Times New Roman"/>
                <w:sz w:val="24"/>
              </w:rPr>
            </w:pPr>
            <w:r w:rsidRPr="00661595">
              <w:rPr>
                <w:rFonts w:ascii="Times New Roman" w:hAnsi="Times New Roman"/>
                <w:sz w:val="24"/>
                <w:lang w:eastAsia="en-CA"/>
              </w:rPr>
              <w:t xml:space="preserve">The </w:t>
            </w:r>
            <w:r w:rsidRPr="00661595">
              <w:rPr>
                <w:rFonts w:ascii="Times New Roman" w:hAnsi="Times New Roman"/>
                <w:sz w:val="24"/>
              </w:rPr>
              <w:t xml:space="preserve">potential future exposure (PFE) per netting set shall be calculated in accordance with: </w:t>
            </w:r>
          </w:p>
          <w:p w:rsidR="00595FAD" w:rsidRPr="00661595" w:rsidRDefault="00595FAD" w:rsidP="00FF15C6">
            <w:pPr>
              <w:spacing w:before="60"/>
              <w:rPr>
                <w:rFonts w:ascii="Times New Roman" w:hAnsi="Times New Roman"/>
                <w:sz w:val="24"/>
              </w:rPr>
            </w:pPr>
            <w:r w:rsidRPr="00661595">
              <w:rPr>
                <w:rFonts w:ascii="Times New Roman" w:hAnsi="Times New Roman"/>
                <w:sz w:val="24"/>
              </w:rPr>
              <w:t xml:space="preserve">- Article 282(4) CRR for the Original Exposure Method, </w:t>
            </w:r>
          </w:p>
          <w:p w:rsidR="00595FAD" w:rsidRPr="00661595" w:rsidRDefault="00595FAD" w:rsidP="00FF15C6">
            <w:pPr>
              <w:spacing w:before="60"/>
              <w:rPr>
                <w:rFonts w:ascii="Times New Roman" w:hAnsi="Times New Roman"/>
                <w:sz w:val="24"/>
              </w:rPr>
            </w:pPr>
            <w:r w:rsidRPr="00661595">
              <w:rPr>
                <w:rFonts w:ascii="Times New Roman" w:hAnsi="Times New Roman"/>
                <w:sz w:val="24"/>
              </w:rPr>
              <w:t>- Article 281 CRR for the Simplified SA-CCR,</w:t>
            </w:r>
          </w:p>
          <w:p w:rsidR="00595FAD" w:rsidRPr="00661595" w:rsidRDefault="00595FAD" w:rsidP="00FF15C6">
            <w:pPr>
              <w:spacing w:before="60"/>
              <w:rPr>
                <w:rFonts w:ascii="Times New Roman" w:hAnsi="Times New Roman"/>
                <w:sz w:val="24"/>
              </w:rPr>
            </w:pPr>
            <w:r w:rsidRPr="00661595">
              <w:rPr>
                <w:rFonts w:ascii="Times New Roman" w:hAnsi="Times New Roman"/>
                <w:sz w:val="24"/>
              </w:rPr>
              <w:t>- Article 278 CRR for the SA-CCR.</w:t>
            </w:r>
          </w:p>
          <w:p w:rsidR="00595FAD" w:rsidRPr="00661595" w:rsidRDefault="00595FAD" w:rsidP="00FF15C6">
            <w:pPr>
              <w:spacing w:before="60"/>
              <w:rPr>
                <w:rFonts w:ascii="Times New Roman" w:hAnsi="Times New Roman"/>
                <w:i/>
                <w:sz w:val="24"/>
              </w:rPr>
            </w:pPr>
            <w:r w:rsidRPr="00661595">
              <w:rPr>
                <w:rFonts w:ascii="Times New Roman" w:hAnsi="Times New Roman"/>
                <w:sz w:val="24"/>
              </w:rPr>
              <w:t>The institution shall report the sum of all potential future exposures of the netting sets in the respective row.</w:t>
            </w:r>
          </w:p>
        </w:tc>
      </w:tr>
      <w:tr w:rsidR="00595FAD" w:rsidRPr="00661595" w:rsidTr="00FF15C6">
        <w:trPr>
          <w:trHeight w:val="680"/>
        </w:trPr>
        <w:tc>
          <w:tcPr>
            <w:tcW w:w="1384" w:type="dxa"/>
          </w:tcPr>
          <w:p w:rsidR="00595FAD" w:rsidRPr="00661595" w:rsidRDefault="00595FAD" w:rsidP="00FF15C6">
            <w:pPr>
              <w:pStyle w:val="Applicationdirecte"/>
              <w:spacing w:before="0" w:after="0"/>
            </w:pPr>
            <w:r w:rsidRPr="00661595">
              <w:t>0120</w:t>
            </w:r>
          </w:p>
        </w:tc>
        <w:tc>
          <w:tcPr>
            <w:tcW w:w="7655" w:type="dxa"/>
            <w:vAlign w:val="center"/>
          </w:tcPr>
          <w:p w:rsidR="00595FAD" w:rsidRPr="00661595" w:rsidRDefault="00595FAD" w:rsidP="00FF15C6">
            <w:pPr>
              <w:spacing w:before="60"/>
              <w:rPr>
                <w:rStyle w:val="InstructionsTabelleberschrift"/>
                <w:rFonts w:ascii="Times New Roman" w:hAnsi="Times New Roman"/>
                <w:sz w:val="24"/>
              </w:rPr>
            </w:pPr>
            <w:r w:rsidRPr="00661595">
              <w:rPr>
                <w:rStyle w:val="InstructionsTabelleberschrift"/>
                <w:rFonts w:ascii="Times New Roman" w:hAnsi="Times New Roman"/>
                <w:sz w:val="24"/>
              </w:rPr>
              <w:t>CURRENT EXPOSURE</w:t>
            </w:r>
          </w:p>
          <w:p w:rsidR="00595FAD" w:rsidRPr="00661595" w:rsidRDefault="00595FAD" w:rsidP="00FF15C6">
            <w:pPr>
              <w:spacing w:before="60"/>
              <w:rPr>
                <w:rFonts w:ascii="Times New Roman" w:hAnsi="Times New Roman"/>
                <w:sz w:val="24"/>
              </w:rPr>
            </w:pPr>
            <w:r w:rsidRPr="00661595">
              <w:rPr>
                <w:rFonts w:ascii="Times New Roman" w:hAnsi="Times New Roman"/>
                <w:sz w:val="24"/>
                <w:lang w:eastAsia="en-CA"/>
              </w:rPr>
              <w:t>Article 272(17) CRR</w:t>
            </w:r>
            <w:r w:rsidRPr="00661595">
              <w:rPr>
                <w:rFonts w:ascii="Times New Roman" w:hAnsi="Times New Roman"/>
                <w:sz w:val="24"/>
              </w:rPr>
              <w:t xml:space="preserve"> </w:t>
            </w:r>
          </w:p>
          <w:p w:rsidR="00595FAD" w:rsidRPr="00661595" w:rsidRDefault="00595FAD" w:rsidP="00FF15C6">
            <w:pPr>
              <w:spacing w:before="60"/>
              <w:rPr>
                <w:rFonts w:ascii="Times New Roman" w:hAnsi="Times New Roman"/>
                <w:sz w:val="24"/>
                <w:lang w:eastAsia="en-CA"/>
              </w:rPr>
            </w:pPr>
            <w:r w:rsidRPr="00661595">
              <w:rPr>
                <w:rFonts w:ascii="Times New Roman" w:hAnsi="Times New Roman"/>
                <w:sz w:val="24"/>
                <w:lang w:eastAsia="en-CA"/>
              </w:rPr>
              <w:t>The current exposure per netting set shall be the value as defined under Article 272(17) CRR.</w:t>
            </w:r>
          </w:p>
          <w:p w:rsidR="00595FAD" w:rsidRPr="00661595" w:rsidRDefault="00595FAD" w:rsidP="00FF15C6">
            <w:pPr>
              <w:spacing w:before="60"/>
              <w:rPr>
                <w:rFonts w:ascii="Times New Roman" w:hAnsi="Times New Roman"/>
                <w:sz w:val="24"/>
              </w:rPr>
            </w:pPr>
            <w:r w:rsidRPr="00661595">
              <w:rPr>
                <w:rFonts w:ascii="Times New Roman" w:hAnsi="Times New Roman"/>
                <w:sz w:val="24"/>
              </w:rPr>
              <w:t>The institution shall report the sum of all current exposures of the netting sets in the respective row.</w:t>
            </w:r>
          </w:p>
        </w:tc>
      </w:tr>
      <w:tr w:rsidR="00595FAD" w:rsidRPr="00661595" w:rsidTr="00FF15C6">
        <w:trPr>
          <w:trHeight w:val="680"/>
        </w:trPr>
        <w:tc>
          <w:tcPr>
            <w:tcW w:w="1384" w:type="dxa"/>
          </w:tcPr>
          <w:p w:rsidR="00595FAD" w:rsidRPr="00661595" w:rsidRDefault="00595FAD" w:rsidP="00FF15C6">
            <w:pPr>
              <w:pStyle w:val="Applicationdirecte"/>
              <w:spacing w:before="0" w:after="0"/>
            </w:pPr>
            <w:r w:rsidRPr="00661595">
              <w:t>0130</w:t>
            </w:r>
          </w:p>
        </w:tc>
        <w:tc>
          <w:tcPr>
            <w:tcW w:w="7655" w:type="dxa"/>
            <w:vAlign w:val="center"/>
          </w:tcPr>
          <w:p w:rsidR="00595FAD" w:rsidRPr="00661595" w:rsidRDefault="00595FAD" w:rsidP="00FF15C6">
            <w:pPr>
              <w:spacing w:before="60"/>
              <w:rPr>
                <w:rStyle w:val="InstructionsTabelleberschrift"/>
                <w:rFonts w:ascii="Times New Roman" w:hAnsi="Times New Roman"/>
                <w:sz w:val="24"/>
              </w:rPr>
            </w:pPr>
            <w:r w:rsidRPr="00661595">
              <w:rPr>
                <w:rStyle w:val="InstructionsTabelleberschrift"/>
                <w:rFonts w:ascii="Times New Roman" w:hAnsi="Times New Roman"/>
                <w:sz w:val="24"/>
              </w:rPr>
              <w:t>EFFECTIVE EXPECTED POSITIVE EXPOSURE (EEPE)</w:t>
            </w:r>
          </w:p>
          <w:p w:rsidR="00595FAD" w:rsidRPr="00661595" w:rsidRDefault="00595FAD" w:rsidP="00FF15C6">
            <w:pPr>
              <w:spacing w:before="60"/>
              <w:rPr>
                <w:rFonts w:ascii="Times New Roman" w:eastAsia="Calibri" w:hAnsi="Times New Roman"/>
                <w:sz w:val="24"/>
                <w:lang w:eastAsia="en-GB"/>
              </w:rPr>
            </w:pPr>
            <w:r w:rsidRPr="00661595">
              <w:rPr>
                <w:rFonts w:ascii="Times New Roman" w:eastAsia="Calibri" w:hAnsi="Times New Roman"/>
                <w:sz w:val="24"/>
                <w:lang w:eastAsia="en-GB"/>
              </w:rPr>
              <w:t>Articles 272(22) and 284(3) and 284(6) CRR</w:t>
            </w:r>
          </w:p>
          <w:p w:rsidR="00595FAD" w:rsidRPr="00661595" w:rsidRDefault="00595FAD" w:rsidP="00FF15C6">
            <w:pPr>
              <w:pStyle w:val="Default"/>
              <w:spacing w:after="120"/>
              <w:jc w:val="both"/>
              <w:rPr>
                <w:rFonts w:ascii="Times New Roman" w:hAnsi="Times New Roman" w:cs="Times New Roman"/>
                <w:color w:val="auto"/>
              </w:rPr>
            </w:pPr>
            <w:r w:rsidRPr="00661595">
              <w:rPr>
                <w:rFonts w:ascii="Times New Roman" w:hAnsi="Times New Roman" w:cs="Times New Roman"/>
                <w:color w:val="auto"/>
              </w:rPr>
              <w:t xml:space="preserve">The EEPE per netting set is defined </w:t>
            </w:r>
            <w:r w:rsidRPr="00661595">
              <w:rPr>
                <w:rFonts w:ascii="Times New Roman" w:hAnsi="Times New Roman" w:cs="Times New Roman"/>
                <w:color w:val="auto"/>
                <w:lang w:val="en-US"/>
              </w:rPr>
              <w:t>in Article 272(22) CRR and</w:t>
            </w:r>
            <w:r w:rsidRPr="00661595">
              <w:rPr>
                <w:rFonts w:ascii="Times New Roman" w:hAnsi="Times New Roman" w:cs="Times New Roman"/>
                <w:color w:val="auto"/>
              </w:rPr>
              <w:t xml:space="preserve"> shall </w:t>
            </w:r>
            <w:r w:rsidRPr="00661595">
              <w:rPr>
                <w:rFonts w:ascii="Times New Roman" w:hAnsi="Times New Roman" w:cs="Times New Roman"/>
                <w:color w:val="auto"/>
                <w:lang w:val="en-US"/>
              </w:rPr>
              <w:t>be calculated in accordance with Article 284(6) CRR.</w:t>
            </w:r>
          </w:p>
          <w:p w:rsidR="00595FAD" w:rsidRPr="00661595" w:rsidRDefault="00595FAD" w:rsidP="00BC3A29">
            <w:pPr>
              <w:spacing w:before="60"/>
              <w:rPr>
                <w:rFonts w:ascii="Times New Roman" w:eastAsia="Calibri" w:hAnsi="Times New Roman"/>
                <w:sz w:val="24"/>
                <w:lang w:eastAsia="en-GB"/>
              </w:rPr>
            </w:pPr>
            <w:r w:rsidRPr="00661595">
              <w:rPr>
                <w:rFonts w:ascii="Times New Roman" w:hAnsi="Times New Roman"/>
                <w:sz w:val="24"/>
              </w:rPr>
              <w:t>The institution shall report the sum of all EEPEs applied for the determination of own funds requirements in accordance with Article 284(3) CRR, i.e. either the EEPE calculated using current market data, or the EEPE calculated using a stress calibration, whichever leads to a higher own funds requirement.</w:t>
            </w:r>
          </w:p>
        </w:tc>
      </w:tr>
      <w:tr w:rsidR="00595FAD" w:rsidRPr="00661595" w:rsidTr="00FF15C6">
        <w:trPr>
          <w:trHeight w:val="680"/>
        </w:trPr>
        <w:tc>
          <w:tcPr>
            <w:tcW w:w="1384" w:type="dxa"/>
          </w:tcPr>
          <w:p w:rsidR="00595FAD" w:rsidRPr="00661595" w:rsidRDefault="00595FAD" w:rsidP="00FF15C6">
            <w:pPr>
              <w:pStyle w:val="Applicationdirecte"/>
              <w:spacing w:before="0" w:after="0"/>
            </w:pPr>
            <w:r w:rsidRPr="00661595">
              <w:t>0140</w:t>
            </w:r>
          </w:p>
        </w:tc>
        <w:tc>
          <w:tcPr>
            <w:tcW w:w="7655" w:type="dxa"/>
            <w:vAlign w:val="center"/>
          </w:tcPr>
          <w:p w:rsidR="00595FAD" w:rsidRPr="00661595" w:rsidRDefault="00595FAD" w:rsidP="00FF15C6">
            <w:pPr>
              <w:spacing w:before="60"/>
              <w:rPr>
                <w:rStyle w:val="InstructionsTabelleberschrift"/>
                <w:rFonts w:ascii="Times New Roman" w:hAnsi="Times New Roman"/>
                <w:sz w:val="24"/>
              </w:rPr>
            </w:pPr>
            <w:r w:rsidRPr="00661595">
              <w:rPr>
                <w:rStyle w:val="InstructionsTabelleberschrift"/>
                <w:rFonts w:ascii="Times New Roman" w:hAnsi="Times New Roman"/>
                <w:sz w:val="24"/>
              </w:rPr>
              <w:t xml:space="preserve">ALPHA USED FOR COMPUTING REGULATORY EXPOSURE VALUE </w:t>
            </w:r>
          </w:p>
          <w:p w:rsidR="00595FAD" w:rsidRPr="00661595" w:rsidRDefault="00595FAD" w:rsidP="00FF15C6">
            <w:pPr>
              <w:spacing w:before="60"/>
              <w:rPr>
                <w:rFonts w:ascii="Times New Roman" w:hAnsi="Times New Roman"/>
                <w:i/>
                <w:sz w:val="24"/>
              </w:rPr>
            </w:pPr>
            <w:r w:rsidRPr="00661595">
              <w:rPr>
                <w:rFonts w:ascii="Times New Roman" w:hAnsi="Times New Roman"/>
                <w:sz w:val="24"/>
              </w:rPr>
              <w:t>Articles 274(2), 282(2), 281(1), 284(4) and (9) CRR</w:t>
            </w:r>
          </w:p>
          <w:p w:rsidR="00595FAD" w:rsidRPr="00661595" w:rsidRDefault="00595FAD" w:rsidP="00FF15C6">
            <w:pPr>
              <w:spacing w:before="60"/>
              <w:rPr>
                <w:rFonts w:ascii="Times New Roman" w:eastAsia="Calibri" w:hAnsi="Times New Roman"/>
                <w:i/>
                <w:sz w:val="24"/>
                <w:lang w:eastAsia="en-GB"/>
              </w:rPr>
            </w:pPr>
            <w:r w:rsidRPr="00661595">
              <w:rPr>
                <w:rFonts w:ascii="Times New Roman" w:hAnsi="Times New Roman"/>
                <w:sz w:val="24"/>
              </w:rPr>
              <w:t xml:space="preserve">The value of </w:t>
            </w:r>
            <w:r w:rsidRPr="00661595">
              <w:rPr>
                <w:rFonts w:ascii="Times New Roman" w:eastAsia="PMingLiU" w:hAnsi="Times New Roman"/>
                <w:sz w:val="24"/>
              </w:rPr>
              <w:t>α</w:t>
            </w:r>
            <w:r w:rsidRPr="00661595">
              <w:rPr>
                <w:rFonts w:ascii="Times New Roman" w:hAnsi="Times New Roman"/>
                <w:sz w:val="24"/>
              </w:rPr>
              <w:t xml:space="preserve"> is fixed as 1.4 in the rows for OEM, Simplified SA-CCR and SA-CCR in accordance with Articles 282(2), 281(1) and 274(2) CRR.  For IMM purposes, the value of </w:t>
            </w:r>
            <w:r w:rsidRPr="00661595">
              <w:rPr>
                <w:rFonts w:ascii="Times New Roman" w:eastAsia="PMingLiU" w:hAnsi="Times New Roman"/>
                <w:sz w:val="24"/>
              </w:rPr>
              <w:t>α</w:t>
            </w:r>
            <w:r w:rsidRPr="00661595">
              <w:rPr>
                <w:rFonts w:ascii="Times New Roman" w:hAnsi="Times New Roman"/>
                <w:sz w:val="24"/>
              </w:rPr>
              <w:t xml:space="preserve"> can either be the default of 1.4 or different when competent authorities require a higher α in accordance with Article 284(4) CRR or permit institutions to use their own estimates in accordance with Article 284(9) CRR</w:t>
            </w:r>
            <w:r w:rsidRPr="00661595">
              <w:rPr>
                <w:rFonts w:ascii="Times New Roman" w:eastAsia="PMingLiU" w:hAnsi="Times New Roman"/>
                <w:sz w:val="24"/>
              </w:rPr>
              <w:t>.</w:t>
            </w:r>
          </w:p>
        </w:tc>
      </w:tr>
      <w:tr w:rsidR="00595FAD" w:rsidRPr="00661595" w:rsidTr="00FF15C6">
        <w:trPr>
          <w:trHeight w:val="680"/>
        </w:trPr>
        <w:tc>
          <w:tcPr>
            <w:tcW w:w="1384" w:type="dxa"/>
          </w:tcPr>
          <w:p w:rsidR="00595FAD" w:rsidRPr="00661595" w:rsidRDefault="00595FAD" w:rsidP="00FF15C6">
            <w:pPr>
              <w:pStyle w:val="Applicationdirecte"/>
              <w:spacing w:before="0" w:after="0"/>
            </w:pPr>
            <w:r w:rsidRPr="00661595">
              <w:t>0150</w:t>
            </w:r>
          </w:p>
        </w:tc>
        <w:tc>
          <w:tcPr>
            <w:tcW w:w="7655" w:type="dxa"/>
          </w:tcPr>
          <w:p w:rsidR="00595FAD" w:rsidRPr="00661595" w:rsidRDefault="00595FAD" w:rsidP="00FF15C6">
            <w:pPr>
              <w:pStyle w:val="TableMainHeading"/>
              <w:jc w:val="both"/>
              <w:rPr>
                <w:rStyle w:val="InstructionsTabelleberschrift"/>
                <w:rFonts w:ascii="Times New Roman" w:eastAsiaTheme="minorEastAsia" w:hAnsi="Times New Roman"/>
                <w:sz w:val="24"/>
                <w:szCs w:val="24"/>
                <w:lang w:val="en-US"/>
              </w:rPr>
            </w:pPr>
            <w:r w:rsidRPr="00661595">
              <w:rPr>
                <w:rStyle w:val="InstructionsTabelleberschrift"/>
                <w:rFonts w:ascii="Times New Roman" w:eastAsiaTheme="minorEastAsia" w:hAnsi="Times New Roman"/>
                <w:sz w:val="24"/>
                <w:szCs w:val="24"/>
                <w:lang w:val="en-US"/>
              </w:rPr>
              <w:t xml:space="preserve">EXPOSURE VALUE PRE-CRM </w:t>
            </w:r>
          </w:p>
          <w:p w:rsidR="00595FAD" w:rsidRPr="00661595" w:rsidRDefault="00595FAD" w:rsidP="00FF15C6">
            <w:pPr>
              <w:pStyle w:val="TableMainHeading"/>
              <w:spacing w:before="60"/>
              <w:jc w:val="both"/>
              <w:rPr>
                <w:rFonts w:ascii="Times New Roman" w:hAnsi="Times New Roman"/>
                <w:sz w:val="24"/>
                <w:szCs w:val="24"/>
              </w:rPr>
            </w:pPr>
            <w:r w:rsidRPr="00661595">
              <w:rPr>
                <w:rFonts w:ascii="Times New Roman" w:hAnsi="Times New Roman"/>
                <w:sz w:val="24"/>
                <w:szCs w:val="24"/>
              </w:rPr>
              <w:t xml:space="preserve">The exposure value pre-CRM for CCR netting sets shall be calculated in accordance with the methods laid down in Chapters 4 and 6 of Title II of Part Three CRR taking into account the effect of netting, but disregarding any other credit risk mitigation techniques (e.g. margin collateral). </w:t>
            </w:r>
          </w:p>
          <w:p w:rsidR="00595FAD" w:rsidRPr="00661595" w:rsidRDefault="00595FAD" w:rsidP="00FF15C6">
            <w:pPr>
              <w:pStyle w:val="TableMainHeading"/>
              <w:spacing w:before="60"/>
              <w:jc w:val="both"/>
              <w:rPr>
                <w:rFonts w:ascii="Times New Roman" w:hAnsi="Times New Roman"/>
                <w:sz w:val="24"/>
                <w:szCs w:val="24"/>
              </w:rPr>
            </w:pPr>
            <w:r w:rsidRPr="00661595">
              <w:rPr>
                <w:rFonts w:ascii="Times New Roman" w:hAnsi="Times New Roman"/>
                <w:sz w:val="24"/>
                <w:szCs w:val="24"/>
              </w:rPr>
              <w:t xml:space="preserve">In the case of SFTs the security leg shall not be considered in the determination of the exposure value pre-CRM when collateral is received and therefore shall not decrease the exposure value. On the contrary, the SFTs security leg shall be considered in the determination of the exposure value pre-CRM in the regular way when collateral is posted. </w:t>
            </w:r>
          </w:p>
          <w:p w:rsidR="00595FAD" w:rsidRPr="00661595" w:rsidRDefault="00595FAD" w:rsidP="00FF15C6">
            <w:pPr>
              <w:pStyle w:val="TableMainHeading"/>
              <w:spacing w:before="60"/>
              <w:jc w:val="both"/>
              <w:rPr>
                <w:rFonts w:ascii="Times New Roman" w:hAnsi="Times New Roman"/>
                <w:sz w:val="24"/>
                <w:szCs w:val="24"/>
              </w:rPr>
            </w:pPr>
            <w:r w:rsidRPr="00661595">
              <w:rPr>
                <w:rFonts w:ascii="Times New Roman" w:hAnsi="Times New Roman"/>
                <w:sz w:val="24"/>
                <w:szCs w:val="24"/>
              </w:rPr>
              <w:t xml:space="preserve">Furthermore, collateralised business shall be handled as uncollateralised, i.e. no margining effects apply.  </w:t>
            </w:r>
          </w:p>
          <w:p w:rsidR="00595FAD" w:rsidRPr="00661595" w:rsidRDefault="00595FAD" w:rsidP="00FF15C6">
            <w:pPr>
              <w:spacing w:before="60"/>
              <w:rPr>
                <w:rFonts w:ascii="Times New Roman" w:hAnsi="Times New Roman"/>
                <w:sz w:val="24"/>
              </w:rPr>
            </w:pPr>
            <w:r w:rsidRPr="00661595">
              <w:rPr>
                <w:rFonts w:ascii="Times New Roman" w:hAnsi="Times New Roman"/>
                <w:sz w:val="24"/>
              </w:rPr>
              <w:t xml:space="preserve">The exposure value pre-CRM for transactions where specific wrong way risk has been identified must be determined in accordance with Article 291 CRR. </w:t>
            </w:r>
          </w:p>
          <w:p w:rsidR="00595FAD" w:rsidRPr="00661595" w:rsidRDefault="00595FAD" w:rsidP="00FF15C6">
            <w:pPr>
              <w:spacing w:before="60"/>
              <w:rPr>
                <w:rFonts w:ascii="Times New Roman" w:hAnsi="Times New Roman"/>
                <w:sz w:val="24"/>
              </w:rPr>
            </w:pPr>
            <w:r w:rsidRPr="00661595">
              <w:rPr>
                <w:rFonts w:ascii="Times New Roman" w:hAnsi="Times New Roman"/>
                <w:sz w:val="24"/>
              </w:rPr>
              <w:t xml:space="preserve">The exposure value pre-CRM shall not consider the deduction of the incurred CVA loss in accordance with Article 273(6) CRR. </w:t>
            </w:r>
          </w:p>
          <w:p w:rsidR="00595FAD" w:rsidRPr="00661595" w:rsidRDefault="00595FAD" w:rsidP="00FF15C6">
            <w:pPr>
              <w:spacing w:before="60"/>
              <w:rPr>
                <w:rFonts w:ascii="Times New Roman" w:hAnsi="Times New Roman"/>
                <w:i/>
                <w:sz w:val="24"/>
              </w:rPr>
            </w:pPr>
            <w:r w:rsidRPr="00661595">
              <w:rPr>
                <w:rFonts w:ascii="Times New Roman" w:hAnsi="Times New Roman"/>
                <w:sz w:val="24"/>
              </w:rPr>
              <w:t>The institution shall report the sum of all exposure values pre-CRM in the respective row.</w:t>
            </w:r>
          </w:p>
        </w:tc>
      </w:tr>
      <w:tr w:rsidR="00595FAD" w:rsidRPr="00661595" w:rsidTr="00FF15C6">
        <w:trPr>
          <w:trHeight w:val="680"/>
        </w:trPr>
        <w:tc>
          <w:tcPr>
            <w:tcW w:w="1384" w:type="dxa"/>
          </w:tcPr>
          <w:p w:rsidR="00595FAD" w:rsidRPr="00661595" w:rsidRDefault="00595FAD" w:rsidP="00FF15C6">
            <w:pPr>
              <w:pStyle w:val="Applicationdirecte"/>
              <w:spacing w:before="0" w:after="0"/>
            </w:pPr>
            <w:r w:rsidRPr="00661595">
              <w:t>0160</w:t>
            </w:r>
          </w:p>
        </w:tc>
        <w:tc>
          <w:tcPr>
            <w:tcW w:w="7655" w:type="dxa"/>
          </w:tcPr>
          <w:p w:rsidR="00595FAD" w:rsidRPr="00661595" w:rsidRDefault="00595FAD" w:rsidP="00FF15C6">
            <w:pPr>
              <w:pStyle w:val="TableMainHeading"/>
              <w:jc w:val="both"/>
              <w:rPr>
                <w:rStyle w:val="InstructionsTabelleberschrift"/>
                <w:rFonts w:ascii="Times New Roman" w:eastAsiaTheme="minorEastAsia" w:hAnsi="Times New Roman"/>
                <w:sz w:val="24"/>
                <w:szCs w:val="24"/>
                <w:lang w:val="en-US"/>
              </w:rPr>
            </w:pPr>
            <w:r w:rsidRPr="00661595">
              <w:rPr>
                <w:rStyle w:val="InstructionsTabelleberschrift"/>
                <w:rFonts w:ascii="Times New Roman" w:eastAsiaTheme="minorEastAsia" w:hAnsi="Times New Roman"/>
                <w:sz w:val="24"/>
                <w:szCs w:val="24"/>
                <w:lang w:val="en-US"/>
              </w:rPr>
              <w:t xml:space="preserve">EXPOSURE VALUE POST-CRM </w:t>
            </w:r>
          </w:p>
          <w:p w:rsidR="00595FAD" w:rsidRPr="00661595" w:rsidRDefault="00595FAD" w:rsidP="00FF15C6">
            <w:pPr>
              <w:pStyle w:val="TableMainHeading"/>
              <w:spacing w:before="60"/>
              <w:jc w:val="both"/>
              <w:rPr>
                <w:rFonts w:ascii="Times New Roman" w:hAnsi="Times New Roman"/>
                <w:sz w:val="24"/>
                <w:szCs w:val="24"/>
              </w:rPr>
            </w:pPr>
            <w:r w:rsidRPr="00661595">
              <w:rPr>
                <w:rFonts w:ascii="Times New Roman" w:hAnsi="Times New Roman"/>
                <w:sz w:val="24"/>
                <w:szCs w:val="24"/>
              </w:rPr>
              <w:t>The exposure value post-CRM for CCR netting sets shall be calculated in accordance with the methods laid down in Chapters 4 and 6 of Title II of Part Three CRR, having applied CRM techniques as applicable in accordance with Chapters 4 and 6 of Title II of Part Three CRR.</w:t>
            </w:r>
          </w:p>
          <w:p w:rsidR="00595FAD" w:rsidRPr="00661595" w:rsidRDefault="00595FAD" w:rsidP="00FF15C6">
            <w:pPr>
              <w:spacing w:before="60"/>
              <w:rPr>
                <w:rFonts w:ascii="Times New Roman" w:hAnsi="Times New Roman"/>
                <w:sz w:val="24"/>
              </w:rPr>
            </w:pPr>
            <w:r w:rsidRPr="00661595">
              <w:rPr>
                <w:rFonts w:ascii="Times New Roman" w:hAnsi="Times New Roman"/>
                <w:sz w:val="24"/>
              </w:rPr>
              <w:t xml:space="preserve">The exposure value post-CRM for transactions where specific wrong way risk has been identified must be determined in accordance with Article 291 CRR. </w:t>
            </w:r>
          </w:p>
          <w:p w:rsidR="00595FAD" w:rsidRPr="00661595" w:rsidRDefault="00595FAD" w:rsidP="00FF15C6">
            <w:pPr>
              <w:spacing w:before="60"/>
              <w:rPr>
                <w:rFonts w:ascii="Times New Roman" w:hAnsi="Times New Roman"/>
                <w:sz w:val="24"/>
              </w:rPr>
            </w:pPr>
            <w:r w:rsidRPr="00661595">
              <w:rPr>
                <w:rFonts w:ascii="Times New Roman" w:hAnsi="Times New Roman"/>
                <w:sz w:val="24"/>
              </w:rPr>
              <w:t>The exposure value post-CRM shall not consider the deduction of the incurred CVA loss in accordance with Article 273(6) CRR.</w:t>
            </w:r>
          </w:p>
          <w:p w:rsidR="00595FAD" w:rsidRPr="00661595" w:rsidRDefault="00595FAD" w:rsidP="00FF15C6">
            <w:pPr>
              <w:spacing w:before="60"/>
              <w:rPr>
                <w:rFonts w:ascii="Times New Roman" w:hAnsi="Times New Roman"/>
                <w:i/>
                <w:sz w:val="24"/>
              </w:rPr>
            </w:pPr>
            <w:r w:rsidRPr="00661595">
              <w:rPr>
                <w:rFonts w:ascii="Times New Roman" w:hAnsi="Times New Roman"/>
                <w:sz w:val="24"/>
              </w:rPr>
              <w:t>The institution shall report the sum of all exposure values post-CRM in the respective row.</w:t>
            </w:r>
          </w:p>
        </w:tc>
      </w:tr>
      <w:tr w:rsidR="00595FAD" w:rsidRPr="00661595" w:rsidTr="00FF15C6">
        <w:trPr>
          <w:trHeight w:val="680"/>
        </w:trPr>
        <w:tc>
          <w:tcPr>
            <w:tcW w:w="1384" w:type="dxa"/>
          </w:tcPr>
          <w:p w:rsidR="00595FAD" w:rsidRPr="00661595" w:rsidRDefault="00595FAD" w:rsidP="00FF15C6">
            <w:pPr>
              <w:pStyle w:val="Applicationdirecte"/>
              <w:spacing w:before="0" w:after="0"/>
            </w:pPr>
            <w:r w:rsidRPr="00661595">
              <w:t>0170</w:t>
            </w:r>
          </w:p>
        </w:tc>
        <w:tc>
          <w:tcPr>
            <w:tcW w:w="7655" w:type="dxa"/>
            <w:vAlign w:val="center"/>
          </w:tcPr>
          <w:p w:rsidR="00595FAD" w:rsidRPr="00661595" w:rsidRDefault="00595FAD" w:rsidP="00FF15C6">
            <w:pPr>
              <w:pStyle w:val="TableMainHeading"/>
              <w:jc w:val="both"/>
              <w:rPr>
                <w:rStyle w:val="InstructionsTabelleberschrift"/>
                <w:rFonts w:ascii="Times New Roman" w:eastAsiaTheme="minorEastAsia" w:hAnsi="Times New Roman"/>
                <w:sz w:val="24"/>
                <w:szCs w:val="24"/>
                <w:lang w:val="en-US"/>
              </w:rPr>
            </w:pPr>
            <w:r w:rsidRPr="00661595">
              <w:rPr>
                <w:rStyle w:val="InstructionsTabelleberschrift"/>
                <w:rFonts w:ascii="Times New Roman" w:eastAsiaTheme="minorEastAsia" w:hAnsi="Times New Roman"/>
                <w:sz w:val="24"/>
                <w:szCs w:val="24"/>
                <w:lang w:val="en-US"/>
              </w:rPr>
              <w:t>EXPOSURE VALUE</w:t>
            </w:r>
          </w:p>
          <w:p w:rsidR="00595FAD" w:rsidRPr="00661595" w:rsidRDefault="00595FAD" w:rsidP="00FF15C6">
            <w:pPr>
              <w:pStyle w:val="TableMainHeading"/>
              <w:spacing w:before="60"/>
              <w:jc w:val="both"/>
              <w:rPr>
                <w:rFonts w:ascii="Times New Roman" w:hAnsi="Times New Roman"/>
                <w:sz w:val="24"/>
                <w:szCs w:val="24"/>
              </w:rPr>
            </w:pPr>
            <w:r w:rsidRPr="00661595">
              <w:rPr>
                <w:rFonts w:ascii="Times New Roman" w:hAnsi="Times New Roman"/>
                <w:sz w:val="24"/>
                <w:szCs w:val="24"/>
              </w:rPr>
              <w:t>Exposure value for CCR netting sets calculated in accordance with the methods laid down in Chapters 4 and 6 of Title II of Part Three CRR,</w:t>
            </w:r>
            <w:r w:rsidRPr="00661595" w:rsidDel="00675457">
              <w:rPr>
                <w:rFonts w:ascii="Times New Roman" w:hAnsi="Times New Roman"/>
                <w:sz w:val="24"/>
                <w:szCs w:val="24"/>
              </w:rPr>
              <w:t xml:space="preserve"> </w:t>
            </w:r>
            <w:r w:rsidRPr="00661595">
              <w:rPr>
                <w:rFonts w:ascii="Times New Roman" w:hAnsi="Times New Roman"/>
                <w:sz w:val="24"/>
                <w:szCs w:val="24"/>
              </w:rPr>
              <w:t xml:space="preserve">which is the amount relevant for the calculation of risk weighted exposure amounts, i.e. having applied CRM techniques as applicable in accordance with Chapters 4 and 6 of Title II of Part Three CRR and considering the deduction of the incurred CVA loss in accordance with Article 273(6) CRR. </w:t>
            </w:r>
          </w:p>
          <w:p w:rsidR="00595FAD" w:rsidRPr="00661595" w:rsidRDefault="00595FAD" w:rsidP="00FF15C6">
            <w:pPr>
              <w:rPr>
                <w:rFonts w:ascii="Times New Roman" w:hAnsi="Times New Roman"/>
                <w:sz w:val="24"/>
              </w:rPr>
            </w:pPr>
            <w:r w:rsidRPr="00661595">
              <w:rPr>
                <w:rFonts w:ascii="Times New Roman" w:hAnsi="Times New Roman"/>
                <w:sz w:val="24"/>
              </w:rPr>
              <w:t>The exposure value for transactions where specific wrong way risk has been identified must be determined in accordance with Article 291 CRR.</w:t>
            </w:r>
          </w:p>
          <w:p w:rsidR="00595FAD" w:rsidRPr="00661595" w:rsidRDefault="00595FAD" w:rsidP="00FF15C6">
            <w:pPr>
              <w:pStyle w:val="TableMainHeading"/>
              <w:spacing w:before="60"/>
              <w:jc w:val="both"/>
              <w:rPr>
                <w:rFonts w:ascii="Times New Roman" w:hAnsi="Times New Roman"/>
                <w:sz w:val="24"/>
                <w:szCs w:val="24"/>
              </w:rPr>
            </w:pPr>
            <w:r w:rsidRPr="00661595">
              <w:rPr>
                <w:rFonts w:ascii="Times New Roman" w:hAnsi="Times New Roman"/>
                <w:sz w:val="24"/>
                <w:szCs w:val="24"/>
              </w:rPr>
              <w:t>For cases in which more than one CCR approach is used for a single counterparty, the incurred CVA loss, which is deducted at counterparty level, shall be assigned to the exposure value of the different netting sets in each CCR approach reflecting the proportion of the exposure value post-CRM of the respective netting sets to the total exposure value post-CRM of the counterparty.</w:t>
            </w:r>
          </w:p>
          <w:p w:rsidR="00595FAD" w:rsidRPr="00661595" w:rsidRDefault="00595FAD" w:rsidP="00FF15C6">
            <w:r w:rsidRPr="00661595">
              <w:rPr>
                <w:rFonts w:ascii="Times New Roman" w:hAnsi="Times New Roman"/>
                <w:sz w:val="24"/>
              </w:rPr>
              <w:t>The institution shall report the sum of all exposure values in the respective row.</w:t>
            </w:r>
          </w:p>
        </w:tc>
      </w:tr>
      <w:tr w:rsidR="00595FAD" w:rsidRPr="00661595" w:rsidTr="00FF15C6">
        <w:trPr>
          <w:trHeight w:val="680"/>
        </w:trPr>
        <w:tc>
          <w:tcPr>
            <w:tcW w:w="1384" w:type="dxa"/>
          </w:tcPr>
          <w:p w:rsidR="00595FAD" w:rsidRPr="00661595" w:rsidRDefault="00595FAD" w:rsidP="00FF15C6">
            <w:pPr>
              <w:pStyle w:val="Applicationdirecte"/>
              <w:spacing w:before="0" w:after="0"/>
            </w:pPr>
            <w:r w:rsidRPr="00661595">
              <w:t>0180</w:t>
            </w:r>
          </w:p>
        </w:tc>
        <w:tc>
          <w:tcPr>
            <w:tcW w:w="7655" w:type="dxa"/>
          </w:tcPr>
          <w:p w:rsidR="00595FAD" w:rsidRPr="00661595" w:rsidRDefault="00595FAD" w:rsidP="00FF15C6">
            <w:pPr>
              <w:pStyle w:val="TableMainHeading"/>
              <w:jc w:val="both"/>
              <w:rPr>
                <w:rStyle w:val="InstructionsTabelleberschrift"/>
                <w:rFonts w:ascii="Times New Roman" w:eastAsiaTheme="minorEastAsia" w:hAnsi="Times New Roman"/>
                <w:sz w:val="24"/>
                <w:szCs w:val="24"/>
                <w:lang w:val="en-US"/>
              </w:rPr>
            </w:pPr>
            <w:r w:rsidRPr="00661595">
              <w:rPr>
                <w:rStyle w:val="InstructionsTabelleberschrift"/>
                <w:rFonts w:ascii="Times New Roman" w:eastAsiaTheme="minorEastAsia" w:hAnsi="Times New Roman"/>
                <w:sz w:val="24"/>
                <w:szCs w:val="24"/>
                <w:lang w:val="en-US"/>
              </w:rPr>
              <w:t>Positions treated with the CR Standardised Approach</w:t>
            </w:r>
          </w:p>
          <w:p w:rsidR="00595FAD" w:rsidRPr="00661595" w:rsidRDefault="00595FAD" w:rsidP="00FF15C6">
            <w:pPr>
              <w:spacing w:before="60"/>
              <w:rPr>
                <w:rFonts w:ascii="Times New Roman" w:hAnsi="Times New Roman"/>
                <w:i/>
                <w:sz w:val="24"/>
              </w:rPr>
            </w:pPr>
            <w:r w:rsidRPr="00661595">
              <w:rPr>
                <w:rFonts w:ascii="Times New Roman" w:hAnsi="Times New Roman"/>
                <w:sz w:val="24"/>
              </w:rPr>
              <w:t>Exposure value for CCR of positions that are treated with the standardised approach for credit risk in accordance with Chapter 2 of Title II of Part Three CRR.</w:t>
            </w:r>
          </w:p>
        </w:tc>
      </w:tr>
      <w:tr w:rsidR="00595FAD" w:rsidRPr="00661595" w:rsidTr="00FF15C6">
        <w:trPr>
          <w:trHeight w:val="557"/>
        </w:trPr>
        <w:tc>
          <w:tcPr>
            <w:tcW w:w="1384" w:type="dxa"/>
          </w:tcPr>
          <w:p w:rsidR="00595FAD" w:rsidRPr="00661595" w:rsidRDefault="00595FAD" w:rsidP="00FF15C6">
            <w:pPr>
              <w:pStyle w:val="Applicationdirecte"/>
              <w:spacing w:before="0" w:after="0"/>
            </w:pPr>
            <w:r w:rsidRPr="00661595">
              <w:t>0190</w:t>
            </w:r>
          </w:p>
        </w:tc>
        <w:tc>
          <w:tcPr>
            <w:tcW w:w="7655" w:type="dxa"/>
          </w:tcPr>
          <w:p w:rsidR="00595FAD" w:rsidRPr="00661595" w:rsidRDefault="00595FAD" w:rsidP="00FF15C6">
            <w:pPr>
              <w:pStyle w:val="TableMainHeading"/>
              <w:jc w:val="both"/>
              <w:rPr>
                <w:rStyle w:val="InstructionsTabelleberschrift"/>
                <w:rFonts w:ascii="Times New Roman" w:eastAsiaTheme="minorEastAsia" w:hAnsi="Times New Roman"/>
                <w:sz w:val="24"/>
                <w:szCs w:val="24"/>
                <w:lang w:val="en-US"/>
              </w:rPr>
            </w:pPr>
            <w:r w:rsidRPr="00661595">
              <w:rPr>
                <w:rStyle w:val="InstructionsTabelleberschrift"/>
                <w:rFonts w:ascii="Times New Roman" w:eastAsiaTheme="minorEastAsia" w:hAnsi="Times New Roman"/>
                <w:sz w:val="24"/>
                <w:szCs w:val="24"/>
                <w:lang w:val="en-US"/>
              </w:rPr>
              <w:t>Positions treated with the CR IRB Approach</w:t>
            </w:r>
          </w:p>
          <w:p w:rsidR="00595FAD" w:rsidRPr="00661595" w:rsidRDefault="00595FAD" w:rsidP="00FF15C6">
            <w:pPr>
              <w:rPr>
                <w:rFonts w:ascii="Times New Roman" w:hAnsi="Times New Roman"/>
                <w:sz w:val="24"/>
              </w:rPr>
            </w:pPr>
            <w:r w:rsidRPr="00661595">
              <w:rPr>
                <w:rFonts w:ascii="Times New Roman" w:hAnsi="Times New Roman"/>
                <w:sz w:val="24"/>
              </w:rPr>
              <w:t>Exposure value for CCR of positions that are treated with the IRB approach for credit risk in accordance with Chapter 3 of Title II of Part Three CRR.</w:t>
            </w:r>
          </w:p>
        </w:tc>
      </w:tr>
      <w:tr w:rsidR="00595FAD" w:rsidRPr="00661595" w:rsidTr="00FF15C6">
        <w:trPr>
          <w:trHeight w:val="680"/>
        </w:trPr>
        <w:tc>
          <w:tcPr>
            <w:tcW w:w="1384" w:type="dxa"/>
          </w:tcPr>
          <w:p w:rsidR="00595FAD" w:rsidRPr="00661595" w:rsidRDefault="00595FAD" w:rsidP="00FF15C6">
            <w:pPr>
              <w:pStyle w:val="Applicationdirecte"/>
              <w:spacing w:before="0" w:after="0"/>
            </w:pPr>
            <w:r w:rsidRPr="00661595">
              <w:t>0200</w:t>
            </w:r>
          </w:p>
        </w:tc>
        <w:tc>
          <w:tcPr>
            <w:tcW w:w="7655" w:type="dxa"/>
          </w:tcPr>
          <w:p w:rsidR="00595FAD" w:rsidRPr="00661595" w:rsidRDefault="00595FAD" w:rsidP="00FF15C6">
            <w:pPr>
              <w:pStyle w:val="TableMainHeading"/>
              <w:jc w:val="both"/>
              <w:rPr>
                <w:rStyle w:val="InstructionsTabelleberschrift"/>
                <w:rFonts w:ascii="Times New Roman" w:eastAsiaTheme="minorEastAsia" w:hAnsi="Times New Roman"/>
                <w:sz w:val="24"/>
                <w:szCs w:val="24"/>
                <w:lang w:val="en-US"/>
              </w:rPr>
            </w:pPr>
            <w:r w:rsidRPr="00661595">
              <w:rPr>
                <w:rStyle w:val="InstructionsTabelleberschrift"/>
                <w:rFonts w:ascii="Times New Roman" w:eastAsiaTheme="minorEastAsia" w:hAnsi="Times New Roman"/>
                <w:sz w:val="24"/>
                <w:szCs w:val="24"/>
                <w:lang w:val="en-US"/>
              </w:rPr>
              <w:t>RISK WEIGHTED EXPOSURE AMOUNTS</w:t>
            </w:r>
          </w:p>
          <w:p w:rsidR="00595FAD" w:rsidRPr="00661595" w:rsidRDefault="00595FAD" w:rsidP="00FF15C6">
            <w:pPr>
              <w:pStyle w:val="TableMainHeading"/>
              <w:spacing w:before="60"/>
              <w:jc w:val="both"/>
              <w:rPr>
                <w:rFonts w:ascii="Times New Roman" w:hAnsi="Times New Roman"/>
                <w:sz w:val="24"/>
                <w:szCs w:val="24"/>
                <w:lang w:val="en-US"/>
              </w:rPr>
            </w:pPr>
            <w:r w:rsidRPr="00661595">
              <w:rPr>
                <w:rFonts w:ascii="Times New Roman" w:hAnsi="Times New Roman"/>
                <w:sz w:val="24"/>
                <w:szCs w:val="24"/>
              </w:rPr>
              <w:t>Risk weighted exposure amounts for CCR as defined in Article 92(3) and (4) CRR, calculated in accordance with the methods laid down</w:t>
            </w:r>
            <w:r w:rsidRPr="00661595">
              <w:rPr>
                <w:rFonts w:ascii="Times New Roman" w:hAnsi="Times New Roman"/>
                <w:sz w:val="24"/>
                <w:szCs w:val="24"/>
                <w:lang w:val="en-US"/>
              </w:rPr>
              <w:t xml:space="preserve"> in </w:t>
            </w:r>
            <w:r w:rsidRPr="00661595">
              <w:rPr>
                <w:rFonts w:ascii="Times New Roman" w:hAnsi="Times New Roman"/>
                <w:sz w:val="24"/>
                <w:szCs w:val="24"/>
              </w:rPr>
              <w:t xml:space="preserve">Chapters 2 and 3 of Title II of </w:t>
            </w:r>
            <w:r w:rsidRPr="00661595">
              <w:rPr>
                <w:rFonts w:ascii="Times New Roman" w:hAnsi="Times New Roman"/>
                <w:sz w:val="24"/>
                <w:szCs w:val="24"/>
                <w:lang w:val="en-US"/>
              </w:rPr>
              <w:t>Part Three .</w:t>
            </w:r>
          </w:p>
          <w:p w:rsidR="00595FAD" w:rsidRPr="00661595" w:rsidRDefault="00595FAD" w:rsidP="003F19BA">
            <w:pPr>
              <w:rPr>
                <w:rFonts w:ascii="Times New Roman" w:hAnsi="Times New Roman"/>
                <w:sz w:val="24"/>
              </w:rPr>
            </w:pPr>
            <w:r w:rsidRPr="00661595">
              <w:rPr>
                <w:rFonts w:ascii="Times New Roman" w:hAnsi="Times New Roman"/>
                <w:sz w:val="24"/>
              </w:rPr>
              <w:t>The SME</w:t>
            </w:r>
            <w:r w:rsidR="001A217F">
              <w:rPr>
                <w:rFonts w:ascii="Times New Roman" w:hAnsi="Times New Roman"/>
                <w:sz w:val="24"/>
              </w:rPr>
              <w:t xml:space="preserve"> </w:t>
            </w:r>
            <w:r w:rsidR="00927B49">
              <w:rPr>
                <w:rFonts w:ascii="Times New Roman" w:hAnsi="Times New Roman"/>
                <w:sz w:val="24"/>
              </w:rPr>
              <w:t xml:space="preserve">and infrastructure </w:t>
            </w:r>
            <w:r w:rsidRPr="00661595">
              <w:rPr>
                <w:rFonts w:ascii="Times New Roman" w:hAnsi="Times New Roman"/>
                <w:sz w:val="24"/>
              </w:rPr>
              <w:t>supporting factor</w:t>
            </w:r>
            <w:r w:rsidR="00927B49">
              <w:rPr>
                <w:rFonts w:ascii="Times New Roman" w:hAnsi="Times New Roman"/>
                <w:sz w:val="24"/>
              </w:rPr>
              <w:t>s</w:t>
            </w:r>
            <w:r w:rsidRPr="00661595">
              <w:rPr>
                <w:rFonts w:ascii="Times New Roman" w:hAnsi="Times New Roman"/>
                <w:sz w:val="24"/>
              </w:rPr>
              <w:t xml:space="preserve"> </w:t>
            </w:r>
            <w:r w:rsidR="00927B49">
              <w:rPr>
                <w:rFonts w:ascii="Times New Roman" w:hAnsi="Times New Roman"/>
                <w:sz w:val="24"/>
              </w:rPr>
              <w:t>laid down in</w:t>
            </w:r>
            <w:r w:rsidRPr="00661595">
              <w:rPr>
                <w:rFonts w:ascii="Times New Roman" w:hAnsi="Times New Roman"/>
                <w:sz w:val="24"/>
              </w:rPr>
              <w:t xml:space="preserve"> Article 501 and </w:t>
            </w:r>
            <w:r w:rsidR="00927B49">
              <w:rPr>
                <w:rFonts w:ascii="Times New Roman" w:hAnsi="Times New Roman"/>
                <w:sz w:val="24"/>
              </w:rPr>
              <w:t>in</w:t>
            </w:r>
            <w:r w:rsidRPr="00661595">
              <w:rPr>
                <w:rFonts w:ascii="Times New Roman" w:hAnsi="Times New Roman"/>
                <w:sz w:val="24"/>
              </w:rPr>
              <w:t xml:space="preserve"> Article 501a CRR shall be taken into account. </w:t>
            </w:r>
          </w:p>
        </w:tc>
      </w:tr>
      <w:tr w:rsidR="00595FAD" w:rsidRPr="00661595" w:rsidTr="00FF15C6">
        <w:trPr>
          <w:trHeight w:val="680"/>
        </w:trPr>
        <w:tc>
          <w:tcPr>
            <w:tcW w:w="1384" w:type="dxa"/>
            <w:tcBorders>
              <w:top w:val="single" w:sz="4" w:space="0" w:color="auto"/>
              <w:left w:val="single" w:sz="4" w:space="0" w:color="auto"/>
              <w:bottom w:val="single" w:sz="4" w:space="0" w:color="auto"/>
              <w:right w:val="single" w:sz="4" w:space="0" w:color="auto"/>
            </w:tcBorders>
            <w:shd w:val="clear" w:color="auto" w:fill="auto"/>
          </w:tcPr>
          <w:p w:rsidR="00595FAD" w:rsidRPr="00661595" w:rsidRDefault="00595FAD" w:rsidP="00FF15C6">
            <w:pPr>
              <w:pStyle w:val="Applicationdirecte"/>
              <w:spacing w:before="0"/>
              <w:jc w:val="left"/>
            </w:pPr>
            <w:r w:rsidRPr="00661595">
              <w:t>0210</w:t>
            </w:r>
          </w:p>
        </w:tc>
        <w:tc>
          <w:tcPr>
            <w:tcW w:w="7655" w:type="dxa"/>
            <w:tcBorders>
              <w:top w:val="single" w:sz="4" w:space="0" w:color="auto"/>
              <w:left w:val="single" w:sz="4" w:space="0" w:color="auto"/>
              <w:bottom w:val="single" w:sz="4" w:space="0" w:color="auto"/>
              <w:right w:val="single" w:sz="4" w:space="0" w:color="auto"/>
            </w:tcBorders>
            <w:shd w:val="clear" w:color="auto" w:fill="auto"/>
          </w:tcPr>
          <w:p w:rsidR="00595FAD" w:rsidRPr="00661595" w:rsidRDefault="00595FAD" w:rsidP="00FF15C6">
            <w:pPr>
              <w:pStyle w:val="TableMainHeading"/>
              <w:jc w:val="both"/>
              <w:rPr>
                <w:rStyle w:val="InstructionsTabelleberschrift"/>
                <w:rFonts w:ascii="Times New Roman" w:eastAsiaTheme="minorEastAsia" w:hAnsi="Times New Roman"/>
                <w:sz w:val="24"/>
                <w:szCs w:val="24"/>
                <w:lang w:val="en-US"/>
              </w:rPr>
            </w:pPr>
            <w:r w:rsidRPr="00661595">
              <w:rPr>
                <w:rStyle w:val="InstructionsTabelleberschrift"/>
                <w:rFonts w:ascii="Times New Roman" w:eastAsiaTheme="minorEastAsia" w:hAnsi="Times New Roman"/>
                <w:sz w:val="24"/>
                <w:szCs w:val="24"/>
                <w:lang w:val="en-US"/>
              </w:rPr>
              <w:t>Positions treated with the CR Standardised Approach</w:t>
            </w:r>
          </w:p>
          <w:p w:rsidR="00595FAD" w:rsidRPr="00661595" w:rsidRDefault="00595FAD" w:rsidP="00FF15C6">
            <w:pPr>
              <w:spacing w:before="60"/>
              <w:rPr>
                <w:rFonts w:ascii="Times New Roman" w:hAnsi="Times New Roman"/>
                <w:sz w:val="24"/>
              </w:rPr>
            </w:pPr>
            <w:r w:rsidRPr="00661595">
              <w:rPr>
                <w:rFonts w:ascii="Times New Roman" w:hAnsi="Times New Roman"/>
                <w:sz w:val="24"/>
              </w:rPr>
              <w:t xml:space="preserve">Risk weighted exposure amounts for CCR exposures that are treated with the standardised approach for credit risk in accordance with Chapter 2 of Title II of Part Three CRR. </w:t>
            </w:r>
          </w:p>
          <w:p w:rsidR="00595FAD" w:rsidRPr="00661595" w:rsidRDefault="00595FAD" w:rsidP="00FF15C6">
            <w:pPr>
              <w:rPr>
                <w:rFonts w:ascii="Times New Roman" w:hAnsi="Times New Roman"/>
                <w:sz w:val="24"/>
              </w:rPr>
            </w:pPr>
            <w:r w:rsidRPr="00661595">
              <w:rPr>
                <w:rFonts w:ascii="Times New Roman" w:hAnsi="Times New Roman"/>
                <w:sz w:val="24"/>
              </w:rPr>
              <w:t>The amount corresponds to the amount that shall be included in column 0220 of template C</w:t>
            </w:r>
            <w:r w:rsidR="00837612">
              <w:rPr>
                <w:rFonts w:ascii="Times New Roman" w:hAnsi="Times New Roman"/>
                <w:sz w:val="24"/>
              </w:rPr>
              <w:t xml:space="preserve"> </w:t>
            </w:r>
            <w:r w:rsidRPr="00661595">
              <w:rPr>
                <w:rFonts w:ascii="Times New Roman" w:hAnsi="Times New Roman"/>
                <w:sz w:val="24"/>
              </w:rPr>
              <w:t>07.00 for CCR positions.</w:t>
            </w:r>
          </w:p>
        </w:tc>
      </w:tr>
      <w:tr w:rsidR="00595FAD" w:rsidRPr="00661595" w:rsidTr="00FF15C6">
        <w:trPr>
          <w:trHeight w:val="426"/>
        </w:trPr>
        <w:tc>
          <w:tcPr>
            <w:tcW w:w="1384" w:type="dxa"/>
            <w:tcBorders>
              <w:top w:val="single" w:sz="4" w:space="0" w:color="auto"/>
              <w:left w:val="single" w:sz="4" w:space="0" w:color="auto"/>
              <w:bottom w:val="single" w:sz="4" w:space="0" w:color="auto"/>
              <w:right w:val="single" w:sz="4" w:space="0" w:color="auto"/>
            </w:tcBorders>
            <w:shd w:val="clear" w:color="auto" w:fill="auto"/>
          </w:tcPr>
          <w:p w:rsidR="00595FAD" w:rsidRPr="00661595" w:rsidRDefault="00595FAD" w:rsidP="00FF15C6">
            <w:pPr>
              <w:pStyle w:val="Applicationdirecte"/>
              <w:spacing w:before="0"/>
              <w:jc w:val="left"/>
            </w:pPr>
            <w:r w:rsidRPr="00661595">
              <w:t>0220</w:t>
            </w:r>
          </w:p>
        </w:tc>
        <w:tc>
          <w:tcPr>
            <w:tcW w:w="7655" w:type="dxa"/>
            <w:tcBorders>
              <w:top w:val="single" w:sz="4" w:space="0" w:color="auto"/>
              <w:left w:val="single" w:sz="4" w:space="0" w:color="auto"/>
              <w:bottom w:val="single" w:sz="4" w:space="0" w:color="auto"/>
              <w:right w:val="single" w:sz="4" w:space="0" w:color="auto"/>
            </w:tcBorders>
            <w:shd w:val="clear" w:color="auto" w:fill="auto"/>
          </w:tcPr>
          <w:p w:rsidR="00595FAD" w:rsidRPr="00661595" w:rsidRDefault="00595FAD" w:rsidP="00FF15C6">
            <w:pPr>
              <w:pStyle w:val="TableMainHeading"/>
              <w:jc w:val="both"/>
              <w:rPr>
                <w:rStyle w:val="InstructionsTabelleberschrift"/>
                <w:rFonts w:ascii="Times New Roman" w:eastAsiaTheme="minorEastAsia" w:hAnsi="Times New Roman"/>
                <w:sz w:val="24"/>
                <w:szCs w:val="24"/>
                <w:lang w:val="en-US"/>
              </w:rPr>
            </w:pPr>
            <w:r w:rsidRPr="00661595">
              <w:rPr>
                <w:rStyle w:val="InstructionsTabelleberschrift"/>
                <w:rFonts w:ascii="Times New Roman" w:eastAsiaTheme="minorEastAsia" w:hAnsi="Times New Roman"/>
                <w:sz w:val="24"/>
                <w:szCs w:val="24"/>
                <w:lang w:val="en-US"/>
              </w:rPr>
              <w:t>Positions treated with the CR IRB Approach</w:t>
            </w:r>
          </w:p>
          <w:p w:rsidR="00595FAD" w:rsidRPr="00661595" w:rsidRDefault="00595FAD" w:rsidP="00FF15C6">
            <w:pPr>
              <w:pStyle w:val="TableMainHeading"/>
              <w:spacing w:before="60"/>
              <w:jc w:val="both"/>
              <w:rPr>
                <w:rFonts w:ascii="Times New Roman" w:hAnsi="Times New Roman"/>
                <w:sz w:val="24"/>
              </w:rPr>
            </w:pPr>
            <w:r w:rsidRPr="00661595">
              <w:rPr>
                <w:rFonts w:ascii="Times New Roman" w:hAnsi="Times New Roman"/>
                <w:sz w:val="24"/>
                <w:szCs w:val="24"/>
              </w:rPr>
              <w:t>Risk weighted exposure amounts for CCR exposures that are treated with the IRB approach for credit risk</w:t>
            </w:r>
            <w:r w:rsidRPr="00661595">
              <w:rPr>
                <w:rFonts w:ascii="Times New Roman" w:hAnsi="Times New Roman"/>
                <w:sz w:val="24"/>
              </w:rPr>
              <w:t xml:space="preserve"> in accordance with Chapter 3 of Title II of Part Three CRR</w:t>
            </w:r>
            <w:r w:rsidRPr="00661595">
              <w:rPr>
                <w:rFonts w:ascii="Times New Roman" w:hAnsi="Times New Roman"/>
                <w:sz w:val="24"/>
                <w:szCs w:val="24"/>
              </w:rPr>
              <w:t>.</w:t>
            </w:r>
          </w:p>
          <w:p w:rsidR="00595FAD" w:rsidRPr="00661595" w:rsidRDefault="00595FAD" w:rsidP="00FF15C6">
            <w:pPr>
              <w:rPr>
                <w:rFonts w:ascii="Times New Roman" w:hAnsi="Times New Roman"/>
                <w:sz w:val="24"/>
              </w:rPr>
            </w:pPr>
            <w:r w:rsidRPr="00661595">
              <w:rPr>
                <w:rFonts w:ascii="Times New Roman" w:hAnsi="Times New Roman"/>
                <w:sz w:val="24"/>
              </w:rPr>
              <w:t>The amount corresponds to the amount that shall be included in column 0260 of template C</w:t>
            </w:r>
            <w:r w:rsidR="00837612">
              <w:rPr>
                <w:rFonts w:ascii="Times New Roman" w:hAnsi="Times New Roman"/>
                <w:sz w:val="24"/>
              </w:rPr>
              <w:t xml:space="preserve"> </w:t>
            </w:r>
            <w:r w:rsidRPr="00661595">
              <w:rPr>
                <w:rFonts w:ascii="Times New Roman" w:hAnsi="Times New Roman"/>
                <w:sz w:val="24"/>
              </w:rPr>
              <w:t>08.01 for CCR positions.</w:t>
            </w:r>
          </w:p>
        </w:tc>
      </w:tr>
      <w:tr w:rsidR="00595FAD" w:rsidRPr="00661595" w:rsidTr="00FF15C6">
        <w:trPr>
          <w:trHeight w:val="680"/>
        </w:trPr>
        <w:tc>
          <w:tcPr>
            <w:tcW w:w="9039" w:type="dxa"/>
            <w:gridSpan w:val="2"/>
            <w:tcBorders>
              <w:top w:val="single" w:sz="4" w:space="0" w:color="auto"/>
              <w:left w:val="nil"/>
              <w:bottom w:val="single" w:sz="4" w:space="0" w:color="auto"/>
              <w:right w:val="nil"/>
            </w:tcBorders>
            <w:shd w:val="clear" w:color="auto" w:fill="auto"/>
          </w:tcPr>
          <w:p w:rsidR="00595FAD" w:rsidRPr="00661595" w:rsidRDefault="00595FAD" w:rsidP="00FF15C6">
            <w:pPr>
              <w:pStyle w:val="TableMainHeading"/>
              <w:spacing w:before="60"/>
              <w:rPr>
                <w:rFonts w:ascii="Times New Roman" w:hAnsi="Times New Roman"/>
                <w:i/>
                <w:sz w:val="24"/>
                <w:szCs w:val="24"/>
              </w:rPr>
            </w:pPr>
          </w:p>
        </w:tc>
      </w:tr>
      <w:tr w:rsidR="00595FAD" w:rsidRPr="00661595" w:rsidTr="00FF15C6">
        <w:trPr>
          <w:trHeight w:val="680"/>
        </w:trPr>
        <w:tc>
          <w:tcPr>
            <w:tcW w:w="903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95FAD" w:rsidRPr="00661595" w:rsidRDefault="00595FAD" w:rsidP="00FF15C6">
            <w:pPr>
              <w:pStyle w:val="TableMainHeading"/>
              <w:spacing w:before="60"/>
              <w:rPr>
                <w:rFonts w:ascii="Times New Roman" w:hAnsi="Times New Roman"/>
                <w:b/>
                <w:sz w:val="24"/>
                <w:szCs w:val="24"/>
              </w:rPr>
            </w:pPr>
            <w:r w:rsidRPr="00661595">
              <w:rPr>
                <w:rFonts w:ascii="Times New Roman" w:hAnsi="Times New Roman"/>
                <w:b/>
                <w:sz w:val="24"/>
                <w:szCs w:val="24"/>
              </w:rPr>
              <w:t xml:space="preserve">Row </w:t>
            </w:r>
          </w:p>
        </w:tc>
      </w:tr>
      <w:tr w:rsidR="00595FAD" w:rsidRPr="00661595" w:rsidTr="00FF15C6">
        <w:trPr>
          <w:trHeight w:val="680"/>
        </w:trPr>
        <w:tc>
          <w:tcPr>
            <w:tcW w:w="1384" w:type="dxa"/>
          </w:tcPr>
          <w:p w:rsidR="00595FAD" w:rsidRPr="00661595" w:rsidRDefault="00595FAD" w:rsidP="00FF15C6">
            <w:pPr>
              <w:pStyle w:val="Applicationdirecte"/>
              <w:spacing w:before="0" w:after="0"/>
            </w:pPr>
            <w:r w:rsidRPr="00661595">
              <w:t>0010</w:t>
            </w:r>
          </w:p>
        </w:tc>
        <w:tc>
          <w:tcPr>
            <w:tcW w:w="7655" w:type="dxa"/>
          </w:tcPr>
          <w:p w:rsidR="00595FAD" w:rsidRPr="00661595" w:rsidRDefault="00595FAD" w:rsidP="00FF15C6">
            <w:pPr>
              <w:pStyle w:val="TableMainHeading"/>
              <w:rPr>
                <w:rStyle w:val="InstructionsTabelleberschrift"/>
                <w:rFonts w:ascii="Times New Roman" w:eastAsiaTheme="minorEastAsia" w:hAnsi="Times New Roman"/>
                <w:sz w:val="24"/>
                <w:szCs w:val="24"/>
              </w:rPr>
            </w:pPr>
            <w:r w:rsidRPr="00661595">
              <w:rPr>
                <w:rStyle w:val="InstructionsTabelleberschrift"/>
                <w:rFonts w:ascii="Times New Roman" w:eastAsiaTheme="minorEastAsia" w:hAnsi="Times New Roman"/>
                <w:sz w:val="24"/>
                <w:szCs w:val="24"/>
                <w:lang w:val="en-US"/>
              </w:rPr>
              <w:t>ORIGINAL EXPOSURE METHOD (</w:t>
            </w:r>
            <w:r w:rsidRPr="00661595">
              <w:rPr>
                <w:rStyle w:val="InstructionsTabelleberschrift"/>
                <w:rFonts w:ascii="Times New Roman" w:eastAsiaTheme="minorEastAsia" w:hAnsi="Times New Roman"/>
                <w:sz w:val="24"/>
                <w:szCs w:val="24"/>
              </w:rPr>
              <w:t xml:space="preserve">FOR DERIVATIVES) </w:t>
            </w:r>
          </w:p>
          <w:p w:rsidR="00595FAD" w:rsidRPr="00661595" w:rsidRDefault="00595FAD" w:rsidP="00FF15C6">
            <w:pPr>
              <w:pStyle w:val="TableMainHeading"/>
              <w:spacing w:before="60"/>
              <w:rPr>
                <w:rFonts w:ascii="Times New Roman" w:hAnsi="Times New Roman"/>
                <w:i/>
                <w:sz w:val="24"/>
                <w:szCs w:val="24"/>
              </w:rPr>
            </w:pPr>
            <w:r w:rsidRPr="00661595">
              <w:rPr>
                <w:rFonts w:ascii="Times New Roman" w:hAnsi="Times New Roman"/>
                <w:sz w:val="24"/>
                <w:szCs w:val="24"/>
              </w:rPr>
              <w:t>Derivatives and long settlement transactions for which the institution calculates the exposure value in accordance with Section 5 of Chapter 6 of Title II of Part Three CRR. This simplified method for calculating the exposure value can only be used by institutions meeting</w:t>
            </w:r>
            <w:r w:rsidRPr="00661595">
              <w:rPr>
                <w:rFonts w:ascii="Times New Roman" w:hAnsi="Times New Roman"/>
                <w:i/>
                <w:sz w:val="24"/>
                <w:szCs w:val="24"/>
              </w:rPr>
              <w:t xml:space="preserve"> </w:t>
            </w:r>
            <w:r w:rsidRPr="00661595">
              <w:rPr>
                <w:rFonts w:ascii="Times New Roman" w:hAnsi="Times New Roman"/>
                <w:sz w:val="24"/>
                <w:szCs w:val="24"/>
              </w:rPr>
              <w:t>the conditions laid down in Article 273a(2) or 273a(4) CRR</w:t>
            </w:r>
            <w:r w:rsidRPr="00661595">
              <w:rPr>
                <w:rFonts w:ascii="Times New Roman" w:hAnsi="Times New Roman"/>
                <w:sz w:val="24"/>
                <w:szCs w:val="24"/>
                <w:lang w:val="en-US"/>
              </w:rPr>
              <w:t>.</w:t>
            </w:r>
          </w:p>
        </w:tc>
      </w:tr>
      <w:tr w:rsidR="00595FAD" w:rsidRPr="00661595" w:rsidTr="00FF15C6">
        <w:trPr>
          <w:trHeight w:val="680"/>
        </w:trPr>
        <w:tc>
          <w:tcPr>
            <w:tcW w:w="1384" w:type="dxa"/>
            <w:tcBorders>
              <w:top w:val="single" w:sz="4" w:space="0" w:color="auto"/>
              <w:left w:val="single" w:sz="4" w:space="0" w:color="auto"/>
              <w:bottom w:val="single" w:sz="4" w:space="0" w:color="auto"/>
              <w:right w:val="single" w:sz="4" w:space="0" w:color="auto"/>
            </w:tcBorders>
          </w:tcPr>
          <w:p w:rsidR="00595FAD" w:rsidRPr="00661595" w:rsidRDefault="00595FAD" w:rsidP="00FF15C6">
            <w:pPr>
              <w:pStyle w:val="Applicationdirecte"/>
              <w:spacing w:before="0" w:after="0"/>
            </w:pPr>
            <w:r w:rsidRPr="00661595">
              <w:t>0020</w:t>
            </w:r>
          </w:p>
        </w:tc>
        <w:tc>
          <w:tcPr>
            <w:tcW w:w="7655" w:type="dxa"/>
            <w:tcBorders>
              <w:top w:val="single" w:sz="4" w:space="0" w:color="auto"/>
              <w:left w:val="single" w:sz="4" w:space="0" w:color="auto"/>
              <w:bottom w:val="single" w:sz="4" w:space="0" w:color="auto"/>
              <w:right w:val="single" w:sz="4" w:space="0" w:color="auto"/>
            </w:tcBorders>
          </w:tcPr>
          <w:p w:rsidR="00595FAD" w:rsidRPr="00661595" w:rsidRDefault="00595FAD" w:rsidP="00FF15C6">
            <w:pPr>
              <w:pStyle w:val="TableMainHeading"/>
              <w:rPr>
                <w:rStyle w:val="InstructionsTabelleberschrift"/>
                <w:rFonts w:ascii="Times New Roman" w:eastAsiaTheme="minorEastAsia" w:hAnsi="Times New Roman"/>
                <w:sz w:val="24"/>
                <w:szCs w:val="24"/>
                <w:lang w:val="en-US"/>
              </w:rPr>
            </w:pPr>
            <w:r w:rsidRPr="00661595">
              <w:rPr>
                <w:rStyle w:val="InstructionsTabelleberschrift"/>
                <w:rFonts w:ascii="Times New Roman" w:eastAsiaTheme="minorEastAsia" w:hAnsi="Times New Roman"/>
                <w:sz w:val="24"/>
                <w:szCs w:val="24"/>
                <w:lang w:val="en-US"/>
              </w:rPr>
              <w:t>SIMPLIFIED STANDARDISED APPROACH FOR CCR (SIMPLIFIED SA-CCR FOR DERIVATIVES)</w:t>
            </w:r>
          </w:p>
          <w:p w:rsidR="00595FAD" w:rsidRPr="00661595" w:rsidRDefault="00595FAD" w:rsidP="00FF15C6">
            <w:pPr>
              <w:pStyle w:val="TableMainHeading"/>
              <w:spacing w:before="60"/>
              <w:jc w:val="both"/>
              <w:rPr>
                <w:rFonts w:ascii="Times New Roman" w:hAnsi="Times New Roman"/>
                <w:sz w:val="24"/>
                <w:szCs w:val="24"/>
              </w:rPr>
            </w:pPr>
            <w:r w:rsidRPr="00661595">
              <w:rPr>
                <w:rFonts w:ascii="Times New Roman" w:hAnsi="Times New Roman"/>
                <w:sz w:val="24"/>
                <w:szCs w:val="24"/>
              </w:rPr>
              <w:t xml:space="preserve">Derivatives and long settlement transactions for which the institution calculates the exposure value in accordance with Section 4 Chapter 6 of Title II of Part Three CRR. This simplified standardised approach for calculating the exposure value can only be used by institutions meeting the conditions laid down in Article 273a(1) or 273a(4) CRR. </w:t>
            </w:r>
          </w:p>
        </w:tc>
      </w:tr>
      <w:tr w:rsidR="00595FAD" w:rsidRPr="00661595" w:rsidTr="00FF15C6">
        <w:trPr>
          <w:trHeight w:val="680"/>
        </w:trPr>
        <w:tc>
          <w:tcPr>
            <w:tcW w:w="1384" w:type="dxa"/>
            <w:tcBorders>
              <w:top w:val="single" w:sz="4" w:space="0" w:color="auto"/>
              <w:left w:val="single" w:sz="4" w:space="0" w:color="auto"/>
              <w:bottom w:val="single" w:sz="4" w:space="0" w:color="auto"/>
              <w:right w:val="single" w:sz="4" w:space="0" w:color="auto"/>
            </w:tcBorders>
          </w:tcPr>
          <w:p w:rsidR="00595FAD" w:rsidRPr="00661595" w:rsidRDefault="00595FAD" w:rsidP="00FF15C6">
            <w:pPr>
              <w:pStyle w:val="Applicationdirecte"/>
              <w:spacing w:before="0" w:after="0"/>
            </w:pPr>
            <w:r w:rsidRPr="00661595">
              <w:t>0030</w:t>
            </w:r>
          </w:p>
        </w:tc>
        <w:tc>
          <w:tcPr>
            <w:tcW w:w="7655" w:type="dxa"/>
            <w:tcBorders>
              <w:top w:val="single" w:sz="4" w:space="0" w:color="auto"/>
              <w:left w:val="single" w:sz="4" w:space="0" w:color="auto"/>
              <w:bottom w:val="single" w:sz="4" w:space="0" w:color="auto"/>
              <w:right w:val="single" w:sz="4" w:space="0" w:color="auto"/>
            </w:tcBorders>
          </w:tcPr>
          <w:p w:rsidR="00595FAD" w:rsidRPr="00661595" w:rsidRDefault="00595FAD" w:rsidP="00FF15C6">
            <w:pPr>
              <w:pStyle w:val="TableMainHeading"/>
              <w:rPr>
                <w:rStyle w:val="InstructionsTabelleberschrift"/>
                <w:rFonts w:ascii="Times New Roman" w:eastAsiaTheme="minorEastAsia" w:hAnsi="Times New Roman"/>
                <w:sz w:val="24"/>
                <w:szCs w:val="24"/>
                <w:lang w:val="en-US"/>
              </w:rPr>
            </w:pPr>
            <w:r w:rsidRPr="00661595">
              <w:rPr>
                <w:rStyle w:val="InstructionsTabelleberschrift"/>
                <w:rFonts w:ascii="Times New Roman" w:eastAsiaTheme="minorEastAsia" w:hAnsi="Times New Roman"/>
                <w:sz w:val="24"/>
                <w:szCs w:val="24"/>
                <w:lang w:val="en-US"/>
              </w:rPr>
              <w:t>STANDARDISED APPROACH FOR CCR (SA-CCR FOR DERIVATIVES)</w:t>
            </w:r>
          </w:p>
          <w:p w:rsidR="00595FAD" w:rsidRPr="00661595" w:rsidRDefault="00595FAD" w:rsidP="00FF15C6">
            <w:pPr>
              <w:pStyle w:val="TableMainHeading"/>
              <w:spacing w:before="60"/>
              <w:rPr>
                <w:rFonts w:ascii="Times New Roman" w:hAnsi="Times New Roman"/>
                <w:sz w:val="24"/>
                <w:szCs w:val="24"/>
              </w:rPr>
            </w:pPr>
            <w:r w:rsidRPr="00661595">
              <w:rPr>
                <w:rFonts w:ascii="Times New Roman" w:hAnsi="Times New Roman"/>
                <w:sz w:val="24"/>
                <w:szCs w:val="24"/>
              </w:rPr>
              <w:t>Derivatives and long settlement transactions for which the institution calculates the exposure value in accordance with Section 3 Chapter 6 of Title II of Part Three CRR.</w:t>
            </w:r>
          </w:p>
        </w:tc>
      </w:tr>
      <w:tr w:rsidR="00595FAD" w:rsidRPr="00661595" w:rsidTr="00FF15C6">
        <w:trPr>
          <w:trHeight w:val="680"/>
        </w:trPr>
        <w:tc>
          <w:tcPr>
            <w:tcW w:w="1384" w:type="dxa"/>
            <w:tcBorders>
              <w:top w:val="single" w:sz="4" w:space="0" w:color="auto"/>
              <w:left w:val="single" w:sz="4" w:space="0" w:color="auto"/>
              <w:bottom w:val="single" w:sz="4" w:space="0" w:color="auto"/>
              <w:right w:val="single" w:sz="4" w:space="0" w:color="auto"/>
            </w:tcBorders>
          </w:tcPr>
          <w:p w:rsidR="00595FAD" w:rsidRPr="00661595" w:rsidRDefault="00595FAD" w:rsidP="00FF15C6">
            <w:pPr>
              <w:pStyle w:val="Applicationdirecte"/>
              <w:spacing w:before="0" w:after="0"/>
            </w:pPr>
            <w:r w:rsidRPr="00661595">
              <w:t>0040</w:t>
            </w:r>
          </w:p>
        </w:tc>
        <w:tc>
          <w:tcPr>
            <w:tcW w:w="7655" w:type="dxa"/>
            <w:tcBorders>
              <w:top w:val="single" w:sz="4" w:space="0" w:color="auto"/>
              <w:left w:val="single" w:sz="4" w:space="0" w:color="auto"/>
              <w:bottom w:val="single" w:sz="4" w:space="0" w:color="auto"/>
              <w:right w:val="single" w:sz="4" w:space="0" w:color="auto"/>
            </w:tcBorders>
          </w:tcPr>
          <w:p w:rsidR="00595FAD" w:rsidRPr="00661595" w:rsidRDefault="00595FAD" w:rsidP="00FF15C6">
            <w:pPr>
              <w:pStyle w:val="TableMainHeading"/>
              <w:rPr>
                <w:rStyle w:val="InstructionsTabelleberschrift"/>
                <w:rFonts w:ascii="Times New Roman" w:eastAsiaTheme="minorEastAsia" w:hAnsi="Times New Roman"/>
                <w:sz w:val="24"/>
                <w:szCs w:val="24"/>
                <w:lang w:val="en-US"/>
              </w:rPr>
            </w:pPr>
            <w:r w:rsidRPr="00661595">
              <w:rPr>
                <w:rStyle w:val="InstructionsTabelleberschrift"/>
                <w:rFonts w:ascii="Times New Roman" w:eastAsiaTheme="minorEastAsia" w:hAnsi="Times New Roman"/>
                <w:sz w:val="24"/>
                <w:szCs w:val="24"/>
                <w:lang w:val="en-US"/>
              </w:rPr>
              <w:t>IMM (FOR DERIVATIVES AND SFTS)</w:t>
            </w:r>
          </w:p>
          <w:p w:rsidR="00595FAD" w:rsidRPr="00661595" w:rsidRDefault="00595FAD" w:rsidP="00FF15C6">
            <w:pPr>
              <w:pStyle w:val="TableMainHeading"/>
              <w:spacing w:before="60"/>
              <w:rPr>
                <w:rFonts w:ascii="Times New Roman" w:hAnsi="Times New Roman"/>
                <w:sz w:val="24"/>
                <w:szCs w:val="24"/>
              </w:rPr>
            </w:pPr>
            <w:r w:rsidRPr="00661595">
              <w:rPr>
                <w:rFonts w:ascii="Times New Roman" w:hAnsi="Times New Roman"/>
                <w:sz w:val="24"/>
                <w:szCs w:val="24"/>
              </w:rPr>
              <w:t>Derivatives, long settlement transactions and SFTs for which the institution has been permitted to calculate the exposure value using the Internal Model Method (IMM) in accordance with Section 6 of Chapter 6 of Title II of Part Three CRR.</w:t>
            </w:r>
          </w:p>
        </w:tc>
      </w:tr>
      <w:tr w:rsidR="00595FAD" w:rsidRPr="00661595" w:rsidTr="00FF15C6">
        <w:trPr>
          <w:trHeight w:val="680"/>
        </w:trPr>
        <w:tc>
          <w:tcPr>
            <w:tcW w:w="1384" w:type="dxa"/>
            <w:tcBorders>
              <w:top w:val="single" w:sz="4" w:space="0" w:color="auto"/>
              <w:left w:val="single" w:sz="4" w:space="0" w:color="auto"/>
              <w:bottom w:val="single" w:sz="4" w:space="0" w:color="auto"/>
              <w:right w:val="single" w:sz="4" w:space="0" w:color="auto"/>
            </w:tcBorders>
          </w:tcPr>
          <w:p w:rsidR="00595FAD" w:rsidRPr="00661595" w:rsidRDefault="00595FAD" w:rsidP="00FF15C6">
            <w:pPr>
              <w:pStyle w:val="Applicationdirecte"/>
              <w:spacing w:before="0" w:after="0"/>
            </w:pPr>
            <w:r w:rsidRPr="00661595">
              <w:t>0050</w:t>
            </w:r>
          </w:p>
        </w:tc>
        <w:tc>
          <w:tcPr>
            <w:tcW w:w="7655" w:type="dxa"/>
            <w:tcBorders>
              <w:top w:val="single" w:sz="4" w:space="0" w:color="auto"/>
              <w:left w:val="single" w:sz="4" w:space="0" w:color="auto"/>
              <w:bottom w:val="single" w:sz="4" w:space="0" w:color="auto"/>
              <w:right w:val="single" w:sz="4" w:space="0" w:color="auto"/>
            </w:tcBorders>
          </w:tcPr>
          <w:p w:rsidR="00595FAD" w:rsidRPr="00661595" w:rsidRDefault="00595FAD" w:rsidP="00FF15C6">
            <w:pPr>
              <w:pStyle w:val="TableMainHeading"/>
              <w:jc w:val="both"/>
              <w:rPr>
                <w:rStyle w:val="InstructionsTabelleberschrift"/>
                <w:rFonts w:ascii="Times New Roman" w:eastAsiaTheme="minorEastAsia" w:hAnsi="Times New Roman"/>
                <w:sz w:val="24"/>
                <w:szCs w:val="24"/>
                <w:lang w:val="en-US"/>
              </w:rPr>
            </w:pPr>
            <w:r w:rsidRPr="00661595">
              <w:rPr>
                <w:rStyle w:val="InstructionsTabelleberschrift"/>
                <w:rFonts w:ascii="Times New Roman" w:eastAsiaTheme="minorEastAsia" w:hAnsi="Times New Roman"/>
                <w:sz w:val="24"/>
                <w:szCs w:val="24"/>
                <w:lang w:val="en-US"/>
              </w:rPr>
              <w:t>Securities financing transactions netting sets</w:t>
            </w:r>
          </w:p>
          <w:p w:rsidR="00595FAD" w:rsidRPr="00661595" w:rsidRDefault="00595FAD" w:rsidP="00FF15C6">
            <w:pPr>
              <w:pStyle w:val="TableMainHeading"/>
              <w:spacing w:before="60"/>
              <w:jc w:val="both"/>
              <w:rPr>
                <w:rFonts w:ascii="Times New Roman" w:hAnsi="Times New Roman"/>
                <w:sz w:val="24"/>
                <w:szCs w:val="24"/>
              </w:rPr>
            </w:pPr>
            <w:r w:rsidRPr="00661595">
              <w:rPr>
                <w:rFonts w:ascii="Times New Roman" w:hAnsi="Times New Roman"/>
                <w:sz w:val="24"/>
                <w:szCs w:val="24"/>
              </w:rPr>
              <w:t>Netting sets containing only SFTs</w:t>
            </w:r>
            <w:r w:rsidRPr="00661595">
              <w:t xml:space="preserve"> </w:t>
            </w:r>
            <w:r w:rsidRPr="00661595">
              <w:rPr>
                <w:rFonts w:ascii="Times New Roman" w:hAnsi="Times New Roman"/>
                <w:sz w:val="24"/>
                <w:szCs w:val="24"/>
              </w:rPr>
              <w:t>as defined in Article 4(139) CRR, for which the institution has been permitted to determine the exposure value using the IMM.</w:t>
            </w:r>
          </w:p>
          <w:p w:rsidR="00B3602B" w:rsidRPr="00661595" w:rsidRDefault="00B3602B" w:rsidP="00B3602B">
            <w:pPr>
              <w:pStyle w:val="TableMainHeading"/>
              <w:spacing w:before="60"/>
              <w:jc w:val="both"/>
              <w:rPr>
                <w:rFonts w:ascii="Times New Roman" w:hAnsi="Times New Roman"/>
                <w:sz w:val="24"/>
                <w:szCs w:val="24"/>
              </w:rPr>
            </w:pPr>
            <w:r w:rsidRPr="00661595">
              <w:rPr>
                <w:rFonts w:ascii="Times New Roman" w:hAnsi="Times New Roman"/>
                <w:sz w:val="24"/>
                <w:szCs w:val="24"/>
              </w:rPr>
              <w:t>SFTs that are included in a contractual cross product netting set and therefore reported in row 0070</w:t>
            </w:r>
            <w:r w:rsidR="00DD791B" w:rsidRPr="00661595">
              <w:rPr>
                <w:rFonts w:ascii="Times New Roman" w:hAnsi="Times New Roman"/>
                <w:sz w:val="24"/>
                <w:szCs w:val="24"/>
              </w:rPr>
              <w:t>,</w:t>
            </w:r>
            <w:r w:rsidRPr="00661595">
              <w:rPr>
                <w:rFonts w:ascii="Times New Roman" w:hAnsi="Times New Roman"/>
                <w:sz w:val="24"/>
                <w:szCs w:val="24"/>
              </w:rPr>
              <w:t xml:space="preserve"> shall not be reported in this row.</w:t>
            </w:r>
          </w:p>
        </w:tc>
      </w:tr>
      <w:tr w:rsidR="00595FAD" w:rsidRPr="00661595" w:rsidTr="00FF15C6">
        <w:trPr>
          <w:trHeight w:val="680"/>
        </w:trPr>
        <w:tc>
          <w:tcPr>
            <w:tcW w:w="1384" w:type="dxa"/>
            <w:tcBorders>
              <w:top w:val="single" w:sz="4" w:space="0" w:color="auto"/>
              <w:left w:val="single" w:sz="4" w:space="0" w:color="auto"/>
              <w:bottom w:val="single" w:sz="4" w:space="0" w:color="auto"/>
              <w:right w:val="single" w:sz="4" w:space="0" w:color="auto"/>
            </w:tcBorders>
          </w:tcPr>
          <w:p w:rsidR="00595FAD" w:rsidRPr="00661595" w:rsidRDefault="00595FAD" w:rsidP="00FF15C6">
            <w:pPr>
              <w:pStyle w:val="Applicationdirecte"/>
              <w:spacing w:before="0" w:after="0"/>
            </w:pPr>
            <w:r w:rsidRPr="00661595">
              <w:t>0060</w:t>
            </w:r>
          </w:p>
        </w:tc>
        <w:tc>
          <w:tcPr>
            <w:tcW w:w="7655" w:type="dxa"/>
            <w:tcBorders>
              <w:top w:val="single" w:sz="4" w:space="0" w:color="auto"/>
              <w:left w:val="single" w:sz="4" w:space="0" w:color="auto"/>
              <w:bottom w:val="single" w:sz="4" w:space="0" w:color="auto"/>
              <w:right w:val="single" w:sz="4" w:space="0" w:color="auto"/>
            </w:tcBorders>
          </w:tcPr>
          <w:p w:rsidR="00595FAD" w:rsidRPr="00661595" w:rsidRDefault="00595FAD" w:rsidP="00FF15C6">
            <w:pPr>
              <w:pStyle w:val="TableMainHeading"/>
              <w:jc w:val="both"/>
              <w:rPr>
                <w:rStyle w:val="InstructionsTabelleberschrift"/>
                <w:rFonts w:ascii="Times New Roman" w:eastAsiaTheme="minorEastAsia" w:hAnsi="Times New Roman"/>
                <w:sz w:val="24"/>
                <w:szCs w:val="24"/>
                <w:lang w:val="en-US"/>
              </w:rPr>
            </w:pPr>
            <w:r w:rsidRPr="00661595">
              <w:rPr>
                <w:rStyle w:val="InstructionsTabelleberschrift"/>
                <w:rFonts w:ascii="Times New Roman" w:eastAsiaTheme="minorEastAsia" w:hAnsi="Times New Roman"/>
                <w:sz w:val="24"/>
                <w:szCs w:val="24"/>
                <w:lang w:val="en-US"/>
              </w:rPr>
              <w:t>Derivatives and long settlement transactions netting sets</w:t>
            </w:r>
          </w:p>
          <w:p w:rsidR="00595FAD" w:rsidRPr="00661595" w:rsidRDefault="00595FAD" w:rsidP="00FF15C6">
            <w:pPr>
              <w:pStyle w:val="TableMainHeading"/>
              <w:spacing w:before="60"/>
              <w:jc w:val="both"/>
              <w:rPr>
                <w:rFonts w:ascii="Times New Roman" w:hAnsi="Times New Roman"/>
                <w:sz w:val="24"/>
                <w:szCs w:val="24"/>
              </w:rPr>
            </w:pPr>
            <w:r w:rsidRPr="00661595">
              <w:rPr>
                <w:rFonts w:ascii="Times New Roman" w:hAnsi="Times New Roman"/>
                <w:sz w:val="24"/>
                <w:szCs w:val="24"/>
              </w:rPr>
              <w:t>Netting sets containing only derivative instruments listed in Annex II CRR and long settlement transactions</w:t>
            </w:r>
            <w:r w:rsidRPr="00661595">
              <w:t xml:space="preserve"> </w:t>
            </w:r>
            <w:r w:rsidRPr="00661595">
              <w:rPr>
                <w:rFonts w:ascii="Times New Roman" w:hAnsi="Times New Roman"/>
                <w:sz w:val="24"/>
                <w:szCs w:val="24"/>
              </w:rPr>
              <w:t>as defined in Article 272(2) CRR, for which the institution has been permitted to determine the exposure value using the IMM.</w:t>
            </w:r>
          </w:p>
          <w:p w:rsidR="00B3602B" w:rsidRPr="00661595" w:rsidRDefault="00B3602B" w:rsidP="00B3602B">
            <w:pPr>
              <w:pStyle w:val="TableMainHeading"/>
              <w:spacing w:before="60"/>
              <w:jc w:val="both"/>
              <w:rPr>
                <w:rFonts w:ascii="Times New Roman" w:hAnsi="Times New Roman"/>
                <w:sz w:val="24"/>
                <w:szCs w:val="24"/>
              </w:rPr>
            </w:pPr>
            <w:r w:rsidRPr="00661595">
              <w:rPr>
                <w:rFonts w:ascii="Times New Roman" w:hAnsi="Times New Roman"/>
                <w:sz w:val="24"/>
                <w:szCs w:val="24"/>
              </w:rPr>
              <w:t>Derivatives and Long Settlement Transactions that are included in a contractual Cross Product Netting set and therefore reported in row 0070, shall not be reported in this row.</w:t>
            </w:r>
          </w:p>
        </w:tc>
      </w:tr>
      <w:tr w:rsidR="00595FAD" w:rsidRPr="00661595" w:rsidTr="00FF15C6">
        <w:trPr>
          <w:trHeight w:val="680"/>
        </w:trPr>
        <w:tc>
          <w:tcPr>
            <w:tcW w:w="1384" w:type="dxa"/>
            <w:tcBorders>
              <w:top w:val="single" w:sz="4" w:space="0" w:color="auto"/>
              <w:left w:val="single" w:sz="4" w:space="0" w:color="auto"/>
              <w:bottom w:val="single" w:sz="4" w:space="0" w:color="auto"/>
              <w:right w:val="single" w:sz="4" w:space="0" w:color="auto"/>
            </w:tcBorders>
          </w:tcPr>
          <w:p w:rsidR="00595FAD" w:rsidRPr="00661595" w:rsidRDefault="00595FAD" w:rsidP="00FF15C6">
            <w:pPr>
              <w:pStyle w:val="Applicationdirecte"/>
              <w:spacing w:before="0" w:after="0"/>
            </w:pPr>
            <w:r w:rsidRPr="00661595">
              <w:t>0070</w:t>
            </w:r>
          </w:p>
        </w:tc>
        <w:tc>
          <w:tcPr>
            <w:tcW w:w="7655" w:type="dxa"/>
            <w:tcBorders>
              <w:top w:val="single" w:sz="4" w:space="0" w:color="auto"/>
              <w:left w:val="single" w:sz="4" w:space="0" w:color="auto"/>
              <w:bottom w:val="single" w:sz="4" w:space="0" w:color="auto"/>
              <w:right w:val="single" w:sz="4" w:space="0" w:color="auto"/>
            </w:tcBorders>
          </w:tcPr>
          <w:p w:rsidR="00595FAD" w:rsidRPr="00661595" w:rsidRDefault="00595FAD" w:rsidP="00FF15C6">
            <w:pPr>
              <w:pStyle w:val="TableMainHeading"/>
              <w:jc w:val="both"/>
              <w:rPr>
                <w:rStyle w:val="InstructionsTabelleberschrift"/>
                <w:rFonts w:ascii="Times New Roman" w:eastAsiaTheme="minorEastAsia" w:hAnsi="Times New Roman"/>
                <w:sz w:val="24"/>
                <w:szCs w:val="24"/>
                <w:lang w:val="en-US"/>
              </w:rPr>
            </w:pPr>
            <w:r w:rsidRPr="00661595">
              <w:rPr>
                <w:rStyle w:val="InstructionsTabelleberschrift"/>
                <w:rFonts w:ascii="Times New Roman" w:eastAsiaTheme="minorEastAsia" w:hAnsi="Times New Roman"/>
                <w:sz w:val="24"/>
                <w:szCs w:val="24"/>
                <w:lang w:val="en-US"/>
              </w:rPr>
              <w:t>From contractual cross-product netting sets</w:t>
            </w:r>
          </w:p>
          <w:p w:rsidR="00595FAD" w:rsidRPr="00661595" w:rsidRDefault="00595FAD" w:rsidP="00FF15C6">
            <w:pPr>
              <w:rPr>
                <w:rFonts w:ascii="Times New Roman" w:hAnsi="Times New Roman"/>
                <w:sz w:val="24"/>
              </w:rPr>
            </w:pPr>
            <w:r w:rsidRPr="00661595">
              <w:rPr>
                <w:rFonts w:ascii="Times New Roman" w:hAnsi="Times New Roman"/>
                <w:sz w:val="24"/>
              </w:rPr>
              <w:t>Article 272(11) and (25) CRR</w:t>
            </w:r>
          </w:p>
          <w:p w:rsidR="00595FAD" w:rsidRPr="00661595" w:rsidRDefault="00595FAD" w:rsidP="00FF15C6">
            <w:pPr>
              <w:pStyle w:val="TableMainHeading"/>
              <w:spacing w:before="60"/>
              <w:jc w:val="both"/>
              <w:rPr>
                <w:rFonts w:ascii="Times New Roman" w:hAnsi="Times New Roman"/>
                <w:sz w:val="24"/>
                <w:szCs w:val="24"/>
              </w:rPr>
            </w:pPr>
            <w:r w:rsidRPr="00661595">
              <w:rPr>
                <w:rFonts w:ascii="Times New Roman" w:hAnsi="Times New Roman"/>
                <w:sz w:val="24"/>
                <w:szCs w:val="24"/>
              </w:rPr>
              <w:t>Netting sets containing transactions of different product categories (Article 272(11) CRR), i.e. derivatives and SFTs, for which a contractual cross product netting agreement as defined in Article 272 (25) CRR exists and for which the institution has been permitted to determine the exposure value using the IMM.</w:t>
            </w:r>
          </w:p>
        </w:tc>
      </w:tr>
      <w:tr w:rsidR="00595FAD" w:rsidRPr="00661595" w:rsidTr="00FF15C6">
        <w:trPr>
          <w:trHeight w:val="680"/>
        </w:trPr>
        <w:tc>
          <w:tcPr>
            <w:tcW w:w="1384" w:type="dxa"/>
            <w:tcBorders>
              <w:top w:val="single" w:sz="4" w:space="0" w:color="auto"/>
              <w:left w:val="single" w:sz="4" w:space="0" w:color="auto"/>
              <w:bottom w:val="single" w:sz="4" w:space="0" w:color="auto"/>
              <w:right w:val="single" w:sz="4" w:space="0" w:color="auto"/>
            </w:tcBorders>
          </w:tcPr>
          <w:p w:rsidR="00595FAD" w:rsidRPr="00661595" w:rsidRDefault="00595FAD" w:rsidP="00FF15C6">
            <w:pPr>
              <w:pStyle w:val="Applicationdirecte"/>
              <w:spacing w:before="0" w:after="0"/>
            </w:pPr>
            <w:r w:rsidRPr="00661595">
              <w:t>0080</w:t>
            </w:r>
          </w:p>
        </w:tc>
        <w:tc>
          <w:tcPr>
            <w:tcW w:w="7655" w:type="dxa"/>
            <w:tcBorders>
              <w:top w:val="single" w:sz="4" w:space="0" w:color="auto"/>
              <w:left w:val="single" w:sz="4" w:space="0" w:color="auto"/>
              <w:bottom w:val="single" w:sz="4" w:space="0" w:color="auto"/>
              <w:right w:val="single" w:sz="4" w:space="0" w:color="auto"/>
            </w:tcBorders>
          </w:tcPr>
          <w:p w:rsidR="00595FAD" w:rsidRPr="00661595" w:rsidRDefault="00595FAD" w:rsidP="00FF15C6">
            <w:pPr>
              <w:keepNext/>
              <w:spacing w:before="60"/>
              <w:rPr>
                <w:rStyle w:val="InstructionsTabelleberschrift"/>
                <w:rFonts w:ascii="Times New Roman" w:hAnsi="Times New Roman"/>
                <w:sz w:val="24"/>
              </w:rPr>
            </w:pPr>
            <w:r w:rsidRPr="00661595">
              <w:rPr>
                <w:rStyle w:val="InstructionsTabelleberschrift"/>
                <w:rFonts w:ascii="Times New Roman" w:hAnsi="Times New Roman"/>
                <w:sz w:val="24"/>
              </w:rPr>
              <w:t xml:space="preserve">FINANCIAL COLLATERAL SIMPLE METHOD (FOR SFTS) </w:t>
            </w:r>
          </w:p>
          <w:p w:rsidR="00595FAD" w:rsidRPr="00661595" w:rsidRDefault="00595FAD" w:rsidP="00FF15C6">
            <w:pPr>
              <w:rPr>
                <w:rFonts w:ascii="Times New Roman" w:hAnsi="Times New Roman"/>
                <w:sz w:val="24"/>
              </w:rPr>
            </w:pPr>
            <w:r w:rsidRPr="00661595">
              <w:rPr>
                <w:rFonts w:ascii="Times New Roman" w:hAnsi="Times New Roman"/>
                <w:sz w:val="24"/>
              </w:rPr>
              <w:t>Article 222 CRR</w:t>
            </w:r>
          </w:p>
          <w:p w:rsidR="00595FAD" w:rsidRPr="00661595" w:rsidRDefault="00595FAD" w:rsidP="00FF15C6">
            <w:pPr>
              <w:pStyle w:val="TableMainHeading"/>
              <w:spacing w:before="60"/>
              <w:jc w:val="both"/>
              <w:rPr>
                <w:rFonts w:ascii="Times New Roman" w:hAnsi="Times New Roman"/>
                <w:sz w:val="24"/>
                <w:szCs w:val="24"/>
              </w:rPr>
            </w:pPr>
            <w:r w:rsidRPr="00661595">
              <w:rPr>
                <w:rFonts w:ascii="Times New Roman" w:hAnsi="Times New Roman"/>
                <w:sz w:val="24"/>
                <w:szCs w:val="24"/>
              </w:rPr>
              <w:t>Repurchase transactions, securities or commodities lending or borrowing transactions, long settlement transactions and margin lending transactions for which the institution has chosen to determine the exposure value in accordance with Article 222 CRR as opposed to Chapter 6 of Title II of Part Three CRR in accordance with Article 271(2) of the same regulation.</w:t>
            </w:r>
          </w:p>
        </w:tc>
      </w:tr>
      <w:tr w:rsidR="00595FAD" w:rsidRPr="00661595" w:rsidTr="00FF15C6">
        <w:trPr>
          <w:trHeight w:val="680"/>
        </w:trPr>
        <w:tc>
          <w:tcPr>
            <w:tcW w:w="1384" w:type="dxa"/>
            <w:tcBorders>
              <w:top w:val="single" w:sz="4" w:space="0" w:color="auto"/>
              <w:left w:val="single" w:sz="4" w:space="0" w:color="auto"/>
              <w:bottom w:val="single" w:sz="4" w:space="0" w:color="auto"/>
              <w:right w:val="single" w:sz="4" w:space="0" w:color="auto"/>
            </w:tcBorders>
          </w:tcPr>
          <w:p w:rsidR="00595FAD" w:rsidRPr="00661595" w:rsidRDefault="00595FAD" w:rsidP="00FF15C6">
            <w:pPr>
              <w:pStyle w:val="Applicationdirecte"/>
              <w:spacing w:before="0" w:after="0"/>
            </w:pPr>
            <w:r w:rsidRPr="00661595">
              <w:t>0090</w:t>
            </w:r>
          </w:p>
        </w:tc>
        <w:tc>
          <w:tcPr>
            <w:tcW w:w="7655" w:type="dxa"/>
            <w:tcBorders>
              <w:top w:val="single" w:sz="4" w:space="0" w:color="auto"/>
              <w:left w:val="single" w:sz="4" w:space="0" w:color="auto"/>
              <w:bottom w:val="single" w:sz="4" w:space="0" w:color="auto"/>
              <w:right w:val="single" w:sz="4" w:space="0" w:color="auto"/>
            </w:tcBorders>
          </w:tcPr>
          <w:p w:rsidR="00595FAD" w:rsidRPr="00661595" w:rsidRDefault="00595FAD" w:rsidP="00FF15C6">
            <w:pPr>
              <w:keepNext/>
              <w:spacing w:before="60"/>
              <w:rPr>
                <w:rStyle w:val="InstructionsTabelleberschrift"/>
                <w:rFonts w:ascii="Times New Roman" w:hAnsi="Times New Roman"/>
                <w:sz w:val="24"/>
              </w:rPr>
            </w:pPr>
            <w:r w:rsidRPr="00661595">
              <w:rPr>
                <w:rStyle w:val="InstructionsTabelleberschrift"/>
                <w:rFonts w:ascii="Times New Roman" w:hAnsi="Times New Roman"/>
                <w:sz w:val="24"/>
              </w:rPr>
              <w:t>FINANCIAL COLLATERAL COMPREHENSIVE METHOD (FOR SFTS)</w:t>
            </w:r>
          </w:p>
          <w:p w:rsidR="00595FAD" w:rsidRPr="00661595" w:rsidRDefault="00595FAD" w:rsidP="00FF15C6">
            <w:pPr>
              <w:rPr>
                <w:rFonts w:ascii="Times New Roman" w:hAnsi="Times New Roman"/>
                <w:sz w:val="24"/>
              </w:rPr>
            </w:pPr>
            <w:r w:rsidRPr="00661595">
              <w:rPr>
                <w:rFonts w:ascii="Times New Roman" w:hAnsi="Times New Roman"/>
                <w:sz w:val="24"/>
              </w:rPr>
              <w:t>Article 220 and 223 CRR</w:t>
            </w:r>
          </w:p>
          <w:p w:rsidR="00595FAD" w:rsidRPr="00661595" w:rsidRDefault="00595FAD" w:rsidP="00FF15C6">
            <w:pPr>
              <w:pStyle w:val="TableMainHeading"/>
              <w:spacing w:before="60"/>
              <w:jc w:val="both"/>
              <w:rPr>
                <w:rFonts w:ascii="Times New Roman" w:hAnsi="Times New Roman"/>
                <w:i/>
                <w:sz w:val="24"/>
                <w:szCs w:val="24"/>
              </w:rPr>
            </w:pPr>
            <w:r w:rsidRPr="00661595">
              <w:rPr>
                <w:rFonts w:ascii="Times New Roman" w:hAnsi="Times New Roman"/>
                <w:sz w:val="24"/>
                <w:szCs w:val="24"/>
              </w:rPr>
              <w:t>Repurchase transactions, securities or commodities lending or borrowing transactions, long settlement transactions and margin lending transactions for which the institution has chosen to determine the exposure value in accordance with Article 223 CRR, as opposed to Chapter 6 of Title II of Part Three CRR in accordance with Article 271(2) of the same regulation.</w:t>
            </w:r>
          </w:p>
        </w:tc>
      </w:tr>
      <w:tr w:rsidR="00595FAD" w:rsidRPr="00661595" w:rsidTr="00FF15C6">
        <w:trPr>
          <w:trHeight w:val="680"/>
        </w:trPr>
        <w:tc>
          <w:tcPr>
            <w:tcW w:w="1384" w:type="dxa"/>
            <w:tcBorders>
              <w:top w:val="single" w:sz="4" w:space="0" w:color="auto"/>
              <w:left w:val="single" w:sz="4" w:space="0" w:color="auto"/>
              <w:bottom w:val="single" w:sz="4" w:space="0" w:color="auto"/>
              <w:right w:val="single" w:sz="4" w:space="0" w:color="auto"/>
            </w:tcBorders>
          </w:tcPr>
          <w:p w:rsidR="00595FAD" w:rsidRPr="00661595" w:rsidRDefault="00595FAD" w:rsidP="00FF15C6">
            <w:pPr>
              <w:pStyle w:val="Applicationdirecte"/>
              <w:spacing w:before="0" w:after="0"/>
            </w:pPr>
            <w:r w:rsidRPr="00661595">
              <w:t>0100</w:t>
            </w:r>
          </w:p>
        </w:tc>
        <w:tc>
          <w:tcPr>
            <w:tcW w:w="7655" w:type="dxa"/>
            <w:tcBorders>
              <w:top w:val="single" w:sz="4" w:space="0" w:color="auto"/>
              <w:left w:val="single" w:sz="4" w:space="0" w:color="auto"/>
              <w:bottom w:val="single" w:sz="4" w:space="0" w:color="auto"/>
              <w:right w:val="single" w:sz="4" w:space="0" w:color="auto"/>
            </w:tcBorders>
          </w:tcPr>
          <w:p w:rsidR="00595FAD" w:rsidRPr="00661595" w:rsidRDefault="00595FAD" w:rsidP="00FF15C6">
            <w:pPr>
              <w:keepNext/>
              <w:spacing w:before="60"/>
              <w:rPr>
                <w:rStyle w:val="InstructionsTabelleberschrift"/>
                <w:rFonts w:ascii="Times New Roman" w:hAnsi="Times New Roman"/>
                <w:sz w:val="24"/>
              </w:rPr>
            </w:pPr>
            <w:r w:rsidRPr="00661595">
              <w:rPr>
                <w:rStyle w:val="InstructionsTabelleberschrift"/>
                <w:rFonts w:ascii="Times New Roman" w:hAnsi="Times New Roman"/>
                <w:sz w:val="24"/>
              </w:rPr>
              <w:t>VAR FOR SFTS</w:t>
            </w:r>
          </w:p>
          <w:p w:rsidR="00595FAD" w:rsidRPr="00661595" w:rsidRDefault="00595FAD" w:rsidP="00FF15C6">
            <w:pPr>
              <w:rPr>
                <w:rFonts w:ascii="Times New Roman" w:hAnsi="Times New Roman"/>
                <w:sz w:val="24"/>
              </w:rPr>
            </w:pPr>
            <w:r w:rsidRPr="00661595">
              <w:rPr>
                <w:rFonts w:ascii="Times New Roman" w:hAnsi="Times New Roman"/>
                <w:sz w:val="24"/>
              </w:rPr>
              <w:t>Article 221 CRR</w:t>
            </w:r>
          </w:p>
          <w:p w:rsidR="00595FAD" w:rsidRPr="00661595" w:rsidRDefault="00595FAD" w:rsidP="00BC3A29">
            <w:pPr>
              <w:pStyle w:val="TableMainHeading"/>
              <w:spacing w:before="60"/>
              <w:jc w:val="both"/>
              <w:rPr>
                <w:rFonts w:ascii="Times New Roman" w:hAnsi="Times New Roman"/>
                <w:sz w:val="24"/>
                <w:szCs w:val="24"/>
              </w:rPr>
            </w:pPr>
            <w:r w:rsidRPr="00661595">
              <w:rPr>
                <w:rFonts w:ascii="Times New Roman" w:hAnsi="Times New Roman"/>
                <w:sz w:val="24"/>
                <w:szCs w:val="24"/>
              </w:rPr>
              <w:t xml:space="preserve">Repurchase transactions, securities or commodities lending or borrowing transactions or margin lending transactions, or other capital market-driven transactions other than derivative transactions for which, in accordance with Article 221 CRR and subject to the permission of the competent authority, the exposure value is calculated using an internal model approach that takes into account correlation effects between security positions subject to the master netting agreement, as well as the liquidity of the instruments concerned. </w:t>
            </w:r>
          </w:p>
        </w:tc>
      </w:tr>
      <w:tr w:rsidR="00595FAD" w:rsidRPr="00661595" w:rsidTr="00FF15C6">
        <w:trPr>
          <w:trHeight w:val="680"/>
        </w:trPr>
        <w:tc>
          <w:tcPr>
            <w:tcW w:w="1384" w:type="dxa"/>
            <w:tcBorders>
              <w:top w:val="single" w:sz="4" w:space="0" w:color="auto"/>
              <w:left w:val="single" w:sz="4" w:space="0" w:color="auto"/>
              <w:bottom w:val="single" w:sz="4" w:space="0" w:color="auto"/>
              <w:right w:val="single" w:sz="4" w:space="0" w:color="auto"/>
            </w:tcBorders>
          </w:tcPr>
          <w:p w:rsidR="00595FAD" w:rsidRPr="00661595" w:rsidRDefault="00595FAD" w:rsidP="00FF15C6">
            <w:pPr>
              <w:pStyle w:val="Applicationdirecte"/>
              <w:spacing w:before="0" w:after="0"/>
            </w:pPr>
            <w:r w:rsidRPr="00661595">
              <w:t>0110</w:t>
            </w:r>
          </w:p>
        </w:tc>
        <w:tc>
          <w:tcPr>
            <w:tcW w:w="7655" w:type="dxa"/>
            <w:tcBorders>
              <w:top w:val="single" w:sz="4" w:space="0" w:color="auto"/>
              <w:left w:val="single" w:sz="4" w:space="0" w:color="auto"/>
              <w:bottom w:val="single" w:sz="4" w:space="0" w:color="auto"/>
              <w:right w:val="single" w:sz="4" w:space="0" w:color="auto"/>
            </w:tcBorders>
          </w:tcPr>
          <w:p w:rsidR="00595FAD" w:rsidRPr="00661595" w:rsidRDefault="00595FAD" w:rsidP="00FF15C6">
            <w:pPr>
              <w:keepNext/>
              <w:spacing w:before="60"/>
              <w:rPr>
                <w:rStyle w:val="InstructionsTabelleberschrift"/>
                <w:rFonts w:ascii="Times New Roman" w:hAnsi="Times New Roman"/>
                <w:sz w:val="24"/>
              </w:rPr>
            </w:pPr>
            <w:r w:rsidRPr="00661595">
              <w:rPr>
                <w:rStyle w:val="InstructionsTabelleberschrift"/>
                <w:rFonts w:ascii="Times New Roman" w:hAnsi="Times New Roman"/>
                <w:sz w:val="24"/>
              </w:rPr>
              <w:t>TOTAL</w:t>
            </w:r>
          </w:p>
          <w:p w:rsidR="00595FAD" w:rsidRPr="00661595" w:rsidRDefault="00595FAD" w:rsidP="00FF15C6">
            <w:pPr>
              <w:keepNext/>
              <w:spacing w:before="60"/>
              <w:rPr>
                <w:rStyle w:val="InstructionsTabelleberschrift"/>
                <w:rFonts w:ascii="Times New Roman" w:hAnsi="Times New Roman"/>
                <w:sz w:val="24"/>
              </w:rPr>
            </w:pPr>
          </w:p>
        </w:tc>
      </w:tr>
      <w:tr w:rsidR="00595FAD" w:rsidRPr="00661595" w:rsidTr="00FF15C6">
        <w:trPr>
          <w:trHeight w:val="1502"/>
        </w:trPr>
        <w:tc>
          <w:tcPr>
            <w:tcW w:w="1384" w:type="dxa"/>
          </w:tcPr>
          <w:p w:rsidR="00595FAD" w:rsidRPr="00661595" w:rsidDel="003E0C6A" w:rsidRDefault="00595FAD" w:rsidP="00FF15C6">
            <w:pPr>
              <w:pStyle w:val="Applicationdirecte"/>
              <w:spacing w:before="60" w:after="0"/>
              <w:jc w:val="left"/>
            </w:pPr>
            <w:r w:rsidRPr="00661595">
              <w:t>0120</w:t>
            </w:r>
          </w:p>
        </w:tc>
        <w:tc>
          <w:tcPr>
            <w:tcW w:w="7655" w:type="dxa"/>
          </w:tcPr>
          <w:p w:rsidR="00595FAD" w:rsidRPr="00661595" w:rsidRDefault="00595FAD" w:rsidP="00FF15C6">
            <w:pPr>
              <w:keepNext/>
              <w:spacing w:before="60"/>
              <w:rPr>
                <w:rStyle w:val="InstructionsTabelleberschrift"/>
                <w:rFonts w:ascii="Times New Roman" w:hAnsi="Times New Roman"/>
                <w:sz w:val="24"/>
              </w:rPr>
            </w:pPr>
            <w:r w:rsidRPr="00661595">
              <w:rPr>
                <w:rStyle w:val="InstructionsTabelleberschrift"/>
                <w:rFonts w:ascii="Times New Roman" w:hAnsi="Times New Roman"/>
                <w:sz w:val="24"/>
              </w:rPr>
              <w:t>Of which: SWWR positions</w:t>
            </w:r>
          </w:p>
          <w:p w:rsidR="00595FAD" w:rsidRPr="00661595" w:rsidRDefault="00595FAD" w:rsidP="00FF15C6">
            <w:pPr>
              <w:keepNext/>
              <w:spacing w:before="60"/>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Article 291 CRR</w:t>
            </w:r>
          </w:p>
          <w:p w:rsidR="00595FAD" w:rsidRPr="00661595" w:rsidDel="003E0C6A" w:rsidRDefault="00595FAD" w:rsidP="00FF15C6">
            <w:pPr>
              <w:keepNext/>
              <w:spacing w:before="60"/>
              <w:rPr>
                <w:rFonts w:ascii="Times New Roman" w:hAnsi="Times New Roman"/>
                <w:bCs/>
                <w:sz w:val="24"/>
              </w:rPr>
            </w:pPr>
            <w:r w:rsidRPr="00661595">
              <w:rPr>
                <w:rStyle w:val="InstructionsTabelleberschrift"/>
                <w:rFonts w:ascii="Times New Roman" w:hAnsi="Times New Roman"/>
                <w:b w:val="0"/>
                <w:sz w:val="24"/>
                <w:u w:val="none"/>
              </w:rPr>
              <w:t>CCR exposures for which specific wrong way risk (SWWR) has been identified in accordance with Article 291 CRR.</w:t>
            </w:r>
          </w:p>
        </w:tc>
      </w:tr>
      <w:tr w:rsidR="00595FAD" w:rsidRPr="00661595" w:rsidTr="00FF15C6">
        <w:trPr>
          <w:trHeight w:val="426"/>
        </w:trPr>
        <w:tc>
          <w:tcPr>
            <w:tcW w:w="1384" w:type="dxa"/>
          </w:tcPr>
          <w:p w:rsidR="00595FAD" w:rsidRPr="00661595" w:rsidDel="003E0C6A" w:rsidRDefault="00595FAD" w:rsidP="00FF15C6">
            <w:pPr>
              <w:pStyle w:val="Applicationdirecte"/>
              <w:spacing w:before="60" w:after="0"/>
              <w:jc w:val="left"/>
            </w:pPr>
            <w:r w:rsidRPr="00661595">
              <w:t>0130</w:t>
            </w:r>
          </w:p>
        </w:tc>
        <w:tc>
          <w:tcPr>
            <w:tcW w:w="7655" w:type="dxa"/>
          </w:tcPr>
          <w:p w:rsidR="00595FAD" w:rsidRPr="00661595" w:rsidRDefault="00595FAD" w:rsidP="00FF15C6">
            <w:pPr>
              <w:keepNext/>
              <w:spacing w:before="60"/>
              <w:rPr>
                <w:rStyle w:val="InstructionsTabelleberschrift"/>
                <w:rFonts w:ascii="Times New Roman" w:hAnsi="Times New Roman"/>
                <w:sz w:val="24"/>
              </w:rPr>
            </w:pPr>
            <w:r w:rsidRPr="00661595">
              <w:rPr>
                <w:rStyle w:val="InstructionsTabelleberschrift"/>
                <w:rFonts w:ascii="Times New Roman" w:hAnsi="Times New Roman"/>
                <w:sz w:val="24"/>
              </w:rPr>
              <w:t>Margined business</w:t>
            </w:r>
          </w:p>
          <w:p w:rsidR="00595FAD" w:rsidRPr="00661595" w:rsidRDefault="00595FAD" w:rsidP="00FF15C6">
            <w:pPr>
              <w:keepNext/>
              <w:spacing w:before="60"/>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Article 272(7) CRR</w:t>
            </w:r>
          </w:p>
          <w:p w:rsidR="00595FAD" w:rsidRPr="00661595" w:rsidDel="003E0C6A" w:rsidRDefault="00595FAD" w:rsidP="00FF15C6">
            <w:pPr>
              <w:keepNext/>
              <w:spacing w:before="60"/>
              <w:rPr>
                <w:rFonts w:ascii="Times New Roman" w:hAnsi="Times New Roman"/>
                <w:sz w:val="24"/>
              </w:rPr>
            </w:pPr>
            <w:r w:rsidRPr="00661595">
              <w:rPr>
                <w:rStyle w:val="InstructionsTabelleberschrift"/>
                <w:rFonts w:ascii="Times New Roman" w:hAnsi="Times New Roman"/>
                <w:b w:val="0"/>
                <w:sz w:val="24"/>
                <w:u w:val="none"/>
              </w:rPr>
              <w:t>CCR exposures that are margined, i.e. netting sets subject to a margin agreement in accordance with Article 272(7) CRR.</w:t>
            </w:r>
          </w:p>
        </w:tc>
      </w:tr>
      <w:tr w:rsidR="00595FAD" w:rsidRPr="00661595" w:rsidTr="00FF15C6">
        <w:trPr>
          <w:trHeight w:val="829"/>
        </w:trPr>
        <w:tc>
          <w:tcPr>
            <w:tcW w:w="1384" w:type="dxa"/>
          </w:tcPr>
          <w:p w:rsidR="00595FAD" w:rsidRPr="00661595" w:rsidDel="003E0C6A" w:rsidRDefault="00595FAD" w:rsidP="00FF15C6">
            <w:pPr>
              <w:pStyle w:val="Applicationdirecte"/>
              <w:spacing w:before="60" w:after="0"/>
              <w:jc w:val="left"/>
            </w:pPr>
            <w:r w:rsidRPr="00661595">
              <w:t>0140</w:t>
            </w:r>
          </w:p>
        </w:tc>
        <w:tc>
          <w:tcPr>
            <w:tcW w:w="7655" w:type="dxa"/>
          </w:tcPr>
          <w:p w:rsidR="00595FAD" w:rsidRPr="00661595" w:rsidRDefault="00595FAD" w:rsidP="00FF15C6">
            <w:pPr>
              <w:keepNext/>
              <w:spacing w:before="60"/>
              <w:rPr>
                <w:rStyle w:val="InstructionsTabelleberschrift"/>
                <w:rFonts w:ascii="Times New Roman" w:hAnsi="Times New Roman"/>
                <w:sz w:val="24"/>
              </w:rPr>
            </w:pPr>
            <w:r w:rsidRPr="00661595">
              <w:rPr>
                <w:rStyle w:val="InstructionsTabelleberschrift"/>
                <w:rFonts w:ascii="Times New Roman" w:hAnsi="Times New Roman"/>
                <w:sz w:val="24"/>
              </w:rPr>
              <w:t>Unmargined business</w:t>
            </w:r>
          </w:p>
          <w:p w:rsidR="00595FAD" w:rsidRPr="00661595" w:rsidDel="003E0C6A" w:rsidRDefault="00595FAD" w:rsidP="00FF15C6">
            <w:pPr>
              <w:rPr>
                <w:rFonts w:ascii="Times New Roman" w:hAnsi="Times New Roman"/>
                <w:sz w:val="24"/>
              </w:rPr>
            </w:pPr>
            <w:r w:rsidRPr="00661595">
              <w:rPr>
                <w:rFonts w:ascii="Times New Roman" w:hAnsi="Times New Roman"/>
                <w:sz w:val="24"/>
              </w:rPr>
              <w:t>CCR exposures not covered in 0130.</w:t>
            </w:r>
          </w:p>
        </w:tc>
      </w:tr>
    </w:tbl>
    <w:p w:rsidR="00595FAD" w:rsidRPr="00661595" w:rsidRDefault="00595FAD" w:rsidP="00595FAD">
      <w:pPr>
        <w:rPr>
          <w:rFonts w:ascii="Times New Roman" w:hAnsi="Times New Roman"/>
          <w:noProof/>
          <w:sz w:val="24"/>
        </w:rPr>
      </w:pPr>
    </w:p>
    <w:p w:rsidR="00595FAD" w:rsidRPr="00661595" w:rsidRDefault="00595FAD" w:rsidP="002F29AF">
      <w:pPr>
        <w:pStyle w:val="Instructionsberschrift2"/>
        <w:numPr>
          <w:ilvl w:val="2"/>
          <w:numId w:val="48"/>
        </w:numPr>
        <w:rPr>
          <w:rFonts w:ascii="Times New Roman" w:hAnsi="Times New Roman" w:cs="Times New Roman"/>
          <w:sz w:val="24"/>
          <w:lang w:val="en-GB"/>
        </w:rPr>
      </w:pPr>
      <w:bookmarkStart w:id="461" w:name="_Toc19715809"/>
      <w:bookmarkStart w:id="462" w:name="_Toc57831599"/>
      <w:r w:rsidRPr="00661595">
        <w:rPr>
          <w:rFonts w:ascii="Times New Roman" w:hAnsi="Times New Roman" w:cs="Times New Roman"/>
          <w:sz w:val="24"/>
          <w:lang w:val="en-GB"/>
        </w:rPr>
        <w:t>C 34.03 - CCR exposures treated with standardised approaches: SA-CCR and Simplified SA-CCR</w:t>
      </w:r>
      <w:bookmarkEnd w:id="461"/>
      <w:bookmarkEnd w:id="462"/>
    </w:p>
    <w:p w:rsidR="00595FAD" w:rsidRPr="00661595" w:rsidRDefault="00595FAD" w:rsidP="002F29AF">
      <w:pPr>
        <w:pStyle w:val="Instructionsberschrift2"/>
        <w:numPr>
          <w:ilvl w:val="3"/>
          <w:numId w:val="48"/>
        </w:numPr>
        <w:rPr>
          <w:rFonts w:ascii="Times New Roman" w:hAnsi="Times New Roman" w:cs="Times New Roman"/>
          <w:sz w:val="24"/>
          <w:lang w:val="en-GB"/>
        </w:rPr>
      </w:pPr>
      <w:bookmarkStart w:id="463" w:name="_Toc19715810"/>
      <w:bookmarkStart w:id="464" w:name="_Toc57831600"/>
      <w:r w:rsidRPr="00661595">
        <w:rPr>
          <w:rFonts w:ascii="Times New Roman" w:hAnsi="Times New Roman" w:cs="Times New Roman"/>
          <w:sz w:val="24"/>
          <w:lang w:val="en-GB"/>
        </w:rPr>
        <w:t>General remarks</w:t>
      </w:r>
      <w:bookmarkEnd w:id="463"/>
      <w:bookmarkEnd w:id="464"/>
    </w:p>
    <w:p w:rsidR="00595FAD" w:rsidRPr="00661595" w:rsidRDefault="00D11E4C" w:rsidP="00487A02">
      <w:pPr>
        <w:pStyle w:val="InstructionsText2"/>
        <w:numPr>
          <w:ilvl w:val="0"/>
          <w:numId w:val="0"/>
        </w:numPr>
        <w:ind w:left="1353" w:hanging="360"/>
      </w:pPr>
      <w:fldSimple w:instr=" seq paragraphs ">
        <w:r w:rsidR="00771068">
          <w:rPr>
            <w:noProof/>
          </w:rPr>
          <w:t>125</w:t>
        </w:r>
      </w:fldSimple>
      <w:r w:rsidR="00595FAD" w:rsidRPr="00661595">
        <w:t>. The template shall be used separately for reporting the CCR exposures calculated with the SA-CCR or the Simplified SA-CCR, as applicable.</w:t>
      </w:r>
    </w:p>
    <w:p w:rsidR="00595FAD" w:rsidRPr="00661595" w:rsidRDefault="00595FAD" w:rsidP="002F29AF">
      <w:pPr>
        <w:pStyle w:val="Instructionsberschrift2"/>
        <w:numPr>
          <w:ilvl w:val="3"/>
          <w:numId w:val="48"/>
        </w:numPr>
        <w:rPr>
          <w:rFonts w:ascii="Times New Roman" w:hAnsi="Times New Roman" w:cs="Times New Roman"/>
          <w:sz w:val="24"/>
          <w:lang w:val="en-GB"/>
        </w:rPr>
      </w:pPr>
      <w:bookmarkStart w:id="465" w:name="_Toc19715811"/>
      <w:bookmarkStart w:id="466" w:name="_Toc57831601"/>
      <w:r w:rsidRPr="00661595">
        <w:rPr>
          <w:rFonts w:ascii="Times New Roman" w:hAnsi="Times New Roman" w:cs="Times New Roman"/>
          <w:sz w:val="24"/>
          <w:lang w:val="en-GB"/>
        </w:rPr>
        <w:t>Instructions concerning specific positions</w:t>
      </w:r>
      <w:bookmarkEnd w:id="465"/>
      <w:bookmarkEnd w:id="466"/>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655"/>
      </w:tblGrid>
      <w:tr w:rsidR="00595FAD" w:rsidRPr="00661595" w:rsidTr="00751FBE">
        <w:trPr>
          <w:trHeight w:val="717"/>
        </w:trPr>
        <w:tc>
          <w:tcPr>
            <w:tcW w:w="9039" w:type="dxa"/>
            <w:gridSpan w:val="2"/>
            <w:shd w:val="clear" w:color="auto" w:fill="D9D9D9" w:themeFill="background1" w:themeFillShade="D9"/>
          </w:tcPr>
          <w:p w:rsidR="00595FAD" w:rsidRPr="00751FBE" w:rsidRDefault="00595FAD" w:rsidP="00FF15C6">
            <w:pPr>
              <w:autoSpaceDE w:val="0"/>
              <w:autoSpaceDN w:val="0"/>
              <w:adjustRightInd w:val="0"/>
              <w:rPr>
                <w:rFonts w:ascii="Times New Roman" w:hAnsi="Times New Roman"/>
                <w:b/>
                <w:sz w:val="24"/>
              </w:rPr>
            </w:pPr>
            <w:r w:rsidRPr="00661595">
              <w:rPr>
                <w:rFonts w:ascii="Times New Roman" w:hAnsi="Times New Roman"/>
                <w:b/>
                <w:sz w:val="24"/>
              </w:rPr>
              <w:t>Columns</w:t>
            </w:r>
          </w:p>
        </w:tc>
      </w:tr>
      <w:tr w:rsidR="00595FAD" w:rsidRPr="00661595" w:rsidTr="00FF15C6">
        <w:trPr>
          <w:trHeight w:val="680"/>
        </w:trPr>
        <w:tc>
          <w:tcPr>
            <w:tcW w:w="1384" w:type="dxa"/>
          </w:tcPr>
          <w:p w:rsidR="00595FAD" w:rsidRPr="00661595" w:rsidRDefault="00595FAD" w:rsidP="00FF15C6">
            <w:pPr>
              <w:pStyle w:val="Applicationdirecte"/>
              <w:spacing w:before="0" w:after="0"/>
            </w:pPr>
            <w:r w:rsidRPr="00661595">
              <w:t>0010</w:t>
            </w:r>
          </w:p>
        </w:tc>
        <w:tc>
          <w:tcPr>
            <w:tcW w:w="7655" w:type="dxa"/>
            <w:vAlign w:val="center"/>
          </w:tcPr>
          <w:p w:rsidR="00595FAD" w:rsidRPr="00661595" w:rsidRDefault="00595FAD" w:rsidP="00FF15C6">
            <w:pPr>
              <w:keepNext/>
              <w:spacing w:before="60"/>
              <w:rPr>
                <w:rFonts w:ascii="Times New Roman" w:hAnsi="Times New Roman"/>
                <w:sz w:val="24"/>
                <w:lang w:eastAsia="en-GB"/>
              </w:rPr>
            </w:pPr>
            <w:r w:rsidRPr="00661595">
              <w:rPr>
                <w:rStyle w:val="InstructionsTabelleberschrift"/>
                <w:rFonts w:ascii="Times New Roman" w:hAnsi="Times New Roman"/>
                <w:sz w:val="24"/>
              </w:rPr>
              <w:t>CURRENCY</w:t>
            </w:r>
          </w:p>
          <w:p w:rsidR="00595FAD" w:rsidRPr="00661595" w:rsidRDefault="00595FAD" w:rsidP="00FF15C6">
            <w:pPr>
              <w:keepNext/>
              <w:spacing w:before="60"/>
              <w:rPr>
                <w:rFonts w:ascii="Times New Roman" w:hAnsi="Times New Roman"/>
                <w:sz w:val="24"/>
                <w:lang w:eastAsia="en-GB"/>
              </w:rPr>
            </w:pPr>
            <w:r w:rsidRPr="00661595">
              <w:rPr>
                <w:rFonts w:ascii="Times New Roman" w:hAnsi="Times New Roman"/>
                <w:sz w:val="24"/>
                <w:lang w:eastAsia="en-GB"/>
              </w:rPr>
              <w:t>For transactions mapped to the interest rate risk category, the currency of denomination of the transaction shall be reported.</w:t>
            </w:r>
          </w:p>
          <w:p w:rsidR="00595FAD" w:rsidRPr="00661595" w:rsidRDefault="00595FAD" w:rsidP="00FF15C6">
            <w:pPr>
              <w:keepNext/>
              <w:spacing w:before="60"/>
              <w:rPr>
                <w:rFonts w:ascii="Times New Roman" w:hAnsi="Times New Roman"/>
                <w:sz w:val="24"/>
                <w:lang w:eastAsia="en-GB"/>
              </w:rPr>
            </w:pPr>
            <w:r w:rsidRPr="00661595">
              <w:rPr>
                <w:rFonts w:ascii="Times New Roman" w:hAnsi="Times New Roman"/>
                <w:sz w:val="24"/>
                <w:lang w:eastAsia="en-GB"/>
              </w:rPr>
              <w:t xml:space="preserve">For transactions mapped to the foreign exchange risk category, the currency of denomination of one of the two legs of the transaction shall be reported. Institutions shall insert the currencies in the currency pair in alphabetical order, e.g. for US Dollar/Euro please fill this column with EUR and column 0020 with USD. </w:t>
            </w:r>
          </w:p>
          <w:p w:rsidR="00595FAD" w:rsidRPr="00661595" w:rsidRDefault="00595FAD" w:rsidP="00FF15C6">
            <w:pPr>
              <w:keepNext/>
              <w:spacing w:before="60"/>
              <w:rPr>
                <w:rFonts w:ascii="Times New Roman" w:hAnsi="Times New Roman"/>
                <w:i/>
                <w:sz w:val="24"/>
                <w:lang w:eastAsia="en-GB"/>
              </w:rPr>
            </w:pPr>
            <w:r w:rsidRPr="00661595">
              <w:rPr>
                <w:rFonts w:ascii="Times New Roman" w:hAnsi="Times New Roman"/>
                <w:sz w:val="24"/>
                <w:lang w:eastAsia="en-GB"/>
              </w:rPr>
              <w:t xml:space="preserve">Currency </w:t>
            </w:r>
            <w:hyperlink r:id="rId16" w:history="1">
              <w:r w:rsidRPr="00661595">
                <w:rPr>
                  <w:rFonts w:ascii="Times New Roman" w:hAnsi="Times New Roman"/>
                  <w:sz w:val="24"/>
                  <w:lang w:eastAsia="en-GB"/>
                </w:rPr>
                <w:t>ISO codes</w:t>
              </w:r>
            </w:hyperlink>
            <w:r w:rsidRPr="00661595">
              <w:rPr>
                <w:rFonts w:ascii="Times New Roman" w:hAnsi="Times New Roman"/>
                <w:sz w:val="24"/>
                <w:lang w:eastAsia="en-GB"/>
              </w:rPr>
              <w:t xml:space="preserve"> shall be used.</w:t>
            </w:r>
          </w:p>
        </w:tc>
      </w:tr>
      <w:tr w:rsidR="00595FAD" w:rsidRPr="00661595" w:rsidTr="00FF15C6">
        <w:trPr>
          <w:trHeight w:val="680"/>
        </w:trPr>
        <w:tc>
          <w:tcPr>
            <w:tcW w:w="1384" w:type="dxa"/>
          </w:tcPr>
          <w:p w:rsidR="00595FAD" w:rsidRPr="00661595" w:rsidRDefault="00595FAD" w:rsidP="00FF15C6">
            <w:pPr>
              <w:pStyle w:val="Applicationdirecte"/>
              <w:spacing w:before="0" w:after="0"/>
            </w:pPr>
            <w:r w:rsidRPr="00661595">
              <w:t>0020</w:t>
            </w:r>
          </w:p>
        </w:tc>
        <w:tc>
          <w:tcPr>
            <w:tcW w:w="7655" w:type="dxa"/>
            <w:vAlign w:val="center"/>
          </w:tcPr>
          <w:p w:rsidR="00595FAD" w:rsidRPr="00661595" w:rsidRDefault="00595FAD" w:rsidP="00FF15C6">
            <w:pPr>
              <w:keepNext/>
              <w:spacing w:before="60"/>
              <w:rPr>
                <w:rStyle w:val="InstructionsTabelleberschrift"/>
                <w:rFonts w:ascii="Times New Roman" w:hAnsi="Times New Roman"/>
                <w:sz w:val="24"/>
              </w:rPr>
            </w:pPr>
            <w:r w:rsidRPr="00661595">
              <w:rPr>
                <w:rStyle w:val="InstructionsTabelleberschrift"/>
                <w:rFonts w:ascii="Times New Roman" w:hAnsi="Times New Roman"/>
                <w:sz w:val="24"/>
              </w:rPr>
              <w:t>SECOND CURRENCY IN PAIR</w:t>
            </w:r>
          </w:p>
          <w:p w:rsidR="00595FAD" w:rsidRPr="00661595" w:rsidRDefault="00595FAD" w:rsidP="00FF15C6">
            <w:pPr>
              <w:keepNext/>
              <w:spacing w:before="60"/>
              <w:rPr>
                <w:rFonts w:ascii="Times New Roman" w:hAnsi="Times New Roman"/>
                <w:sz w:val="24"/>
                <w:lang w:eastAsia="en-GB"/>
              </w:rPr>
            </w:pPr>
            <w:r w:rsidRPr="00661595">
              <w:rPr>
                <w:rFonts w:ascii="Times New Roman" w:hAnsi="Times New Roman"/>
                <w:sz w:val="24"/>
                <w:lang w:eastAsia="en-GB"/>
              </w:rPr>
              <w:t>For transactions mapped to the foreign exchange risk category, the currency of denomination of the other leg of the transaction (with respect to the one considered in column 0010) shall be reported. Institutions shall insert the currencies in the currency pair in alphabetical order, e.g. for US Dollar/Euro please fill this column with USD and column 0010 with EUR.</w:t>
            </w:r>
          </w:p>
          <w:p w:rsidR="00595FAD" w:rsidRPr="00661595" w:rsidRDefault="00595FAD" w:rsidP="00FF15C6">
            <w:pPr>
              <w:keepNext/>
              <w:spacing w:before="60"/>
              <w:rPr>
                <w:rFonts w:ascii="Times New Roman" w:hAnsi="Times New Roman"/>
                <w:i/>
                <w:sz w:val="24"/>
                <w:lang w:eastAsia="en-GB"/>
              </w:rPr>
            </w:pPr>
            <w:r w:rsidRPr="00661595">
              <w:rPr>
                <w:rFonts w:ascii="Times New Roman" w:hAnsi="Times New Roman"/>
                <w:sz w:val="24"/>
                <w:lang w:eastAsia="en-GB"/>
              </w:rPr>
              <w:t xml:space="preserve">Currency </w:t>
            </w:r>
            <w:hyperlink r:id="rId17" w:history="1">
              <w:r w:rsidRPr="00661595">
                <w:rPr>
                  <w:rFonts w:ascii="Times New Roman" w:hAnsi="Times New Roman"/>
                  <w:sz w:val="24"/>
                  <w:lang w:eastAsia="en-GB"/>
                </w:rPr>
                <w:t>ISO codes</w:t>
              </w:r>
            </w:hyperlink>
            <w:r w:rsidRPr="00661595">
              <w:rPr>
                <w:rFonts w:ascii="Times New Roman" w:hAnsi="Times New Roman"/>
                <w:sz w:val="24"/>
                <w:lang w:eastAsia="en-GB"/>
              </w:rPr>
              <w:t xml:space="preserve"> shall be used.</w:t>
            </w:r>
          </w:p>
        </w:tc>
      </w:tr>
      <w:tr w:rsidR="00595FAD" w:rsidRPr="00661595" w:rsidTr="00FF15C6">
        <w:trPr>
          <w:trHeight w:val="680"/>
        </w:trPr>
        <w:tc>
          <w:tcPr>
            <w:tcW w:w="1384" w:type="dxa"/>
          </w:tcPr>
          <w:p w:rsidR="00595FAD" w:rsidRPr="00661595" w:rsidRDefault="00595FAD" w:rsidP="00FF15C6">
            <w:pPr>
              <w:pStyle w:val="Applicationdirecte"/>
              <w:spacing w:before="0" w:after="0"/>
            </w:pPr>
            <w:r w:rsidRPr="00661595">
              <w:t>0030</w:t>
            </w:r>
          </w:p>
        </w:tc>
        <w:tc>
          <w:tcPr>
            <w:tcW w:w="7655" w:type="dxa"/>
            <w:vAlign w:val="center"/>
          </w:tcPr>
          <w:p w:rsidR="00595FAD" w:rsidRPr="00661595" w:rsidRDefault="00595FAD" w:rsidP="00FF15C6">
            <w:pPr>
              <w:keepNext/>
              <w:spacing w:before="60"/>
              <w:rPr>
                <w:rStyle w:val="InstructionsTabelleberschrift"/>
                <w:rFonts w:ascii="Times New Roman" w:hAnsi="Times New Roman"/>
                <w:sz w:val="24"/>
              </w:rPr>
            </w:pPr>
            <w:r w:rsidRPr="00661595">
              <w:rPr>
                <w:rStyle w:val="InstructionsTabelleberschrift"/>
                <w:rFonts w:ascii="Times New Roman" w:hAnsi="Times New Roman"/>
                <w:sz w:val="24"/>
              </w:rPr>
              <w:t>NUMBER OF TRANSACTIONS</w:t>
            </w:r>
          </w:p>
          <w:p w:rsidR="00595FAD" w:rsidRPr="00661595" w:rsidRDefault="00595FAD" w:rsidP="00FF15C6">
            <w:pPr>
              <w:keepNext/>
              <w:spacing w:before="60"/>
              <w:rPr>
                <w:rFonts w:ascii="Times New Roman" w:hAnsi="Times New Roman"/>
                <w:i/>
                <w:sz w:val="24"/>
              </w:rPr>
            </w:pPr>
            <w:r w:rsidRPr="00661595">
              <w:rPr>
                <w:rFonts w:ascii="Times New Roman" w:hAnsi="Times New Roman"/>
                <w:sz w:val="24"/>
              </w:rPr>
              <w:t>See instructions to column 0020 in template C</w:t>
            </w:r>
            <w:r w:rsidR="00DC0A81">
              <w:rPr>
                <w:rFonts w:ascii="Times New Roman" w:hAnsi="Times New Roman"/>
                <w:sz w:val="24"/>
              </w:rPr>
              <w:t xml:space="preserve"> </w:t>
            </w:r>
            <w:r w:rsidRPr="00661595">
              <w:rPr>
                <w:rFonts w:ascii="Times New Roman" w:hAnsi="Times New Roman"/>
                <w:sz w:val="24"/>
              </w:rPr>
              <w:t>34.02.</w:t>
            </w:r>
          </w:p>
        </w:tc>
      </w:tr>
      <w:tr w:rsidR="00595FAD" w:rsidRPr="00661595" w:rsidTr="00FF15C6">
        <w:trPr>
          <w:trHeight w:val="680"/>
        </w:trPr>
        <w:tc>
          <w:tcPr>
            <w:tcW w:w="1384" w:type="dxa"/>
          </w:tcPr>
          <w:p w:rsidR="00595FAD" w:rsidRPr="00661595" w:rsidRDefault="00595FAD" w:rsidP="00FF15C6">
            <w:pPr>
              <w:pStyle w:val="Applicationdirecte"/>
              <w:spacing w:before="0" w:after="0"/>
            </w:pPr>
            <w:r w:rsidRPr="00661595">
              <w:t>0040</w:t>
            </w:r>
          </w:p>
        </w:tc>
        <w:tc>
          <w:tcPr>
            <w:tcW w:w="7655" w:type="dxa"/>
            <w:vAlign w:val="center"/>
          </w:tcPr>
          <w:p w:rsidR="00595FAD" w:rsidRPr="00661595" w:rsidRDefault="00595FAD" w:rsidP="00FF15C6">
            <w:pPr>
              <w:keepNext/>
              <w:spacing w:before="60"/>
              <w:rPr>
                <w:rStyle w:val="InstructionsTabelleberschrift"/>
                <w:rFonts w:ascii="Times New Roman" w:hAnsi="Times New Roman"/>
                <w:sz w:val="24"/>
              </w:rPr>
            </w:pPr>
            <w:r w:rsidRPr="00661595">
              <w:rPr>
                <w:rStyle w:val="InstructionsTabelleberschrift"/>
                <w:rFonts w:ascii="Times New Roman" w:hAnsi="Times New Roman"/>
                <w:sz w:val="24"/>
              </w:rPr>
              <w:t>NOTIONAL AMOUNTS</w:t>
            </w:r>
          </w:p>
          <w:p w:rsidR="00595FAD" w:rsidRPr="00661595" w:rsidRDefault="00595FAD" w:rsidP="00FF15C6">
            <w:pPr>
              <w:keepNext/>
              <w:spacing w:before="60"/>
              <w:rPr>
                <w:rFonts w:ascii="Times New Roman" w:hAnsi="Times New Roman"/>
                <w:sz w:val="24"/>
                <w:lang w:eastAsia="en-CA"/>
              </w:rPr>
            </w:pPr>
            <w:r w:rsidRPr="00661595">
              <w:rPr>
                <w:rFonts w:ascii="Times New Roman" w:hAnsi="Times New Roman"/>
                <w:sz w:val="24"/>
              </w:rPr>
              <w:t>See instructions to column 0030 in template C</w:t>
            </w:r>
            <w:r w:rsidR="00DC0A81">
              <w:rPr>
                <w:rFonts w:ascii="Times New Roman" w:hAnsi="Times New Roman"/>
                <w:sz w:val="24"/>
              </w:rPr>
              <w:t xml:space="preserve"> </w:t>
            </w:r>
            <w:r w:rsidRPr="00661595">
              <w:rPr>
                <w:rFonts w:ascii="Times New Roman" w:hAnsi="Times New Roman"/>
                <w:sz w:val="24"/>
              </w:rPr>
              <w:t>34.02.</w:t>
            </w:r>
          </w:p>
        </w:tc>
      </w:tr>
      <w:tr w:rsidR="00595FAD" w:rsidRPr="00661595" w:rsidTr="00FF15C6">
        <w:trPr>
          <w:trHeight w:val="680"/>
        </w:trPr>
        <w:tc>
          <w:tcPr>
            <w:tcW w:w="1384" w:type="dxa"/>
          </w:tcPr>
          <w:p w:rsidR="00595FAD" w:rsidRPr="00661595" w:rsidRDefault="00595FAD" w:rsidP="00FF15C6">
            <w:pPr>
              <w:pStyle w:val="Applicationdirecte"/>
              <w:spacing w:before="0" w:after="0"/>
            </w:pPr>
            <w:r w:rsidRPr="00661595">
              <w:t>0050</w:t>
            </w:r>
          </w:p>
        </w:tc>
        <w:tc>
          <w:tcPr>
            <w:tcW w:w="7655" w:type="dxa"/>
            <w:vAlign w:val="center"/>
          </w:tcPr>
          <w:p w:rsidR="00595FAD" w:rsidRPr="00661595" w:rsidRDefault="00595FAD" w:rsidP="00FF15C6">
            <w:pPr>
              <w:keepNext/>
              <w:spacing w:before="60"/>
              <w:rPr>
                <w:rStyle w:val="InstructionsTabelleberschrift"/>
                <w:rFonts w:ascii="Times New Roman" w:hAnsi="Times New Roman"/>
                <w:sz w:val="24"/>
              </w:rPr>
            </w:pPr>
            <w:r w:rsidRPr="00661595">
              <w:rPr>
                <w:rStyle w:val="InstructionsTabelleberschrift"/>
                <w:rFonts w:ascii="Times New Roman" w:hAnsi="Times New Roman"/>
                <w:sz w:val="24"/>
              </w:rPr>
              <w:t>CURRENT MARKET VALUE (CMV), POSITIVE</w:t>
            </w:r>
          </w:p>
          <w:p w:rsidR="00595FAD" w:rsidRPr="00661595" w:rsidRDefault="00595FAD" w:rsidP="00FF15C6">
            <w:pPr>
              <w:keepNext/>
              <w:spacing w:before="60"/>
              <w:rPr>
                <w:rFonts w:ascii="Times New Roman" w:hAnsi="Times New Roman"/>
                <w:sz w:val="24"/>
                <w:lang w:eastAsia="en-CA"/>
              </w:rPr>
            </w:pPr>
            <w:r w:rsidRPr="00661595">
              <w:rPr>
                <w:rFonts w:ascii="Times New Roman" w:hAnsi="Times New Roman"/>
                <w:sz w:val="24"/>
              </w:rPr>
              <w:t>Sum of the current market values (CMV) of all hedging sets with positive CMV in the respective risk category</w:t>
            </w:r>
            <w:r w:rsidRPr="00661595">
              <w:rPr>
                <w:rFonts w:ascii="Times New Roman" w:hAnsi="Times New Roman"/>
                <w:sz w:val="24"/>
                <w:lang w:eastAsia="en-CA"/>
              </w:rPr>
              <w:t>.</w:t>
            </w:r>
          </w:p>
          <w:p w:rsidR="00595FAD" w:rsidRPr="00661595" w:rsidRDefault="00595FAD" w:rsidP="00FF15C6">
            <w:pPr>
              <w:keepNext/>
              <w:spacing w:before="60"/>
              <w:rPr>
                <w:rFonts w:ascii="Times New Roman" w:hAnsi="Times New Roman"/>
                <w:sz w:val="24"/>
                <w:lang w:eastAsia="en-CA"/>
              </w:rPr>
            </w:pPr>
            <w:r w:rsidRPr="00661595">
              <w:rPr>
                <w:rFonts w:ascii="Times New Roman" w:hAnsi="Times New Roman"/>
                <w:sz w:val="24"/>
              </w:rPr>
              <w:t>The CMV on hedging set level shall be determined by netting positive and negative market values of the transactions within one hedging set gross of any collateral held or posted.</w:t>
            </w:r>
          </w:p>
        </w:tc>
      </w:tr>
      <w:tr w:rsidR="00595FAD" w:rsidRPr="00661595" w:rsidTr="00FF15C6">
        <w:trPr>
          <w:trHeight w:val="680"/>
        </w:trPr>
        <w:tc>
          <w:tcPr>
            <w:tcW w:w="1384" w:type="dxa"/>
          </w:tcPr>
          <w:p w:rsidR="00595FAD" w:rsidRPr="00661595" w:rsidRDefault="00595FAD" w:rsidP="00FF15C6">
            <w:pPr>
              <w:pStyle w:val="Applicationdirecte"/>
              <w:spacing w:before="0" w:after="0"/>
            </w:pPr>
            <w:r w:rsidRPr="00661595">
              <w:t>0060</w:t>
            </w:r>
          </w:p>
        </w:tc>
        <w:tc>
          <w:tcPr>
            <w:tcW w:w="7655" w:type="dxa"/>
            <w:vAlign w:val="center"/>
          </w:tcPr>
          <w:p w:rsidR="00595FAD" w:rsidRPr="00661595" w:rsidRDefault="00595FAD" w:rsidP="00FF15C6">
            <w:pPr>
              <w:keepNext/>
              <w:spacing w:before="60"/>
              <w:rPr>
                <w:rStyle w:val="InstructionsTabelleberschrift"/>
                <w:rFonts w:ascii="Times New Roman" w:hAnsi="Times New Roman"/>
                <w:sz w:val="24"/>
              </w:rPr>
            </w:pPr>
            <w:r w:rsidRPr="00661595">
              <w:rPr>
                <w:rStyle w:val="InstructionsTabelleberschrift"/>
                <w:rFonts w:ascii="Times New Roman" w:hAnsi="Times New Roman"/>
                <w:sz w:val="24"/>
              </w:rPr>
              <w:t>CURRENT MARKET VALUE (CMV), NEGATIVE</w:t>
            </w:r>
          </w:p>
          <w:p w:rsidR="00595FAD" w:rsidRPr="00661595" w:rsidRDefault="00595FAD" w:rsidP="00FF15C6">
            <w:pPr>
              <w:keepNext/>
              <w:spacing w:before="60"/>
              <w:rPr>
                <w:rFonts w:ascii="Times New Roman" w:hAnsi="Times New Roman"/>
                <w:sz w:val="24"/>
                <w:lang w:eastAsia="en-CA"/>
              </w:rPr>
            </w:pPr>
            <w:r w:rsidRPr="00661595">
              <w:rPr>
                <w:rFonts w:ascii="Times New Roman" w:hAnsi="Times New Roman"/>
                <w:sz w:val="24"/>
              </w:rPr>
              <w:t>Sum of the absolute current market values (CMV) of all hedging sets with negative CMV in the respective risk category</w:t>
            </w:r>
            <w:r w:rsidRPr="00661595">
              <w:rPr>
                <w:rFonts w:ascii="Times New Roman" w:hAnsi="Times New Roman"/>
                <w:sz w:val="24"/>
                <w:lang w:eastAsia="en-CA"/>
              </w:rPr>
              <w:t>.</w:t>
            </w:r>
          </w:p>
          <w:p w:rsidR="00595FAD" w:rsidRPr="00661595" w:rsidRDefault="00595FAD" w:rsidP="00FF15C6">
            <w:pPr>
              <w:keepNext/>
              <w:spacing w:before="60"/>
              <w:rPr>
                <w:rStyle w:val="InstructionsTabelleberschrift"/>
                <w:rFonts w:ascii="Times New Roman" w:hAnsi="Times New Roman"/>
                <w:sz w:val="24"/>
              </w:rPr>
            </w:pPr>
            <w:r w:rsidRPr="00661595">
              <w:rPr>
                <w:rFonts w:ascii="Times New Roman" w:hAnsi="Times New Roman"/>
                <w:sz w:val="24"/>
              </w:rPr>
              <w:t>The CMV on hedging set level shall be determined by netting positive and negative market values of the transactions within one hedging set gross of any collateral held or posted.</w:t>
            </w:r>
          </w:p>
        </w:tc>
      </w:tr>
      <w:tr w:rsidR="00595FAD" w:rsidRPr="00661595" w:rsidTr="00FF15C6">
        <w:trPr>
          <w:trHeight w:val="680"/>
        </w:trPr>
        <w:tc>
          <w:tcPr>
            <w:tcW w:w="1384" w:type="dxa"/>
          </w:tcPr>
          <w:p w:rsidR="00595FAD" w:rsidRPr="00661595" w:rsidRDefault="00595FAD" w:rsidP="00FF15C6">
            <w:pPr>
              <w:pStyle w:val="Applicationdirecte"/>
              <w:spacing w:before="0" w:after="0"/>
            </w:pPr>
            <w:r w:rsidRPr="00661595">
              <w:t>0070</w:t>
            </w:r>
          </w:p>
        </w:tc>
        <w:tc>
          <w:tcPr>
            <w:tcW w:w="7655" w:type="dxa"/>
            <w:vAlign w:val="center"/>
          </w:tcPr>
          <w:p w:rsidR="00595FAD" w:rsidRPr="00661595" w:rsidRDefault="00595FAD" w:rsidP="00FF15C6">
            <w:pPr>
              <w:keepNext/>
              <w:spacing w:before="60"/>
              <w:rPr>
                <w:rFonts w:ascii="Times New Roman" w:hAnsi="Times New Roman"/>
                <w:sz w:val="24"/>
                <w:lang w:eastAsia="en-CA"/>
              </w:rPr>
            </w:pPr>
            <w:r w:rsidRPr="00661595">
              <w:rPr>
                <w:rStyle w:val="InstructionsTabelleberschrift"/>
                <w:rFonts w:ascii="Times New Roman" w:hAnsi="Times New Roman"/>
                <w:sz w:val="24"/>
              </w:rPr>
              <w:t>ADD-ON</w:t>
            </w:r>
            <w:r w:rsidRPr="00661595">
              <w:rPr>
                <w:rFonts w:ascii="Times New Roman" w:hAnsi="Times New Roman"/>
                <w:sz w:val="24"/>
                <w:lang w:eastAsia="en-CA"/>
              </w:rPr>
              <w:t xml:space="preserve"> </w:t>
            </w:r>
          </w:p>
          <w:p w:rsidR="00595FAD" w:rsidRPr="00661595" w:rsidRDefault="00595FAD" w:rsidP="00FF15C6">
            <w:pPr>
              <w:keepNext/>
              <w:spacing w:before="60"/>
              <w:rPr>
                <w:rFonts w:ascii="Times New Roman" w:hAnsi="Times New Roman"/>
                <w:sz w:val="24"/>
                <w:lang w:eastAsia="en-CA"/>
              </w:rPr>
            </w:pPr>
            <w:r w:rsidRPr="00661595">
              <w:rPr>
                <w:rFonts w:ascii="Times New Roman" w:hAnsi="Times New Roman"/>
                <w:sz w:val="24"/>
                <w:lang w:eastAsia="en-CA"/>
              </w:rPr>
              <w:t>Article 280a to 280f and 281 (2) CRR</w:t>
            </w:r>
          </w:p>
          <w:p w:rsidR="00595FAD" w:rsidRPr="00661595" w:rsidRDefault="00595FAD" w:rsidP="00FF15C6">
            <w:pPr>
              <w:keepNext/>
              <w:spacing w:before="60"/>
              <w:rPr>
                <w:rFonts w:ascii="Times New Roman" w:hAnsi="Times New Roman"/>
                <w:sz w:val="24"/>
                <w:lang w:eastAsia="en-CA"/>
              </w:rPr>
            </w:pPr>
            <w:r w:rsidRPr="00661595">
              <w:rPr>
                <w:rFonts w:ascii="Times New Roman" w:hAnsi="Times New Roman"/>
                <w:sz w:val="24"/>
                <w:lang w:eastAsia="en-CA"/>
              </w:rPr>
              <w:t xml:space="preserve">The institution shall report the sum of all the add-ons in the respective hedging set/risk category. </w:t>
            </w:r>
          </w:p>
          <w:p w:rsidR="00595FAD" w:rsidRPr="00661595" w:rsidRDefault="00595FAD" w:rsidP="00FF15C6">
            <w:pPr>
              <w:keepNext/>
              <w:spacing w:before="60"/>
              <w:rPr>
                <w:rFonts w:ascii="Times New Roman" w:hAnsi="Times New Roman"/>
                <w:sz w:val="24"/>
                <w:lang w:eastAsia="en-CA"/>
              </w:rPr>
            </w:pPr>
            <w:r w:rsidRPr="00661595">
              <w:rPr>
                <w:rFonts w:ascii="Times New Roman" w:hAnsi="Times New Roman"/>
                <w:sz w:val="24"/>
                <w:lang w:eastAsia="en-CA"/>
              </w:rPr>
              <w:t>The add-on per risk category that is used to determine the potential future exposure of a netting set in accordance with Article 278(1) or point (f) of Article 281(2) CRR shall be calculated in accordance with Articles 280a to 280f CRR. For the Simplified SA-CCR the provisions set out in Article 281(2) CRR apply.</w:t>
            </w:r>
          </w:p>
        </w:tc>
      </w:tr>
      <w:tr w:rsidR="00595FAD" w:rsidRPr="00661595" w:rsidTr="00FF15C6">
        <w:trPr>
          <w:trHeight w:val="680"/>
        </w:trPr>
        <w:tc>
          <w:tcPr>
            <w:tcW w:w="9039" w:type="dxa"/>
            <w:gridSpan w:val="2"/>
            <w:tcBorders>
              <w:left w:val="nil"/>
              <w:right w:val="nil"/>
            </w:tcBorders>
          </w:tcPr>
          <w:p w:rsidR="00595FAD" w:rsidRPr="00661595" w:rsidDel="00DF07F8" w:rsidRDefault="00595FAD" w:rsidP="00FF15C6">
            <w:pPr>
              <w:keepNext/>
              <w:spacing w:before="60"/>
              <w:rPr>
                <w:rFonts w:ascii="Times New Roman" w:hAnsi="Times New Roman"/>
                <w:i/>
                <w:szCs w:val="22"/>
                <w:lang w:eastAsia="en-CA"/>
              </w:rPr>
            </w:pPr>
          </w:p>
        </w:tc>
      </w:tr>
      <w:tr w:rsidR="00595FAD" w:rsidRPr="00661595" w:rsidTr="00FF15C6">
        <w:trPr>
          <w:trHeight w:val="680"/>
        </w:trPr>
        <w:tc>
          <w:tcPr>
            <w:tcW w:w="903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95FAD" w:rsidRPr="00661595" w:rsidRDefault="00595FAD" w:rsidP="00751FBE">
            <w:pPr>
              <w:pStyle w:val="Applicationdirecte"/>
              <w:spacing w:before="0"/>
              <w:jc w:val="left"/>
              <w:rPr>
                <w:b/>
              </w:rPr>
            </w:pPr>
            <w:r w:rsidRPr="00661595">
              <w:rPr>
                <w:b/>
              </w:rPr>
              <w:t xml:space="preserve">Rows </w:t>
            </w:r>
          </w:p>
        </w:tc>
      </w:tr>
      <w:tr w:rsidR="00595FAD" w:rsidRPr="00661595" w:rsidTr="00FF15C6">
        <w:trPr>
          <w:trHeight w:val="680"/>
        </w:trPr>
        <w:tc>
          <w:tcPr>
            <w:tcW w:w="1384" w:type="dxa"/>
          </w:tcPr>
          <w:p w:rsidR="00595FAD" w:rsidRPr="00661595" w:rsidRDefault="00595FAD" w:rsidP="00FF15C6">
            <w:pPr>
              <w:pStyle w:val="Applicationdirecte"/>
              <w:spacing w:before="0" w:after="0"/>
            </w:pPr>
            <w:r w:rsidRPr="00661595">
              <w:t>0050,0120, 0190, 0230, 0270, 0340</w:t>
            </w:r>
          </w:p>
        </w:tc>
        <w:tc>
          <w:tcPr>
            <w:tcW w:w="7655" w:type="dxa"/>
          </w:tcPr>
          <w:p w:rsidR="00595FAD" w:rsidRPr="00661595" w:rsidRDefault="00595FAD" w:rsidP="00FF15C6">
            <w:pPr>
              <w:keepNext/>
              <w:spacing w:before="60"/>
              <w:rPr>
                <w:rStyle w:val="InstructionsTabelleberschrift"/>
                <w:rFonts w:ascii="Times New Roman" w:hAnsi="Times New Roman"/>
                <w:sz w:val="24"/>
              </w:rPr>
            </w:pPr>
            <w:r w:rsidRPr="00661595">
              <w:rPr>
                <w:rStyle w:val="InstructionsTabelleberschrift"/>
                <w:rFonts w:ascii="Times New Roman" w:hAnsi="Times New Roman"/>
                <w:sz w:val="24"/>
              </w:rPr>
              <w:t>RISK CATEGORIES</w:t>
            </w:r>
          </w:p>
          <w:p w:rsidR="00595FAD" w:rsidRPr="00661595" w:rsidRDefault="00595FAD" w:rsidP="00FF15C6">
            <w:pPr>
              <w:keepNext/>
              <w:spacing w:before="60"/>
              <w:rPr>
                <w:rFonts w:ascii="Times New Roman" w:hAnsi="Times New Roman"/>
                <w:sz w:val="24"/>
                <w:lang w:eastAsia="en-CA"/>
              </w:rPr>
            </w:pPr>
            <w:r w:rsidRPr="00661595">
              <w:rPr>
                <w:rFonts w:ascii="Times New Roman" w:hAnsi="Times New Roman"/>
                <w:sz w:val="24"/>
                <w:lang w:eastAsia="en-CA"/>
              </w:rPr>
              <w:t>Article 277 and 277a CRR</w:t>
            </w:r>
          </w:p>
          <w:p w:rsidR="00595FAD" w:rsidRPr="00661595" w:rsidRDefault="00595FAD" w:rsidP="00FF15C6">
            <w:pPr>
              <w:pStyle w:val="TableMainHeading"/>
              <w:spacing w:before="60"/>
              <w:jc w:val="both"/>
              <w:rPr>
                <w:rFonts w:ascii="Times New Roman" w:hAnsi="Times New Roman"/>
                <w:sz w:val="24"/>
                <w:szCs w:val="24"/>
              </w:rPr>
            </w:pPr>
            <w:r w:rsidRPr="00661595">
              <w:rPr>
                <w:rFonts w:ascii="Times New Roman" w:hAnsi="Times New Roman"/>
                <w:sz w:val="24"/>
                <w:szCs w:val="24"/>
              </w:rPr>
              <w:t>Transactions shall be classified according to the risk category they belong to in accordance with Article 277(1) to (4) CRR.</w:t>
            </w:r>
          </w:p>
          <w:p w:rsidR="00595FAD" w:rsidRPr="00661595" w:rsidRDefault="00595FAD" w:rsidP="00FF15C6">
            <w:pPr>
              <w:pStyle w:val="TableMainHeading"/>
              <w:spacing w:before="60"/>
              <w:jc w:val="both"/>
              <w:rPr>
                <w:rFonts w:ascii="Times New Roman" w:hAnsi="Times New Roman"/>
                <w:sz w:val="24"/>
              </w:rPr>
            </w:pPr>
            <w:r w:rsidRPr="00661595">
              <w:rPr>
                <w:rFonts w:ascii="Times New Roman" w:hAnsi="Times New Roman"/>
                <w:sz w:val="24"/>
              </w:rPr>
              <w:t>The assignment to hedging sets according to the risk category shall be performed in accordance with Article 277a CRR.</w:t>
            </w:r>
          </w:p>
          <w:p w:rsidR="00595FAD" w:rsidRPr="00661595" w:rsidRDefault="00595FAD" w:rsidP="00FF15C6">
            <w:pPr>
              <w:pStyle w:val="TableMainHeading"/>
              <w:spacing w:before="60"/>
              <w:jc w:val="both"/>
              <w:rPr>
                <w:rFonts w:ascii="Times New Roman" w:hAnsi="Times New Roman"/>
                <w:sz w:val="24"/>
              </w:rPr>
            </w:pPr>
            <w:r w:rsidRPr="00661595">
              <w:rPr>
                <w:rFonts w:ascii="Times New Roman" w:hAnsi="Times New Roman"/>
                <w:sz w:val="24"/>
                <w:szCs w:val="24"/>
              </w:rPr>
              <w:t>For the Simplified SA-CCR the provisions set out in Article 281(2) CRR apply.</w:t>
            </w:r>
          </w:p>
        </w:tc>
      </w:tr>
      <w:tr w:rsidR="00595FAD" w:rsidRPr="00661595" w:rsidTr="00FF15C6">
        <w:trPr>
          <w:trHeight w:val="680"/>
        </w:trPr>
        <w:tc>
          <w:tcPr>
            <w:tcW w:w="1384" w:type="dxa"/>
          </w:tcPr>
          <w:p w:rsidR="00595FAD" w:rsidRPr="00661595" w:rsidRDefault="00595FAD" w:rsidP="00FF15C6">
            <w:pPr>
              <w:pStyle w:val="Applicationdirecte"/>
              <w:spacing w:before="0" w:after="0"/>
            </w:pPr>
            <w:r w:rsidRPr="00661595">
              <w:t>0020-0040</w:t>
            </w:r>
          </w:p>
        </w:tc>
        <w:tc>
          <w:tcPr>
            <w:tcW w:w="7655" w:type="dxa"/>
          </w:tcPr>
          <w:p w:rsidR="00595FAD" w:rsidRPr="00661595" w:rsidRDefault="00595FAD" w:rsidP="00FF15C6">
            <w:pPr>
              <w:keepNext/>
              <w:spacing w:before="60"/>
              <w:rPr>
                <w:rStyle w:val="InstructionsTabelleberschrift"/>
                <w:rFonts w:ascii="Times New Roman" w:hAnsi="Times New Roman"/>
                <w:sz w:val="24"/>
              </w:rPr>
            </w:pPr>
            <w:r w:rsidRPr="00661595">
              <w:rPr>
                <w:rStyle w:val="InstructionsTabelleberschrift"/>
                <w:rFonts w:ascii="Times New Roman" w:hAnsi="Times New Roman"/>
                <w:sz w:val="24"/>
              </w:rPr>
              <w:t>Of which mapped to more than one risk category</w:t>
            </w:r>
          </w:p>
          <w:p w:rsidR="00595FAD" w:rsidRPr="00661595" w:rsidRDefault="00595FAD" w:rsidP="00FF15C6">
            <w:pPr>
              <w:keepNext/>
              <w:spacing w:before="60"/>
              <w:rPr>
                <w:rFonts w:ascii="Times New Roman" w:hAnsi="Times New Roman"/>
                <w:sz w:val="24"/>
              </w:rPr>
            </w:pPr>
            <w:r w:rsidRPr="00661595">
              <w:rPr>
                <w:rFonts w:ascii="Times New Roman" w:hAnsi="Times New Roman"/>
                <w:sz w:val="24"/>
                <w:lang w:eastAsia="en-CA"/>
              </w:rPr>
              <w:t>Article 277(3) CRR</w:t>
            </w:r>
          </w:p>
          <w:p w:rsidR="00595FAD" w:rsidRPr="00661595" w:rsidRDefault="00595FAD" w:rsidP="00FF15C6">
            <w:pPr>
              <w:pStyle w:val="TableMainHeading"/>
              <w:spacing w:before="60"/>
              <w:jc w:val="both"/>
              <w:rPr>
                <w:rFonts w:ascii="Times New Roman" w:hAnsi="Times New Roman"/>
                <w:i/>
                <w:sz w:val="24"/>
                <w:szCs w:val="24"/>
              </w:rPr>
            </w:pPr>
            <w:r w:rsidRPr="00661595">
              <w:rPr>
                <w:rFonts w:ascii="Times New Roman" w:hAnsi="Times New Roman"/>
                <w:sz w:val="24"/>
                <w:szCs w:val="24"/>
              </w:rPr>
              <w:t>Derivative transactions with more than one material risk driver mapped to two (0020), three (0030) or more than three (0040) risk categories on the basis of the most material of the risk drivers in each risk category, in accordance with Article 277(3) CRR and  the EBA RTS referred to in Article 277(5) CRR.</w:t>
            </w:r>
          </w:p>
        </w:tc>
      </w:tr>
      <w:tr w:rsidR="00595FAD" w:rsidRPr="00661595" w:rsidTr="00FF15C6">
        <w:trPr>
          <w:trHeight w:val="680"/>
        </w:trPr>
        <w:tc>
          <w:tcPr>
            <w:tcW w:w="1384" w:type="dxa"/>
          </w:tcPr>
          <w:p w:rsidR="00595FAD" w:rsidRPr="00661595" w:rsidRDefault="00595FAD" w:rsidP="00FF15C6">
            <w:pPr>
              <w:pStyle w:val="Applicationdirecte"/>
              <w:spacing w:before="0" w:after="0"/>
              <w:jc w:val="left"/>
            </w:pPr>
            <w:r w:rsidRPr="00661595">
              <w:t>0070-0110 and 0140-0180</w:t>
            </w:r>
          </w:p>
        </w:tc>
        <w:tc>
          <w:tcPr>
            <w:tcW w:w="7655" w:type="dxa"/>
          </w:tcPr>
          <w:p w:rsidR="00595FAD" w:rsidRPr="00661595" w:rsidRDefault="00595FAD" w:rsidP="00FF15C6">
            <w:pPr>
              <w:pStyle w:val="TableMainHeading"/>
              <w:spacing w:before="60"/>
              <w:jc w:val="both"/>
              <w:rPr>
                <w:rStyle w:val="InstructionsTabelleberschrift"/>
                <w:rFonts w:ascii="Times New Roman" w:eastAsiaTheme="minorEastAsia" w:hAnsi="Times New Roman"/>
                <w:sz w:val="24"/>
                <w:szCs w:val="24"/>
                <w:lang w:val="en-US"/>
              </w:rPr>
            </w:pPr>
            <w:r w:rsidRPr="00661595">
              <w:rPr>
                <w:rStyle w:val="InstructionsTabelleberschrift"/>
                <w:rFonts w:ascii="Times New Roman" w:eastAsiaTheme="minorEastAsia" w:hAnsi="Times New Roman"/>
                <w:sz w:val="24"/>
                <w:szCs w:val="24"/>
                <w:lang w:val="en-US"/>
              </w:rPr>
              <w:t>Largest currency and currency pair</w:t>
            </w:r>
          </w:p>
          <w:p w:rsidR="00595FAD" w:rsidRPr="00661595" w:rsidRDefault="00595FAD" w:rsidP="00FF15C6">
            <w:pPr>
              <w:rPr>
                <w:rFonts w:ascii="Times New Roman" w:hAnsi="Times New Roman"/>
                <w:sz w:val="24"/>
              </w:rPr>
            </w:pPr>
            <w:r w:rsidRPr="00661595">
              <w:rPr>
                <w:rFonts w:ascii="Times New Roman" w:hAnsi="Times New Roman"/>
                <w:sz w:val="24"/>
              </w:rPr>
              <w:t xml:space="preserve">This classification shall be done on the basis of the CMV of the institution’s portfolio under the scope of the SA-CCR or the Simplified SA-CCR, as applicable, for transactions mapped to interest rate risk and foreign exchange risk category, respectively. </w:t>
            </w:r>
          </w:p>
          <w:p w:rsidR="00595FAD" w:rsidRPr="00661595" w:rsidRDefault="00595FAD" w:rsidP="00FF15C6">
            <w:pPr>
              <w:rPr>
                <w:rFonts w:ascii="Times New Roman" w:hAnsi="Times New Roman"/>
                <w:i/>
                <w:sz w:val="24"/>
              </w:rPr>
            </w:pPr>
            <w:r w:rsidRPr="00661595">
              <w:rPr>
                <w:rFonts w:ascii="Times New Roman" w:hAnsi="Times New Roman"/>
                <w:sz w:val="24"/>
              </w:rPr>
              <w:t xml:space="preserve">For the purpose of the classification, </w:t>
            </w:r>
            <w:r w:rsidRPr="00661595">
              <w:rPr>
                <w:rFonts w:ascii="inherit" w:hAnsi="inherit"/>
                <w:sz w:val="24"/>
                <w:lang w:eastAsia="en-GB"/>
              </w:rPr>
              <w:t>the absolute value of the CMV of positions shall be summed.</w:t>
            </w:r>
          </w:p>
        </w:tc>
      </w:tr>
      <w:tr w:rsidR="00595FAD" w:rsidRPr="00661595" w:rsidTr="00FF15C6">
        <w:trPr>
          <w:trHeight w:val="2279"/>
        </w:trPr>
        <w:tc>
          <w:tcPr>
            <w:tcW w:w="1384" w:type="dxa"/>
          </w:tcPr>
          <w:p w:rsidR="00595FAD" w:rsidRPr="00661595" w:rsidRDefault="00595FAD" w:rsidP="00FF15C6">
            <w:pPr>
              <w:pStyle w:val="Applicationdirecte"/>
              <w:spacing w:before="0" w:after="0"/>
            </w:pPr>
            <w:r w:rsidRPr="00661595">
              <w:t>0060,0130, 0200,0240, 0280</w:t>
            </w:r>
          </w:p>
        </w:tc>
        <w:tc>
          <w:tcPr>
            <w:tcW w:w="7655" w:type="dxa"/>
          </w:tcPr>
          <w:p w:rsidR="00595FAD" w:rsidRPr="00661595" w:rsidRDefault="00595FAD" w:rsidP="00FF15C6">
            <w:pPr>
              <w:keepNext/>
              <w:spacing w:before="60"/>
              <w:rPr>
                <w:rStyle w:val="InstructionsTabelleberschrift"/>
                <w:rFonts w:ascii="Times New Roman" w:hAnsi="Times New Roman"/>
                <w:sz w:val="24"/>
              </w:rPr>
            </w:pPr>
            <w:r w:rsidRPr="00661595">
              <w:rPr>
                <w:rStyle w:val="InstructionsTabelleberschrift"/>
                <w:rFonts w:ascii="Times New Roman" w:hAnsi="Times New Roman"/>
                <w:sz w:val="24"/>
              </w:rPr>
              <w:t>Exclusive mapping</w:t>
            </w:r>
          </w:p>
          <w:p w:rsidR="00595FAD" w:rsidRPr="00661595" w:rsidRDefault="00595FAD" w:rsidP="00FF15C6">
            <w:pPr>
              <w:keepNext/>
              <w:spacing w:before="60"/>
              <w:rPr>
                <w:rFonts w:ascii="Times New Roman" w:hAnsi="Times New Roman"/>
                <w:sz w:val="24"/>
                <w:lang w:eastAsia="en-CA"/>
              </w:rPr>
            </w:pPr>
            <w:r w:rsidRPr="00661595">
              <w:rPr>
                <w:rFonts w:ascii="Times New Roman" w:hAnsi="Times New Roman"/>
                <w:sz w:val="24"/>
                <w:lang w:eastAsia="en-CA"/>
              </w:rPr>
              <w:t>Article 277(1) and (2) CRR</w:t>
            </w:r>
          </w:p>
          <w:p w:rsidR="00595FAD" w:rsidRPr="00661595" w:rsidRDefault="00595FAD" w:rsidP="00FF15C6">
            <w:pPr>
              <w:pStyle w:val="TableMainHeading"/>
              <w:spacing w:before="60"/>
              <w:jc w:val="both"/>
              <w:rPr>
                <w:rFonts w:ascii="Times New Roman" w:hAnsi="Times New Roman"/>
                <w:sz w:val="24"/>
                <w:szCs w:val="24"/>
              </w:rPr>
            </w:pPr>
            <w:r w:rsidRPr="00661595">
              <w:rPr>
                <w:rFonts w:ascii="Times New Roman" w:hAnsi="Times New Roman"/>
                <w:sz w:val="24"/>
                <w:szCs w:val="24"/>
              </w:rPr>
              <w:t xml:space="preserve">Derivative transactions mapped exclusively to one risk category in accordance with Article 277(1) and (2) CRR. </w:t>
            </w:r>
          </w:p>
          <w:p w:rsidR="00595FAD" w:rsidRPr="00661595" w:rsidRDefault="00595FAD" w:rsidP="00FF15C6">
            <w:pPr>
              <w:pStyle w:val="TableMainHeading"/>
              <w:spacing w:before="60"/>
              <w:jc w:val="both"/>
              <w:rPr>
                <w:rFonts w:ascii="Times New Roman" w:hAnsi="Times New Roman"/>
                <w:sz w:val="24"/>
                <w:szCs w:val="24"/>
              </w:rPr>
            </w:pPr>
            <w:r w:rsidRPr="00661595">
              <w:rPr>
                <w:rFonts w:ascii="Times New Roman" w:hAnsi="Times New Roman"/>
                <w:sz w:val="24"/>
                <w:szCs w:val="24"/>
              </w:rPr>
              <w:t>Transactions that are mapped to different risk categories in accordance with Article 277(3) CRR shall be excluded.</w:t>
            </w:r>
          </w:p>
        </w:tc>
      </w:tr>
      <w:tr w:rsidR="00595FAD" w:rsidRPr="00661595" w:rsidTr="00FF15C6">
        <w:trPr>
          <w:trHeight w:val="680"/>
        </w:trPr>
        <w:tc>
          <w:tcPr>
            <w:tcW w:w="1384" w:type="dxa"/>
          </w:tcPr>
          <w:p w:rsidR="00595FAD" w:rsidRPr="00661595" w:rsidRDefault="00595FAD" w:rsidP="00FF15C6">
            <w:pPr>
              <w:pStyle w:val="Applicationdirecte"/>
              <w:spacing w:before="0" w:after="0"/>
            </w:pPr>
            <w:r w:rsidRPr="00661595">
              <w:t xml:space="preserve">0210, 0250 </w:t>
            </w:r>
          </w:p>
        </w:tc>
        <w:tc>
          <w:tcPr>
            <w:tcW w:w="7655" w:type="dxa"/>
          </w:tcPr>
          <w:p w:rsidR="00595FAD" w:rsidRPr="00661595" w:rsidRDefault="00595FAD" w:rsidP="00FF15C6">
            <w:pPr>
              <w:pStyle w:val="TableMainHeading"/>
              <w:spacing w:before="60"/>
              <w:jc w:val="both"/>
              <w:rPr>
                <w:rStyle w:val="InstructionsTabelleberschrift"/>
                <w:rFonts w:ascii="Times New Roman" w:hAnsi="Times New Roman"/>
                <w:sz w:val="24"/>
              </w:rPr>
            </w:pPr>
            <w:r w:rsidRPr="00661595">
              <w:rPr>
                <w:rStyle w:val="InstructionsTabelleberschrift"/>
                <w:rFonts w:ascii="Times New Roman" w:hAnsi="Times New Roman"/>
                <w:sz w:val="24"/>
              </w:rPr>
              <w:t xml:space="preserve">Single-name transactions </w:t>
            </w:r>
          </w:p>
          <w:p w:rsidR="00595FAD" w:rsidRPr="00661595" w:rsidRDefault="00595FAD" w:rsidP="00FF15C6">
            <w:pPr>
              <w:pStyle w:val="TableMainHeading"/>
              <w:spacing w:before="60"/>
              <w:jc w:val="both"/>
              <w:rPr>
                <w:rStyle w:val="InstructionsTabelleberschrift"/>
                <w:rFonts w:ascii="Times New Roman" w:hAnsi="Times New Roman"/>
                <w:sz w:val="24"/>
              </w:rPr>
            </w:pPr>
            <w:r w:rsidRPr="00661595">
              <w:rPr>
                <w:rFonts w:ascii="Times New Roman" w:hAnsi="Times New Roman"/>
                <w:sz w:val="24"/>
                <w:szCs w:val="24"/>
              </w:rPr>
              <w:t xml:space="preserve">Single-name transactions that are </w:t>
            </w:r>
            <w:r w:rsidRPr="00661595">
              <w:rPr>
                <w:rFonts w:ascii="Times New Roman" w:hAnsi="Times New Roman"/>
                <w:sz w:val="24"/>
              </w:rPr>
              <w:t xml:space="preserve">mapped </w:t>
            </w:r>
            <w:r w:rsidRPr="00661595">
              <w:rPr>
                <w:rFonts w:ascii="Times New Roman" w:hAnsi="Times New Roman"/>
                <w:sz w:val="24"/>
                <w:szCs w:val="24"/>
              </w:rPr>
              <w:t>to the credit risk and equity risk category, respectively.</w:t>
            </w:r>
            <w:r w:rsidRPr="00661595">
              <w:rPr>
                <w:rStyle w:val="InstructionsTabelleberschrift"/>
                <w:rFonts w:ascii="Times New Roman" w:hAnsi="Times New Roman"/>
                <w:sz w:val="24"/>
              </w:rPr>
              <w:t xml:space="preserve"> </w:t>
            </w:r>
          </w:p>
        </w:tc>
      </w:tr>
      <w:tr w:rsidR="00595FAD" w:rsidRPr="00661595" w:rsidTr="00FF15C6">
        <w:trPr>
          <w:trHeight w:val="680"/>
        </w:trPr>
        <w:tc>
          <w:tcPr>
            <w:tcW w:w="1384" w:type="dxa"/>
          </w:tcPr>
          <w:p w:rsidR="00595FAD" w:rsidRPr="00661595" w:rsidRDefault="00595FAD" w:rsidP="00FF15C6">
            <w:pPr>
              <w:pStyle w:val="Applicationdirecte"/>
              <w:spacing w:before="0" w:after="0"/>
            </w:pPr>
            <w:r w:rsidRPr="00661595">
              <w:t>0220, 0260</w:t>
            </w:r>
          </w:p>
        </w:tc>
        <w:tc>
          <w:tcPr>
            <w:tcW w:w="7655" w:type="dxa"/>
          </w:tcPr>
          <w:p w:rsidR="00595FAD" w:rsidRPr="00661595" w:rsidRDefault="00595FAD" w:rsidP="00FF15C6">
            <w:pPr>
              <w:keepNext/>
              <w:spacing w:before="60"/>
              <w:rPr>
                <w:rStyle w:val="InstructionsTabelleberschrift"/>
                <w:rFonts w:ascii="Times New Roman" w:hAnsi="Times New Roman"/>
                <w:sz w:val="24"/>
              </w:rPr>
            </w:pPr>
            <w:r w:rsidRPr="00661595">
              <w:rPr>
                <w:rStyle w:val="InstructionsTabelleberschrift"/>
                <w:rFonts w:ascii="Times New Roman" w:hAnsi="Times New Roman"/>
                <w:sz w:val="24"/>
              </w:rPr>
              <w:t>Multi-names transactions</w:t>
            </w:r>
          </w:p>
          <w:p w:rsidR="00595FAD" w:rsidRPr="00661595" w:rsidRDefault="00595FAD" w:rsidP="00FF15C6">
            <w:pPr>
              <w:keepNext/>
              <w:spacing w:before="60"/>
              <w:rPr>
                <w:rStyle w:val="InstructionsTabelleberschrift"/>
                <w:rFonts w:ascii="Times New Roman" w:hAnsi="Times New Roman"/>
                <w:sz w:val="24"/>
              </w:rPr>
            </w:pPr>
            <w:r w:rsidRPr="00661595">
              <w:rPr>
                <w:rFonts w:ascii="Times New Roman" w:hAnsi="Times New Roman"/>
                <w:sz w:val="24"/>
              </w:rPr>
              <w:t xml:space="preserve">Multi-name transactions that are mapped to the credit risk and equity risk category, respectively. </w:t>
            </w:r>
          </w:p>
        </w:tc>
      </w:tr>
      <w:tr w:rsidR="00595FAD" w:rsidRPr="00661595" w:rsidTr="00FF15C6">
        <w:trPr>
          <w:trHeight w:val="680"/>
        </w:trPr>
        <w:tc>
          <w:tcPr>
            <w:tcW w:w="1384" w:type="dxa"/>
          </w:tcPr>
          <w:p w:rsidR="00595FAD" w:rsidRPr="00661595" w:rsidRDefault="00595FAD" w:rsidP="00FF15C6">
            <w:pPr>
              <w:pStyle w:val="Applicationdirecte"/>
              <w:spacing w:before="0" w:after="0"/>
            </w:pPr>
            <w:r w:rsidRPr="00661595">
              <w:t>0290-0330</w:t>
            </w:r>
          </w:p>
        </w:tc>
        <w:tc>
          <w:tcPr>
            <w:tcW w:w="7655" w:type="dxa"/>
          </w:tcPr>
          <w:p w:rsidR="00595FAD" w:rsidRPr="00661595" w:rsidRDefault="00595FAD" w:rsidP="00FF15C6">
            <w:pPr>
              <w:keepNext/>
              <w:spacing w:before="60"/>
              <w:rPr>
                <w:rStyle w:val="InstructionsTabelleberschrift"/>
                <w:rFonts w:ascii="Times New Roman" w:hAnsi="Times New Roman"/>
                <w:sz w:val="24"/>
              </w:rPr>
            </w:pPr>
            <w:r w:rsidRPr="00661595">
              <w:rPr>
                <w:rStyle w:val="InstructionsTabelleberschrift"/>
                <w:rFonts w:ascii="Times New Roman" w:hAnsi="Times New Roman"/>
                <w:sz w:val="24"/>
              </w:rPr>
              <w:t>Commodity risk category hedging sets</w:t>
            </w:r>
          </w:p>
          <w:p w:rsidR="00595FAD" w:rsidRPr="00661595" w:rsidRDefault="00595FAD" w:rsidP="00FF15C6">
            <w:pPr>
              <w:keepNext/>
              <w:spacing w:before="60"/>
              <w:rPr>
                <w:rFonts w:ascii="Times New Roman" w:hAnsi="Times New Roman"/>
                <w:sz w:val="24"/>
              </w:rPr>
            </w:pPr>
            <w:r w:rsidRPr="00661595">
              <w:rPr>
                <w:rFonts w:ascii="Times New Roman" w:hAnsi="Times New Roman"/>
                <w:sz w:val="24"/>
              </w:rPr>
              <w:t xml:space="preserve">Derivative transactions assigned to the commodity risk category hedging sets as listed in point (e) </w:t>
            </w:r>
            <w:r w:rsidRPr="00661595">
              <w:rPr>
                <w:rFonts w:ascii="Times New Roman" w:hAnsi="Times New Roman"/>
                <w:sz w:val="24"/>
                <w:lang w:eastAsia="en-CA"/>
              </w:rPr>
              <w:t>Article 277a(1) CRR.</w:t>
            </w:r>
          </w:p>
        </w:tc>
      </w:tr>
    </w:tbl>
    <w:p w:rsidR="00595FAD" w:rsidRPr="00661595" w:rsidRDefault="00595FAD" w:rsidP="00595FAD">
      <w:pPr>
        <w:tabs>
          <w:tab w:val="left" w:pos="1430"/>
        </w:tabs>
        <w:rPr>
          <w:rFonts w:ascii="Times New Roman" w:hAnsi="Times New Roman"/>
        </w:rPr>
      </w:pPr>
    </w:p>
    <w:p w:rsidR="00595FAD" w:rsidRPr="00661595" w:rsidRDefault="00595FAD" w:rsidP="00595FAD">
      <w:pPr>
        <w:tabs>
          <w:tab w:val="left" w:pos="1430"/>
        </w:tabs>
        <w:rPr>
          <w:rFonts w:ascii="Times New Roman" w:hAnsi="Times New Roman"/>
        </w:rPr>
      </w:pPr>
    </w:p>
    <w:p w:rsidR="00595FAD" w:rsidRPr="00661595" w:rsidRDefault="00595FAD" w:rsidP="002F29AF">
      <w:pPr>
        <w:pStyle w:val="Instructionsberschrift2"/>
        <w:numPr>
          <w:ilvl w:val="2"/>
          <w:numId w:val="48"/>
        </w:numPr>
        <w:rPr>
          <w:rFonts w:ascii="Times New Roman" w:hAnsi="Times New Roman" w:cs="Times New Roman"/>
          <w:sz w:val="24"/>
          <w:lang w:val="en-GB"/>
        </w:rPr>
      </w:pPr>
      <w:bookmarkStart w:id="467" w:name="_Toc19715812"/>
      <w:bookmarkStart w:id="468" w:name="_Toc57831602"/>
      <w:r w:rsidRPr="00661595">
        <w:rPr>
          <w:rFonts w:ascii="Times New Roman" w:hAnsi="Times New Roman" w:cs="Times New Roman"/>
          <w:sz w:val="24"/>
          <w:lang w:val="en-GB"/>
        </w:rPr>
        <w:t>C 34.04 - CCR exposures treated with the Original Exposure Method (OEM)</w:t>
      </w:r>
      <w:bookmarkEnd w:id="467"/>
      <w:bookmarkEnd w:id="468"/>
    </w:p>
    <w:p w:rsidR="00595FAD" w:rsidRPr="00661595" w:rsidRDefault="00595FAD" w:rsidP="002F29AF">
      <w:pPr>
        <w:pStyle w:val="Instructionsberschrift2"/>
        <w:numPr>
          <w:ilvl w:val="3"/>
          <w:numId w:val="48"/>
        </w:numPr>
        <w:rPr>
          <w:rFonts w:ascii="Times New Roman" w:hAnsi="Times New Roman" w:cs="Times New Roman"/>
          <w:sz w:val="24"/>
          <w:lang w:val="en-GB"/>
        </w:rPr>
      </w:pPr>
      <w:bookmarkStart w:id="469" w:name="_Toc19715813"/>
      <w:bookmarkStart w:id="470" w:name="_Toc57831603"/>
      <w:r w:rsidRPr="00661595">
        <w:rPr>
          <w:rFonts w:ascii="Times New Roman" w:hAnsi="Times New Roman" w:cs="Times New Roman"/>
          <w:sz w:val="24"/>
          <w:lang w:val="en-GB"/>
        </w:rPr>
        <w:t>Instructions concerning specific positions</w:t>
      </w:r>
      <w:bookmarkEnd w:id="469"/>
      <w:bookmarkEnd w:id="470"/>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655"/>
      </w:tblGrid>
      <w:tr w:rsidR="00595FAD" w:rsidRPr="00661595" w:rsidTr="00FF15C6">
        <w:trPr>
          <w:trHeight w:val="238"/>
        </w:trPr>
        <w:tc>
          <w:tcPr>
            <w:tcW w:w="9039" w:type="dxa"/>
            <w:gridSpan w:val="2"/>
            <w:shd w:val="clear" w:color="auto" w:fill="D9D9D9" w:themeFill="background1" w:themeFillShade="D9"/>
          </w:tcPr>
          <w:p w:rsidR="00595FAD" w:rsidRPr="00751FBE" w:rsidRDefault="00595FAD" w:rsidP="00FF15C6">
            <w:pPr>
              <w:autoSpaceDE w:val="0"/>
              <w:autoSpaceDN w:val="0"/>
              <w:adjustRightInd w:val="0"/>
              <w:rPr>
                <w:rFonts w:ascii="Times New Roman" w:hAnsi="Times New Roman"/>
                <w:b/>
                <w:sz w:val="24"/>
              </w:rPr>
            </w:pPr>
            <w:r w:rsidRPr="00661595">
              <w:rPr>
                <w:rFonts w:ascii="Times New Roman" w:hAnsi="Times New Roman"/>
                <w:b/>
                <w:sz w:val="24"/>
              </w:rPr>
              <w:t>Columns</w:t>
            </w:r>
          </w:p>
        </w:tc>
      </w:tr>
      <w:tr w:rsidR="00595FAD" w:rsidRPr="00661595" w:rsidTr="00FF15C6">
        <w:trPr>
          <w:trHeight w:val="680"/>
        </w:trPr>
        <w:tc>
          <w:tcPr>
            <w:tcW w:w="1384" w:type="dxa"/>
          </w:tcPr>
          <w:p w:rsidR="00595FAD" w:rsidRPr="00661595" w:rsidRDefault="00595FAD" w:rsidP="00FF15C6">
            <w:pPr>
              <w:pStyle w:val="Applicationdirecte"/>
              <w:spacing w:before="0" w:after="0"/>
            </w:pPr>
            <w:r w:rsidRPr="00661595">
              <w:t>0010 - 0020</w:t>
            </w:r>
          </w:p>
        </w:tc>
        <w:tc>
          <w:tcPr>
            <w:tcW w:w="7655" w:type="dxa"/>
            <w:vAlign w:val="center"/>
          </w:tcPr>
          <w:p w:rsidR="00595FAD" w:rsidRPr="00661595" w:rsidRDefault="00595FAD" w:rsidP="00FF15C6">
            <w:pPr>
              <w:keepNext/>
              <w:spacing w:before="60"/>
              <w:rPr>
                <w:rFonts w:ascii="Times New Roman" w:hAnsi="Times New Roman"/>
                <w:sz w:val="24"/>
                <w:lang w:eastAsia="en-CA"/>
              </w:rPr>
            </w:pPr>
            <w:r w:rsidRPr="00661595">
              <w:rPr>
                <w:rFonts w:ascii="Times New Roman" w:hAnsi="Times New Roman"/>
                <w:sz w:val="24"/>
                <w:lang w:eastAsia="en-CA"/>
              </w:rPr>
              <w:t>Instructions for the columns 0010 and 0020 shall be those provided for template C</w:t>
            </w:r>
            <w:r w:rsidR="00DC0A81">
              <w:rPr>
                <w:rFonts w:ascii="Times New Roman" w:hAnsi="Times New Roman"/>
                <w:sz w:val="24"/>
                <w:lang w:eastAsia="en-CA"/>
              </w:rPr>
              <w:t xml:space="preserve"> </w:t>
            </w:r>
            <w:r w:rsidRPr="00661595">
              <w:rPr>
                <w:rFonts w:ascii="Times New Roman" w:hAnsi="Times New Roman"/>
                <w:sz w:val="24"/>
                <w:lang w:eastAsia="en-CA"/>
              </w:rPr>
              <w:t>34.02.</w:t>
            </w:r>
          </w:p>
        </w:tc>
      </w:tr>
      <w:tr w:rsidR="00595FAD" w:rsidRPr="00661595" w:rsidTr="00FF15C6">
        <w:trPr>
          <w:trHeight w:val="680"/>
        </w:trPr>
        <w:tc>
          <w:tcPr>
            <w:tcW w:w="1384" w:type="dxa"/>
          </w:tcPr>
          <w:p w:rsidR="00595FAD" w:rsidRPr="00661595" w:rsidRDefault="00595FAD" w:rsidP="00FF15C6">
            <w:pPr>
              <w:pStyle w:val="Applicationdirecte"/>
              <w:spacing w:before="0" w:after="0"/>
              <w:jc w:val="left"/>
            </w:pPr>
            <w:r w:rsidRPr="00661595">
              <w:t>0030</w:t>
            </w:r>
          </w:p>
        </w:tc>
        <w:tc>
          <w:tcPr>
            <w:tcW w:w="7655" w:type="dxa"/>
            <w:vAlign w:val="center"/>
          </w:tcPr>
          <w:p w:rsidR="00595FAD" w:rsidRPr="00661595" w:rsidRDefault="00595FAD" w:rsidP="00FF15C6">
            <w:pPr>
              <w:keepNext/>
              <w:spacing w:before="60"/>
              <w:rPr>
                <w:rStyle w:val="InstructionsTabelleberschrift"/>
                <w:rFonts w:ascii="Times New Roman" w:hAnsi="Times New Roman"/>
                <w:sz w:val="24"/>
              </w:rPr>
            </w:pPr>
            <w:r w:rsidRPr="00661595">
              <w:rPr>
                <w:rStyle w:val="InstructionsTabelleberschrift"/>
                <w:rFonts w:ascii="Times New Roman" w:hAnsi="Times New Roman"/>
                <w:sz w:val="24"/>
              </w:rPr>
              <w:t>CURRENT MARKET VALUE (CMV), POSITIVE</w:t>
            </w:r>
          </w:p>
          <w:p w:rsidR="00595FAD" w:rsidRPr="00661595" w:rsidRDefault="00595FAD" w:rsidP="00FF15C6">
            <w:pPr>
              <w:keepNext/>
              <w:spacing w:before="60"/>
              <w:rPr>
                <w:rFonts w:ascii="Times New Roman" w:hAnsi="Times New Roman"/>
                <w:sz w:val="24"/>
                <w:lang w:eastAsia="en-CA"/>
              </w:rPr>
            </w:pPr>
            <w:r w:rsidRPr="00661595">
              <w:rPr>
                <w:rFonts w:ascii="Times New Roman" w:hAnsi="Times New Roman"/>
                <w:sz w:val="24"/>
              </w:rPr>
              <w:t>Sum of the current market values (CMV) of all transactions with positive CMV in the respective risk category</w:t>
            </w:r>
            <w:r w:rsidRPr="00661595">
              <w:rPr>
                <w:rFonts w:ascii="Times New Roman" w:hAnsi="Times New Roman"/>
                <w:sz w:val="24"/>
                <w:lang w:eastAsia="en-CA"/>
              </w:rPr>
              <w:t>.</w:t>
            </w:r>
          </w:p>
        </w:tc>
      </w:tr>
      <w:tr w:rsidR="00595FAD" w:rsidRPr="00661595" w:rsidTr="00FF15C6">
        <w:trPr>
          <w:trHeight w:val="680"/>
        </w:trPr>
        <w:tc>
          <w:tcPr>
            <w:tcW w:w="1384" w:type="dxa"/>
          </w:tcPr>
          <w:p w:rsidR="00595FAD" w:rsidRPr="00661595" w:rsidRDefault="00595FAD" w:rsidP="00FF15C6">
            <w:pPr>
              <w:pStyle w:val="Applicationdirecte"/>
              <w:spacing w:before="0" w:after="0"/>
              <w:jc w:val="left"/>
            </w:pPr>
            <w:r w:rsidRPr="00661595">
              <w:t>0040</w:t>
            </w:r>
          </w:p>
        </w:tc>
        <w:tc>
          <w:tcPr>
            <w:tcW w:w="7655" w:type="dxa"/>
            <w:vAlign w:val="center"/>
          </w:tcPr>
          <w:p w:rsidR="00595FAD" w:rsidRPr="00661595" w:rsidRDefault="00595FAD" w:rsidP="00FF15C6">
            <w:pPr>
              <w:keepNext/>
              <w:spacing w:before="60"/>
              <w:rPr>
                <w:rStyle w:val="InstructionsTabelleberschrift"/>
                <w:rFonts w:ascii="Times New Roman" w:hAnsi="Times New Roman"/>
                <w:sz w:val="24"/>
              </w:rPr>
            </w:pPr>
            <w:r w:rsidRPr="00661595">
              <w:rPr>
                <w:rStyle w:val="InstructionsTabelleberschrift"/>
                <w:rFonts w:ascii="Times New Roman" w:hAnsi="Times New Roman"/>
                <w:sz w:val="24"/>
              </w:rPr>
              <w:t>CURRENT MARKET VALUE (CMV), NEGATIVE</w:t>
            </w:r>
          </w:p>
          <w:p w:rsidR="00595FAD" w:rsidRPr="00661595" w:rsidRDefault="00595FAD" w:rsidP="00FF15C6">
            <w:pPr>
              <w:keepNext/>
              <w:spacing w:before="60"/>
              <w:rPr>
                <w:rStyle w:val="InstructionsTabelleberschrift"/>
                <w:rFonts w:ascii="Times New Roman" w:hAnsi="Times New Roman"/>
                <w:b w:val="0"/>
                <w:bCs w:val="0"/>
                <w:sz w:val="24"/>
                <w:u w:val="none"/>
                <w:lang w:eastAsia="en-CA"/>
              </w:rPr>
            </w:pPr>
            <w:r w:rsidRPr="00661595">
              <w:rPr>
                <w:rFonts w:ascii="Times New Roman" w:hAnsi="Times New Roman"/>
                <w:sz w:val="24"/>
              </w:rPr>
              <w:t>Sum of the absolute current market values (CMV) of all transactions with negative CMV in the respective risk category</w:t>
            </w:r>
            <w:r w:rsidRPr="00661595">
              <w:rPr>
                <w:rFonts w:ascii="Times New Roman" w:hAnsi="Times New Roman"/>
                <w:sz w:val="24"/>
                <w:lang w:eastAsia="en-CA"/>
              </w:rPr>
              <w:t>.</w:t>
            </w:r>
          </w:p>
        </w:tc>
      </w:tr>
      <w:tr w:rsidR="00595FAD" w:rsidRPr="00661595" w:rsidTr="00FF15C6">
        <w:trPr>
          <w:trHeight w:val="680"/>
        </w:trPr>
        <w:tc>
          <w:tcPr>
            <w:tcW w:w="1384" w:type="dxa"/>
          </w:tcPr>
          <w:p w:rsidR="00595FAD" w:rsidRPr="00661595" w:rsidRDefault="00595FAD" w:rsidP="00FF15C6">
            <w:pPr>
              <w:pStyle w:val="Applicationdirecte"/>
              <w:spacing w:before="0" w:after="0"/>
              <w:jc w:val="left"/>
            </w:pPr>
            <w:r w:rsidRPr="00661595">
              <w:t>0050</w:t>
            </w:r>
          </w:p>
        </w:tc>
        <w:tc>
          <w:tcPr>
            <w:tcW w:w="7655" w:type="dxa"/>
            <w:vAlign w:val="center"/>
          </w:tcPr>
          <w:p w:rsidR="00595FAD" w:rsidRPr="00661595" w:rsidRDefault="00595FAD" w:rsidP="00FF15C6">
            <w:pPr>
              <w:keepNext/>
              <w:spacing w:before="60"/>
              <w:rPr>
                <w:rStyle w:val="InstructionsTabelleberschrift"/>
                <w:rFonts w:ascii="Times New Roman" w:hAnsi="Times New Roman"/>
                <w:sz w:val="24"/>
              </w:rPr>
            </w:pPr>
            <w:r w:rsidRPr="00661595">
              <w:rPr>
                <w:rStyle w:val="InstructionsTabelleberschrift"/>
                <w:rFonts w:ascii="Times New Roman" w:hAnsi="Times New Roman"/>
                <w:sz w:val="24"/>
              </w:rPr>
              <w:t>POTENTIAL FUTURE EXPOSURE (PFE)</w:t>
            </w:r>
          </w:p>
          <w:p w:rsidR="00595FAD" w:rsidRPr="00661595" w:rsidRDefault="00595FAD" w:rsidP="00FF15C6">
            <w:pPr>
              <w:keepNext/>
              <w:spacing w:before="60"/>
              <w:rPr>
                <w:rStyle w:val="InstructionsTabelleberschrift"/>
                <w:rFonts w:ascii="Times New Roman" w:hAnsi="Times New Roman"/>
                <w:sz w:val="24"/>
              </w:rPr>
            </w:pPr>
            <w:r w:rsidRPr="00661595">
              <w:rPr>
                <w:rFonts w:ascii="Times New Roman" w:hAnsi="Times New Roman"/>
                <w:sz w:val="24"/>
                <w:lang w:eastAsia="en-CA"/>
              </w:rPr>
              <w:t>The institution shall report the sum of PFEs for all the transactions belonging to the same risk category.</w:t>
            </w:r>
          </w:p>
        </w:tc>
      </w:tr>
      <w:tr w:rsidR="00595FAD" w:rsidRPr="00661595" w:rsidTr="00FF15C6">
        <w:trPr>
          <w:trHeight w:val="238"/>
        </w:trPr>
        <w:tc>
          <w:tcPr>
            <w:tcW w:w="9039" w:type="dxa"/>
            <w:gridSpan w:val="2"/>
            <w:tcBorders>
              <w:right w:val="single" w:sz="4" w:space="0" w:color="auto"/>
            </w:tcBorders>
            <w:shd w:val="clear" w:color="auto" w:fill="D9D9D9" w:themeFill="background1" w:themeFillShade="D9"/>
          </w:tcPr>
          <w:p w:rsidR="00595FAD" w:rsidRPr="00751FBE" w:rsidRDefault="00595FAD" w:rsidP="00751FBE">
            <w:pPr>
              <w:autoSpaceDE w:val="0"/>
              <w:autoSpaceDN w:val="0"/>
              <w:adjustRightInd w:val="0"/>
              <w:rPr>
                <w:rFonts w:ascii="Times New Roman" w:hAnsi="Times New Roman"/>
                <w:b/>
                <w:sz w:val="24"/>
              </w:rPr>
            </w:pPr>
            <w:r w:rsidRPr="00661595">
              <w:rPr>
                <w:rFonts w:ascii="Times New Roman" w:hAnsi="Times New Roman"/>
                <w:b/>
                <w:sz w:val="24"/>
              </w:rPr>
              <w:t>Rows</w:t>
            </w:r>
          </w:p>
        </w:tc>
      </w:tr>
      <w:tr w:rsidR="00595FAD" w:rsidRPr="00661595" w:rsidTr="00FF15C6">
        <w:trPr>
          <w:trHeight w:val="680"/>
        </w:trPr>
        <w:tc>
          <w:tcPr>
            <w:tcW w:w="1384" w:type="dxa"/>
          </w:tcPr>
          <w:p w:rsidR="00595FAD" w:rsidRPr="00661595" w:rsidRDefault="00595FAD" w:rsidP="00FF15C6">
            <w:pPr>
              <w:pStyle w:val="Applicationdirecte"/>
              <w:spacing w:before="0" w:after="0"/>
            </w:pPr>
            <w:r w:rsidRPr="00661595">
              <w:t>0020 - 0070</w:t>
            </w:r>
          </w:p>
        </w:tc>
        <w:tc>
          <w:tcPr>
            <w:tcW w:w="7655" w:type="dxa"/>
            <w:vAlign w:val="center"/>
          </w:tcPr>
          <w:p w:rsidR="00595FAD" w:rsidRPr="00661595" w:rsidRDefault="00595FAD" w:rsidP="00FF15C6">
            <w:pPr>
              <w:keepNext/>
              <w:spacing w:before="60"/>
              <w:rPr>
                <w:rStyle w:val="InstructionsTabelleberschrift"/>
                <w:rFonts w:ascii="Times New Roman" w:hAnsi="Times New Roman"/>
                <w:sz w:val="24"/>
              </w:rPr>
            </w:pPr>
            <w:r w:rsidRPr="00661595">
              <w:rPr>
                <w:rStyle w:val="InstructionsTabelleberschrift"/>
                <w:rFonts w:ascii="Times New Roman" w:hAnsi="Times New Roman"/>
                <w:sz w:val="24"/>
              </w:rPr>
              <w:t>RISK CATEGORIES</w:t>
            </w:r>
          </w:p>
          <w:p w:rsidR="00595FAD" w:rsidRPr="00661595" w:rsidRDefault="00595FAD" w:rsidP="00FF15C6">
            <w:pPr>
              <w:keepNext/>
              <w:spacing w:before="60"/>
              <w:rPr>
                <w:rFonts w:ascii="Times New Roman" w:hAnsi="Times New Roman"/>
                <w:sz w:val="24"/>
                <w:lang w:eastAsia="en-CA"/>
              </w:rPr>
            </w:pPr>
            <w:r w:rsidRPr="00661595">
              <w:rPr>
                <w:rFonts w:ascii="Times New Roman" w:hAnsi="Times New Roman"/>
                <w:sz w:val="24"/>
                <w:lang w:eastAsia="en-CA"/>
              </w:rPr>
              <w:t>Derivative transactions mapped to the risk categories as listed in point (b) of Article 282(4) CRR</w:t>
            </w:r>
          </w:p>
        </w:tc>
      </w:tr>
    </w:tbl>
    <w:p w:rsidR="00595FAD" w:rsidRPr="00661595" w:rsidRDefault="00595FAD" w:rsidP="00595FAD">
      <w:pPr>
        <w:tabs>
          <w:tab w:val="left" w:pos="1430"/>
        </w:tabs>
        <w:rPr>
          <w:rFonts w:ascii="Times New Roman" w:hAnsi="Times New Roman"/>
        </w:rPr>
      </w:pPr>
    </w:p>
    <w:p w:rsidR="00595FAD" w:rsidRPr="00661595" w:rsidRDefault="00595FAD" w:rsidP="002F29AF">
      <w:pPr>
        <w:pStyle w:val="Instructionsberschrift2"/>
        <w:numPr>
          <w:ilvl w:val="2"/>
          <w:numId w:val="48"/>
        </w:numPr>
        <w:rPr>
          <w:rFonts w:ascii="Times New Roman" w:hAnsi="Times New Roman" w:cs="Times New Roman"/>
          <w:sz w:val="24"/>
          <w:lang w:val="en-GB"/>
        </w:rPr>
      </w:pPr>
      <w:bookmarkStart w:id="471" w:name="_Toc19715814"/>
      <w:bookmarkStart w:id="472" w:name="_Toc57831604"/>
      <w:r w:rsidRPr="00661595">
        <w:rPr>
          <w:rFonts w:ascii="Times New Roman" w:hAnsi="Times New Roman" w:cs="Times New Roman"/>
          <w:sz w:val="24"/>
          <w:lang w:val="en-GB"/>
        </w:rPr>
        <w:t>C 34.05 – CCR exposures treated with the Internal Model Method (IMM)</w:t>
      </w:r>
      <w:bookmarkEnd w:id="471"/>
      <w:bookmarkEnd w:id="472"/>
    </w:p>
    <w:p w:rsidR="00595FAD" w:rsidRPr="00661595" w:rsidRDefault="00595FAD" w:rsidP="002F29AF">
      <w:pPr>
        <w:pStyle w:val="Instructionsberschrift2"/>
        <w:numPr>
          <w:ilvl w:val="3"/>
          <w:numId w:val="48"/>
        </w:numPr>
        <w:rPr>
          <w:rFonts w:ascii="Times New Roman" w:hAnsi="Times New Roman" w:cs="Times New Roman"/>
          <w:sz w:val="24"/>
          <w:lang w:val="en-GB"/>
        </w:rPr>
      </w:pPr>
      <w:bookmarkStart w:id="473" w:name="_Toc19715815"/>
      <w:bookmarkStart w:id="474" w:name="_Toc57831605"/>
      <w:r w:rsidRPr="00661595">
        <w:rPr>
          <w:rFonts w:ascii="Times New Roman" w:hAnsi="Times New Roman" w:cs="Times New Roman"/>
          <w:sz w:val="24"/>
          <w:lang w:val="en-GB"/>
        </w:rPr>
        <w:t>Instructions concerning specific positions</w:t>
      </w:r>
      <w:bookmarkEnd w:id="473"/>
      <w:bookmarkEnd w:id="474"/>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655"/>
      </w:tblGrid>
      <w:tr w:rsidR="00595FAD" w:rsidRPr="00661595" w:rsidTr="00FF15C6">
        <w:trPr>
          <w:trHeight w:val="238"/>
        </w:trPr>
        <w:tc>
          <w:tcPr>
            <w:tcW w:w="9039" w:type="dxa"/>
            <w:gridSpan w:val="2"/>
            <w:shd w:val="clear" w:color="auto" w:fill="D9D9D9" w:themeFill="background1" w:themeFillShade="D9"/>
          </w:tcPr>
          <w:p w:rsidR="00595FAD" w:rsidRPr="00751FBE" w:rsidRDefault="00595FAD" w:rsidP="00FF15C6">
            <w:pPr>
              <w:autoSpaceDE w:val="0"/>
              <w:autoSpaceDN w:val="0"/>
              <w:adjustRightInd w:val="0"/>
              <w:rPr>
                <w:rFonts w:ascii="Times New Roman" w:hAnsi="Times New Roman"/>
                <w:b/>
                <w:sz w:val="24"/>
              </w:rPr>
            </w:pPr>
            <w:r w:rsidRPr="00661595">
              <w:rPr>
                <w:rFonts w:ascii="Times New Roman" w:hAnsi="Times New Roman"/>
                <w:b/>
                <w:sz w:val="24"/>
              </w:rPr>
              <w:t>Columns</w:t>
            </w:r>
          </w:p>
        </w:tc>
      </w:tr>
      <w:tr w:rsidR="00595FAD" w:rsidRPr="00661595" w:rsidTr="00FF15C6">
        <w:trPr>
          <w:trHeight w:val="680"/>
        </w:trPr>
        <w:tc>
          <w:tcPr>
            <w:tcW w:w="1384" w:type="dxa"/>
          </w:tcPr>
          <w:p w:rsidR="00595FAD" w:rsidRPr="00661595" w:rsidRDefault="00595FAD" w:rsidP="00FF15C6">
            <w:pPr>
              <w:pStyle w:val="Applicationdirecte"/>
              <w:spacing w:before="0" w:after="0"/>
            </w:pPr>
            <w:r w:rsidRPr="00661595">
              <w:t>00010 - 0080</w:t>
            </w:r>
          </w:p>
        </w:tc>
        <w:tc>
          <w:tcPr>
            <w:tcW w:w="7655" w:type="dxa"/>
            <w:vAlign w:val="center"/>
          </w:tcPr>
          <w:p w:rsidR="00595FAD" w:rsidRPr="00661595" w:rsidRDefault="00595FAD" w:rsidP="00FF15C6">
            <w:pPr>
              <w:keepNext/>
              <w:spacing w:before="60"/>
              <w:rPr>
                <w:rFonts w:ascii="Times New Roman" w:hAnsi="Times New Roman"/>
                <w:strike/>
                <w:sz w:val="24"/>
                <w:lang w:eastAsia="en-CA"/>
              </w:rPr>
            </w:pPr>
            <w:r w:rsidRPr="00661595">
              <w:rPr>
                <w:rStyle w:val="InstructionsTabelleberschrift"/>
                <w:rFonts w:ascii="Times New Roman" w:hAnsi="Times New Roman"/>
                <w:sz w:val="24"/>
              </w:rPr>
              <w:t xml:space="preserve">MARGINED </w:t>
            </w:r>
          </w:p>
          <w:p w:rsidR="00595FAD" w:rsidRPr="00661595" w:rsidRDefault="00595FAD" w:rsidP="00FF15C6">
            <w:pPr>
              <w:keepNext/>
              <w:spacing w:before="60"/>
              <w:rPr>
                <w:rFonts w:ascii="Times New Roman" w:hAnsi="Times New Roman"/>
                <w:strike/>
                <w:sz w:val="24"/>
                <w:lang w:eastAsia="en-CA"/>
              </w:rPr>
            </w:pPr>
            <w:r w:rsidRPr="00661595">
              <w:rPr>
                <w:rFonts w:ascii="Times New Roman" w:hAnsi="Times New Roman"/>
                <w:sz w:val="24"/>
              </w:rPr>
              <w:t>See instructions to row 0130 in template C</w:t>
            </w:r>
            <w:r w:rsidR="00DC0A81">
              <w:rPr>
                <w:rFonts w:ascii="Times New Roman" w:hAnsi="Times New Roman"/>
                <w:sz w:val="24"/>
              </w:rPr>
              <w:t xml:space="preserve"> </w:t>
            </w:r>
            <w:r w:rsidRPr="00661595">
              <w:rPr>
                <w:rFonts w:ascii="Times New Roman" w:hAnsi="Times New Roman"/>
                <w:sz w:val="24"/>
              </w:rPr>
              <w:t>34.02.</w:t>
            </w:r>
          </w:p>
        </w:tc>
      </w:tr>
      <w:tr w:rsidR="00595FAD" w:rsidRPr="00661595" w:rsidTr="00FF15C6">
        <w:trPr>
          <w:trHeight w:val="680"/>
        </w:trPr>
        <w:tc>
          <w:tcPr>
            <w:tcW w:w="1384" w:type="dxa"/>
          </w:tcPr>
          <w:p w:rsidR="00595FAD" w:rsidRPr="00661595" w:rsidRDefault="00595FAD" w:rsidP="00FF15C6">
            <w:pPr>
              <w:pStyle w:val="Applicationdirecte"/>
              <w:spacing w:before="0" w:after="0"/>
            </w:pPr>
            <w:r w:rsidRPr="00661595">
              <w:t>0090 - 0160</w:t>
            </w:r>
          </w:p>
        </w:tc>
        <w:tc>
          <w:tcPr>
            <w:tcW w:w="7655" w:type="dxa"/>
            <w:vAlign w:val="center"/>
          </w:tcPr>
          <w:p w:rsidR="00595FAD" w:rsidRPr="00661595" w:rsidRDefault="00595FAD" w:rsidP="00FF15C6">
            <w:pPr>
              <w:keepNext/>
              <w:spacing w:before="60"/>
              <w:rPr>
                <w:rStyle w:val="InstructionsTabelleberschrift"/>
                <w:rFonts w:ascii="Times New Roman" w:hAnsi="Times New Roman"/>
                <w:b w:val="0"/>
                <w:bCs w:val="0"/>
                <w:sz w:val="24"/>
              </w:rPr>
            </w:pPr>
            <w:r w:rsidRPr="00661595">
              <w:rPr>
                <w:rStyle w:val="InstructionsTabelleberschrift"/>
                <w:rFonts w:ascii="Times New Roman" w:hAnsi="Times New Roman"/>
                <w:sz w:val="24"/>
              </w:rPr>
              <w:t xml:space="preserve">UNMARGINED </w:t>
            </w:r>
          </w:p>
          <w:p w:rsidR="00595FAD" w:rsidRPr="00661595" w:rsidRDefault="00595FAD" w:rsidP="00FF15C6">
            <w:pPr>
              <w:keepNext/>
              <w:spacing w:before="60"/>
              <w:rPr>
                <w:rFonts w:ascii="Times New Roman" w:hAnsi="Times New Roman"/>
                <w:strike/>
                <w:sz w:val="24"/>
                <w:lang w:eastAsia="en-CA"/>
              </w:rPr>
            </w:pPr>
            <w:r w:rsidRPr="00661595">
              <w:rPr>
                <w:rFonts w:ascii="Times New Roman" w:hAnsi="Times New Roman"/>
                <w:sz w:val="24"/>
              </w:rPr>
              <w:t>See instructions to row 0140 in template C</w:t>
            </w:r>
            <w:r w:rsidR="00DC0A81">
              <w:rPr>
                <w:rFonts w:ascii="Times New Roman" w:hAnsi="Times New Roman"/>
                <w:sz w:val="24"/>
              </w:rPr>
              <w:t xml:space="preserve"> </w:t>
            </w:r>
            <w:r w:rsidRPr="00661595">
              <w:rPr>
                <w:rFonts w:ascii="Times New Roman" w:hAnsi="Times New Roman"/>
                <w:sz w:val="24"/>
              </w:rPr>
              <w:t>34.02.</w:t>
            </w:r>
          </w:p>
        </w:tc>
      </w:tr>
      <w:tr w:rsidR="00595FAD" w:rsidRPr="00661595" w:rsidTr="00FF15C6">
        <w:trPr>
          <w:trHeight w:val="680"/>
        </w:trPr>
        <w:tc>
          <w:tcPr>
            <w:tcW w:w="1384" w:type="dxa"/>
          </w:tcPr>
          <w:p w:rsidR="00595FAD" w:rsidRPr="00661595" w:rsidRDefault="00595FAD" w:rsidP="00FF15C6">
            <w:pPr>
              <w:pStyle w:val="Applicationdirecte"/>
              <w:spacing w:before="0" w:after="0"/>
              <w:jc w:val="left"/>
            </w:pPr>
            <w:r w:rsidRPr="00661595">
              <w:t>0010,0090</w:t>
            </w:r>
          </w:p>
        </w:tc>
        <w:tc>
          <w:tcPr>
            <w:tcW w:w="7655" w:type="dxa"/>
            <w:vAlign w:val="center"/>
          </w:tcPr>
          <w:p w:rsidR="00595FAD" w:rsidRPr="00661595" w:rsidRDefault="00595FAD" w:rsidP="00FF15C6">
            <w:pPr>
              <w:keepNext/>
              <w:spacing w:before="60"/>
              <w:rPr>
                <w:rStyle w:val="InstructionsTabelleberschrift"/>
                <w:rFonts w:ascii="Times New Roman" w:hAnsi="Times New Roman"/>
                <w:sz w:val="24"/>
              </w:rPr>
            </w:pPr>
            <w:r w:rsidRPr="00661595">
              <w:rPr>
                <w:rStyle w:val="InstructionsTabelleberschrift"/>
                <w:rFonts w:ascii="Times New Roman" w:hAnsi="Times New Roman"/>
                <w:sz w:val="24"/>
              </w:rPr>
              <w:t xml:space="preserve">NUMBER OF TRANSACTIONS </w:t>
            </w:r>
          </w:p>
          <w:p w:rsidR="00595FAD" w:rsidRPr="00661595" w:rsidRDefault="00595FAD" w:rsidP="00FF15C6">
            <w:pPr>
              <w:keepNext/>
              <w:spacing w:before="60"/>
              <w:rPr>
                <w:rFonts w:ascii="Times New Roman" w:hAnsi="Times New Roman"/>
                <w:strike/>
                <w:sz w:val="24"/>
                <w:lang w:eastAsia="en-CA"/>
              </w:rPr>
            </w:pPr>
            <w:r w:rsidRPr="00661595">
              <w:rPr>
                <w:rFonts w:ascii="Times New Roman" w:hAnsi="Times New Roman"/>
                <w:sz w:val="24"/>
              </w:rPr>
              <w:t>See instructions to column 0020 in template C</w:t>
            </w:r>
            <w:r w:rsidR="00DC0A81">
              <w:rPr>
                <w:rFonts w:ascii="Times New Roman" w:hAnsi="Times New Roman"/>
                <w:sz w:val="24"/>
              </w:rPr>
              <w:t xml:space="preserve"> </w:t>
            </w:r>
            <w:r w:rsidRPr="00661595">
              <w:rPr>
                <w:rFonts w:ascii="Times New Roman" w:hAnsi="Times New Roman"/>
                <w:sz w:val="24"/>
              </w:rPr>
              <w:t>34.02.</w:t>
            </w:r>
          </w:p>
        </w:tc>
      </w:tr>
      <w:tr w:rsidR="00595FAD" w:rsidRPr="00661595" w:rsidTr="00FF15C6">
        <w:trPr>
          <w:trHeight w:val="680"/>
        </w:trPr>
        <w:tc>
          <w:tcPr>
            <w:tcW w:w="1384" w:type="dxa"/>
          </w:tcPr>
          <w:p w:rsidR="00595FAD" w:rsidRPr="00661595" w:rsidRDefault="00595FAD" w:rsidP="00FF15C6">
            <w:pPr>
              <w:pStyle w:val="Fait"/>
              <w:jc w:val="left"/>
            </w:pPr>
            <w:r w:rsidRPr="00661595">
              <w:t>0020,0100</w:t>
            </w:r>
          </w:p>
        </w:tc>
        <w:tc>
          <w:tcPr>
            <w:tcW w:w="7655" w:type="dxa"/>
            <w:vAlign w:val="center"/>
          </w:tcPr>
          <w:p w:rsidR="00595FAD" w:rsidRPr="00661595" w:rsidRDefault="00595FAD" w:rsidP="00FF15C6">
            <w:pPr>
              <w:keepNext/>
              <w:spacing w:before="60"/>
              <w:rPr>
                <w:rStyle w:val="InstructionsTabelleberschrift"/>
                <w:rFonts w:ascii="Times New Roman" w:hAnsi="Times New Roman"/>
                <w:b w:val="0"/>
                <w:bCs w:val="0"/>
                <w:sz w:val="24"/>
              </w:rPr>
            </w:pPr>
            <w:r w:rsidRPr="00661595">
              <w:rPr>
                <w:rStyle w:val="InstructionsTabelleberschrift"/>
                <w:rFonts w:ascii="Times New Roman" w:hAnsi="Times New Roman"/>
                <w:sz w:val="24"/>
              </w:rPr>
              <w:t xml:space="preserve">NOTIONAL AMOUNTS </w:t>
            </w:r>
          </w:p>
          <w:p w:rsidR="00595FAD" w:rsidRPr="00661595" w:rsidRDefault="00595FAD" w:rsidP="00FF15C6">
            <w:pPr>
              <w:keepNext/>
              <w:spacing w:before="60"/>
              <w:rPr>
                <w:rFonts w:ascii="Times New Roman" w:hAnsi="Times New Roman"/>
                <w:i/>
                <w:strike/>
                <w:sz w:val="24"/>
                <w:lang w:eastAsia="en-CA"/>
              </w:rPr>
            </w:pPr>
            <w:r w:rsidRPr="00661595">
              <w:rPr>
                <w:rFonts w:ascii="Times New Roman" w:hAnsi="Times New Roman"/>
                <w:sz w:val="24"/>
              </w:rPr>
              <w:t>See instructions to column 0030 in template C</w:t>
            </w:r>
            <w:r w:rsidR="00DC0A81">
              <w:rPr>
                <w:rFonts w:ascii="Times New Roman" w:hAnsi="Times New Roman"/>
                <w:sz w:val="24"/>
              </w:rPr>
              <w:t xml:space="preserve"> </w:t>
            </w:r>
            <w:r w:rsidRPr="00661595">
              <w:rPr>
                <w:rFonts w:ascii="Times New Roman" w:hAnsi="Times New Roman"/>
                <w:sz w:val="24"/>
              </w:rPr>
              <w:t>34.02.</w:t>
            </w:r>
          </w:p>
        </w:tc>
      </w:tr>
      <w:tr w:rsidR="00595FAD" w:rsidRPr="00661595" w:rsidTr="00FF15C6">
        <w:trPr>
          <w:trHeight w:val="680"/>
        </w:trPr>
        <w:tc>
          <w:tcPr>
            <w:tcW w:w="1384" w:type="dxa"/>
          </w:tcPr>
          <w:p w:rsidR="00595FAD" w:rsidRPr="00661595" w:rsidRDefault="00595FAD" w:rsidP="00FF15C6">
            <w:pPr>
              <w:pStyle w:val="Applicationdirecte"/>
              <w:spacing w:before="0" w:after="0"/>
              <w:jc w:val="left"/>
            </w:pPr>
            <w:r w:rsidRPr="00661595">
              <w:t>0030,0110</w:t>
            </w:r>
          </w:p>
        </w:tc>
        <w:tc>
          <w:tcPr>
            <w:tcW w:w="7655" w:type="dxa"/>
            <w:vAlign w:val="center"/>
          </w:tcPr>
          <w:p w:rsidR="00595FAD" w:rsidRPr="00661595" w:rsidRDefault="00595FAD" w:rsidP="00FF15C6">
            <w:pPr>
              <w:keepNext/>
              <w:spacing w:before="60"/>
              <w:rPr>
                <w:rStyle w:val="InstructionsTabelleberschrift"/>
                <w:rFonts w:ascii="Times New Roman" w:hAnsi="Times New Roman"/>
                <w:sz w:val="24"/>
              </w:rPr>
            </w:pPr>
            <w:r w:rsidRPr="00661595">
              <w:rPr>
                <w:rStyle w:val="InstructionsTabelleberschrift"/>
                <w:rFonts w:ascii="Times New Roman" w:hAnsi="Times New Roman"/>
                <w:sz w:val="24"/>
              </w:rPr>
              <w:t>CURRENT MARKET VALUE (CMV), POSITIVE</w:t>
            </w:r>
          </w:p>
          <w:p w:rsidR="00595FAD" w:rsidRPr="00661595" w:rsidRDefault="00595FAD" w:rsidP="00FF15C6">
            <w:pPr>
              <w:keepNext/>
              <w:spacing w:before="60"/>
              <w:rPr>
                <w:rFonts w:ascii="Times New Roman" w:hAnsi="Times New Roman"/>
                <w:sz w:val="24"/>
                <w:lang w:eastAsia="en-CA"/>
              </w:rPr>
            </w:pPr>
            <w:r w:rsidRPr="00661595">
              <w:rPr>
                <w:rFonts w:ascii="Times New Roman" w:hAnsi="Times New Roman"/>
                <w:sz w:val="24"/>
              </w:rPr>
              <w:t xml:space="preserve">Sum of the current market values (CMV) of all </w:t>
            </w:r>
            <w:r w:rsidRPr="00661595">
              <w:rPr>
                <w:rFonts w:ascii="Times New Roman" w:hAnsi="Times New Roman"/>
                <w:sz w:val="24"/>
                <w:lang w:eastAsia="en-CA"/>
              </w:rPr>
              <w:t xml:space="preserve">transactions </w:t>
            </w:r>
            <w:r w:rsidRPr="00661595">
              <w:rPr>
                <w:rFonts w:ascii="Times New Roman" w:hAnsi="Times New Roman"/>
                <w:sz w:val="24"/>
              </w:rPr>
              <w:t>with positive CMV</w:t>
            </w:r>
            <w:r w:rsidRPr="00661595">
              <w:rPr>
                <w:rFonts w:ascii="Times New Roman" w:hAnsi="Times New Roman"/>
                <w:sz w:val="24"/>
                <w:lang w:eastAsia="en-CA"/>
              </w:rPr>
              <w:t xml:space="preserve"> belonging to the same asset class.</w:t>
            </w:r>
          </w:p>
        </w:tc>
      </w:tr>
      <w:tr w:rsidR="00595FAD" w:rsidRPr="00661595" w:rsidTr="00FF15C6">
        <w:trPr>
          <w:trHeight w:val="680"/>
        </w:trPr>
        <w:tc>
          <w:tcPr>
            <w:tcW w:w="1384" w:type="dxa"/>
          </w:tcPr>
          <w:p w:rsidR="00595FAD" w:rsidRPr="00661595" w:rsidRDefault="00595FAD" w:rsidP="00FF15C6">
            <w:pPr>
              <w:pStyle w:val="Applicationdirecte"/>
              <w:spacing w:before="0" w:after="0"/>
              <w:jc w:val="left"/>
            </w:pPr>
            <w:r w:rsidRPr="00661595">
              <w:t>0040,0120</w:t>
            </w:r>
          </w:p>
        </w:tc>
        <w:tc>
          <w:tcPr>
            <w:tcW w:w="7655" w:type="dxa"/>
            <w:vAlign w:val="center"/>
          </w:tcPr>
          <w:p w:rsidR="00595FAD" w:rsidRPr="00661595" w:rsidRDefault="00595FAD" w:rsidP="00FF15C6">
            <w:pPr>
              <w:keepNext/>
              <w:spacing w:before="60"/>
              <w:rPr>
                <w:rStyle w:val="InstructionsTabelleberschrift"/>
                <w:rFonts w:ascii="Times New Roman" w:hAnsi="Times New Roman"/>
                <w:sz w:val="24"/>
              </w:rPr>
            </w:pPr>
            <w:r w:rsidRPr="00661595">
              <w:rPr>
                <w:rStyle w:val="InstructionsTabelleberschrift"/>
                <w:rFonts w:ascii="Times New Roman" w:hAnsi="Times New Roman"/>
                <w:sz w:val="24"/>
              </w:rPr>
              <w:t>CURRENT MARKET VALUE (CMV), NEGATIVE</w:t>
            </w:r>
          </w:p>
          <w:p w:rsidR="00595FAD" w:rsidRPr="00661595" w:rsidRDefault="00595FAD" w:rsidP="00FF15C6">
            <w:pPr>
              <w:keepNext/>
              <w:spacing w:before="60"/>
              <w:rPr>
                <w:rStyle w:val="InstructionsTabelleberschrift"/>
                <w:rFonts w:ascii="Times New Roman" w:hAnsi="Times New Roman"/>
                <w:sz w:val="24"/>
                <w:lang w:val="en-US"/>
              </w:rPr>
            </w:pPr>
            <w:r w:rsidRPr="00661595">
              <w:rPr>
                <w:rFonts w:ascii="Times New Roman" w:hAnsi="Times New Roman"/>
                <w:sz w:val="24"/>
              </w:rPr>
              <w:t xml:space="preserve">Sum of the absolute current market values (CMV) of all </w:t>
            </w:r>
            <w:r w:rsidRPr="00661595">
              <w:rPr>
                <w:rFonts w:ascii="Times New Roman" w:hAnsi="Times New Roman"/>
                <w:sz w:val="24"/>
                <w:lang w:eastAsia="en-CA"/>
              </w:rPr>
              <w:t xml:space="preserve">transactions </w:t>
            </w:r>
            <w:r w:rsidRPr="00661595">
              <w:rPr>
                <w:rFonts w:ascii="Times New Roman" w:hAnsi="Times New Roman"/>
                <w:sz w:val="24"/>
              </w:rPr>
              <w:t>with negative CMV</w:t>
            </w:r>
            <w:r w:rsidRPr="00661595">
              <w:rPr>
                <w:rFonts w:ascii="Times New Roman" w:hAnsi="Times New Roman"/>
                <w:sz w:val="24"/>
                <w:lang w:eastAsia="en-CA"/>
              </w:rPr>
              <w:t xml:space="preserve"> belonging to the same asset class.</w:t>
            </w:r>
          </w:p>
        </w:tc>
      </w:tr>
      <w:tr w:rsidR="00595FAD" w:rsidRPr="00661595" w:rsidTr="00FF15C6">
        <w:trPr>
          <w:trHeight w:val="680"/>
        </w:trPr>
        <w:tc>
          <w:tcPr>
            <w:tcW w:w="1384" w:type="dxa"/>
          </w:tcPr>
          <w:p w:rsidR="00595FAD" w:rsidRPr="00661595" w:rsidRDefault="00595FAD" w:rsidP="00FF15C6">
            <w:pPr>
              <w:pStyle w:val="Applicationdirecte"/>
              <w:spacing w:before="0" w:after="0"/>
              <w:jc w:val="left"/>
            </w:pPr>
            <w:r w:rsidRPr="00661595">
              <w:t>0050,0130</w:t>
            </w:r>
          </w:p>
        </w:tc>
        <w:tc>
          <w:tcPr>
            <w:tcW w:w="7655" w:type="dxa"/>
            <w:vAlign w:val="center"/>
          </w:tcPr>
          <w:p w:rsidR="00595FAD" w:rsidRPr="00661595" w:rsidRDefault="00595FAD" w:rsidP="00FF15C6">
            <w:pPr>
              <w:keepNext/>
              <w:spacing w:before="60"/>
              <w:rPr>
                <w:rStyle w:val="InstructionsTabelleberschrift"/>
                <w:rFonts w:ascii="Times New Roman" w:hAnsi="Times New Roman"/>
                <w:sz w:val="24"/>
              </w:rPr>
            </w:pPr>
            <w:r w:rsidRPr="00661595">
              <w:rPr>
                <w:rStyle w:val="InstructionsTabelleberschrift"/>
                <w:rFonts w:ascii="Times New Roman" w:hAnsi="Times New Roman"/>
                <w:sz w:val="24"/>
              </w:rPr>
              <w:t>CURRENT EXPOSURE</w:t>
            </w:r>
          </w:p>
          <w:p w:rsidR="00595FAD" w:rsidRPr="00661595" w:rsidRDefault="00595FAD" w:rsidP="00FF15C6">
            <w:pPr>
              <w:keepNext/>
              <w:spacing w:before="60"/>
              <w:rPr>
                <w:rFonts w:ascii="Times New Roman" w:hAnsi="Times New Roman"/>
                <w:strike/>
                <w:sz w:val="24"/>
                <w:lang w:eastAsia="en-CA"/>
              </w:rPr>
            </w:pPr>
            <w:r w:rsidRPr="00661595">
              <w:rPr>
                <w:rFonts w:ascii="Times New Roman" w:hAnsi="Times New Roman"/>
                <w:sz w:val="24"/>
              </w:rPr>
              <w:t>See instructions to column 0120 in template C</w:t>
            </w:r>
            <w:r w:rsidR="00DC0A81">
              <w:rPr>
                <w:rFonts w:ascii="Times New Roman" w:hAnsi="Times New Roman"/>
                <w:sz w:val="24"/>
              </w:rPr>
              <w:t xml:space="preserve"> </w:t>
            </w:r>
            <w:r w:rsidRPr="00661595">
              <w:rPr>
                <w:rFonts w:ascii="Times New Roman" w:hAnsi="Times New Roman"/>
                <w:sz w:val="24"/>
              </w:rPr>
              <w:t>34.02.</w:t>
            </w:r>
          </w:p>
        </w:tc>
      </w:tr>
      <w:tr w:rsidR="00595FAD" w:rsidRPr="00661595" w:rsidTr="00FF15C6">
        <w:trPr>
          <w:trHeight w:val="680"/>
        </w:trPr>
        <w:tc>
          <w:tcPr>
            <w:tcW w:w="1384" w:type="dxa"/>
          </w:tcPr>
          <w:p w:rsidR="00595FAD" w:rsidRPr="00661595" w:rsidRDefault="00595FAD" w:rsidP="00FF15C6">
            <w:pPr>
              <w:pStyle w:val="Applicationdirecte"/>
              <w:spacing w:before="0" w:after="0"/>
              <w:jc w:val="left"/>
            </w:pPr>
            <w:r w:rsidRPr="00661595">
              <w:t>0060,0140</w:t>
            </w:r>
          </w:p>
        </w:tc>
        <w:tc>
          <w:tcPr>
            <w:tcW w:w="7655" w:type="dxa"/>
            <w:vAlign w:val="center"/>
          </w:tcPr>
          <w:p w:rsidR="00595FAD" w:rsidRPr="00661595" w:rsidRDefault="00595FAD" w:rsidP="00FF15C6">
            <w:pPr>
              <w:keepNext/>
              <w:spacing w:before="60"/>
              <w:rPr>
                <w:rStyle w:val="InstructionsTabelleberschrift"/>
                <w:rFonts w:ascii="Times New Roman" w:hAnsi="Times New Roman"/>
                <w:sz w:val="24"/>
              </w:rPr>
            </w:pPr>
            <w:r w:rsidRPr="00661595">
              <w:rPr>
                <w:rStyle w:val="InstructionsTabelleberschrift"/>
                <w:rFonts w:ascii="Times New Roman" w:hAnsi="Times New Roman"/>
                <w:sz w:val="24"/>
              </w:rPr>
              <w:t>EFFECTIVE EXPECTED POSITIVE EXPOSURE (EEPE)</w:t>
            </w:r>
          </w:p>
          <w:p w:rsidR="00595FAD" w:rsidRPr="00661595" w:rsidRDefault="00595FAD" w:rsidP="00FF15C6">
            <w:pPr>
              <w:pStyle w:val="Default"/>
              <w:spacing w:after="120"/>
              <w:jc w:val="both"/>
              <w:rPr>
                <w:rFonts w:ascii="Times New Roman" w:hAnsi="Times New Roman" w:cs="Times New Roman"/>
                <w:strike/>
                <w:color w:val="auto"/>
                <w:lang w:val="en-US"/>
              </w:rPr>
            </w:pPr>
            <w:r w:rsidRPr="00661595">
              <w:rPr>
                <w:rFonts w:ascii="Times New Roman" w:hAnsi="Times New Roman" w:cs="Times New Roman"/>
                <w:color w:val="auto"/>
              </w:rPr>
              <w:t>See instructions to column 0130 in template C</w:t>
            </w:r>
            <w:r w:rsidR="00DC0A81">
              <w:rPr>
                <w:rFonts w:ascii="Times New Roman" w:hAnsi="Times New Roman" w:cs="Times New Roman"/>
                <w:color w:val="auto"/>
              </w:rPr>
              <w:t xml:space="preserve"> </w:t>
            </w:r>
            <w:r w:rsidRPr="00661595">
              <w:rPr>
                <w:rFonts w:ascii="Times New Roman" w:hAnsi="Times New Roman" w:cs="Times New Roman"/>
                <w:color w:val="auto"/>
              </w:rPr>
              <w:t>34.02.</w:t>
            </w:r>
          </w:p>
        </w:tc>
      </w:tr>
      <w:tr w:rsidR="00595FAD" w:rsidRPr="00661595" w:rsidTr="00FF15C6">
        <w:trPr>
          <w:trHeight w:val="680"/>
        </w:trPr>
        <w:tc>
          <w:tcPr>
            <w:tcW w:w="1384" w:type="dxa"/>
          </w:tcPr>
          <w:p w:rsidR="00595FAD" w:rsidRPr="00661595" w:rsidRDefault="00595FAD" w:rsidP="00FF15C6">
            <w:pPr>
              <w:pStyle w:val="Applicationdirecte"/>
              <w:spacing w:before="0" w:after="0"/>
              <w:jc w:val="left"/>
            </w:pPr>
            <w:r w:rsidRPr="00661595">
              <w:t>0070,0150</w:t>
            </w:r>
          </w:p>
        </w:tc>
        <w:tc>
          <w:tcPr>
            <w:tcW w:w="7655" w:type="dxa"/>
            <w:vAlign w:val="center"/>
          </w:tcPr>
          <w:p w:rsidR="00595FAD" w:rsidRPr="00661595" w:rsidRDefault="00595FAD" w:rsidP="00FF15C6">
            <w:pPr>
              <w:keepNext/>
              <w:spacing w:before="60"/>
              <w:rPr>
                <w:rStyle w:val="InstructionsTabelleberschrift"/>
                <w:rFonts w:ascii="Times New Roman" w:hAnsi="Times New Roman"/>
                <w:sz w:val="24"/>
              </w:rPr>
            </w:pPr>
            <w:r w:rsidRPr="00661595">
              <w:rPr>
                <w:rStyle w:val="InstructionsTabelleberschrift"/>
                <w:rFonts w:ascii="Times New Roman" w:hAnsi="Times New Roman"/>
                <w:sz w:val="24"/>
              </w:rPr>
              <w:t>STRESS EEPE</w:t>
            </w:r>
          </w:p>
          <w:p w:rsidR="00595FAD" w:rsidRPr="00661595" w:rsidRDefault="00595FAD" w:rsidP="00FF15C6">
            <w:pPr>
              <w:keepNext/>
              <w:spacing w:before="60"/>
              <w:rPr>
                <w:rFonts w:ascii="Times New Roman" w:hAnsi="Times New Roman"/>
                <w:sz w:val="24"/>
                <w:lang w:eastAsia="en-CA"/>
              </w:rPr>
            </w:pPr>
            <w:r w:rsidRPr="00661595">
              <w:rPr>
                <w:rFonts w:ascii="Times New Roman" w:hAnsi="Times New Roman"/>
                <w:sz w:val="24"/>
                <w:lang w:eastAsia="en-CA"/>
              </w:rPr>
              <w:t>Article 284(6) and Article 292(2) CRR</w:t>
            </w:r>
          </w:p>
          <w:p w:rsidR="00595FAD" w:rsidRPr="00661595" w:rsidRDefault="00595FAD" w:rsidP="00FF15C6">
            <w:pPr>
              <w:keepNext/>
              <w:spacing w:before="60"/>
              <w:rPr>
                <w:rFonts w:ascii="Times New Roman" w:hAnsi="Times New Roman"/>
                <w:sz w:val="24"/>
                <w:lang w:eastAsia="en-CA"/>
              </w:rPr>
            </w:pPr>
            <w:r w:rsidRPr="00661595">
              <w:rPr>
                <w:rFonts w:ascii="Times New Roman" w:hAnsi="Times New Roman"/>
                <w:sz w:val="24"/>
              </w:rPr>
              <w:t>The Stress EEPE is calculated in analogy to the EEPE (</w:t>
            </w:r>
            <w:r w:rsidRPr="00661595">
              <w:rPr>
                <w:rFonts w:ascii="Times New Roman" w:hAnsi="Times New Roman"/>
                <w:sz w:val="24"/>
                <w:lang w:eastAsia="en-CA"/>
              </w:rPr>
              <w:t>Article 284(6) CRR), but</w:t>
            </w:r>
            <w:r w:rsidRPr="00661595">
              <w:rPr>
                <w:rFonts w:ascii="Times New Roman" w:hAnsi="Times New Roman"/>
                <w:sz w:val="24"/>
              </w:rPr>
              <w:t xml:space="preserve"> using a stress calibration in accordance with Article 292(2) CRR.</w:t>
            </w:r>
          </w:p>
        </w:tc>
      </w:tr>
      <w:tr w:rsidR="00595FAD" w:rsidRPr="00661595" w:rsidTr="00FF15C6">
        <w:trPr>
          <w:trHeight w:val="680"/>
        </w:trPr>
        <w:tc>
          <w:tcPr>
            <w:tcW w:w="1384" w:type="dxa"/>
          </w:tcPr>
          <w:p w:rsidR="00595FAD" w:rsidRPr="00661595" w:rsidRDefault="00595FAD" w:rsidP="00FF15C6">
            <w:pPr>
              <w:pStyle w:val="Applicationdirecte"/>
              <w:spacing w:before="0" w:after="0"/>
              <w:jc w:val="left"/>
            </w:pPr>
            <w:r w:rsidRPr="00661595">
              <w:t>0080, 0160,0170</w:t>
            </w:r>
          </w:p>
        </w:tc>
        <w:tc>
          <w:tcPr>
            <w:tcW w:w="7655" w:type="dxa"/>
            <w:vAlign w:val="center"/>
          </w:tcPr>
          <w:p w:rsidR="00595FAD" w:rsidRPr="00661595" w:rsidRDefault="00595FAD" w:rsidP="00FF15C6">
            <w:pPr>
              <w:keepNext/>
              <w:spacing w:before="60"/>
              <w:rPr>
                <w:rStyle w:val="InstructionsTabelleberschrift"/>
                <w:rFonts w:ascii="Times New Roman" w:hAnsi="Times New Roman"/>
                <w:sz w:val="24"/>
              </w:rPr>
            </w:pPr>
            <w:r w:rsidRPr="00661595">
              <w:rPr>
                <w:rStyle w:val="InstructionsTabelleberschrift"/>
                <w:rFonts w:ascii="Times New Roman" w:hAnsi="Times New Roman"/>
                <w:sz w:val="24"/>
              </w:rPr>
              <w:t>EXPOSURE VALUE</w:t>
            </w:r>
          </w:p>
          <w:p w:rsidR="00595FAD" w:rsidRPr="00661595" w:rsidRDefault="00595FAD" w:rsidP="00FF15C6">
            <w:pPr>
              <w:keepNext/>
              <w:spacing w:before="60"/>
              <w:rPr>
                <w:rStyle w:val="InstructionsTabelleberschrift"/>
                <w:rFonts w:ascii="Times New Roman" w:hAnsi="Times New Roman"/>
                <w:sz w:val="24"/>
              </w:rPr>
            </w:pPr>
            <w:r w:rsidRPr="00661595">
              <w:rPr>
                <w:rFonts w:ascii="Times New Roman" w:hAnsi="Times New Roman"/>
                <w:sz w:val="24"/>
              </w:rPr>
              <w:t>See instructions to column 0170 in template C</w:t>
            </w:r>
            <w:r w:rsidR="00DC0A81">
              <w:rPr>
                <w:rFonts w:ascii="Times New Roman" w:hAnsi="Times New Roman"/>
                <w:sz w:val="24"/>
              </w:rPr>
              <w:t xml:space="preserve"> </w:t>
            </w:r>
            <w:r w:rsidRPr="00661595">
              <w:rPr>
                <w:rFonts w:ascii="Times New Roman" w:hAnsi="Times New Roman"/>
                <w:sz w:val="24"/>
              </w:rPr>
              <w:t>34.02.</w:t>
            </w:r>
          </w:p>
        </w:tc>
      </w:tr>
      <w:tr w:rsidR="00595FAD" w:rsidRPr="00661595" w:rsidTr="00FF15C6">
        <w:trPr>
          <w:trHeight w:val="680"/>
        </w:trPr>
        <w:tc>
          <w:tcPr>
            <w:tcW w:w="9039" w:type="dxa"/>
            <w:gridSpan w:val="2"/>
            <w:tcBorders>
              <w:left w:val="nil"/>
              <w:right w:val="nil"/>
            </w:tcBorders>
          </w:tcPr>
          <w:p w:rsidR="00595FAD" w:rsidRPr="00661595" w:rsidDel="00291448" w:rsidRDefault="00595FAD" w:rsidP="00FF15C6">
            <w:pPr>
              <w:keepNext/>
              <w:spacing w:before="60"/>
              <w:rPr>
                <w:rFonts w:ascii="Times New Roman" w:hAnsi="Times New Roman"/>
                <w:i/>
                <w:szCs w:val="22"/>
                <w:lang w:eastAsia="en-CA"/>
              </w:rPr>
            </w:pPr>
          </w:p>
        </w:tc>
      </w:tr>
      <w:tr w:rsidR="00595FAD" w:rsidRPr="00661595" w:rsidTr="00FF15C6">
        <w:trPr>
          <w:trHeight w:val="680"/>
        </w:trPr>
        <w:tc>
          <w:tcPr>
            <w:tcW w:w="13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95FAD" w:rsidRPr="00661595" w:rsidRDefault="00595FAD" w:rsidP="00FF15C6">
            <w:pPr>
              <w:pStyle w:val="Applicationdirecte"/>
              <w:spacing w:before="0"/>
              <w:jc w:val="left"/>
              <w:rPr>
                <w:b/>
              </w:rPr>
            </w:pPr>
            <w:r w:rsidRPr="00661595">
              <w:rPr>
                <w:b/>
              </w:rPr>
              <w:t xml:space="preserve">Row </w:t>
            </w:r>
          </w:p>
        </w:t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95FAD" w:rsidRPr="00661595" w:rsidRDefault="00595FAD" w:rsidP="00FF15C6">
            <w:pPr>
              <w:pStyle w:val="TableMainHeading"/>
              <w:spacing w:before="60"/>
              <w:rPr>
                <w:rFonts w:ascii="Times New Roman" w:hAnsi="Times New Roman"/>
                <w:b/>
                <w:sz w:val="24"/>
                <w:szCs w:val="24"/>
              </w:rPr>
            </w:pPr>
            <w:r w:rsidRPr="00661595">
              <w:rPr>
                <w:rFonts w:ascii="Times New Roman" w:hAnsi="Times New Roman"/>
                <w:b/>
                <w:sz w:val="24"/>
                <w:szCs w:val="24"/>
              </w:rPr>
              <w:t xml:space="preserve">Explanation </w:t>
            </w:r>
          </w:p>
        </w:tc>
      </w:tr>
      <w:tr w:rsidR="00595FAD" w:rsidRPr="00661595" w:rsidTr="00FF15C6">
        <w:trPr>
          <w:trHeight w:val="426"/>
        </w:trPr>
        <w:tc>
          <w:tcPr>
            <w:tcW w:w="1384" w:type="dxa"/>
          </w:tcPr>
          <w:p w:rsidR="00595FAD" w:rsidRPr="00661595" w:rsidRDefault="00595FAD" w:rsidP="00FF15C6">
            <w:pPr>
              <w:pStyle w:val="Applicationdirecte"/>
              <w:spacing w:before="0" w:after="0"/>
            </w:pPr>
            <w:r w:rsidRPr="00661595">
              <w:t>0010</w:t>
            </w:r>
          </w:p>
        </w:tc>
        <w:tc>
          <w:tcPr>
            <w:tcW w:w="7655" w:type="dxa"/>
          </w:tcPr>
          <w:p w:rsidR="00595FAD" w:rsidRPr="00661595" w:rsidRDefault="00595FAD" w:rsidP="00FF15C6">
            <w:pPr>
              <w:keepNext/>
              <w:spacing w:before="60"/>
              <w:rPr>
                <w:rStyle w:val="InstructionsTabelleberschrift"/>
                <w:rFonts w:ascii="Times New Roman" w:hAnsi="Times New Roman"/>
                <w:sz w:val="24"/>
              </w:rPr>
            </w:pPr>
            <w:r w:rsidRPr="00661595">
              <w:rPr>
                <w:rStyle w:val="InstructionsTabelleberschrift"/>
                <w:rFonts w:ascii="Times New Roman" w:hAnsi="Times New Roman"/>
                <w:sz w:val="24"/>
              </w:rPr>
              <w:t xml:space="preserve">TOTAL </w:t>
            </w:r>
          </w:p>
          <w:p w:rsidR="00595FAD" w:rsidRPr="00661595" w:rsidRDefault="00595FAD" w:rsidP="00FF15C6">
            <w:pPr>
              <w:keepNext/>
              <w:spacing w:before="60"/>
              <w:rPr>
                <w:sz w:val="24"/>
              </w:rPr>
            </w:pPr>
            <w:r w:rsidRPr="00661595">
              <w:rPr>
                <w:rFonts w:ascii="Times New Roman" w:hAnsi="Times New Roman"/>
                <w:sz w:val="24"/>
                <w:lang w:eastAsia="en-CA"/>
              </w:rPr>
              <w:t>Article 283 CRR</w:t>
            </w:r>
          </w:p>
          <w:p w:rsidR="00595FAD" w:rsidRPr="00661595" w:rsidRDefault="00595FAD" w:rsidP="00FF15C6">
            <w:pPr>
              <w:rPr>
                <w:sz w:val="24"/>
              </w:rPr>
            </w:pPr>
            <w:r w:rsidRPr="00661595">
              <w:rPr>
                <w:rFonts w:ascii="Times New Roman" w:hAnsi="Times New Roman"/>
                <w:sz w:val="24"/>
              </w:rPr>
              <w:t>The institution shall report the relevant information regarding derivatives, long settlement transactions and SFTs for which it has been permitted to determine the exposure value calculated using the Internal Model Method (IMM) in accordance with Article 283 CRR.</w:t>
            </w:r>
          </w:p>
        </w:tc>
      </w:tr>
      <w:tr w:rsidR="00595FAD" w:rsidRPr="00661595" w:rsidTr="00FF15C6">
        <w:trPr>
          <w:trHeight w:val="829"/>
        </w:trPr>
        <w:tc>
          <w:tcPr>
            <w:tcW w:w="1384" w:type="dxa"/>
          </w:tcPr>
          <w:p w:rsidR="00595FAD" w:rsidRPr="00661595" w:rsidRDefault="00595FAD" w:rsidP="00FF15C6">
            <w:pPr>
              <w:pStyle w:val="Applicationdirecte"/>
              <w:spacing w:before="0" w:after="0"/>
            </w:pPr>
            <w:r w:rsidRPr="00661595">
              <w:t>0020</w:t>
            </w:r>
          </w:p>
        </w:tc>
        <w:tc>
          <w:tcPr>
            <w:tcW w:w="7655" w:type="dxa"/>
          </w:tcPr>
          <w:p w:rsidR="00595FAD" w:rsidRPr="00661595" w:rsidRDefault="00595FAD" w:rsidP="00FF15C6">
            <w:pPr>
              <w:keepNext/>
              <w:spacing w:before="60"/>
              <w:rPr>
                <w:rStyle w:val="InstructionsTabelleberschrift"/>
                <w:rFonts w:ascii="Times New Roman" w:hAnsi="Times New Roman"/>
                <w:sz w:val="24"/>
              </w:rPr>
            </w:pPr>
            <w:r w:rsidRPr="00661595">
              <w:rPr>
                <w:rStyle w:val="InstructionsTabelleberschrift"/>
                <w:rFonts w:ascii="Times New Roman" w:hAnsi="Times New Roman"/>
                <w:sz w:val="24"/>
              </w:rPr>
              <w:t>Of which: SWWR positions</w:t>
            </w:r>
          </w:p>
          <w:p w:rsidR="00595FAD" w:rsidRPr="00661595" w:rsidRDefault="00595FAD" w:rsidP="00FF15C6">
            <w:pPr>
              <w:rPr>
                <w:rFonts w:ascii="Times New Roman" w:hAnsi="Times New Roman"/>
                <w:sz w:val="24"/>
              </w:rPr>
            </w:pPr>
            <w:r w:rsidRPr="00661595">
              <w:rPr>
                <w:rFonts w:ascii="Times New Roman" w:hAnsi="Times New Roman"/>
                <w:sz w:val="24"/>
              </w:rPr>
              <w:t>See instructions to row 0120 in C</w:t>
            </w:r>
            <w:r w:rsidR="00DC0A81">
              <w:rPr>
                <w:rFonts w:ascii="Times New Roman" w:hAnsi="Times New Roman"/>
                <w:sz w:val="24"/>
              </w:rPr>
              <w:t xml:space="preserve"> </w:t>
            </w:r>
            <w:r w:rsidRPr="00661595">
              <w:rPr>
                <w:rFonts w:ascii="Times New Roman" w:hAnsi="Times New Roman"/>
                <w:sz w:val="24"/>
              </w:rPr>
              <w:t>34.02.</w:t>
            </w:r>
          </w:p>
        </w:tc>
      </w:tr>
      <w:tr w:rsidR="00595FAD" w:rsidRPr="00661595" w:rsidTr="00FF15C6">
        <w:trPr>
          <w:trHeight w:val="842"/>
        </w:trPr>
        <w:tc>
          <w:tcPr>
            <w:tcW w:w="1384" w:type="dxa"/>
          </w:tcPr>
          <w:p w:rsidR="00595FAD" w:rsidRPr="00661595" w:rsidRDefault="00595FAD" w:rsidP="00FF15C6">
            <w:pPr>
              <w:pStyle w:val="Applicationdirecte"/>
              <w:spacing w:before="0" w:after="0"/>
              <w:jc w:val="left"/>
            </w:pPr>
            <w:r w:rsidRPr="00661595">
              <w:t>0030</w:t>
            </w:r>
          </w:p>
        </w:tc>
        <w:tc>
          <w:tcPr>
            <w:tcW w:w="7655" w:type="dxa"/>
          </w:tcPr>
          <w:p w:rsidR="00595FAD" w:rsidRPr="00661595" w:rsidRDefault="00595FAD" w:rsidP="00FF15C6">
            <w:pPr>
              <w:keepNext/>
              <w:spacing w:before="60"/>
              <w:rPr>
                <w:rStyle w:val="InstructionsTabelleberschrift"/>
                <w:rFonts w:ascii="Times New Roman" w:hAnsi="Times New Roman"/>
                <w:sz w:val="24"/>
              </w:rPr>
            </w:pPr>
            <w:r w:rsidRPr="00661595">
              <w:rPr>
                <w:rStyle w:val="InstructionsTabelleberschrift"/>
                <w:rFonts w:ascii="Times New Roman" w:hAnsi="Times New Roman"/>
                <w:sz w:val="24"/>
              </w:rPr>
              <w:t>Netting sets treated with the CR Standardised Approach</w:t>
            </w:r>
          </w:p>
          <w:p w:rsidR="00595FAD" w:rsidRPr="00661595" w:rsidRDefault="00595FAD" w:rsidP="00FF15C6">
            <w:pPr>
              <w:rPr>
                <w:rStyle w:val="InstructionsTabelleberschrift"/>
                <w:rFonts w:ascii="Times New Roman" w:hAnsi="Times New Roman" w:cstheme="minorBidi"/>
                <w:b w:val="0"/>
                <w:bCs w:val="0"/>
                <w:sz w:val="24"/>
              </w:rPr>
            </w:pPr>
            <w:r w:rsidRPr="00661595">
              <w:rPr>
                <w:rFonts w:ascii="Times New Roman" w:hAnsi="Times New Roman"/>
                <w:sz w:val="24"/>
              </w:rPr>
              <w:t>See instructions to column 0180 in C</w:t>
            </w:r>
            <w:r w:rsidR="00DC0A81">
              <w:rPr>
                <w:rFonts w:ascii="Times New Roman" w:hAnsi="Times New Roman"/>
                <w:sz w:val="24"/>
              </w:rPr>
              <w:t xml:space="preserve"> </w:t>
            </w:r>
            <w:r w:rsidRPr="00661595">
              <w:rPr>
                <w:rFonts w:ascii="Times New Roman" w:hAnsi="Times New Roman"/>
                <w:sz w:val="24"/>
              </w:rPr>
              <w:t>34.02.</w:t>
            </w:r>
          </w:p>
        </w:tc>
      </w:tr>
      <w:tr w:rsidR="00595FAD" w:rsidRPr="00661595" w:rsidTr="00FF15C6">
        <w:trPr>
          <w:trHeight w:val="839"/>
        </w:trPr>
        <w:tc>
          <w:tcPr>
            <w:tcW w:w="1384" w:type="dxa"/>
          </w:tcPr>
          <w:p w:rsidR="00595FAD" w:rsidRPr="00661595" w:rsidRDefault="00595FAD" w:rsidP="00FF15C6">
            <w:pPr>
              <w:pStyle w:val="Applicationdirecte"/>
              <w:spacing w:before="0" w:after="0"/>
              <w:jc w:val="left"/>
            </w:pPr>
            <w:r w:rsidRPr="00661595">
              <w:t>0040</w:t>
            </w:r>
          </w:p>
        </w:tc>
        <w:tc>
          <w:tcPr>
            <w:tcW w:w="7655" w:type="dxa"/>
          </w:tcPr>
          <w:p w:rsidR="00595FAD" w:rsidRPr="00661595" w:rsidRDefault="00595FAD" w:rsidP="00FF15C6">
            <w:pPr>
              <w:keepNext/>
              <w:spacing w:before="60"/>
              <w:rPr>
                <w:rStyle w:val="InstructionsTabelleberschrift"/>
                <w:rFonts w:ascii="Times New Roman" w:hAnsi="Times New Roman"/>
                <w:sz w:val="24"/>
              </w:rPr>
            </w:pPr>
            <w:r w:rsidRPr="00661595">
              <w:rPr>
                <w:rStyle w:val="InstructionsTabelleberschrift"/>
                <w:rFonts w:ascii="Times New Roman" w:hAnsi="Times New Roman"/>
                <w:sz w:val="24"/>
              </w:rPr>
              <w:t>Netting sets treated with the CR IRB Approach</w:t>
            </w:r>
          </w:p>
          <w:p w:rsidR="00595FAD" w:rsidRPr="00661595" w:rsidRDefault="00595FAD" w:rsidP="00FF15C6">
            <w:pPr>
              <w:rPr>
                <w:rStyle w:val="InstructionsTabelleberschrift"/>
                <w:rFonts w:ascii="Times New Roman" w:hAnsi="Times New Roman" w:cstheme="minorBidi"/>
                <w:b w:val="0"/>
                <w:bCs w:val="0"/>
                <w:sz w:val="24"/>
              </w:rPr>
            </w:pPr>
            <w:r w:rsidRPr="00661595">
              <w:rPr>
                <w:rFonts w:ascii="Times New Roman" w:hAnsi="Times New Roman"/>
                <w:sz w:val="24"/>
              </w:rPr>
              <w:t>See instructions to column 0190 in C</w:t>
            </w:r>
            <w:r w:rsidR="00DC0A81">
              <w:rPr>
                <w:rFonts w:ascii="Times New Roman" w:hAnsi="Times New Roman"/>
                <w:sz w:val="24"/>
              </w:rPr>
              <w:t xml:space="preserve"> </w:t>
            </w:r>
            <w:r w:rsidRPr="00661595">
              <w:rPr>
                <w:rFonts w:ascii="Times New Roman" w:hAnsi="Times New Roman"/>
                <w:sz w:val="24"/>
              </w:rPr>
              <w:t>34.02.</w:t>
            </w:r>
          </w:p>
        </w:tc>
      </w:tr>
      <w:tr w:rsidR="00595FAD" w:rsidRPr="00661595" w:rsidTr="00FF15C6">
        <w:trPr>
          <w:trHeight w:val="1971"/>
        </w:trPr>
        <w:tc>
          <w:tcPr>
            <w:tcW w:w="1384" w:type="dxa"/>
          </w:tcPr>
          <w:p w:rsidR="00595FAD" w:rsidRPr="00661595" w:rsidRDefault="00595FAD" w:rsidP="00FF15C6">
            <w:pPr>
              <w:pStyle w:val="Applicationdirecte"/>
              <w:spacing w:before="0" w:after="0"/>
              <w:jc w:val="left"/>
            </w:pPr>
            <w:r w:rsidRPr="00661595">
              <w:t>0050 - 0110</w:t>
            </w:r>
          </w:p>
        </w:tc>
        <w:tc>
          <w:tcPr>
            <w:tcW w:w="7655" w:type="dxa"/>
          </w:tcPr>
          <w:p w:rsidR="00595FAD" w:rsidRPr="00661595" w:rsidRDefault="00595FAD" w:rsidP="00FF15C6">
            <w:pPr>
              <w:keepNext/>
              <w:spacing w:before="60"/>
              <w:rPr>
                <w:rStyle w:val="InstructionsTabelleberschrift"/>
                <w:rFonts w:ascii="Times New Roman" w:hAnsi="Times New Roman"/>
                <w:sz w:val="24"/>
              </w:rPr>
            </w:pPr>
            <w:r w:rsidRPr="00661595">
              <w:rPr>
                <w:rStyle w:val="InstructionsTabelleberschrift"/>
                <w:rFonts w:ascii="Times New Roman" w:hAnsi="Times New Roman"/>
                <w:sz w:val="24"/>
              </w:rPr>
              <w:t>OTC DERIVATIVES</w:t>
            </w:r>
          </w:p>
          <w:p w:rsidR="00595FAD" w:rsidRPr="00661595" w:rsidRDefault="00595FAD" w:rsidP="00FF15C6">
            <w:pPr>
              <w:rPr>
                <w:rFonts w:ascii="Times New Roman" w:hAnsi="Times New Roman"/>
                <w:sz w:val="24"/>
              </w:rPr>
            </w:pPr>
            <w:r w:rsidRPr="00661595">
              <w:rPr>
                <w:rFonts w:ascii="Times New Roman" w:hAnsi="Times New Roman"/>
                <w:sz w:val="24"/>
              </w:rPr>
              <w:t>The institution shall report the relevant information regarding netting sets containing only OTC derivatives or long settlement transactions for which it has been permitted to determine the exposure value using the IMM broken down by the different asset classes with respect to the underlying (interest rate, foreign exchange, credit, equity, commodity or other).</w:t>
            </w:r>
          </w:p>
        </w:tc>
      </w:tr>
      <w:tr w:rsidR="00595FAD" w:rsidRPr="00661595" w:rsidTr="00FF15C6">
        <w:trPr>
          <w:trHeight w:val="1970"/>
        </w:trPr>
        <w:tc>
          <w:tcPr>
            <w:tcW w:w="1384" w:type="dxa"/>
          </w:tcPr>
          <w:p w:rsidR="00595FAD" w:rsidRPr="00661595" w:rsidRDefault="00595FAD" w:rsidP="00FF15C6">
            <w:pPr>
              <w:pStyle w:val="Applicationdirecte"/>
              <w:spacing w:before="0" w:after="0"/>
            </w:pPr>
            <w:r w:rsidRPr="00661595">
              <w:t>0120 - 0180</w:t>
            </w:r>
          </w:p>
        </w:tc>
        <w:tc>
          <w:tcPr>
            <w:tcW w:w="7655" w:type="dxa"/>
          </w:tcPr>
          <w:p w:rsidR="00595FAD" w:rsidRPr="00661595" w:rsidRDefault="00595FAD" w:rsidP="00FF15C6">
            <w:pPr>
              <w:keepNext/>
              <w:spacing w:before="60"/>
              <w:rPr>
                <w:rStyle w:val="InstructionsTabelleberschrift"/>
                <w:rFonts w:ascii="Times New Roman" w:hAnsi="Times New Roman"/>
                <w:sz w:val="24"/>
              </w:rPr>
            </w:pPr>
            <w:r w:rsidRPr="00661595">
              <w:rPr>
                <w:rStyle w:val="InstructionsTabelleberschrift"/>
                <w:rFonts w:ascii="Times New Roman" w:hAnsi="Times New Roman"/>
                <w:sz w:val="24"/>
              </w:rPr>
              <w:t>EXCHANGE TRADED DERIVATIVES</w:t>
            </w:r>
          </w:p>
          <w:p w:rsidR="00595FAD" w:rsidRPr="00661595" w:rsidRDefault="00595FAD" w:rsidP="00FF15C6">
            <w:pPr>
              <w:rPr>
                <w:rFonts w:ascii="Times New Roman" w:hAnsi="Times New Roman"/>
                <w:sz w:val="24"/>
              </w:rPr>
            </w:pPr>
            <w:r w:rsidRPr="00661595">
              <w:rPr>
                <w:rFonts w:ascii="Times New Roman" w:hAnsi="Times New Roman"/>
                <w:sz w:val="24"/>
              </w:rPr>
              <w:t>The institution shall report the relevant information regarding netting sets containing only exchange traded derivatives or long settlement transactions for which it has been permitted to determine the exposure value using the IMM broken down by the different asset classes with respect to the underlying (interest rate, foreign exchange, credit, equity, commodity or other).</w:t>
            </w:r>
          </w:p>
        </w:tc>
      </w:tr>
      <w:tr w:rsidR="00595FAD" w:rsidRPr="00661595" w:rsidTr="00FF15C6">
        <w:trPr>
          <w:trHeight w:val="1701"/>
        </w:trPr>
        <w:tc>
          <w:tcPr>
            <w:tcW w:w="1384" w:type="dxa"/>
          </w:tcPr>
          <w:p w:rsidR="00595FAD" w:rsidRPr="00661595" w:rsidRDefault="00595FAD" w:rsidP="00FF15C6">
            <w:pPr>
              <w:pStyle w:val="Applicationdirecte"/>
              <w:spacing w:before="0" w:after="0"/>
            </w:pPr>
            <w:r w:rsidRPr="00661595">
              <w:t>0190 - 0220</w:t>
            </w:r>
          </w:p>
        </w:tc>
        <w:tc>
          <w:tcPr>
            <w:tcW w:w="7655" w:type="dxa"/>
          </w:tcPr>
          <w:p w:rsidR="00595FAD" w:rsidRPr="00661595" w:rsidRDefault="00595FAD" w:rsidP="00FF15C6">
            <w:pPr>
              <w:keepNext/>
              <w:spacing w:before="60"/>
              <w:rPr>
                <w:rStyle w:val="InstructionsTabelleberschrift"/>
                <w:rFonts w:ascii="Times New Roman" w:hAnsi="Times New Roman"/>
                <w:sz w:val="24"/>
              </w:rPr>
            </w:pPr>
            <w:r w:rsidRPr="00661595">
              <w:rPr>
                <w:rStyle w:val="InstructionsTabelleberschrift"/>
                <w:rFonts w:ascii="Times New Roman" w:hAnsi="Times New Roman"/>
                <w:sz w:val="24"/>
              </w:rPr>
              <w:t>SECURITIES FINANCING TRANSACTIONS</w:t>
            </w:r>
          </w:p>
          <w:p w:rsidR="00595FAD" w:rsidRPr="00661595" w:rsidRDefault="00595FAD" w:rsidP="00FF15C6">
            <w:pPr>
              <w:rPr>
                <w:rFonts w:ascii="Times New Roman" w:hAnsi="Times New Roman"/>
                <w:sz w:val="24"/>
              </w:rPr>
            </w:pPr>
            <w:r w:rsidRPr="00661595">
              <w:rPr>
                <w:rFonts w:ascii="Times New Roman" w:hAnsi="Times New Roman"/>
                <w:sz w:val="24"/>
              </w:rPr>
              <w:t>The institution shall report the relevant information regarding netting sets containing only SFTs for which it has been permitted to determine the exposure value using the IMM broken down by the type of underlying in the SFT security leg (bond, equity or other).</w:t>
            </w:r>
          </w:p>
        </w:tc>
      </w:tr>
      <w:tr w:rsidR="00595FAD" w:rsidRPr="00661595" w:rsidTr="00FF15C6">
        <w:trPr>
          <w:trHeight w:val="833"/>
        </w:trPr>
        <w:tc>
          <w:tcPr>
            <w:tcW w:w="1384" w:type="dxa"/>
          </w:tcPr>
          <w:p w:rsidR="00595FAD" w:rsidRPr="00661595" w:rsidRDefault="00595FAD" w:rsidP="00FF15C6">
            <w:pPr>
              <w:pStyle w:val="Applicationdirecte"/>
              <w:spacing w:before="0" w:after="0"/>
            </w:pPr>
            <w:r w:rsidRPr="00661595">
              <w:t>0230</w:t>
            </w:r>
          </w:p>
        </w:tc>
        <w:tc>
          <w:tcPr>
            <w:tcW w:w="7655" w:type="dxa"/>
          </w:tcPr>
          <w:p w:rsidR="00595FAD" w:rsidRPr="00661595" w:rsidRDefault="00595FAD" w:rsidP="00FF15C6">
            <w:pPr>
              <w:keepNext/>
              <w:spacing w:before="60"/>
              <w:rPr>
                <w:rStyle w:val="InstructionsTabelleberschrift"/>
                <w:rFonts w:ascii="Times New Roman" w:hAnsi="Times New Roman"/>
                <w:sz w:val="24"/>
              </w:rPr>
            </w:pPr>
            <w:r w:rsidRPr="00661595">
              <w:rPr>
                <w:rStyle w:val="InstructionsTabelleberschrift"/>
                <w:rFonts w:ascii="Times New Roman" w:hAnsi="Times New Roman"/>
                <w:sz w:val="24"/>
              </w:rPr>
              <w:t>CONTRACTUAL CROSS-PRODUCT NETTING SETS</w:t>
            </w:r>
          </w:p>
          <w:p w:rsidR="00595FAD" w:rsidRPr="00661595" w:rsidRDefault="00595FAD" w:rsidP="00FF15C6">
            <w:pPr>
              <w:rPr>
                <w:rFonts w:ascii="Times New Roman" w:hAnsi="Times New Roman"/>
                <w:sz w:val="24"/>
              </w:rPr>
            </w:pPr>
            <w:r w:rsidRPr="00661595">
              <w:rPr>
                <w:rFonts w:ascii="Times New Roman" w:hAnsi="Times New Roman"/>
                <w:sz w:val="24"/>
              </w:rPr>
              <w:t>See instructions to row 0070 in C</w:t>
            </w:r>
            <w:r w:rsidR="00DC0A81">
              <w:rPr>
                <w:rFonts w:ascii="Times New Roman" w:hAnsi="Times New Roman"/>
                <w:sz w:val="24"/>
              </w:rPr>
              <w:t xml:space="preserve"> </w:t>
            </w:r>
            <w:r w:rsidRPr="00661595">
              <w:rPr>
                <w:rFonts w:ascii="Times New Roman" w:hAnsi="Times New Roman"/>
                <w:sz w:val="24"/>
              </w:rPr>
              <w:t>34.02.</w:t>
            </w:r>
          </w:p>
        </w:tc>
      </w:tr>
    </w:tbl>
    <w:p w:rsidR="00595FAD" w:rsidRPr="00661595" w:rsidRDefault="00595FAD" w:rsidP="00595FAD">
      <w:pPr>
        <w:tabs>
          <w:tab w:val="left" w:pos="1430"/>
        </w:tabs>
        <w:rPr>
          <w:rFonts w:ascii="Times New Roman" w:hAnsi="Times New Roman"/>
        </w:rPr>
      </w:pPr>
    </w:p>
    <w:p w:rsidR="00595FAD" w:rsidRPr="00661595" w:rsidRDefault="00595FAD" w:rsidP="00595FAD">
      <w:pPr>
        <w:tabs>
          <w:tab w:val="left" w:pos="1430"/>
        </w:tabs>
        <w:rPr>
          <w:rFonts w:ascii="Times New Roman" w:hAnsi="Times New Roman"/>
        </w:rPr>
      </w:pPr>
    </w:p>
    <w:p w:rsidR="00595FAD" w:rsidRPr="00661595" w:rsidRDefault="00595FAD" w:rsidP="002F29AF">
      <w:pPr>
        <w:pStyle w:val="Instructionsberschrift2"/>
        <w:numPr>
          <w:ilvl w:val="2"/>
          <w:numId w:val="48"/>
        </w:numPr>
        <w:rPr>
          <w:rFonts w:ascii="Times New Roman" w:hAnsi="Times New Roman" w:cs="Times New Roman"/>
          <w:sz w:val="24"/>
          <w:lang w:val="en-GB"/>
        </w:rPr>
      </w:pPr>
      <w:bookmarkStart w:id="475" w:name="_Toc19715816"/>
      <w:bookmarkStart w:id="476" w:name="_Toc57831606"/>
      <w:r w:rsidRPr="00661595">
        <w:rPr>
          <w:rFonts w:ascii="Times New Roman" w:hAnsi="Times New Roman" w:cs="Times New Roman"/>
          <w:sz w:val="24"/>
          <w:lang w:val="en-GB"/>
        </w:rPr>
        <w:t>C 34.06 – Top twenty counterparties</w:t>
      </w:r>
      <w:bookmarkEnd w:id="475"/>
      <w:bookmarkEnd w:id="476"/>
    </w:p>
    <w:p w:rsidR="00595FAD" w:rsidRPr="00661595" w:rsidRDefault="00595FAD" w:rsidP="002F29AF">
      <w:pPr>
        <w:pStyle w:val="Instructionsberschrift2"/>
        <w:numPr>
          <w:ilvl w:val="3"/>
          <w:numId w:val="48"/>
        </w:numPr>
        <w:rPr>
          <w:rFonts w:ascii="Times New Roman" w:hAnsi="Times New Roman" w:cs="Times New Roman"/>
          <w:sz w:val="24"/>
          <w:lang w:val="en-GB"/>
        </w:rPr>
      </w:pPr>
      <w:bookmarkStart w:id="477" w:name="_Toc19715817"/>
      <w:bookmarkStart w:id="478" w:name="_Toc57831607"/>
      <w:r w:rsidRPr="00661595">
        <w:rPr>
          <w:rFonts w:ascii="Times New Roman" w:hAnsi="Times New Roman" w:cs="Times New Roman"/>
          <w:sz w:val="24"/>
          <w:lang w:val="en-GB"/>
        </w:rPr>
        <w:t>General remarks</w:t>
      </w:r>
      <w:bookmarkEnd w:id="477"/>
      <w:bookmarkEnd w:id="478"/>
    </w:p>
    <w:p w:rsidR="00595FAD" w:rsidRPr="00661595" w:rsidRDefault="00D11E4C" w:rsidP="00487A02">
      <w:pPr>
        <w:pStyle w:val="InstructionsText2"/>
        <w:numPr>
          <w:ilvl w:val="0"/>
          <w:numId w:val="0"/>
        </w:numPr>
        <w:ind w:left="1353" w:hanging="360"/>
      </w:pPr>
      <w:fldSimple w:instr=" seq paragraphs ">
        <w:r w:rsidR="00771068">
          <w:rPr>
            <w:noProof/>
          </w:rPr>
          <w:t>126</w:t>
        </w:r>
      </w:fldSimple>
      <w:r w:rsidR="00595FAD" w:rsidRPr="00661595">
        <w:t>. Institutions shall report information on the top 20 counterparties with whom they have the highest CCR exposures. The ranking shall be done using the CCR exposure values, as reported in column 0120 of this template, of all netting sets with the respective counterparties. Intra-group exposures or other exposures that give raise to counterparty credit risk but for which the institutions assign a risk weight of zero for the own funds requirements calculation, in accordance with Article 113(6) and 113(7) CRR, shall still be considered when determining the list of top 20 counterparties.</w:t>
      </w:r>
    </w:p>
    <w:p w:rsidR="00595FAD" w:rsidRPr="00661595" w:rsidRDefault="00D11E4C" w:rsidP="00487A02">
      <w:pPr>
        <w:pStyle w:val="InstructionsText2"/>
        <w:numPr>
          <w:ilvl w:val="0"/>
          <w:numId w:val="0"/>
        </w:numPr>
        <w:ind w:left="1353" w:hanging="360"/>
      </w:pPr>
      <w:fldSimple w:instr=" seq paragraphs ">
        <w:r w:rsidR="00771068">
          <w:rPr>
            <w:noProof/>
          </w:rPr>
          <w:t>127</w:t>
        </w:r>
      </w:fldSimple>
      <w:r w:rsidR="00595FAD" w:rsidRPr="00661595">
        <w:t xml:space="preserve">. Institutions applying the standardised approach (SA-CCR) or the Internal Model Method (IMM) for the calculation of CCR exposures following Sections 3 and 6 of Chapter 6 of Title II of Part Three CRR shall report this template on a quarterly basis. Institutions applying the simplified standardised approach or the original exposure method (OEM) for the calculation of CCR exposures following Sections 4 and 5 of Chapter 6 of Title II of Part Three CRR shall report this template on a semi-annual basis. </w:t>
      </w:r>
      <w:bookmarkStart w:id="479" w:name="_Toc19715818"/>
      <w:r w:rsidR="00595FAD" w:rsidRPr="00661595">
        <w:t>Instructions concerning specific positions</w:t>
      </w:r>
      <w:bookmarkEnd w:id="479"/>
      <w:r w:rsidR="00595FAD" w:rsidRPr="00661595">
        <w:t>.</w:t>
      </w:r>
    </w:p>
    <w:p w:rsidR="00595FAD" w:rsidRPr="00661595" w:rsidRDefault="00595FAD" w:rsidP="002F29AF">
      <w:pPr>
        <w:pStyle w:val="Instructionsberschrift2"/>
        <w:numPr>
          <w:ilvl w:val="3"/>
          <w:numId w:val="48"/>
        </w:numPr>
        <w:rPr>
          <w:rFonts w:ascii="Times New Roman" w:hAnsi="Times New Roman" w:cs="Times New Roman"/>
          <w:sz w:val="24"/>
          <w:lang w:val="en-GB"/>
        </w:rPr>
      </w:pPr>
      <w:bookmarkStart w:id="480" w:name="_Toc57831608"/>
      <w:r w:rsidRPr="00661595">
        <w:rPr>
          <w:rFonts w:ascii="Times New Roman" w:hAnsi="Times New Roman" w:cs="Times New Roman"/>
          <w:sz w:val="24"/>
          <w:lang w:val="en-GB"/>
        </w:rPr>
        <w:t>Instructions concerning specific positions</w:t>
      </w:r>
      <w:bookmarkEnd w:id="480"/>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655"/>
      </w:tblGrid>
      <w:tr w:rsidR="00595FAD" w:rsidRPr="00661595" w:rsidTr="00FF15C6">
        <w:trPr>
          <w:trHeight w:val="238"/>
        </w:trPr>
        <w:tc>
          <w:tcPr>
            <w:tcW w:w="9039" w:type="dxa"/>
            <w:gridSpan w:val="2"/>
            <w:tcBorders>
              <w:right w:val="single" w:sz="4" w:space="0" w:color="auto"/>
            </w:tcBorders>
            <w:shd w:val="clear" w:color="auto" w:fill="D9D9D9" w:themeFill="background1" w:themeFillShade="D9"/>
          </w:tcPr>
          <w:p w:rsidR="00595FAD" w:rsidRPr="00751FBE" w:rsidRDefault="00595FAD" w:rsidP="00751FBE">
            <w:pPr>
              <w:autoSpaceDE w:val="0"/>
              <w:autoSpaceDN w:val="0"/>
              <w:adjustRightInd w:val="0"/>
              <w:rPr>
                <w:rFonts w:ascii="Times New Roman" w:hAnsi="Times New Roman"/>
                <w:b/>
                <w:sz w:val="24"/>
              </w:rPr>
            </w:pPr>
            <w:r w:rsidRPr="00661595">
              <w:rPr>
                <w:rFonts w:ascii="Times New Roman" w:hAnsi="Times New Roman"/>
                <w:b/>
                <w:sz w:val="24"/>
              </w:rPr>
              <w:t>Columns</w:t>
            </w:r>
          </w:p>
        </w:tc>
      </w:tr>
      <w:tr w:rsidR="00595FAD" w:rsidRPr="00661595" w:rsidTr="00FF15C6">
        <w:trPr>
          <w:trHeight w:val="680"/>
        </w:trPr>
        <w:tc>
          <w:tcPr>
            <w:tcW w:w="1384" w:type="dxa"/>
          </w:tcPr>
          <w:p w:rsidR="00595FAD" w:rsidRPr="00661595" w:rsidRDefault="001C2A41" w:rsidP="00FF15C6">
            <w:pPr>
              <w:pStyle w:val="Applicationdirecte"/>
              <w:spacing w:before="0" w:after="0"/>
            </w:pPr>
            <w:r>
              <w:t>0011</w:t>
            </w:r>
          </w:p>
        </w:tc>
        <w:tc>
          <w:tcPr>
            <w:tcW w:w="7655" w:type="dxa"/>
            <w:vAlign w:val="center"/>
          </w:tcPr>
          <w:p w:rsidR="00595FAD" w:rsidRPr="00661595" w:rsidRDefault="00595FAD" w:rsidP="00FF15C6">
            <w:pPr>
              <w:keepNext/>
              <w:spacing w:before="60"/>
              <w:rPr>
                <w:rStyle w:val="InstructionsTabelleberschrift"/>
                <w:rFonts w:ascii="Times New Roman" w:hAnsi="Times New Roman"/>
                <w:sz w:val="24"/>
              </w:rPr>
            </w:pPr>
            <w:r w:rsidRPr="00661595">
              <w:rPr>
                <w:rStyle w:val="InstructionsTabelleberschrift"/>
                <w:rFonts w:ascii="Times New Roman" w:hAnsi="Times New Roman"/>
                <w:sz w:val="24"/>
              </w:rPr>
              <w:t>NAME</w:t>
            </w:r>
          </w:p>
          <w:p w:rsidR="00595FAD" w:rsidRPr="00661595" w:rsidRDefault="00595FAD" w:rsidP="00FF15C6">
            <w:pPr>
              <w:keepNext/>
              <w:spacing w:before="60"/>
              <w:rPr>
                <w:rFonts w:ascii="Times New Roman" w:hAnsi="Times New Roman"/>
                <w:szCs w:val="22"/>
              </w:rPr>
            </w:pPr>
            <w:r w:rsidRPr="00661595">
              <w:rPr>
                <w:rFonts w:ascii="Times New Roman" w:hAnsi="Times New Roman"/>
                <w:sz w:val="24"/>
                <w:szCs w:val="22"/>
              </w:rPr>
              <w:t>Name of the counterparty</w:t>
            </w:r>
          </w:p>
        </w:tc>
      </w:tr>
      <w:tr w:rsidR="00595FAD" w:rsidRPr="00661595" w:rsidTr="00FF15C6">
        <w:trPr>
          <w:trHeight w:val="680"/>
        </w:trPr>
        <w:tc>
          <w:tcPr>
            <w:tcW w:w="1384" w:type="dxa"/>
          </w:tcPr>
          <w:p w:rsidR="00595FAD" w:rsidRPr="00661595" w:rsidRDefault="00595FAD" w:rsidP="00FF15C6">
            <w:pPr>
              <w:pStyle w:val="Applicationdirecte"/>
              <w:spacing w:before="0" w:after="0"/>
            </w:pPr>
            <w:r w:rsidRPr="00661595">
              <w:t>0020</w:t>
            </w:r>
          </w:p>
        </w:tc>
        <w:tc>
          <w:tcPr>
            <w:tcW w:w="7655" w:type="dxa"/>
            <w:vAlign w:val="center"/>
          </w:tcPr>
          <w:p w:rsidR="00595FAD" w:rsidRPr="00661595" w:rsidRDefault="00595FAD" w:rsidP="00FF15C6">
            <w:pPr>
              <w:keepNext/>
              <w:spacing w:before="60"/>
              <w:rPr>
                <w:rFonts w:ascii="Times New Roman" w:hAnsi="Times New Roman"/>
                <w:b/>
                <w:sz w:val="24"/>
                <w:u w:val="single"/>
              </w:rPr>
            </w:pPr>
            <w:r w:rsidRPr="00661595">
              <w:rPr>
                <w:rFonts w:ascii="Times New Roman" w:hAnsi="Times New Roman"/>
                <w:b/>
                <w:sz w:val="24"/>
                <w:u w:val="single"/>
              </w:rPr>
              <w:t>CODE</w:t>
            </w:r>
          </w:p>
          <w:p w:rsidR="00595FAD" w:rsidRPr="00661595" w:rsidRDefault="00595FAD" w:rsidP="00A707F3">
            <w:pPr>
              <w:keepNext/>
              <w:spacing w:before="60"/>
              <w:rPr>
                <w:rFonts w:ascii="Times New Roman" w:hAnsi="Times New Roman"/>
                <w:sz w:val="24"/>
                <w:u w:val="single"/>
              </w:rPr>
            </w:pPr>
            <w:r w:rsidRPr="00661595">
              <w:rPr>
                <w:rFonts w:ascii="Times New Roman" w:hAnsi="Times New Roman"/>
                <w:iCs/>
                <w:sz w:val="24"/>
              </w:rPr>
              <w:t xml:space="preserve">The code as part of a row identifier must be unique for each reported entity. For institutions and insurance undertakings the code shall be the LEI code. For other entities the code shall be the LEI code, or if not available, a </w:t>
            </w:r>
            <w:r w:rsidR="00A707F3">
              <w:rPr>
                <w:rFonts w:ascii="Times New Roman" w:hAnsi="Times New Roman"/>
                <w:iCs/>
                <w:sz w:val="24"/>
              </w:rPr>
              <w:t>non-LEI</w:t>
            </w:r>
            <w:r w:rsidRPr="00661595">
              <w:rPr>
                <w:rFonts w:ascii="Times New Roman" w:hAnsi="Times New Roman"/>
                <w:iCs/>
                <w:sz w:val="24"/>
              </w:rPr>
              <w:t xml:space="preserve"> code. The code shall be unique and used consistently across the templates and across time. The code shall always have a value</w:t>
            </w:r>
            <w:r w:rsidRPr="00661595">
              <w:rPr>
                <w:i/>
                <w:iCs/>
              </w:rPr>
              <w:t>.</w:t>
            </w:r>
          </w:p>
        </w:tc>
      </w:tr>
      <w:tr w:rsidR="00595FAD" w:rsidRPr="00661595" w:rsidTr="00FF15C6">
        <w:trPr>
          <w:trHeight w:val="680"/>
        </w:trPr>
        <w:tc>
          <w:tcPr>
            <w:tcW w:w="1384" w:type="dxa"/>
          </w:tcPr>
          <w:p w:rsidR="00595FAD" w:rsidRPr="00661595" w:rsidRDefault="00595FAD" w:rsidP="00FF15C6">
            <w:pPr>
              <w:pStyle w:val="Applicationdirecte"/>
              <w:spacing w:before="0" w:after="0"/>
            </w:pPr>
            <w:r w:rsidRPr="00661595">
              <w:t>0030</w:t>
            </w:r>
          </w:p>
        </w:tc>
        <w:tc>
          <w:tcPr>
            <w:tcW w:w="7655" w:type="dxa"/>
            <w:vAlign w:val="center"/>
          </w:tcPr>
          <w:p w:rsidR="00595FAD" w:rsidRPr="00661595" w:rsidRDefault="00595FAD" w:rsidP="00FF15C6">
            <w:pPr>
              <w:keepNext/>
              <w:spacing w:before="60"/>
              <w:rPr>
                <w:rFonts w:ascii="Times New Roman" w:hAnsi="Times New Roman"/>
                <w:b/>
                <w:sz w:val="24"/>
                <w:u w:val="single"/>
              </w:rPr>
            </w:pPr>
            <w:r w:rsidRPr="00661595">
              <w:rPr>
                <w:rFonts w:ascii="Times New Roman" w:hAnsi="Times New Roman"/>
                <w:b/>
                <w:sz w:val="24"/>
                <w:u w:val="single"/>
              </w:rPr>
              <w:t>TYPE OF CODE</w:t>
            </w:r>
          </w:p>
          <w:p w:rsidR="00595FAD" w:rsidRPr="00661595" w:rsidRDefault="00595FAD" w:rsidP="00FF15C6">
            <w:pPr>
              <w:rPr>
                <w:rStyle w:val="FormatvorlageInstructionsTabelleText"/>
                <w:rFonts w:ascii="Calibri" w:hAnsi="Calibri" w:cs="Calibri"/>
                <w:lang w:eastAsia="de-DE"/>
              </w:rPr>
            </w:pPr>
            <w:r w:rsidRPr="00661595">
              <w:rPr>
                <w:rFonts w:ascii="Times New Roman" w:hAnsi="Times New Roman"/>
                <w:sz w:val="24"/>
              </w:rPr>
              <w:t xml:space="preserve">The institution shall identify the type of code reported in </w:t>
            </w:r>
            <w:r w:rsidRPr="00661595">
              <w:rPr>
                <w:rStyle w:val="FormatvorlageInstructionsTabelleText"/>
                <w:rFonts w:ascii="Times New Roman" w:hAnsi="Times New Roman"/>
                <w:sz w:val="24"/>
                <w:lang w:eastAsia="de-DE"/>
              </w:rPr>
              <w:t>column 0020 as a ‘LEI code’ or ‘National code’.</w:t>
            </w:r>
          </w:p>
          <w:p w:rsidR="00595FAD" w:rsidRPr="00661595" w:rsidRDefault="00595FAD" w:rsidP="00FF15C6">
            <w:pPr>
              <w:rPr>
                <w:rFonts w:ascii="Times New Roman" w:hAnsi="Times New Roman"/>
                <w:bCs/>
                <w:sz w:val="24"/>
                <w:lang w:eastAsia="de-DE"/>
              </w:rPr>
            </w:pPr>
            <w:r w:rsidRPr="00661595">
              <w:rPr>
                <w:rFonts w:ascii="Times New Roman" w:hAnsi="Times New Roman"/>
                <w:bCs/>
                <w:sz w:val="24"/>
                <w:lang w:eastAsia="de-DE"/>
              </w:rPr>
              <w:t>The type of code shall always be reported.</w:t>
            </w:r>
          </w:p>
        </w:tc>
      </w:tr>
      <w:tr w:rsidR="00595FAD" w:rsidRPr="00661595" w:rsidTr="00FF15C6">
        <w:trPr>
          <w:trHeight w:val="680"/>
        </w:trPr>
        <w:tc>
          <w:tcPr>
            <w:tcW w:w="1384" w:type="dxa"/>
          </w:tcPr>
          <w:p w:rsidR="00595FAD" w:rsidRPr="00661595" w:rsidRDefault="00595FAD" w:rsidP="00FF15C6">
            <w:pPr>
              <w:pStyle w:val="Applicationdirecte"/>
              <w:spacing w:before="0" w:after="0"/>
            </w:pPr>
            <w:r w:rsidRPr="00661595">
              <w:t>0035</w:t>
            </w:r>
          </w:p>
        </w:tc>
        <w:tc>
          <w:tcPr>
            <w:tcW w:w="7655" w:type="dxa"/>
            <w:vAlign w:val="center"/>
          </w:tcPr>
          <w:p w:rsidR="00595FAD" w:rsidRPr="00661595" w:rsidRDefault="00595FAD" w:rsidP="00FF15C6">
            <w:pPr>
              <w:keepNext/>
              <w:spacing w:before="60"/>
              <w:rPr>
                <w:rFonts w:ascii="Times New Roman" w:hAnsi="Times New Roman"/>
                <w:b/>
                <w:sz w:val="24"/>
                <w:u w:val="single"/>
              </w:rPr>
            </w:pPr>
            <w:r w:rsidRPr="00661595">
              <w:rPr>
                <w:rFonts w:ascii="Times New Roman" w:hAnsi="Times New Roman"/>
                <w:b/>
                <w:sz w:val="24"/>
                <w:u w:val="single"/>
              </w:rPr>
              <w:t>NATIONAL CODE</w:t>
            </w:r>
          </w:p>
          <w:p w:rsidR="00595FAD" w:rsidRPr="00661595" w:rsidRDefault="00595FAD" w:rsidP="00FF15C6">
            <w:pPr>
              <w:pStyle w:val="ListParagraph"/>
              <w:ind w:left="65"/>
              <w:rPr>
                <w:rFonts w:ascii="Times New Roman" w:hAnsi="Times New Roman"/>
                <w:b/>
                <w:sz w:val="24"/>
                <w:u w:val="single"/>
              </w:rPr>
            </w:pPr>
            <w:r w:rsidRPr="00661595">
              <w:rPr>
                <w:rFonts w:ascii="Times New Roman" w:hAnsi="Times New Roman"/>
                <w:sz w:val="24"/>
              </w:rPr>
              <w:t>The institution may additionally report the national code when it reports LEI code as identifier in the ‘Code’ column 0020.</w:t>
            </w:r>
          </w:p>
        </w:tc>
      </w:tr>
      <w:tr w:rsidR="00595FAD" w:rsidRPr="00661595" w:rsidTr="00FF15C6">
        <w:trPr>
          <w:trHeight w:val="680"/>
        </w:trPr>
        <w:tc>
          <w:tcPr>
            <w:tcW w:w="1384" w:type="dxa"/>
          </w:tcPr>
          <w:p w:rsidR="00595FAD" w:rsidRPr="00661595" w:rsidRDefault="00595FAD" w:rsidP="00FF15C6">
            <w:pPr>
              <w:pStyle w:val="Applicationdirecte"/>
              <w:spacing w:before="0" w:after="0"/>
            </w:pPr>
            <w:r w:rsidRPr="00661595">
              <w:t>0040</w:t>
            </w:r>
          </w:p>
        </w:tc>
        <w:tc>
          <w:tcPr>
            <w:tcW w:w="7655" w:type="dxa"/>
            <w:vAlign w:val="center"/>
          </w:tcPr>
          <w:p w:rsidR="00595FAD" w:rsidRPr="00661595" w:rsidRDefault="00595FAD" w:rsidP="00FF15C6">
            <w:pPr>
              <w:keepNext/>
              <w:spacing w:before="60"/>
              <w:rPr>
                <w:rFonts w:ascii="Times New Roman" w:hAnsi="Times New Roman"/>
                <w:b/>
                <w:sz w:val="24"/>
                <w:u w:val="single"/>
              </w:rPr>
            </w:pPr>
            <w:r w:rsidRPr="00661595">
              <w:rPr>
                <w:rFonts w:ascii="Times New Roman" w:hAnsi="Times New Roman"/>
                <w:b/>
                <w:sz w:val="24"/>
                <w:u w:val="single"/>
              </w:rPr>
              <w:t>SECTOR OF THE COUNTERPARTY</w:t>
            </w:r>
          </w:p>
          <w:p w:rsidR="00595FAD" w:rsidRPr="00661595" w:rsidRDefault="00595FAD" w:rsidP="00FF15C6">
            <w:pPr>
              <w:keepNext/>
              <w:spacing w:before="60"/>
              <w:rPr>
                <w:rFonts w:ascii="Times New Roman" w:hAnsi="Times New Roman"/>
                <w:sz w:val="24"/>
              </w:rPr>
            </w:pPr>
            <w:r w:rsidRPr="00661595">
              <w:rPr>
                <w:rFonts w:ascii="Times New Roman" w:hAnsi="Times New Roman"/>
                <w:sz w:val="24"/>
              </w:rPr>
              <w:t xml:space="preserve">One sector shall be chosen for every counterparty on the basis of the following FINREP economic sector classes (see Part 3 Annex V </w:t>
            </w:r>
            <w:r w:rsidR="005E7FAD" w:rsidRPr="00661595">
              <w:rPr>
                <w:rFonts w:ascii="Times New Roman" w:hAnsi="Times New Roman"/>
                <w:sz w:val="24"/>
              </w:rPr>
              <w:t>to this</w:t>
            </w:r>
            <w:r w:rsidRPr="00661595">
              <w:rPr>
                <w:rFonts w:ascii="Times New Roman" w:hAnsi="Times New Roman"/>
                <w:sz w:val="24"/>
              </w:rPr>
              <w:t xml:space="preserve"> Implementing Regulation):</w:t>
            </w:r>
          </w:p>
          <w:p w:rsidR="00595FAD" w:rsidRPr="00661595" w:rsidRDefault="00595FAD" w:rsidP="00FF15C6">
            <w:pPr>
              <w:keepNext/>
              <w:spacing w:before="60"/>
              <w:rPr>
                <w:rFonts w:ascii="Times New Roman" w:hAnsi="Times New Roman"/>
                <w:sz w:val="24"/>
              </w:rPr>
            </w:pPr>
            <w:r w:rsidRPr="00661595">
              <w:rPr>
                <w:rFonts w:ascii="Times New Roman" w:hAnsi="Times New Roman"/>
                <w:sz w:val="24"/>
              </w:rPr>
              <w:t>(i)        Central Banks;</w:t>
            </w:r>
          </w:p>
          <w:p w:rsidR="00595FAD" w:rsidRPr="00661595" w:rsidRDefault="00595FAD" w:rsidP="00FF15C6">
            <w:pPr>
              <w:keepNext/>
              <w:spacing w:before="60"/>
              <w:rPr>
                <w:rFonts w:ascii="Times New Roman" w:hAnsi="Times New Roman"/>
                <w:sz w:val="24"/>
              </w:rPr>
            </w:pPr>
            <w:r w:rsidRPr="00661595">
              <w:rPr>
                <w:rFonts w:ascii="Times New Roman" w:hAnsi="Times New Roman"/>
                <w:sz w:val="24"/>
              </w:rPr>
              <w:t>(ii)</w:t>
            </w:r>
            <w:r w:rsidRPr="00661595">
              <w:rPr>
                <w:rFonts w:ascii="Times New Roman" w:hAnsi="Times New Roman"/>
                <w:sz w:val="24"/>
              </w:rPr>
              <w:tab/>
              <w:t>General Governments;</w:t>
            </w:r>
          </w:p>
          <w:p w:rsidR="00595FAD" w:rsidRPr="00661595" w:rsidRDefault="00595FAD" w:rsidP="00FF15C6">
            <w:pPr>
              <w:keepNext/>
              <w:spacing w:before="60"/>
              <w:rPr>
                <w:rFonts w:ascii="Times New Roman" w:hAnsi="Times New Roman"/>
                <w:sz w:val="24"/>
              </w:rPr>
            </w:pPr>
            <w:r w:rsidRPr="00661595">
              <w:rPr>
                <w:rFonts w:ascii="Times New Roman" w:hAnsi="Times New Roman"/>
                <w:sz w:val="24"/>
              </w:rPr>
              <w:t>(iii)</w:t>
            </w:r>
            <w:r w:rsidRPr="00661595">
              <w:rPr>
                <w:rFonts w:ascii="Times New Roman" w:hAnsi="Times New Roman"/>
                <w:sz w:val="24"/>
              </w:rPr>
              <w:tab/>
              <w:t>Credit institutions;</w:t>
            </w:r>
          </w:p>
          <w:p w:rsidR="00595FAD" w:rsidRPr="00661595" w:rsidRDefault="00595FAD" w:rsidP="00FF15C6">
            <w:pPr>
              <w:keepNext/>
              <w:spacing w:before="60"/>
              <w:rPr>
                <w:rFonts w:ascii="Times New Roman" w:hAnsi="Times New Roman"/>
                <w:sz w:val="24"/>
              </w:rPr>
            </w:pPr>
            <w:r w:rsidRPr="00661595">
              <w:rPr>
                <w:rFonts w:ascii="Times New Roman" w:hAnsi="Times New Roman"/>
                <w:sz w:val="24"/>
              </w:rPr>
              <w:t>(iv)</w:t>
            </w:r>
            <w:r w:rsidRPr="00661595">
              <w:rPr>
                <w:rFonts w:ascii="Times New Roman" w:hAnsi="Times New Roman"/>
                <w:sz w:val="24"/>
              </w:rPr>
              <w:tab/>
              <w:t>Investment firms as defined in point (2) of Article 4(1) CRR;</w:t>
            </w:r>
          </w:p>
          <w:p w:rsidR="00595FAD" w:rsidRPr="00661595" w:rsidRDefault="00595FAD" w:rsidP="00FF15C6">
            <w:pPr>
              <w:keepNext/>
              <w:spacing w:before="60"/>
              <w:rPr>
                <w:rFonts w:ascii="Times New Roman" w:hAnsi="Times New Roman"/>
                <w:sz w:val="24"/>
              </w:rPr>
            </w:pPr>
            <w:r w:rsidRPr="00661595">
              <w:rPr>
                <w:rFonts w:ascii="Times New Roman" w:hAnsi="Times New Roman"/>
                <w:sz w:val="24"/>
              </w:rPr>
              <w:t>(v)</w:t>
            </w:r>
            <w:r w:rsidRPr="00661595">
              <w:rPr>
                <w:rFonts w:ascii="Times New Roman" w:hAnsi="Times New Roman"/>
                <w:sz w:val="24"/>
              </w:rPr>
              <w:tab/>
              <w:t>Other financial corporations (excluding investment firms);</w:t>
            </w:r>
          </w:p>
          <w:p w:rsidR="00595FAD" w:rsidRPr="00661595" w:rsidRDefault="00595FAD" w:rsidP="00FF15C6">
            <w:pPr>
              <w:keepNext/>
              <w:spacing w:before="60"/>
              <w:rPr>
                <w:rFonts w:ascii="Times New Roman" w:hAnsi="Times New Roman"/>
                <w:sz w:val="24"/>
              </w:rPr>
            </w:pPr>
            <w:r w:rsidRPr="00661595">
              <w:rPr>
                <w:rFonts w:ascii="Times New Roman" w:hAnsi="Times New Roman"/>
                <w:sz w:val="24"/>
              </w:rPr>
              <w:t>(vi)</w:t>
            </w:r>
            <w:r w:rsidRPr="00661595">
              <w:rPr>
                <w:rFonts w:ascii="Times New Roman" w:hAnsi="Times New Roman"/>
                <w:sz w:val="24"/>
              </w:rPr>
              <w:tab/>
              <w:t>Non-financial corporations.</w:t>
            </w:r>
          </w:p>
        </w:tc>
      </w:tr>
      <w:tr w:rsidR="00595FAD" w:rsidRPr="00661595" w:rsidTr="00FF15C6">
        <w:trPr>
          <w:trHeight w:val="680"/>
        </w:trPr>
        <w:tc>
          <w:tcPr>
            <w:tcW w:w="1384" w:type="dxa"/>
          </w:tcPr>
          <w:p w:rsidR="00595FAD" w:rsidRPr="00661595" w:rsidRDefault="00595FAD" w:rsidP="00FF15C6">
            <w:pPr>
              <w:pStyle w:val="Applicationdirecte"/>
              <w:spacing w:before="0" w:after="0"/>
            </w:pPr>
            <w:r w:rsidRPr="00661595">
              <w:t>0050</w:t>
            </w:r>
          </w:p>
        </w:tc>
        <w:tc>
          <w:tcPr>
            <w:tcW w:w="7655" w:type="dxa"/>
            <w:vAlign w:val="center"/>
          </w:tcPr>
          <w:p w:rsidR="00595FAD" w:rsidRPr="00661595" w:rsidRDefault="00595FAD" w:rsidP="00FF15C6">
            <w:pPr>
              <w:keepNext/>
              <w:spacing w:before="60"/>
              <w:rPr>
                <w:rFonts w:ascii="Times New Roman" w:hAnsi="Times New Roman"/>
                <w:b/>
                <w:sz w:val="24"/>
                <w:u w:val="single"/>
              </w:rPr>
            </w:pPr>
            <w:r w:rsidRPr="00661595">
              <w:rPr>
                <w:rFonts w:ascii="Times New Roman" w:hAnsi="Times New Roman"/>
                <w:b/>
                <w:sz w:val="24"/>
                <w:u w:val="single"/>
              </w:rPr>
              <w:t>COUNTERPARTY TYPE</w:t>
            </w:r>
          </w:p>
          <w:p w:rsidR="00595FAD" w:rsidRPr="00661595" w:rsidRDefault="00595FAD" w:rsidP="00FF15C6">
            <w:pPr>
              <w:keepNext/>
              <w:spacing w:before="60"/>
              <w:rPr>
                <w:rFonts w:ascii="Times New Roman" w:hAnsi="Times New Roman"/>
                <w:sz w:val="24"/>
              </w:rPr>
            </w:pPr>
            <w:r w:rsidRPr="00661595">
              <w:rPr>
                <w:rFonts w:ascii="Times New Roman" w:hAnsi="Times New Roman"/>
                <w:sz w:val="24"/>
              </w:rPr>
              <w:t>The institution shall indicate the counterparty type which can be:</w:t>
            </w:r>
          </w:p>
          <w:p w:rsidR="00595FAD" w:rsidRPr="00661595" w:rsidRDefault="00595FAD" w:rsidP="00FF15C6">
            <w:pPr>
              <w:keepNext/>
              <w:spacing w:before="60"/>
              <w:rPr>
                <w:rFonts w:ascii="Times New Roman" w:hAnsi="Times New Roman"/>
                <w:sz w:val="24"/>
              </w:rPr>
            </w:pPr>
            <w:r w:rsidRPr="00661595">
              <w:rPr>
                <w:rFonts w:ascii="Times New Roman" w:hAnsi="Times New Roman"/>
                <w:sz w:val="24"/>
              </w:rPr>
              <w:t>- QCCP: when the counterparty is a qualified CCP;</w:t>
            </w:r>
          </w:p>
          <w:p w:rsidR="00595FAD" w:rsidRPr="00661595" w:rsidRDefault="00595FAD" w:rsidP="00FF15C6">
            <w:pPr>
              <w:keepNext/>
              <w:spacing w:before="60"/>
              <w:rPr>
                <w:rFonts w:ascii="Times New Roman" w:hAnsi="Times New Roman"/>
                <w:sz w:val="24"/>
              </w:rPr>
            </w:pPr>
            <w:r w:rsidRPr="00661595">
              <w:rPr>
                <w:rFonts w:ascii="Times New Roman" w:hAnsi="Times New Roman"/>
                <w:sz w:val="24"/>
              </w:rPr>
              <w:t>- NON-QCCP: when the counterparty is a non-qualified CCP;</w:t>
            </w:r>
          </w:p>
          <w:p w:rsidR="00595FAD" w:rsidRPr="00661595" w:rsidRDefault="00595FAD" w:rsidP="00FF15C6">
            <w:pPr>
              <w:keepNext/>
              <w:spacing w:before="60"/>
              <w:rPr>
                <w:rFonts w:ascii="Times New Roman" w:hAnsi="Times New Roman"/>
                <w:sz w:val="24"/>
              </w:rPr>
            </w:pPr>
            <w:r w:rsidRPr="00661595">
              <w:rPr>
                <w:rFonts w:ascii="Times New Roman" w:hAnsi="Times New Roman"/>
                <w:sz w:val="24"/>
              </w:rPr>
              <w:t xml:space="preserve">- No CCP: when the counterparty is not a CCP. </w:t>
            </w:r>
          </w:p>
        </w:tc>
      </w:tr>
      <w:tr w:rsidR="00595FAD" w:rsidRPr="00661595" w:rsidTr="00FF15C6">
        <w:trPr>
          <w:trHeight w:val="680"/>
        </w:trPr>
        <w:tc>
          <w:tcPr>
            <w:tcW w:w="1384" w:type="dxa"/>
          </w:tcPr>
          <w:p w:rsidR="00595FAD" w:rsidRPr="00661595" w:rsidRDefault="00595FAD" w:rsidP="00FF15C6">
            <w:pPr>
              <w:pStyle w:val="Applicationdirecte"/>
              <w:spacing w:before="0" w:after="0"/>
            </w:pPr>
            <w:r w:rsidRPr="00661595">
              <w:t>0060</w:t>
            </w:r>
          </w:p>
        </w:tc>
        <w:tc>
          <w:tcPr>
            <w:tcW w:w="7655" w:type="dxa"/>
            <w:vAlign w:val="center"/>
          </w:tcPr>
          <w:p w:rsidR="00595FAD" w:rsidRPr="00661595" w:rsidRDefault="00595FAD" w:rsidP="00FF15C6">
            <w:pPr>
              <w:keepNext/>
              <w:spacing w:before="60"/>
              <w:rPr>
                <w:rFonts w:ascii="Times New Roman" w:hAnsi="Times New Roman"/>
                <w:b/>
                <w:sz w:val="24"/>
                <w:u w:val="single"/>
              </w:rPr>
            </w:pPr>
            <w:r w:rsidRPr="00661595">
              <w:rPr>
                <w:rFonts w:ascii="Times New Roman" w:hAnsi="Times New Roman"/>
                <w:b/>
                <w:sz w:val="24"/>
                <w:u w:val="single"/>
              </w:rPr>
              <w:t>RESIDENCY OF THE COUNTERPARTY</w:t>
            </w:r>
          </w:p>
          <w:p w:rsidR="00595FAD" w:rsidRPr="00661595" w:rsidRDefault="00595FAD" w:rsidP="00FF15C6">
            <w:pPr>
              <w:keepNext/>
              <w:spacing w:before="60"/>
              <w:rPr>
                <w:rFonts w:ascii="Times New Roman" w:hAnsi="Times New Roman"/>
                <w:sz w:val="24"/>
              </w:rPr>
            </w:pPr>
            <w:r w:rsidRPr="00661595">
              <w:rPr>
                <w:rFonts w:ascii="Times New Roman" w:hAnsi="Times New Roman"/>
                <w:sz w:val="24"/>
              </w:rPr>
              <w:t>The ISO code 3166-1-alpha-2 of the country of incorporation of the counterparty shall be used (including pseudo-ISO codes for international organisations, available in the Eurostat’s “Balance of Payments Vademecum”, as amended).</w:t>
            </w:r>
          </w:p>
        </w:tc>
      </w:tr>
      <w:tr w:rsidR="00595FAD" w:rsidRPr="00661595" w:rsidTr="00FF15C6">
        <w:trPr>
          <w:trHeight w:val="680"/>
        </w:trPr>
        <w:tc>
          <w:tcPr>
            <w:tcW w:w="1384" w:type="dxa"/>
          </w:tcPr>
          <w:p w:rsidR="00595FAD" w:rsidRPr="00661595" w:rsidRDefault="00595FAD" w:rsidP="00FF15C6">
            <w:pPr>
              <w:pStyle w:val="Applicationdirecte"/>
              <w:spacing w:before="0" w:after="0"/>
            </w:pPr>
            <w:r w:rsidRPr="00661595">
              <w:t>0070</w:t>
            </w:r>
          </w:p>
        </w:tc>
        <w:tc>
          <w:tcPr>
            <w:tcW w:w="7655" w:type="dxa"/>
            <w:vAlign w:val="center"/>
          </w:tcPr>
          <w:p w:rsidR="00595FAD" w:rsidRPr="00661595" w:rsidRDefault="00595FAD" w:rsidP="00FF15C6">
            <w:pPr>
              <w:keepNext/>
              <w:spacing w:before="60"/>
              <w:rPr>
                <w:rFonts w:ascii="Times New Roman" w:hAnsi="Times New Roman"/>
                <w:b/>
                <w:sz w:val="24"/>
                <w:u w:val="single"/>
              </w:rPr>
            </w:pPr>
            <w:r w:rsidRPr="00661595">
              <w:rPr>
                <w:rFonts w:ascii="Times New Roman" w:hAnsi="Times New Roman"/>
                <w:b/>
                <w:sz w:val="24"/>
                <w:u w:val="single"/>
              </w:rPr>
              <w:t>NUMBER OF TRANSACTIONS</w:t>
            </w:r>
          </w:p>
          <w:p w:rsidR="00595FAD" w:rsidRPr="00661595" w:rsidRDefault="00595FAD" w:rsidP="00FF15C6">
            <w:pPr>
              <w:keepNext/>
              <w:spacing w:before="60"/>
              <w:rPr>
                <w:rFonts w:ascii="Times New Roman" w:hAnsi="Times New Roman"/>
                <w:b/>
                <w:sz w:val="24"/>
                <w:u w:val="single"/>
              </w:rPr>
            </w:pPr>
            <w:r w:rsidRPr="00661595">
              <w:rPr>
                <w:rFonts w:ascii="Times New Roman" w:hAnsi="Times New Roman"/>
                <w:sz w:val="24"/>
              </w:rPr>
              <w:t>See instructions to column 0020 in template C</w:t>
            </w:r>
            <w:r w:rsidR="00DC0A81">
              <w:rPr>
                <w:rFonts w:ascii="Times New Roman" w:hAnsi="Times New Roman"/>
                <w:sz w:val="24"/>
              </w:rPr>
              <w:t xml:space="preserve"> </w:t>
            </w:r>
            <w:r w:rsidRPr="00661595">
              <w:rPr>
                <w:rFonts w:ascii="Times New Roman" w:hAnsi="Times New Roman"/>
                <w:sz w:val="24"/>
              </w:rPr>
              <w:t>34.02.</w:t>
            </w:r>
          </w:p>
        </w:tc>
      </w:tr>
      <w:tr w:rsidR="00595FAD" w:rsidRPr="00661595" w:rsidTr="00FF15C6">
        <w:trPr>
          <w:trHeight w:val="426"/>
        </w:trPr>
        <w:tc>
          <w:tcPr>
            <w:tcW w:w="1384" w:type="dxa"/>
          </w:tcPr>
          <w:p w:rsidR="00595FAD" w:rsidRPr="00661595" w:rsidRDefault="00595FAD" w:rsidP="00FF15C6">
            <w:pPr>
              <w:pStyle w:val="Applicationdirecte"/>
              <w:spacing w:before="0" w:after="0"/>
            </w:pPr>
            <w:r w:rsidRPr="00661595">
              <w:t>0080</w:t>
            </w:r>
          </w:p>
        </w:tc>
        <w:tc>
          <w:tcPr>
            <w:tcW w:w="7655" w:type="dxa"/>
            <w:vAlign w:val="center"/>
          </w:tcPr>
          <w:p w:rsidR="00595FAD" w:rsidRPr="00661595" w:rsidRDefault="00595FAD" w:rsidP="00FF15C6">
            <w:pPr>
              <w:keepNext/>
              <w:spacing w:before="60"/>
              <w:rPr>
                <w:rFonts w:ascii="Times New Roman" w:hAnsi="Times New Roman"/>
                <w:b/>
                <w:sz w:val="24"/>
                <w:u w:val="single"/>
              </w:rPr>
            </w:pPr>
            <w:r w:rsidRPr="00661595">
              <w:rPr>
                <w:rFonts w:ascii="Times New Roman" w:hAnsi="Times New Roman"/>
                <w:b/>
                <w:sz w:val="24"/>
                <w:u w:val="single"/>
              </w:rPr>
              <w:t>NOTIONAL AMOUNTS</w:t>
            </w:r>
          </w:p>
          <w:p w:rsidR="00595FAD" w:rsidRPr="00661595" w:rsidRDefault="00595FAD" w:rsidP="00FF15C6">
            <w:pPr>
              <w:keepNext/>
              <w:spacing w:before="60"/>
              <w:rPr>
                <w:rFonts w:ascii="Times New Roman" w:hAnsi="Times New Roman"/>
                <w:sz w:val="24"/>
              </w:rPr>
            </w:pPr>
            <w:r w:rsidRPr="00661595">
              <w:rPr>
                <w:rFonts w:ascii="Times New Roman" w:hAnsi="Times New Roman"/>
                <w:sz w:val="24"/>
              </w:rPr>
              <w:t>See instructions to column 0030 in template C</w:t>
            </w:r>
            <w:r w:rsidR="00DC0A81">
              <w:rPr>
                <w:rFonts w:ascii="Times New Roman" w:hAnsi="Times New Roman"/>
                <w:sz w:val="24"/>
              </w:rPr>
              <w:t xml:space="preserve"> </w:t>
            </w:r>
            <w:r w:rsidRPr="00661595">
              <w:rPr>
                <w:rFonts w:ascii="Times New Roman" w:hAnsi="Times New Roman"/>
                <w:sz w:val="24"/>
              </w:rPr>
              <w:t>34.02.</w:t>
            </w:r>
          </w:p>
        </w:tc>
      </w:tr>
      <w:tr w:rsidR="00595FAD" w:rsidRPr="00661595" w:rsidTr="00FF15C6">
        <w:trPr>
          <w:trHeight w:val="680"/>
        </w:trPr>
        <w:tc>
          <w:tcPr>
            <w:tcW w:w="1384" w:type="dxa"/>
          </w:tcPr>
          <w:p w:rsidR="00595FAD" w:rsidRPr="00661595" w:rsidRDefault="00595FAD" w:rsidP="00FF15C6">
            <w:pPr>
              <w:pStyle w:val="Applicationdirecte"/>
              <w:spacing w:before="0" w:after="0"/>
            </w:pPr>
            <w:r w:rsidRPr="00661595">
              <w:t>0090</w:t>
            </w:r>
          </w:p>
        </w:tc>
        <w:tc>
          <w:tcPr>
            <w:tcW w:w="7655" w:type="dxa"/>
            <w:vAlign w:val="center"/>
          </w:tcPr>
          <w:p w:rsidR="00595FAD" w:rsidRPr="00661595" w:rsidRDefault="00595FAD" w:rsidP="00FF15C6">
            <w:pPr>
              <w:keepNext/>
              <w:spacing w:before="60"/>
              <w:rPr>
                <w:rFonts w:ascii="Times New Roman" w:hAnsi="Times New Roman"/>
                <w:b/>
                <w:sz w:val="24"/>
                <w:u w:val="single"/>
              </w:rPr>
            </w:pPr>
            <w:r w:rsidRPr="00661595">
              <w:rPr>
                <w:rFonts w:ascii="Times New Roman" w:hAnsi="Times New Roman"/>
                <w:b/>
                <w:sz w:val="24"/>
                <w:u w:val="single"/>
              </w:rPr>
              <w:t>CURRENT MARKET VALUE (CMV), positive</w:t>
            </w:r>
          </w:p>
          <w:p w:rsidR="00595FAD" w:rsidRPr="00661595" w:rsidRDefault="00595FAD" w:rsidP="00FF15C6">
            <w:pPr>
              <w:keepNext/>
              <w:spacing w:before="60"/>
              <w:rPr>
                <w:rFonts w:ascii="Times New Roman" w:hAnsi="Times New Roman"/>
                <w:sz w:val="24"/>
              </w:rPr>
            </w:pPr>
            <w:r w:rsidRPr="00661595">
              <w:rPr>
                <w:rFonts w:ascii="Times New Roman" w:hAnsi="Times New Roman"/>
                <w:sz w:val="24"/>
              </w:rPr>
              <w:t>See instructions to column 0040 in template C</w:t>
            </w:r>
            <w:r w:rsidR="00DC0A81">
              <w:rPr>
                <w:rFonts w:ascii="Times New Roman" w:hAnsi="Times New Roman"/>
                <w:sz w:val="24"/>
              </w:rPr>
              <w:t xml:space="preserve"> </w:t>
            </w:r>
            <w:r w:rsidRPr="00661595">
              <w:rPr>
                <w:rFonts w:ascii="Times New Roman" w:hAnsi="Times New Roman"/>
                <w:sz w:val="24"/>
              </w:rPr>
              <w:t>34.02.</w:t>
            </w:r>
          </w:p>
          <w:p w:rsidR="00595FAD" w:rsidRPr="00661595" w:rsidRDefault="00595FAD" w:rsidP="00FF15C6">
            <w:pPr>
              <w:keepNext/>
              <w:spacing w:before="60"/>
              <w:rPr>
                <w:rFonts w:ascii="Times New Roman" w:hAnsi="Times New Roman"/>
                <w:b/>
                <w:sz w:val="24"/>
                <w:u w:val="single"/>
              </w:rPr>
            </w:pPr>
            <w:r w:rsidRPr="00661595">
              <w:rPr>
                <w:rFonts w:ascii="Times New Roman" w:hAnsi="Times New Roman"/>
                <w:sz w:val="24"/>
              </w:rPr>
              <w:t>The institution shall report the sum of netting sets with positive CMV if there are several netting sets for the same counterparty.</w:t>
            </w:r>
          </w:p>
        </w:tc>
      </w:tr>
      <w:tr w:rsidR="00595FAD" w:rsidRPr="00661595" w:rsidTr="00FF15C6">
        <w:trPr>
          <w:trHeight w:val="680"/>
        </w:trPr>
        <w:tc>
          <w:tcPr>
            <w:tcW w:w="1384" w:type="dxa"/>
          </w:tcPr>
          <w:p w:rsidR="00595FAD" w:rsidRPr="00661595" w:rsidRDefault="00595FAD" w:rsidP="00FF15C6">
            <w:pPr>
              <w:pStyle w:val="Applicationdirecte"/>
              <w:spacing w:before="0" w:after="0"/>
            </w:pPr>
            <w:r w:rsidRPr="00661595">
              <w:t>0100</w:t>
            </w:r>
          </w:p>
        </w:tc>
        <w:tc>
          <w:tcPr>
            <w:tcW w:w="7655" w:type="dxa"/>
            <w:vAlign w:val="center"/>
          </w:tcPr>
          <w:p w:rsidR="00595FAD" w:rsidRPr="00661595" w:rsidRDefault="00595FAD" w:rsidP="00FF15C6">
            <w:pPr>
              <w:keepNext/>
              <w:spacing w:before="60"/>
              <w:rPr>
                <w:rFonts w:ascii="Times New Roman" w:hAnsi="Times New Roman"/>
                <w:b/>
                <w:sz w:val="24"/>
                <w:u w:val="single"/>
              </w:rPr>
            </w:pPr>
            <w:r w:rsidRPr="00661595">
              <w:rPr>
                <w:rFonts w:ascii="Times New Roman" w:hAnsi="Times New Roman"/>
                <w:b/>
                <w:sz w:val="24"/>
                <w:u w:val="single"/>
              </w:rPr>
              <w:t>CURRENT MARKET VALUE (CMV), negative</w:t>
            </w:r>
          </w:p>
          <w:p w:rsidR="00595FAD" w:rsidRPr="00661595" w:rsidRDefault="00595FAD" w:rsidP="00FF15C6">
            <w:pPr>
              <w:keepNext/>
              <w:spacing w:before="60"/>
              <w:rPr>
                <w:rFonts w:ascii="Times New Roman" w:hAnsi="Times New Roman"/>
                <w:sz w:val="24"/>
              </w:rPr>
            </w:pPr>
            <w:r w:rsidRPr="00661595">
              <w:rPr>
                <w:rFonts w:ascii="Times New Roman" w:hAnsi="Times New Roman"/>
                <w:sz w:val="24"/>
              </w:rPr>
              <w:t>See instructions to column 0040 in template C</w:t>
            </w:r>
            <w:r w:rsidR="00DC0A81">
              <w:rPr>
                <w:rFonts w:ascii="Times New Roman" w:hAnsi="Times New Roman"/>
                <w:sz w:val="24"/>
              </w:rPr>
              <w:t xml:space="preserve"> </w:t>
            </w:r>
            <w:r w:rsidRPr="00661595">
              <w:rPr>
                <w:rFonts w:ascii="Times New Roman" w:hAnsi="Times New Roman"/>
                <w:sz w:val="24"/>
              </w:rPr>
              <w:t>34.02.</w:t>
            </w:r>
          </w:p>
          <w:p w:rsidR="00595FAD" w:rsidRPr="00661595" w:rsidRDefault="00595FAD" w:rsidP="00FF15C6">
            <w:pPr>
              <w:keepNext/>
              <w:spacing w:before="60"/>
              <w:rPr>
                <w:rFonts w:ascii="Times New Roman" w:hAnsi="Times New Roman"/>
                <w:b/>
                <w:sz w:val="24"/>
                <w:u w:val="single"/>
              </w:rPr>
            </w:pPr>
            <w:r w:rsidRPr="00661595">
              <w:rPr>
                <w:rFonts w:ascii="Times New Roman" w:hAnsi="Times New Roman"/>
                <w:sz w:val="24"/>
              </w:rPr>
              <w:t>The institution shall report the absolute sum of netting sets with negative CMV if there are several netting sets for the same counterparty.</w:t>
            </w:r>
          </w:p>
        </w:tc>
      </w:tr>
      <w:tr w:rsidR="00595FAD" w:rsidRPr="00661595" w:rsidTr="00FF15C6">
        <w:trPr>
          <w:trHeight w:val="680"/>
        </w:trPr>
        <w:tc>
          <w:tcPr>
            <w:tcW w:w="1384" w:type="dxa"/>
          </w:tcPr>
          <w:p w:rsidR="00595FAD" w:rsidRPr="00661595" w:rsidRDefault="00595FAD" w:rsidP="00FF15C6">
            <w:pPr>
              <w:pStyle w:val="Applicationdirecte"/>
              <w:spacing w:before="0" w:after="0"/>
            </w:pPr>
            <w:r w:rsidRPr="00661595">
              <w:t>0110</w:t>
            </w:r>
          </w:p>
        </w:tc>
        <w:tc>
          <w:tcPr>
            <w:tcW w:w="7655" w:type="dxa"/>
            <w:vAlign w:val="center"/>
          </w:tcPr>
          <w:p w:rsidR="00595FAD" w:rsidRPr="00661595" w:rsidRDefault="00595FAD" w:rsidP="00FF15C6">
            <w:pPr>
              <w:keepNext/>
              <w:spacing w:before="60"/>
              <w:rPr>
                <w:rFonts w:ascii="Times New Roman" w:hAnsi="Times New Roman"/>
                <w:b/>
                <w:sz w:val="24"/>
                <w:u w:val="single"/>
              </w:rPr>
            </w:pPr>
            <w:r w:rsidRPr="00661595">
              <w:rPr>
                <w:rFonts w:ascii="Times New Roman" w:hAnsi="Times New Roman"/>
                <w:b/>
                <w:sz w:val="24"/>
                <w:u w:val="single"/>
              </w:rPr>
              <w:t>EXPOSURE VALUE POST-CRM</w:t>
            </w:r>
          </w:p>
          <w:p w:rsidR="00595FAD" w:rsidRPr="00661595" w:rsidRDefault="00595FAD" w:rsidP="00FF15C6">
            <w:pPr>
              <w:keepNext/>
              <w:spacing w:before="60"/>
              <w:rPr>
                <w:rFonts w:ascii="Times New Roman" w:hAnsi="Times New Roman"/>
                <w:sz w:val="24"/>
              </w:rPr>
            </w:pPr>
            <w:r w:rsidRPr="00661595">
              <w:rPr>
                <w:rFonts w:ascii="Times New Roman" w:hAnsi="Times New Roman"/>
                <w:sz w:val="24"/>
              </w:rPr>
              <w:t>See instructions to column 0160 in template C</w:t>
            </w:r>
            <w:r w:rsidR="00DC0A81">
              <w:rPr>
                <w:rFonts w:ascii="Times New Roman" w:hAnsi="Times New Roman"/>
                <w:sz w:val="24"/>
              </w:rPr>
              <w:t xml:space="preserve"> </w:t>
            </w:r>
            <w:r w:rsidRPr="00661595">
              <w:rPr>
                <w:rFonts w:ascii="Times New Roman" w:hAnsi="Times New Roman"/>
                <w:sz w:val="24"/>
              </w:rPr>
              <w:t xml:space="preserve">34.02. </w:t>
            </w:r>
          </w:p>
          <w:p w:rsidR="00595FAD" w:rsidRPr="00661595" w:rsidRDefault="00595FAD" w:rsidP="00FF15C6">
            <w:pPr>
              <w:keepNext/>
              <w:spacing w:before="60"/>
              <w:rPr>
                <w:rFonts w:ascii="Times New Roman" w:hAnsi="Times New Roman"/>
                <w:b/>
                <w:sz w:val="24"/>
                <w:u w:val="single"/>
              </w:rPr>
            </w:pPr>
            <w:r w:rsidRPr="00661595">
              <w:rPr>
                <w:rFonts w:ascii="Times New Roman" w:hAnsi="Times New Roman"/>
                <w:sz w:val="24"/>
              </w:rPr>
              <w:t>The institution shall report the sum of netting set exposure values post-CRM if there are several netting sets for the same counterparty.</w:t>
            </w:r>
          </w:p>
        </w:tc>
      </w:tr>
      <w:tr w:rsidR="00595FAD" w:rsidRPr="00661595" w:rsidTr="00FF15C6">
        <w:trPr>
          <w:trHeight w:val="680"/>
        </w:trPr>
        <w:tc>
          <w:tcPr>
            <w:tcW w:w="1384" w:type="dxa"/>
          </w:tcPr>
          <w:p w:rsidR="00595FAD" w:rsidRPr="00661595" w:rsidRDefault="00595FAD" w:rsidP="00FF15C6">
            <w:pPr>
              <w:pStyle w:val="Applicationdirecte"/>
              <w:spacing w:before="0" w:after="0"/>
            </w:pPr>
            <w:r w:rsidRPr="00661595">
              <w:t>0120</w:t>
            </w:r>
          </w:p>
        </w:tc>
        <w:tc>
          <w:tcPr>
            <w:tcW w:w="7655" w:type="dxa"/>
            <w:vAlign w:val="center"/>
          </w:tcPr>
          <w:p w:rsidR="00595FAD" w:rsidRPr="00661595" w:rsidRDefault="00595FAD" w:rsidP="00FF15C6">
            <w:pPr>
              <w:keepNext/>
              <w:spacing w:before="60"/>
              <w:rPr>
                <w:rFonts w:ascii="Times New Roman" w:hAnsi="Times New Roman"/>
                <w:b/>
                <w:sz w:val="24"/>
                <w:u w:val="single"/>
              </w:rPr>
            </w:pPr>
            <w:r w:rsidRPr="00661595">
              <w:rPr>
                <w:rFonts w:ascii="Times New Roman" w:hAnsi="Times New Roman"/>
                <w:b/>
                <w:sz w:val="24"/>
                <w:u w:val="single"/>
              </w:rPr>
              <w:t>EXPOSURE VALUE</w:t>
            </w:r>
          </w:p>
          <w:p w:rsidR="00595FAD" w:rsidRPr="00661595" w:rsidRDefault="00595FAD" w:rsidP="00FF15C6">
            <w:pPr>
              <w:keepNext/>
              <w:spacing w:before="60"/>
              <w:rPr>
                <w:rFonts w:ascii="Times New Roman" w:hAnsi="Times New Roman"/>
                <w:b/>
                <w:sz w:val="24"/>
                <w:u w:val="single"/>
              </w:rPr>
            </w:pPr>
            <w:r w:rsidRPr="00661595">
              <w:rPr>
                <w:rFonts w:ascii="Times New Roman" w:hAnsi="Times New Roman"/>
                <w:sz w:val="24"/>
              </w:rPr>
              <w:t>See instructions to column 0170 in template C</w:t>
            </w:r>
            <w:r w:rsidR="00DC0A81">
              <w:rPr>
                <w:rFonts w:ascii="Times New Roman" w:hAnsi="Times New Roman"/>
                <w:sz w:val="24"/>
              </w:rPr>
              <w:t xml:space="preserve"> </w:t>
            </w:r>
            <w:r w:rsidRPr="00661595">
              <w:rPr>
                <w:rFonts w:ascii="Times New Roman" w:hAnsi="Times New Roman"/>
                <w:sz w:val="24"/>
              </w:rPr>
              <w:t>34.02.</w:t>
            </w:r>
          </w:p>
        </w:tc>
      </w:tr>
      <w:tr w:rsidR="00595FAD" w:rsidRPr="00661595" w:rsidTr="00FF15C6">
        <w:trPr>
          <w:trHeight w:val="680"/>
        </w:trPr>
        <w:tc>
          <w:tcPr>
            <w:tcW w:w="1384" w:type="dxa"/>
          </w:tcPr>
          <w:p w:rsidR="00595FAD" w:rsidRPr="00661595" w:rsidRDefault="00595FAD" w:rsidP="00FF15C6">
            <w:pPr>
              <w:pStyle w:val="Applicationdirecte"/>
              <w:spacing w:before="0" w:after="0"/>
            </w:pPr>
            <w:r w:rsidRPr="00661595">
              <w:t>0130</w:t>
            </w:r>
          </w:p>
        </w:tc>
        <w:tc>
          <w:tcPr>
            <w:tcW w:w="7655" w:type="dxa"/>
            <w:vAlign w:val="center"/>
          </w:tcPr>
          <w:p w:rsidR="00595FAD" w:rsidRPr="00661595" w:rsidRDefault="00595FAD" w:rsidP="00FF15C6">
            <w:pPr>
              <w:keepNext/>
              <w:spacing w:before="60"/>
              <w:rPr>
                <w:rFonts w:ascii="Times New Roman" w:hAnsi="Times New Roman"/>
                <w:b/>
                <w:sz w:val="24"/>
                <w:u w:val="single"/>
              </w:rPr>
            </w:pPr>
            <w:r w:rsidRPr="00661595">
              <w:rPr>
                <w:rFonts w:ascii="Times New Roman" w:hAnsi="Times New Roman"/>
                <w:b/>
                <w:sz w:val="24"/>
                <w:u w:val="single"/>
              </w:rPr>
              <w:t>RISK WEIGHTED EXPOSURE AMOUNTS</w:t>
            </w:r>
          </w:p>
          <w:p w:rsidR="00595FAD" w:rsidRPr="00661595" w:rsidRDefault="00595FAD" w:rsidP="00FF15C6">
            <w:pPr>
              <w:keepNext/>
              <w:spacing w:before="60"/>
              <w:rPr>
                <w:rFonts w:ascii="Times New Roman" w:hAnsi="Times New Roman"/>
                <w:b/>
                <w:sz w:val="24"/>
                <w:u w:val="single"/>
              </w:rPr>
            </w:pPr>
            <w:r w:rsidRPr="00661595">
              <w:rPr>
                <w:rFonts w:ascii="Times New Roman" w:hAnsi="Times New Roman"/>
                <w:sz w:val="24"/>
              </w:rPr>
              <w:t>See instructions to column 0200 in template C</w:t>
            </w:r>
            <w:r w:rsidR="00DC0A81">
              <w:rPr>
                <w:rFonts w:ascii="Times New Roman" w:hAnsi="Times New Roman"/>
                <w:sz w:val="24"/>
              </w:rPr>
              <w:t xml:space="preserve"> </w:t>
            </w:r>
            <w:r w:rsidRPr="00661595">
              <w:rPr>
                <w:rFonts w:ascii="Times New Roman" w:hAnsi="Times New Roman"/>
                <w:sz w:val="24"/>
              </w:rPr>
              <w:t>34.02.</w:t>
            </w:r>
          </w:p>
        </w:tc>
      </w:tr>
    </w:tbl>
    <w:p w:rsidR="00595FAD" w:rsidRPr="00661595" w:rsidRDefault="00595FAD" w:rsidP="00595FAD">
      <w:pPr>
        <w:pStyle w:val="Titlelevel2"/>
        <w:spacing w:before="120" w:after="120"/>
        <w:jc w:val="both"/>
        <w:rPr>
          <w:rFonts w:ascii="Times New Roman" w:hAnsi="Times New Roman" w:cs="Times New Roman"/>
          <w:color w:val="auto"/>
          <w:sz w:val="24"/>
          <w:lang w:val="en-GB"/>
        </w:rPr>
      </w:pPr>
    </w:p>
    <w:p w:rsidR="00595FAD" w:rsidRPr="00661595" w:rsidRDefault="00595FAD" w:rsidP="002F29AF">
      <w:pPr>
        <w:pStyle w:val="Instructionsberschrift2"/>
        <w:numPr>
          <w:ilvl w:val="2"/>
          <w:numId w:val="48"/>
        </w:numPr>
        <w:rPr>
          <w:rFonts w:ascii="Times New Roman" w:hAnsi="Times New Roman" w:cs="Times New Roman"/>
          <w:sz w:val="24"/>
          <w:lang w:val="en-GB"/>
        </w:rPr>
      </w:pPr>
      <w:bookmarkStart w:id="481" w:name="_Toc19715819"/>
      <w:bookmarkStart w:id="482" w:name="_Toc57831609"/>
      <w:r w:rsidRPr="00661595">
        <w:rPr>
          <w:rFonts w:ascii="Times New Roman" w:hAnsi="Times New Roman" w:cs="Times New Roman"/>
          <w:sz w:val="24"/>
          <w:lang w:val="en-GB"/>
        </w:rPr>
        <w:t>C 34.07 - IRB approach – CCR exposures by exposure class and PD scale</w:t>
      </w:r>
      <w:bookmarkEnd w:id="481"/>
      <w:bookmarkEnd w:id="482"/>
      <w:r w:rsidRPr="00661595">
        <w:rPr>
          <w:rFonts w:ascii="Times New Roman" w:hAnsi="Times New Roman" w:cs="Times New Roman"/>
          <w:sz w:val="24"/>
          <w:lang w:val="en-GB"/>
        </w:rPr>
        <w:t xml:space="preserve"> </w:t>
      </w:r>
    </w:p>
    <w:p w:rsidR="00595FAD" w:rsidRPr="00661595" w:rsidRDefault="00595FAD" w:rsidP="002F29AF">
      <w:pPr>
        <w:pStyle w:val="Instructionsberschrift2"/>
        <w:numPr>
          <w:ilvl w:val="3"/>
          <w:numId w:val="48"/>
        </w:numPr>
        <w:rPr>
          <w:rFonts w:ascii="Times New Roman" w:hAnsi="Times New Roman" w:cs="Times New Roman"/>
          <w:sz w:val="24"/>
          <w:lang w:val="en-GB"/>
        </w:rPr>
      </w:pPr>
      <w:bookmarkStart w:id="483" w:name="_Toc19715820"/>
      <w:bookmarkStart w:id="484" w:name="_Toc57831610"/>
      <w:r w:rsidRPr="00661595">
        <w:rPr>
          <w:rFonts w:ascii="Times New Roman" w:hAnsi="Times New Roman" w:cs="Times New Roman"/>
          <w:sz w:val="24"/>
          <w:lang w:val="en-GB"/>
        </w:rPr>
        <w:t>General remarks</w:t>
      </w:r>
      <w:bookmarkEnd w:id="483"/>
      <w:bookmarkEnd w:id="484"/>
    </w:p>
    <w:p w:rsidR="00595FAD" w:rsidRPr="00661595" w:rsidRDefault="00D11E4C" w:rsidP="00487A02">
      <w:pPr>
        <w:pStyle w:val="InstructionsText2"/>
        <w:numPr>
          <w:ilvl w:val="0"/>
          <w:numId w:val="0"/>
        </w:numPr>
        <w:ind w:left="1353" w:hanging="360"/>
      </w:pPr>
      <w:fldSimple w:instr=" seq paragraphs ">
        <w:r w:rsidR="00771068">
          <w:rPr>
            <w:noProof/>
          </w:rPr>
          <w:t>128</w:t>
        </w:r>
      </w:fldSimple>
      <w:r w:rsidR="00595FAD" w:rsidRPr="00661595">
        <w:t xml:space="preserve">. This template shall be reported by institutions using either the advanced or the foundation IRB approach to compute risk weighted exposure amounts for all or part of their CCR exposures in accordance with Article 107 CRR, irrespective of the CCR approach used to determine exposure values in accordance with Chapters 4 and 6 of Title II of Part Three CRR. </w:t>
      </w:r>
    </w:p>
    <w:p w:rsidR="00595FAD" w:rsidRPr="00661595" w:rsidRDefault="00D11E4C" w:rsidP="00487A02">
      <w:pPr>
        <w:pStyle w:val="InstructionsText2"/>
        <w:numPr>
          <w:ilvl w:val="0"/>
          <w:numId w:val="0"/>
        </w:numPr>
        <w:ind w:left="1353" w:hanging="360"/>
      </w:pPr>
      <w:fldSimple w:instr=" seq paragraphs ">
        <w:r w:rsidR="00771068">
          <w:rPr>
            <w:noProof/>
          </w:rPr>
          <w:t>129</w:t>
        </w:r>
      </w:fldSimple>
      <w:r w:rsidR="00595FAD" w:rsidRPr="00661595">
        <w:t xml:space="preserve">. The template shall be reported separately for the total of all exposure classes as well as separately for each of the exposure classes listed in Article 147 CRR. This template excludes exposures cleared through a CCP. </w:t>
      </w:r>
    </w:p>
    <w:p w:rsidR="00595FAD" w:rsidRPr="00661595" w:rsidRDefault="00D11E4C" w:rsidP="00487A02">
      <w:pPr>
        <w:pStyle w:val="InstructionsText2"/>
        <w:numPr>
          <w:ilvl w:val="0"/>
          <w:numId w:val="0"/>
        </w:numPr>
        <w:ind w:left="1353" w:hanging="360"/>
      </w:pPr>
      <w:fldSimple w:instr=" seq paragraphs ">
        <w:r w:rsidR="00771068">
          <w:rPr>
            <w:noProof/>
          </w:rPr>
          <w:t>130</w:t>
        </w:r>
      </w:fldSimple>
      <w:r w:rsidR="00595FAD" w:rsidRPr="00661595">
        <w:t>. In order to clarify whether the institution uses its own estimates for LGD and/or credit conversion factors the following information shall be provided for each reported exposure class:</w:t>
      </w:r>
    </w:p>
    <w:p w:rsidR="00595FAD" w:rsidRPr="00661595" w:rsidRDefault="00595FAD" w:rsidP="00595FAD">
      <w:pPr>
        <w:autoSpaceDE w:val="0"/>
        <w:autoSpaceDN w:val="0"/>
        <w:adjustRightInd w:val="0"/>
        <w:spacing w:after="240"/>
        <w:ind w:left="709"/>
        <w:rPr>
          <w:rFonts w:ascii="Times New Roman" w:hAnsi="Times New Roman"/>
          <w:sz w:val="24"/>
          <w:lang w:eastAsia="de-DE"/>
        </w:rPr>
      </w:pPr>
      <w:r w:rsidRPr="00661595">
        <w:rPr>
          <w:rFonts w:ascii="Times New Roman" w:hAnsi="Times New Roman"/>
          <w:sz w:val="24"/>
          <w:lang w:eastAsia="de-DE"/>
        </w:rPr>
        <w:t>"NO" = in case the supervisory estimates of LGD and credit conversion factors are used (Foundation IRB)</w:t>
      </w:r>
    </w:p>
    <w:p w:rsidR="00595FAD" w:rsidRPr="00661595" w:rsidRDefault="00595FAD" w:rsidP="00595FAD">
      <w:pPr>
        <w:autoSpaceDE w:val="0"/>
        <w:autoSpaceDN w:val="0"/>
        <w:adjustRightInd w:val="0"/>
        <w:spacing w:after="240"/>
        <w:ind w:left="709"/>
        <w:rPr>
          <w:rFonts w:ascii="Times New Roman" w:hAnsi="Times New Roman"/>
          <w:sz w:val="24"/>
          <w:lang w:eastAsia="de-DE"/>
        </w:rPr>
      </w:pPr>
      <w:r w:rsidRPr="00661595">
        <w:rPr>
          <w:rFonts w:ascii="Times New Roman" w:hAnsi="Times New Roman"/>
          <w:sz w:val="24"/>
          <w:lang w:eastAsia="de-DE"/>
        </w:rPr>
        <w:t xml:space="preserve">"YES" = in case own estimates of LGD and credit conversion factors are used (Advanced IRB) </w:t>
      </w:r>
    </w:p>
    <w:p w:rsidR="00595FAD" w:rsidRPr="00661595" w:rsidRDefault="00595FAD" w:rsidP="002F29AF">
      <w:pPr>
        <w:pStyle w:val="Instructionsberschrift2"/>
        <w:numPr>
          <w:ilvl w:val="3"/>
          <w:numId w:val="48"/>
        </w:numPr>
        <w:rPr>
          <w:rFonts w:ascii="Times New Roman" w:hAnsi="Times New Roman" w:cs="Times New Roman"/>
          <w:sz w:val="24"/>
          <w:lang w:val="en-GB"/>
        </w:rPr>
      </w:pPr>
      <w:bookmarkStart w:id="485" w:name="_Toc19715821"/>
      <w:bookmarkStart w:id="486" w:name="_Toc57831611"/>
      <w:r w:rsidRPr="00661595">
        <w:rPr>
          <w:rFonts w:ascii="Times New Roman" w:hAnsi="Times New Roman" w:cs="Times New Roman"/>
          <w:sz w:val="24"/>
          <w:lang w:val="en-GB"/>
        </w:rPr>
        <w:t>Instructions concerning specific positions</w:t>
      </w:r>
      <w:bookmarkEnd w:id="485"/>
      <w:bookmarkEnd w:id="486"/>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67"/>
      </w:tblGrid>
      <w:tr w:rsidR="00595FAD" w:rsidRPr="00661595" w:rsidTr="00FF15C6">
        <w:trPr>
          <w:trHeight w:val="238"/>
        </w:trPr>
        <w:tc>
          <w:tcPr>
            <w:tcW w:w="9067" w:type="dxa"/>
            <w:shd w:val="clear" w:color="auto" w:fill="D9D9D9" w:themeFill="background1" w:themeFillShade="D9"/>
          </w:tcPr>
          <w:p w:rsidR="00595FAD" w:rsidRPr="00751FBE" w:rsidRDefault="00595FAD" w:rsidP="00FF15C6">
            <w:pPr>
              <w:autoSpaceDE w:val="0"/>
              <w:autoSpaceDN w:val="0"/>
              <w:adjustRightInd w:val="0"/>
              <w:rPr>
                <w:rFonts w:ascii="Times New Roman" w:hAnsi="Times New Roman"/>
                <w:b/>
                <w:sz w:val="24"/>
              </w:rPr>
            </w:pPr>
            <w:r w:rsidRPr="00661595">
              <w:rPr>
                <w:rFonts w:ascii="Times New Roman" w:hAnsi="Times New Roman"/>
                <w:b/>
                <w:sz w:val="24"/>
              </w:rPr>
              <w:t>Columns</w:t>
            </w:r>
          </w:p>
        </w:tc>
      </w:tr>
    </w:tbl>
    <w:tbl>
      <w:tblPr>
        <w:tblStyle w:val="TableGrid"/>
        <w:tblW w:w="9067" w:type="dxa"/>
        <w:tblLook w:val="04A0" w:firstRow="1" w:lastRow="0" w:firstColumn="1" w:lastColumn="0" w:noHBand="0" w:noVBand="1"/>
      </w:tblPr>
      <w:tblGrid>
        <w:gridCol w:w="1413"/>
        <w:gridCol w:w="7654"/>
      </w:tblGrid>
      <w:tr w:rsidR="00595FAD" w:rsidRPr="00661595" w:rsidTr="00FF15C6">
        <w:tc>
          <w:tcPr>
            <w:tcW w:w="1413" w:type="dxa"/>
          </w:tcPr>
          <w:p w:rsidR="00595FAD" w:rsidRPr="00661595" w:rsidRDefault="00595FAD" w:rsidP="00FF15C6">
            <w:pPr>
              <w:spacing w:before="60" w:after="240"/>
              <w:rPr>
                <w:rFonts w:ascii="Times New Roman" w:hAnsi="Times New Roman"/>
                <w:sz w:val="24"/>
                <w:szCs w:val="22"/>
              </w:rPr>
            </w:pPr>
            <w:r w:rsidRPr="00661595">
              <w:rPr>
                <w:rFonts w:ascii="Times New Roman" w:hAnsi="Times New Roman"/>
                <w:sz w:val="24"/>
                <w:szCs w:val="22"/>
              </w:rPr>
              <w:t>0010</w:t>
            </w:r>
          </w:p>
        </w:tc>
        <w:tc>
          <w:tcPr>
            <w:tcW w:w="7654" w:type="dxa"/>
          </w:tcPr>
          <w:p w:rsidR="00595FAD" w:rsidRPr="00661595" w:rsidRDefault="00595FAD" w:rsidP="00FF15C6">
            <w:pPr>
              <w:spacing w:before="60"/>
              <w:rPr>
                <w:rStyle w:val="InstructionsTabelleberschrift"/>
                <w:rFonts w:ascii="Times New Roman" w:hAnsi="Times New Roman"/>
                <w:sz w:val="24"/>
              </w:rPr>
            </w:pPr>
            <w:r w:rsidRPr="00661595">
              <w:rPr>
                <w:rStyle w:val="InstructionsTabelleberschrift"/>
                <w:rFonts w:ascii="Times New Roman" w:hAnsi="Times New Roman"/>
                <w:sz w:val="24"/>
              </w:rPr>
              <w:t xml:space="preserve">Exposure value </w:t>
            </w:r>
          </w:p>
          <w:p w:rsidR="00595FAD" w:rsidRPr="00661595" w:rsidRDefault="00595FAD" w:rsidP="00FF15C6">
            <w:pPr>
              <w:spacing w:before="60" w:after="240"/>
              <w:rPr>
                <w:rFonts w:ascii="Times New Roman" w:hAnsi="Times New Roman"/>
                <w:sz w:val="24"/>
              </w:rPr>
            </w:pPr>
            <w:r w:rsidRPr="00661595">
              <w:rPr>
                <w:rFonts w:ascii="Times New Roman" w:hAnsi="Times New Roman"/>
                <w:sz w:val="24"/>
              </w:rPr>
              <w:t>Exposure value (see instructions to column 0170 in template C</w:t>
            </w:r>
            <w:r w:rsidR="00837612">
              <w:rPr>
                <w:rFonts w:ascii="Times New Roman" w:hAnsi="Times New Roman"/>
                <w:sz w:val="24"/>
              </w:rPr>
              <w:t xml:space="preserve"> </w:t>
            </w:r>
            <w:r w:rsidRPr="00661595">
              <w:rPr>
                <w:rFonts w:ascii="Times New Roman" w:hAnsi="Times New Roman"/>
                <w:sz w:val="24"/>
              </w:rPr>
              <w:t>34.02)</w:t>
            </w:r>
            <w:r w:rsidRPr="00661595">
              <w:rPr>
                <w:rFonts w:ascii="Times New Roman" w:hAnsi="Times New Roman"/>
                <w:i/>
                <w:sz w:val="24"/>
              </w:rPr>
              <w:t>,</w:t>
            </w:r>
            <w:r w:rsidRPr="00661595">
              <w:rPr>
                <w:rFonts w:ascii="Times New Roman" w:hAnsi="Times New Roman"/>
                <w:sz w:val="24"/>
              </w:rPr>
              <w:t xml:space="preserve"> broken down by the given PD scale</w:t>
            </w:r>
          </w:p>
        </w:tc>
      </w:tr>
      <w:tr w:rsidR="00595FAD" w:rsidRPr="00661595" w:rsidTr="00FF15C6">
        <w:tc>
          <w:tcPr>
            <w:tcW w:w="1413" w:type="dxa"/>
          </w:tcPr>
          <w:p w:rsidR="00595FAD" w:rsidRPr="00661595" w:rsidRDefault="00595FAD" w:rsidP="00FF15C6">
            <w:pPr>
              <w:spacing w:before="60" w:after="240"/>
              <w:rPr>
                <w:rFonts w:ascii="Times New Roman" w:hAnsi="Times New Roman"/>
                <w:sz w:val="24"/>
                <w:szCs w:val="22"/>
              </w:rPr>
            </w:pPr>
            <w:r w:rsidRPr="00661595">
              <w:rPr>
                <w:rFonts w:ascii="Times New Roman" w:hAnsi="Times New Roman"/>
                <w:sz w:val="24"/>
                <w:szCs w:val="22"/>
              </w:rPr>
              <w:t>0020</w:t>
            </w:r>
          </w:p>
        </w:tc>
        <w:tc>
          <w:tcPr>
            <w:tcW w:w="7654" w:type="dxa"/>
          </w:tcPr>
          <w:p w:rsidR="00595FAD" w:rsidRPr="00661595" w:rsidRDefault="00595FAD" w:rsidP="00FF15C6">
            <w:pPr>
              <w:spacing w:before="60" w:after="240"/>
              <w:rPr>
                <w:rStyle w:val="InstructionsTabelleberschrift"/>
                <w:rFonts w:ascii="Times New Roman" w:hAnsi="Times New Roman"/>
                <w:sz w:val="24"/>
              </w:rPr>
            </w:pPr>
            <w:r w:rsidRPr="00661595">
              <w:rPr>
                <w:rStyle w:val="InstructionsTabelleberschrift"/>
                <w:rFonts w:ascii="Times New Roman" w:hAnsi="Times New Roman"/>
                <w:sz w:val="24"/>
              </w:rPr>
              <w:t>Exposure weighted average PD (%)</w:t>
            </w:r>
          </w:p>
          <w:p w:rsidR="00595FAD" w:rsidRPr="00661595" w:rsidRDefault="00595FAD" w:rsidP="00FF15C6">
            <w:pPr>
              <w:spacing w:before="60" w:after="240"/>
              <w:rPr>
                <w:rFonts w:ascii="Times New Roman" w:hAnsi="Times New Roman"/>
                <w:sz w:val="24"/>
              </w:rPr>
            </w:pPr>
            <w:r w:rsidRPr="00661595">
              <w:rPr>
                <w:rFonts w:ascii="Times New Roman" w:hAnsi="Times New Roman"/>
                <w:sz w:val="24"/>
              </w:rPr>
              <w:t>Average of individual obligor grade PDs weighted by their corresponding exposure value as defined for column 0010</w:t>
            </w:r>
          </w:p>
        </w:tc>
      </w:tr>
      <w:tr w:rsidR="00595FAD" w:rsidRPr="00661595" w:rsidTr="00FF15C6">
        <w:tc>
          <w:tcPr>
            <w:tcW w:w="1413" w:type="dxa"/>
          </w:tcPr>
          <w:p w:rsidR="00595FAD" w:rsidRPr="00661595" w:rsidRDefault="00595FAD" w:rsidP="00FF15C6">
            <w:pPr>
              <w:spacing w:before="60" w:after="240"/>
              <w:rPr>
                <w:rFonts w:ascii="Times New Roman" w:hAnsi="Times New Roman"/>
                <w:sz w:val="24"/>
                <w:szCs w:val="22"/>
              </w:rPr>
            </w:pPr>
            <w:r w:rsidRPr="00661595">
              <w:rPr>
                <w:rFonts w:ascii="Times New Roman" w:hAnsi="Times New Roman"/>
                <w:sz w:val="24"/>
                <w:szCs w:val="22"/>
              </w:rPr>
              <w:t>0030</w:t>
            </w:r>
          </w:p>
        </w:tc>
        <w:tc>
          <w:tcPr>
            <w:tcW w:w="7654" w:type="dxa"/>
          </w:tcPr>
          <w:p w:rsidR="00595FAD" w:rsidRPr="00661595" w:rsidRDefault="00595FAD" w:rsidP="00FF15C6">
            <w:pPr>
              <w:spacing w:before="60"/>
              <w:rPr>
                <w:rStyle w:val="InstructionsTabelleberschrift"/>
                <w:rFonts w:ascii="Times New Roman" w:hAnsi="Times New Roman"/>
                <w:sz w:val="24"/>
              </w:rPr>
            </w:pPr>
            <w:r w:rsidRPr="00661595">
              <w:rPr>
                <w:rStyle w:val="InstructionsTabelleberschrift"/>
                <w:rFonts w:ascii="Times New Roman" w:hAnsi="Times New Roman"/>
                <w:sz w:val="24"/>
              </w:rPr>
              <w:t xml:space="preserve">Number of obligors </w:t>
            </w:r>
          </w:p>
          <w:p w:rsidR="00595FAD" w:rsidRPr="00661595" w:rsidRDefault="00595FAD" w:rsidP="00FF15C6">
            <w:pPr>
              <w:rPr>
                <w:rFonts w:ascii="Times New Roman" w:hAnsi="Times New Roman"/>
                <w:sz w:val="24"/>
              </w:rPr>
            </w:pPr>
            <w:r w:rsidRPr="00661595">
              <w:rPr>
                <w:rFonts w:ascii="Times New Roman" w:hAnsi="Times New Roman"/>
                <w:sz w:val="24"/>
              </w:rPr>
              <w:t>The number of legal entities or obligors allocated to each bucket of the fixed PD scale, which were separately rated, regardless of the number of different loans or exposures granted</w:t>
            </w:r>
          </w:p>
          <w:p w:rsidR="00595FAD" w:rsidRPr="00661595" w:rsidRDefault="00595FAD" w:rsidP="00FF15C6">
            <w:pPr>
              <w:rPr>
                <w:rFonts w:ascii="Times New Roman" w:hAnsi="Times New Roman"/>
                <w:sz w:val="24"/>
              </w:rPr>
            </w:pPr>
            <w:r w:rsidRPr="00661595">
              <w:rPr>
                <w:rFonts w:ascii="Times New Roman" w:hAnsi="Times New Roman"/>
                <w:sz w:val="24"/>
              </w:rPr>
              <w:t>Where different exposures to the same obligor are separately rated, they shall be counted separately. Such situation may take place if separate exposures to the same obligor are assigned to different obligor grades in accordance with point (e) of Article 172(1) second sentence CRR.</w:t>
            </w:r>
          </w:p>
        </w:tc>
      </w:tr>
      <w:tr w:rsidR="00595FAD" w:rsidRPr="00661595" w:rsidTr="00FF15C6">
        <w:tc>
          <w:tcPr>
            <w:tcW w:w="1413" w:type="dxa"/>
          </w:tcPr>
          <w:p w:rsidR="00595FAD" w:rsidRPr="00661595" w:rsidRDefault="00595FAD" w:rsidP="00FF15C6">
            <w:pPr>
              <w:spacing w:before="60" w:after="240"/>
              <w:rPr>
                <w:rFonts w:ascii="Times New Roman" w:hAnsi="Times New Roman"/>
                <w:sz w:val="24"/>
                <w:szCs w:val="22"/>
              </w:rPr>
            </w:pPr>
            <w:r w:rsidRPr="00661595">
              <w:rPr>
                <w:rFonts w:ascii="Times New Roman" w:hAnsi="Times New Roman"/>
                <w:sz w:val="24"/>
                <w:szCs w:val="22"/>
              </w:rPr>
              <w:t>0040</w:t>
            </w:r>
          </w:p>
        </w:tc>
        <w:tc>
          <w:tcPr>
            <w:tcW w:w="7654" w:type="dxa"/>
          </w:tcPr>
          <w:p w:rsidR="00595FAD" w:rsidRPr="00661595" w:rsidRDefault="00595FAD" w:rsidP="00FF15C6">
            <w:pPr>
              <w:spacing w:before="60" w:after="240"/>
              <w:rPr>
                <w:rStyle w:val="InstructionsTabelleberschrift"/>
                <w:rFonts w:ascii="Times New Roman" w:hAnsi="Times New Roman"/>
                <w:sz w:val="24"/>
              </w:rPr>
            </w:pPr>
            <w:r w:rsidRPr="00661595">
              <w:rPr>
                <w:rStyle w:val="InstructionsTabelleberschrift"/>
                <w:rFonts w:ascii="Times New Roman" w:hAnsi="Times New Roman"/>
                <w:sz w:val="24"/>
              </w:rPr>
              <w:t>Exposure weighted average LGD (%)</w:t>
            </w:r>
          </w:p>
          <w:p w:rsidR="00595FAD" w:rsidRPr="00661595" w:rsidRDefault="00595FAD" w:rsidP="00FF15C6">
            <w:pPr>
              <w:spacing w:before="60" w:after="240"/>
              <w:rPr>
                <w:rFonts w:ascii="Times New Roman" w:hAnsi="Times New Roman"/>
                <w:sz w:val="24"/>
              </w:rPr>
            </w:pPr>
            <w:r w:rsidRPr="00661595">
              <w:rPr>
                <w:rFonts w:ascii="Times New Roman" w:hAnsi="Times New Roman"/>
                <w:sz w:val="24"/>
              </w:rPr>
              <w:t>Average of obligor grade LGDs weighted by their corresponding exposure value as defined for column 0010</w:t>
            </w:r>
          </w:p>
          <w:p w:rsidR="00595FAD" w:rsidRPr="00661595" w:rsidRDefault="00595FAD" w:rsidP="00FF15C6">
            <w:pPr>
              <w:rPr>
                <w:rFonts w:ascii="Times New Roman" w:hAnsi="Times New Roman"/>
                <w:sz w:val="24"/>
              </w:rPr>
            </w:pPr>
            <w:r w:rsidRPr="00661595">
              <w:rPr>
                <w:rFonts w:ascii="Times New Roman" w:hAnsi="Times New Roman"/>
                <w:sz w:val="24"/>
              </w:rPr>
              <w:t>The LGD reported shall correspond to the final LGD estimate used in the calculation of risk weighted exposure amounts obtained after considering any CRM effects and downturn conditions as specified in Chapters 3 and 4 of Title II of Part Three CRR, where relevant. In particular, for institutions applying the IRB approach but not using their own estimates of LGD the risk mitigation effects of financial collateral are reflected in E*, the fully adjusted value of the exposure, and then reflected in LGD* in accordance with Article 228(2) CRR. If own estimates of LGD are applied, Article 175 and Article 181(1) and (2) CRR shall be considered.</w:t>
            </w:r>
          </w:p>
          <w:p w:rsidR="00595FAD" w:rsidRPr="00661595" w:rsidRDefault="00595FAD" w:rsidP="00FF15C6">
            <w:pPr>
              <w:rPr>
                <w:rFonts w:ascii="Times New Roman" w:hAnsi="Times New Roman"/>
                <w:sz w:val="24"/>
              </w:rPr>
            </w:pPr>
            <w:r w:rsidRPr="00661595">
              <w:rPr>
                <w:rFonts w:ascii="Times New Roman" w:hAnsi="Times New Roman"/>
                <w:sz w:val="24"/>
              </w:rPr>
              <w:t>In the case of exposures subject to the double default treatment the LGD to be reported shall correspond to the one selected in accordance with Article 161(4) CRR.</w:t>
            </w:r>
          </w:p>
          <w:p w:rsidR="00595FAD" w:rsidRPr="00661595" w:rsidRDefault="00595FAD" w:rsidP="00FF15C6">
            <w:pPr>
              <w:spacing w:before="60" w:after="240"/>
              <w:rPr>
                <w:rFonts w:ascii="Times New Roman" w:hAnsi="Times New Roman"/>
                <w:strike/>
                <w:sz w:val="24"/>
              </w:rPr>
            </w:pPr>
            <w:r w:rsidRPr="00661595">
              <w:rPr>
                <w:rFonts w:ascii="Times New Roman" w:hAnsi="Times New Roman"/>
                <w:sz w:val="24"/>
              </w:rPr>
              <w:t xml:space="preserve">For defaulted exposures under A-IRB Approach, provisions laid down in point (h) of Article 181(1) CRR shall be considered. The LGD reported shall correspond to the estimate of LGD in-default. </w:t>
            </w:r>
          </w:p>
        </w:tc>
      </w:tr>
      <w:tr w:rsidR="00595FAD" w:rsidRPr="00661595" w:rsidTr="00FF15C6">
        <w:tc>
          <w:tcPr>
            <w:tcW w:w="1413" w:type="dxa"/>
          </w:tcPr>
          <w:p w:rsidR="00595FAD" w:rsidRPr="00661595" w:rsidRDefault="00595FAD" w:rsidP="00FF15C6">
            <w:pPr>
              <w:spacing w:before="60" w:after="240"/>
              <w:rPr>
                <w:rFonts w:ascii="Times New Roman" w:hAnsi="Times New Roman"/>
                <w:sz w:val="24"/>
              </w:rPr>
            </w:pPr>
            <w:r w:rsidRPr="00661595">
              <w:rPr>
                <w:rFonts w:ascii="Times New Roman" w:hAnsi="Times New Roman"/>
                <w:sz w:val="24"/>
              </w:rPr>
              <w:t>0050</w:t>
            </w:r>
          </w:p>
        </w:tc>
        <w:tc>
          <w:tcPr>
            <w:tcW w:w="7654" w:type="dxa"/>
          </w:tcPr>
          <w:p w:rsidR="00595FAD" w:rsidRPr="00661595" w:rsidRDefault="00595FAD" w:rsidP="00FF15C6">
            <w:pPr>
              <w:spacing w:before="60"/>
              <w:rPr>
                <w:rStyle w:val="InstructionsTabelleberschrift"/>
                <w:rFonts w:ascii="Times New Roman" w:hAnsi="Times New Roman"/>
                <w:sz w:val="24"/>
              </w:rPr>
            </w:pPr>
            <w:r w:rsidRPr="00661595">
              <w:rPr>
                <w:rStyle w:val="InstructionsTabelleberschrift"/>
                <w:rFonts w:ascii="Times New Roman" w:hAnsi="Times New Roman"/>
                <w:sz w:val="24"/>
              </w:rPr>
              <w:t>Exposure weighted average maturity (years)</w:t>
            </w:r>
          </w:p>
          <w:p w:rsidR="00595FAD" w:rsidRPr="00661595" w:rsidRDefault="00595FAD" w:rsidP="00FF15C6">
            <w:pPr>
              <w:spacing w:before="60"/>
              <w:rPr>
                <w:rFonts w:ascii="Times New Roman" w:hAnsi="Times New Roman"/>
                <w:sz w:val="24"/>
              </w:rPr>
            </w:pPr>
            <w:r w:rsidRPr="00661595">
              <w:rPr>
                <w:rStyle w:val="InstructionsTabelleberschrift"/>
                <w:rFonts w:ascii="Times New Roman" w:hAnsi="Times New Roman"/>
                <w:b w:val="0"/>
                <w:sz w:val="24"/>
                <w:u w:val="none"/>
              </w:rPr>
              <w:t>Average</w:t>
            </w:r>
            <w:r w:rsidRPr="00661595">
              <w:rPr>
                <w:rFonts w:ascii="Times New Roman" w:hAnsi="Times New Roman"/>
                <w:sz w:val="24"/>
              </w:rPr>
              <w:t xml:space="preserve"> of obligor maturities in years weighted by their corresponding exposure value as defined for column 0010</w:t>
            </w:r>
          </w:p>
          <w:p w:rsidR="00595FAD" w:rsidRPr="00661595" w:rsidRDefault="00595FAD" w:rsidP="00837612">
            <w:pPr>
              <w:rPr>
                <w:rFonts w:ascii="Times New Roman" w:hAnsi="Times New Roman"/>
                <w:sz w:val="24"/>
              </w:rPr>
            </w:pPr>
            <w:r w:rsidRPr="00661595">
              <w:rPr>
                <w:rFonts w:ascii="Times New Roman" w:hAnsi="Times New Roman"/>
                <w:sz w:val="24"/>
              </w:rPr>
              <w:t xml:space="preserve">The maturity </w:t>
            </w:r>
            <w:r w:rsidR="00CE51FF">
              <w:rPr>
                <w:rFonts w:ascii="Times New Roman" w:hAnsi="Times New Roman"/>
                <w:sz w:val="24"/>
              </w:rPr>
              <w:t>shall be determined in accordance with</w:t>
            </w:r>
            <w:r w:rsidR="00CE51FF" w:rsidRPr="00661595">
              <w:rPr>
                <w:rFonts w:ascii="Times New Roman" w:hAnsi="Times New Roman"/>
                <w:sz w:val="24"/>
              </w:rPr>
              <w:t xml:space="preserve"> </w:t>
            </w:r>
            <w:r w:rsidRPr="00661595">
              <w:rPr>
                <w:rFonts w:ascii="Times New Roman" w:hAnsi="Times New Roman"/>
                <w:sz w:val="24"/>
              </w:rPr>
              <w:t xml:space="preserve">Article 162 CRR. </w:t>
            </w:r>
          </w:p>
        </w:tc>
      </w:tr>
      <w:tr w:rsidR="00595FAD" w:rsidRPr="00661595" w:rsidTr="00FF15C6">
        <w:tc>
          <w:tcPr>
            <w:tcW w:w="1413" w:type="dxa"/>
          </w:tcPr>
          <w:p w:rsidR="00595FAD" w:rsidRPr="00661595" w:rsidRDefault="00595FAD" w:rsidP="00FF15C6">
            <w:pPr>
              <w:spacing w:before="60" w:after="240"/>
              <w:rPr>
                <w:sz w:val="24"/>
              </w:rPr>
            </w:pPr>
            <w:r w:rsidRPr="00661595">
              <w:rPr>
                <w:rFonts w:ascii="Times New Roman" w:hAnsi="Times New Roman"/>
                <w:sz w:val="24"/>
              </w:rPr>
              <w:t>0060</w:t>
            </w:r>
          </w:p>
        </w:tc>
        <w:tc>
          <w:tcPr>
            <w:tcW w:w="7654" w:type="dxa"/>
          </w:tcPr>
          <w:p w:rsidR="00595FAD" w:rsidRPr="00661595" w:rsidRDefault="00595FAD" w:rsidP="00FF15C6">
            <w:pPr>
              <w:spacing w:before="60"/>
              <w:rPr>
                <w:rFonts w:ascii="Times New Roman" w:hAnsi="Times New Roman"/>
                <w:sz w:val="24"/>
              </w:rPr>
            </w:pPr>
            <w:r w:rsidRPr="00661595">
              <w:rPr>
                <w:rStyle w:val="InstructionsTabelleberschrift"/>
                <w:rFonts w:ascii="Times New Roman" w:hAnsi="Times New Roman"/>
                <w:sz w:val="24"/>
              </w:rPr>
              <w:t>Risk weighted exposure amounts</w:t>
            </w:r>
            <w:r w:rsidRPr="00661595">
              <w:rPr>
                <w:rFonts w:ascii="Times New Roman" w:hAnsi="Times New Roman"/>
                <w:i/>
                <w:sz w:val="24"/>
              </w:rPr>
              <w:t xml:space="preserve"> </w:t>
            </w:r>
          </w:p>
          <w:p w:rsidR="00595FAD" w:rsidRPr="00661595" w:rsidRDefault="00595FAD" w:rsidP="00FF15C6">
            <w:pPr>
              <w:spacing w:before="60"/>
              <w:rPr>
                <w:rFonts w:ascii="Times New Roman" w:hAnsi="Times New Roman"/>
                <w:sz w:val="24"/>
              </w:rPr>
            </w:pPr>
            <w:r w:rsidRPr="00661595">
              <w:rPr>
                <w:rFonts w:ascii="Times New Roman" w:hAnsi="Times New Roman"/>
                <w:sz w:val="24"/>
              </w:rPr>
              <w:t>Risk weighted exposure amounts, as defined in Article 92(3) and (4) CRR, for positions whose risk weights are estimated on the basis of the requirements laid down in Chapter 3 of Title II of Part Three CRR and for which the exposure value for CCR business is calculated in accordance with Chapters 4 and 6 of Title II of Part Three CRR</w:t>
            </w:r>
          </w:p>
          <w:p w:rsidR="00595FAD" w:rsidRPr="00661595" w:rsidRDefault="00595FAD" w:rsidP="003F19BA">
            <w:pPr>
              <w:spacing w:before="60" w:after="240"/>
              <w:rPr>
                <w:rFonts w:ascii="Times New Roman" w:hAnsi="Times New Roman"/>
                <w:i/>
                <w:sz w:val="24"/>
              </w:rPr>
            </w:pPr>
            <w:r w:rsidRPr="00661595">
              <w:rPr>
                <w:rFonts w:ascii="Times New Roman" w:hAnsi="Times New Roman"/>
                <w:sz w:val="24"/>
              </w:rPr>
              <w:t>The SME</w:t>
            </w:r>
            <w:r w:rsidR="001A217F">
              <w:rPr>
                <w:rFonts w:ascii="Times New Roman" w:hAnsi="Times New Roman"/>
                <w:sz w:val="24"/>
              </w:rPr>
              <w:t xml:space="preserve"> </w:t>
            </w:r>
            <w:r w:rsidR="00927B49">
              <w:rPr>
                <w:rFonts w:ascii="Times New Roman" w:hAnsi="Times New Roman"/>
                <w:sz w:val="24"/>
              </w:rPr>
              <w:t xml:space="preserve">and infrastructure </w:t>
            </w:r>
            <w:r w:rsidRPr="00661595">
              <w:rPr>
                <w:rFonts w:ascii="Times New Roman" w:hAnsi="Times New Roman"/>
                <w:sz w:val="24"/>
              </w:rPr>
              <w:t>supporting factor</w:t>
            </w:r>
            <w:r w:rsidR="00927B49">
              <w:rPr>
                <w:rFonts w:ascii="Times New Roman" w:hAnsi="Times New Roman"/>
                <w:sz w:val="24"/>
              </w:rPr>
              <w:t>s</w:t>
            </w:r>
            <w:r w:rsidRPr="00661595">
              <w:rPr>
                <w:rFonts w:ascii="Times New Roman" w:hAnsi="Times New Roman"/>
                <w:sz w:val="24"/>
              </w:rPr>
              <w:t xml:space="preserve"> </w:t>
            </w:r>
            <w:r w:rsidR="00927B49">
              <w:rPr>
                <w:rFonts w:ascii="Times New Roman" w:hAnsi="Times New Roman"/>
                <w:sz w:val="24"/>
              </w:rPr>
              <w:t xml:space="preserve">laid down in </w:t>
            </w:r>
            <w:r w:rsidRPr="00661595">
              <w:rPr>
                <w:rFonts w:ascii="Times New Roman" w:hAnsi="Times New Roman"/>
                <w:sz w:val="24"/>
              </w:rPr>
              <w:t xml:space="preserve">Article 501 and Article 501a CRR shall be taken into account. </w:t>
            </w:r>
          </w:p>
        </w:tc>
      </w:tr>
      <w:tr w:rsidR="00595FAD" w:rsidRPr="00661595" w:rsidTr="00FF15C6">
        <w:tc>
          <w:tcPr>
            <w:tcW w:w="1413" w:type="dxa"/>
          </w:tcPr>
          <w:p w:rsidR="00595FAD" w:rsidRPr="00661595" w:rsidRDefault="00595FAD" w:rsidP="00FF15C6">
            <w:pPr>
              <w:spacing w:before="60" w:after="240"/>
              <w:rPr>
                <w:sz w:val="24"/>
              </w:rPr>
            </w:pPr>
            <w:r w:rsidRPr="00661595">
              <w:rPr>
                <w:rFonts w:ascii="Times New Roman" w:hAnsi="Times New Roman"/>
                <w:sz w:val="24"/>
              </w:rPr>
              <w:t>0070</w:t>
            </w:r>
          </w:p>
        </w:tc>
        <w:tc>
          <w:tcPr>
            <w:tcW w:w="7654" w:type="dxa"/>
          </w:tcPr>
          <w:p w:rsidR="00595FAD" w:rsidRPr="00661595" w:rsidRDefault="00595FAD" w:rsidP="00FF15C6">
            <w:pPr>
              <w:spacing w:before="60"/>
              <w:rPr>
                <w:rStyle w:val="InstructionsTabelleberschrift"/>
                <w:rFonts w:ascii="Times New Roman" w:hAnsi="Times New Roman"/>
                <w:sz w:val="24"/>
              </w:rPr>
            </w:pPr>
            <w:r w:rsidRPr="00661595">
              <w:rPr>
                <w:rStyle w:val="InstructionsTabelleberschrift"/>
                <w:rFonts w:ascii="Times New Roman" w:hAnsi="Times New Roman"/>
                <w:sz w:val="24"/>
              </w:rPr>
              <w:t xml:space="preserve">Density of risk weighted exposure amounts </w:t>
            </w:r>
          </w:p>
          <w:p w:rsidR="00595FAD" w:rsidRPr="00661595" w:rsidDel="00291448" w:rsidRDefault="00595FAD" w:rsidP="00FF15C6">
            <w:pPr>
              <w:spacing w:before="60"/>
              <w:rPr>
                <w:rFonts w:ascii="Times New Roman" w:hAnsi="Times New Roman"/>
                <w:sz w:val="24"/>
              </w:rPr>
            </w:pPr>
            <w:r w:rsidRPr="00661595">
              <w:rPr>
                <w:rFonts w:ascii="Times New Roman" w:hAnsi="Times New Roman"/>
                <w:sz w:val="24"/>
              </w:rPr>
              <w:t>Ratio of the total risk weighted exposure amounts (reported in column 0060) to the exposure value (reported in column 0010)</w:t>
            </w:r>
          </w:p>
        </w:tc>
      </w:tr>
    </w:tbl>
    <w:p w:rsidR="00595FAD" w:rsidRPr="00661595" w:rsidRDefault="00595FAD" w:rsidP="00595FAD">
      <w:pPr>
        <w:spacing w:before="60" w:after="240"/>
        <w:rPr>
          <w:rFonts w:ascii="Times New Roman" w:hAnsi="Times New Roman"/>
          <w:sz w:val="24"/>
          <w:lang w:eastAsia="en-GB"/>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655"/>
      </w:tblGrid>
      <w:tr w:rsidR="00595FAD" w:rsidRPr="00661595" w:rsidTr="00FF15C6">
        <w:trPr>
          <w:trHeight w:val="720"/>
        </w:trPr>
        <w:tc>
          <w:tcPr>
            <w:tcW w:w="9039" w:type="dxa"/>
            <w:gridSpan w:val="2"/>
            <w:shd w:val="clear" w:color="auto" w:fill="D9D9D9" w:themeFill="background1" w:themeFillShade="D9"/>
          </w:tcPr>
          <w:p w:rsidR="00595FAD" w:rsidRPr="00661595" w:rsidRDefault="00595FAD" w:rsidP="00FF15C6">
            <w:pPr>
              <w:autoSpaceDE w:val="0"/>
              <w:autoSpaceDN w:val="0"/>
              <w:adjustRightInd w:val="0"/>
              <w:rPr>
                <w:rFonts w:ascii="Times New Roman" w:hAnsi="Times New Roman"/>
                <w:sz w:val="24"/>
              </w:rPr>
            </w:pPr>
            <w:r w:rsidRPr="00661595">
              <w:rPr>
                <w:rFonts w:ascii="Times New Roman" w:hAnsi="Times New Roman"/>
                <w:b/>
                <w:sz w:val="24"/>
              </w:rPr>
              <w:t xml:space="preserve">Rows </w:t>
            </w:r>
          </w:p>
        </w:tc>
      </w:tr>
      <w:tr w:rsidR="00595FAD" w:rsidRPr="00661595" w:rsidTr="00FF15C6">
        <w:trPr>
          <w:trHeight w:val="680"/>
        </w:trPr>
        <w:tc>
          <w:tcPr>
            <w:tcW w:w="1384" w:type="dxa"/>
          </w:tcPr>
          <w:p w:rsidR="00595FAD" w:rsidRPr="00661595" w:rsidRDefault="00595FAD" w:rsidP="00FF15C6">
            <w:pPr>
              <w:pStyle w:val="Applicationdirecte"/>
              <w:spacing w:before="60" w:after="0"/>
              <w:jc w:val="center"/>
            </w:pPr>
            <w:r w:rsidRPr="00661595">
              <w:t>0010 - 0170</w:t>
            </w:r>
          </w:p>
        </w:tc>
        <w:tc>
          <w:tcPr>
            <w:tcW w:w="7655" w:type="dxa"/>
            <w:vAlign w:val="center"/>
          </w:tcPr>
          <w:p w:rsidR="00595FAD" w:rsidRPr="00661595" w:rsidRDefault="00595FAD" w:rsidP="00FF15C6">
            <w:pPr>
              <w:spacing w:before="60"/>
              <w:rPr>
                <w:rFonts w:ascii="Times New Roman" w:hAnsi="Times New Roman"/>
                <w:b/>
                <w:bCs/>
                <w:sz w:val="24"/>
                <w:u w:val="single"/>
              </w:rPr>
            </w:pPr>
            <w:r w:rsidRPr="00661595">
              <w:rPr>
                <w:rStyle w:val="InstructionsTabelleberschrift"/>
                <w:rFonts w:ascii="Times New Roman" w:hAnsi="Times New Roman"/>
                <w:sz w:val="24"/>
              </w:rPr>
              <w:t>PD scale</w:t>
            </w:r>
          </w:p>
          <w:p w:rsidR="00595FAD" w:rsidRPr="00661595" w:rsidRDefault="00595FAD" w:rsidP="00FF15C6">
            <w:pPr>
              <w:spacing w:before="60"/>
              <w:rPr>
                <w:rFonts w:ascii="Times New Roman" w:hAnsi="Times New Roman"/>
                <w:sz w:val="24"/>
              </w:rPr>
            </w:pPr>
            <w:r w:rsidRPr="00661595">
              <w:rPr>
                <w:rFonts w:ascii="Times New Roman" w:hAnsi="Times New Roman"/>
                <w:sz w:val="24"/>
              </w:rPr>
              <w:t>CCR exposures (determined at counterparty level) shall be allocated to the appropriate bucket of the fixed PD scale based on the PD estimated for each obligor assigned to this exposure class (without considering any substitution due to the existence of a guarantee or a credit derivative). Institutions shall map exposure by exposure to the PD scale provided in the template, also taking into account continuous scales. All defaulted exposures shall be included in the bucket representing PD of 100%.</w:t>
            </w:r>
          </w:p>
        </w:tc>
      </w:tr>
    </w:tbl>
    <w:p w:rsidR="00595FAD" w:rsidRPr="00661595" w:rsidRDefault="00595FAD" w:rsidP="002F29AF">
      <w:pPr>
        <w:pStyle w:val="Instructionsberschrift2"/>
        <w:numPr>
          <w:ilvl w:val="2"/>
          <w:numId w:val="48"/>
        </w:numPr>
        <w:rPr>
          <w:rFonts w:ascii="Times New Roman" w:hAnsi="Times New Roman" w:cs="Times New Roman"/>
          <w:sz w:val="24"/>
          <w:lang w:val="en-GB"/>
        </w:rPr>
      </w:pPr>
      <w:bookmarkStart w:id="487" w:name="_Toc19715822"/>
      <w:bookmarkStart w:id="488" w:name="_Toc57831612"/>
      <w:r w:rsidRPr="00661595">
        <w:rPr>
          <w:rFonts w:ascii="Times New Roman" w:hAnsi="Times New Roman" w:cs="Times New Roman"/>
          <w:sz w:val="24"/>
          <w:lang w:val="en-GB"/>
        </w:rPr>
        <w:t>C 34.08 - Composition of collateral for CCR exposures</w:t>
      </w:r>
      <w:bookmarkEnd w:id="487"/>
      <w:bookmarkEnd w:id="488"/>
    </w:p>
    <w:p w:rsidR="00595FAD" w:rsidRPr="00661595" w:rsidRDefault="00595FAD" w:rsidP="002F29AF">
      <w:pPr>
        <w:pStyle w:val="Instructionsberschrift2"/>
        <w:numPr>
          <w:ilvl w:val="3"/>
          <w:numId w:val="48"/>
        </w:numPr>
        <w:rPr>
          <w:rFonts w:ascii="Times New Roman" w:hAnsi="Times New Roman" w:cs="Times New Roman"/>
          <w:sz w:val="24"/>
          <w:lang w:val="en-GB"/>
        </w:rPr>
      </w:pPr>
      <w:bookmarkStart w:id="489" w:name="_Toc19715823"/>
      <w:bookmarkStart w:id="490" w:name="_Toc57831613"/>
      <w:r w:rsidRPr="00661595">
        <w:rPr>
          <w:rFonts w:ascii="Times New Roman" w:hAnsi="Times New Roman" w:cs="Times New Roman"/>
          <w:sz w:val="24"/>
          <w:lang w:val="en-GB"/>
        </w:rPr>
        <w:t>General remarks</w:t>
      </w:r>
      <w:bookmarkEnd w:id="489"/>
      <w:bookmarkEnd w:id="490"/>
    </w:p>
    <w:p w:rsidR="00595FAD" w:rsidRPr="00661595" w:rsidRDefault="00D11E4C" w:rsidP="00487A02">
      <w:pPr>
        <w:pStyle w:val="InstructionsText2"/>
        <w:numPr>
          <w:ilvl w:val="0"/>
          <w:numId w:val="0"/>
        </w:numPr>
        <w:ind w:left="1353" w:hanging="360"/>
      </w:pPr>
      <w:fldSimple w:instr=" seq paragraphs ">
        <w:r w:rsidR="00771068">
          <w:rPr>
            <w:noProof/>
          </w:rPr>
          <w:t>131</w:t>
        </w:r>
      </w:fldSimple>
      <w:r w:rsidR="00595FAD" w:rsidRPr="00661595">
        <w:t xml:space="preserve">. This template shall be filled with fair values of collateral (posted or received) used in CCR exposures related to derivative transactions, long settlement transaction or to SFTs, whether or not the transactions are cleared through a CCP and whether or not collateral is posted to a CCP. </w:t>
      </w:r>
    </w:p>
    <w:p w:rsidR="00595FAD" w:rsidRPr="00661595" w:rsidRDefault="00595FAD" w:rsidP="002F29AF">
      <w:pPr>
        <w:pStyle w:val="Instructionsberschrift2"/>
        <w:numPr>
          <w:ilvl w:val="3"/>
          <w:numId w:val="48"/>
        </w:numPr>
        <w:rPr>
          <w:rFonts w:ascii="Times New Roman" w:hAnsi="Times New Roman" w:cs="Times New Roman"/>
          <w:sz w:val="24"/>
          <w:lang w:val="en-GB"/>
        </w:rPr>
      </w:pPr>
      <w:bookmarkStart w:id="491" w:name="_Toc19715824"/>
      <w:bookmarkStart w:id="492" w:name="_Toc57831614"/>
      <w:r w:rsidRPr="00661595">
        <w:rPr>
          <w:rFonts w:ascii="Times New Roman" w:hAnsi="Times New Roman" w:cs="Times New Roman"/>
          <w:sz w:val="24"/>
          <w:lang w:val="en-GB"/>
        </w:rPr>
        <w:t>Instructions concerning specific positions</w:t>
      </w:r>
      <w:bookmarkEnd w:id="491"/>
      <w:bookmarkEnd w:id="492"/>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655"/>
      </w:tblGrid>
      <w:tr w:rsidR="00595FAD" w:rsidRPr="00661595" w:rsidTr="00FF15C6">
        <w:trPr>
          <w:trHeight w:val="680"/>
        </w:trPr>
        <w:tc>
          <w:tcPr>
            <w:tcW w:w="903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95FAD" w:rsidRPr="00661595" w:rsidRDefault="00595FAD" w:rsidP="00FF15C6">
            <w:pPr>
              <w:pStyle w:val="TableMainHeading"/>
              <w:spacing w:before="60"/>
              <w:rPr>
                <w:rFonts w:ascii="Times New Roman" w:hAnsi="Times New Roman"/>
                <w:b/>
                <w:sz w:val="24"/>
                <w:szCs w:val="24"/>
              </w:rPr>
            </w:pPr>
            <w:r w:rsidRPr="00661595">
              <w:rPr>
                <w:rFonts w:ascii="Times New Roman" w:hAnsi="Times New Roman"/>
                <w:b/>
                <w:sz w:val="24"/>
                <w:szCs w:val="24"/>
              </w:rPr>
              <w:t xml:space="preserve">Columns </w:t>
            </w:r>
          </w:p>
        </w:tc>
      </w:tr>
      <w:tr w:rsidR="00595FAD" w:rsidRPr="00661595" w:rsidTr="00FF15C6">
        <w:trPr>
          <w:trHeight w:val="680"/>
        </w:trPr>
        <w:tc>
          <w:tcPr>
            <w:tcW w:w="1384" w:type="dxa"/>
          </w:tcPr>
          <w:p w:rsidR="00595FAD" w:rsidRPr="00661595" w:rsidRDefault="00595FAD" w:rsidP="00FF15C6">
            <w:pPr>
              <w:pStyle w:val="Applicationdirecte"/>
              <w:spacing w:before="60" w:after="0"/>
            </w:pPr>
            <w:r w:rsidRPr="00661595">
              <w:t>0010 - 0080</w:t>
            </w:r>
          </w:p>
        </w:tc>
        <w:tc>
          <w:tcPr>
            <w:tcW w:w="7655" w:type="dxa"/>
            <w:vAlign w:val="center"/>
          </w:tcPr>
          <w:p w:rsidR="00595FAD" w:rsidRPr="00661595" w:rsidRDefault="00595FAD" w:rsidP="00FF15C6">
            <w:pPr>
              <w:spacing w:before="60"/>
              <w:rPr>
                <w:rStyle w:val="InstructionsTabelleberschrift"/>
                <w:rFonts w:ascii="Times New Roman" w:hAnsi="Times New Roman"/>
                <w:sz w:val="24"/>
              </w:rPr>
            </w:pPr>
            <w:r w:rsidRPr="00661595">
              <w:rPr>
                <w:rStyle w:val="InstructionsTabelleberschrift"/>
                <w:rFonts w:ascii="Times New Roman" w:hAnsi="Times New Roman"/>
                <w:sz w:val="24"/>
              </w:rPr>
              <w:t xml:space="preserve">Collateral used in derivative transactions </w:t>
            </w:r>
          </w:p>
          <w:p w:rsidR="00595FAD" w:rsidRPr="00661595" w:rsidRDefault="00595FAD" w:rsidP="00096876">
            <w:pPr>
              <w:pStyle w:val="numberedparagraph"/>
              <w:numPr>
                <w:ilvl w:val="0"/>
                <w:numId w:val="0"/>
              </w:numPr>
              <w:spacing w:before="60" w:line="240" w:lineRule="auto"/>
              <w:rPr>
                <w:rFonts w:ascii="Times New Roman" w:hAnsi="Times New Roman" w:cs="Times New Roman"/>
                <w:sz w:val="24"/>
              </w:rPr>
            </w:pPr>
            <w:r w:rsidRPr="00661595">
              <w:rPr>
                <w:rFonts w:ascii="Times New Roman" w:hAnsi="Times New Roman" w:cs="Times New Roman"/>
                <w:sz w:val="24"/>
              </w:rPr>
              <w:t xml:space="preserve">Institutions shall report the collateral (including the initial margin and variation margin collateral) that is used in CCR exposures related to any derivative instrument listed in Annex II CRR or a long settlement transaction as </w:t>
            </w:r>
            <w:r w:rsidR="00096876">
              <w:rPr>
                <w:rFonts w:ascii="Times New Roman" w:hAnsi="Times New Roman" w:cs="Times New Roman"/>
                <w:sz w:val="24"/>
              </w:rPr>
              <w:t>defined in point (2) of Article 272</w:t>
            </w:r>
            <w:r w:rsidRPr="00661595">
              <w:rPr>
                <w:rFonts w:ascii="Times New Roman" w:hAnsi="Times New Roman" w:cs="Times New Roman"/>
                <w:sz w:val="24"/>
              </w:rPr>
              <w:t xml:space="preserve"> of the same regulation not qualifying as an SFT. </w:t>
            </w:r>
          </w:p>
        </w:tc>
      </w:tr>
      <w:tr w:rsidR="00595FAD" w:rsidRPr="00661595" w:rsidTr="00FF15C6">
        <w:trPr>
          <w:trHeight w:val="680"/>
        </w:trPr>
        <w:tc>
          <w:tcPr>
            <w:tcW w:w="1384" w:type="dxa"/>
          </w:tcPr>
          <w:p w:rsidR="00595FAD" w:rsidRPr="00661595" w:rsidRDefault="00595FAD" w:rsidP="00FF15C6">
            <w:pPr>
              <w:pStyle w:val="Applicationdirecte"/>
              <w:spacing w:before="60" w:after="0"/>
            </w:pPr>
            <w:r w:rsidRPr="00661595">
              <w:t>0090 - 0180</w:t>
            </w:r>
          </w:p>
        </w:tc>
        <w:tc>
          <w:tcPr>
            <w:tcW w:w="7655" w:type="dxa"/>
            <w:vAlign w:val="center"/>
          </w:tcPr>
          <w:p w:rsidR="00595FAD" w:rsidRPr="00661595" w:rsidRDefault="00595FAD" w:rsidP="00FF15C6">
            <w:pPr>
              <w:spacing w:before="60"/>
              <w:rPr>
                <w:rStyle w:val="InstructionsTabelleberschrift"/>
                <w:rFonts w:ascii="Times New Roman" w:hAnsi="Times New Roman"/>
                <w:sz w:val="24"/>
              </w:rPr>
            </w:pPr>
            <w:r w:rsidRPr="00661595">
              <w:rPr>
                <w:rStyle w:val="InstructionsTabelleberschrift"/>
                <w:rFonts w:ascii="Times New Roman" w:hAnsi="Times New Roman"/>
                <w:sz w:val="24"/>
              </w:rPr>
              <w:t xml:space="preserve">Collateral used in SFTs </w:t>
            </w:r>
          </w:p>
          <w:p w:rsidR="00595FAD" w:rsidRPr="00661595" w:rsidRDefault="00595FAD" w:rsidP="00FF15C6">
            <w:pPr>
              <w:pStyle w:val="numberedparagraph"/>
              <w:numPr>
                <w:ilvl w:val="0"/>
                <w:numId w:val="0"/>
              </w:numPr>
              <w:spacing w:before="60" w:line="240" w:lineRule="auto"/>
              <w:rPr>
                <w:rFonts w:ascii="Times New Roman" w:hAnsi="Times New Roman" w:cs="Times New Roman"/>
                <w:sz w:val="24"/>
              </w:rPr>
            </w:pPr>
            <w:r w:rsidRPr="00661595">
              <w:rPr>
                <w:rFonts w:ascii="Times New Roman" w:hAnsi="Times New Roman" w:cs="Times New Roman"/>
                <w:sz w:val="24"/>
              </w:rPr>
              <w:t xml:space="preserve">Institutions shall report the collateral (including the initial margin and variation margin collateral as well as the collateral appearing as security in the SFT) that is used in CCR exposures related to any SFT or a long settlement transaction not qualifying as a derivative. </w:t>
            </w:r>
          </w:p>
        </w:tc>
      </w:tr>
      <w:tr w:rsidR="00595FAD" w:rsidRPr="00661595" w:rsidTr="00FF15C6">
        <w:trPr>
          <w:trHeight w:val="416"/>
        </w:trPr>
        <w:tc>
          <w:tcPr>
            <w:tcW w:w="1384" w:type="dxa"/>
          </w:tcPr>
          <w:p w:rsidR="00595FAD" w:rsidRPr="00661595" w:rsidRDefault="00595FAD" w:rsidP="00FF15C6">
            <w:pPr>
              <w:pStyle w:val="Fait"/>
            </w:pPr>
            <w:r w:rsidRPr="00661595">
              <w:t>0010, 0020, 0050, 0060, 0090, 0100,  0140, 0150</w:t>
            </w:r>
          </w:p>
        </w:tc>
        <w:tc>
          <w:tcPr>
            <w:tcW w:w="7655" w:type="dxa"/>
            <w:vAlign w:val="center"/>
          </w:tcPr>
          <w:p w:rsidR="00595FAD" w:rsidRPr="00661595" w:rsidRDefault="00595FAD" w:rsidP="00FF15C6">
            <w:pPr>
              <w:spacing w:before="60"/>
              <w:rPr>
                <w:rStyle w:val="InstructionsTabelleberschrift"/>
                <w:rFonts w:ascii="Times New Roman" w:hAnsi="Times New Roman"/>
                <w:sz w:val="24"/>
              </w:rPr>
            </w:pPr>
            <w:r w:rsidRPr="00661595">
              <w:rPr>
                <w:rStyle w:val="InstructionsTabelleberschrift"/>
                <w:rFonts w:ascii="Times New Roman" w:hAnsi="Times New Roman"/>
                <w:sz w:val="24"/>
              </w:rPr>
              <w:t>Segregated</w:t>
            </w:r>
          </w:p>
          <w:p w:rsidR="00595FAD" w:rsidRPr="00661595" w:rsidRDefault="00595FAD" w:rsidP="00FF15C6">
            <w:pPr>
              <w:spacing w:before="60"/>
              <w:rPr>
                <w:rStyle w:val="InstructionsTabelleberschrift"/>
                <w:rFonts w:ascii="Times New Roman" w:hAnsi="Times New Roman"/>
                <w:sz w:val="24"/>
              </w:rPr>
            </w:pPr>
            <w:r w:rsidRPr="00661595">
              <w:rPr>
                <w:rFonts w:ascii="Times New Roman" w:hAnsi="Times New Roman"/>
                <w:sz w:val="24"/>
                <w:lang w:eastAsia="en-CA"/>
              </w:rPr>
              <w:t>Article 300(1) CRR</w:t>
            </w:r>
          </w:p>
          <w:p w:rsidR="00595FAD" w:rsidRPr="00661595" w:rsidRDefault="00CF4C30" w:rsidP="00FF15C6">
            <w:pPr>
              <w:spacing w:before="60"/>
              <w:rPr>
                <w:rFonts w:ascii="Times New Roman" w:hAnsi="Times New Roman"/>
                <w:sz w:val="24"/>
              </w:rPr>
            </w:pPr>
            <w:r>
              <w:rPr>
                <w:rFonts w:ascii="Times New Roman" w:eastAsia="Calibri" w:hAnsi="Times New Roman"/>
                <w:sz w:val="24"/>
                <w:lang w:eastAsia="en-GB"/>
              </w:rPr>
              <w:t>Institutions shall report the c</w:t>
            </w:r>
            <w:r w:rsidR="00595FAD" w:rsidRPr="00661595">
              <w:rPr>
                <w:rFonts w:ascii="Times New Roman" w:eastAsia="Calibri" w:hAnsi="Times New Roman"/>
                <w:sz w:val="24"/>
                <w:lang w:eastAsia="en-GB"/>
              </w:rPr>
              <w:t>ollateral that is held in a bankruptcy-remote manner as defined in Article 300(1) CRR, further broken down into collateral appearing in the form of initial or variation margin.</w:t>
            </w:r>
          </w:p>
        </w:tc>
      </w:tr>
      <w:tr w:rsidR="00595FAD" w:rsidRPr="00661595" w:rsidTr="00FF15C6">
        <w:trPr>
          <w:trHeight w:val="680"/>
        </w:trPr>
        <w:tc>
          <w:tcPr>
            <w:tcW w:w="1384" w:type="dxa"/>
          </w:tcPr>
          <w:p w:rsidR="00595FAD" w:rsidRPr="00661595" w:rsidRDefault="00595FAD" w:rsidP="00FF15C6">
            <w:pPr>
              <w:pStyle w:val="Applicationdirecte"/>
              <w:spacing w:before="60" w:after="0"/>
            </w:pPr>
            <w:r w:rsidRPr="00661595">
              <w:t>0030, 0040, 0070, 0080, 0110, 0120, 0130, 0160, 0170, 0180</w:t>
            </w:r>
            <w:r w:rsidRPr="00661595" w:rsidDel="00081E3C">
              <w:t xml:space="preserve"> </w:t>
            </w:r>
          </w:p>
        </w:tc>
        <w:tc>
          <w:tcPr>
            <w:tcW w:w="7655" w:type="dxa"/>
          </w:tcPr>
          <w:p w:rsidR="00595FAD" w:rsidRPr="00661595" w:rsidRDefault="00595FAD" w:rsidP="00FF15C6">
            <w:pPr>
              <w:spacing w:before="60"/>
              <w:rPr>
                <w:rStyle w:val="InstructionsTabelleberschrift"/>
                <w:rFonts w:ascii="Times New Roman" w:hAnsi="Times New Roman"/>
                <w:sz w:val="24"/>
              </w:rPr>
            </w:pPr>
            <w:r w:rsidRPr="00661595">
              <w:rPr>
                <w:rStyle w:val="InstructionsTabelleberschrift"/>
                <w:rFonts w:ascii="Times New Roman" w:hAnsi="Times New Roman"/>
                <w:sz w:val="24"/>
              </w:rPr>
              <w:t xml:space="preserve">Unsegregated </w:t>
            </w:r>
          </w:p>
          <w:p w:rsidR="00595FAD" w:rsidRPr="00661595" w:rsidRDefault="00595FAD" w:rsidP="00FF15C6">
            <w:pPr>
              <w:spacing w:before="60"/>
              <w:rPr>
                <w:rStyle w:val="InstructionsTabelleberschrift"/>
                <w:rFonts w:ascii="Times New Roman" w:hAnsi="Times New Roman"/>
                <w:sz w:val="24"/>
              </w:rPr>
            </w:pPr>
            <w:r w:rsidRPr="00661595">
              <w:rPr>
                <w:rFonts w:ascii="Times New Roman" w:hAnsi="Times New Roman"/>
                <w:sz w:val="24"/>
                <w:lang w:eastAsia="en-CA"/>
              </w:rPr>
              <w:t>Article 300(1) CRR</w:t>
            </w:r>
          </w:p>
          <w:p w:rsidR="00595FAD" w:rsidRPr="00661595" w:rsidRDefault="00CF4C30" w:rsidP="00CF4C30">
            <w:pPr>
              <w:rPr>
                <w:rFonts w:ascii="Times New Roman" w:hAnsi="Times New Roman"/>
                <w:sz w:val="24"/>
              </w:rPr>
            </w:pPr>
            <w:r>
              <w:rPr>
                <w:rFonts w:ascii="Times New Roman" w:eastAsia="Calibri" w:hAnsi="Times New Roman"/>
                <w:sz w:val="24"/>
                <w:lang w:eastAsia="en-GB"/>
              </w:rPr>
              <w:t>Institutions shall report the c</w:t>
            </w:r>
            <w:r w:rsidR="00595FAD" w:rsidRPr="00661595">
              <w:rPr>
                <w:rFonts w:ascii="Times New Roman" w:eastAsia="Calibri" w:hAnsi="Times New Roman"/>
                <w:sz w:val="24"/>
                <w:lang w:eastAsia="en-GB"/>
              </w:rPr>
              <w:t>ollateral that is not held in a bankruptcy-remote manner as defined in Article 300(1) CRR, further broken down into initial margin, variation margin and the SFT security.</w:t>
            </w:r>
          </w:p>
        </w:tc>
      </w:tr>
      <w:tr w:rsidR="00595FAD" w:rsidRPr="00661595" w:rsidTr="00FF15C6">
        <w:trPr>
          <w:trHeight w:val="680"/>
        </w:trPr>
        <w:tc>
          <w:tcPr>
            <w:tcW w:w="1384" w:type="dxa"/>
          </w:tcPr>
          <w:p w:rsidR="00595FAD" w:rsidRPr="00661595" w:rsidRDefault="00595FAD" w:rsidP="00FF15C6">
            <w:pPr>
              <w:pStyle w:val="Applicationdirecte"/>
              <w:spacing w:before="60" w:after="0"/>
            </w:pPr>
            <w:r w:rsidRPr="00661595">
              <w:t>0010, 0030, 0050,</w:t>
            </w:r>
            <w:r w:rsidRPr="00661595" w:rsidDel="0057038A">
              <w:t xml:space="preserve"> </w:t>
            </w:r>
            <w:r w:rsidRPr="00661595">
              <w:t>0070, 0090, 0110, 0140, 0160</w:t>
            </w:r>
          </w:p>
        </w:tc>
        <w:tc>
          <w:tcPr>
            <w:tcW w:w="7655" w:type="dxa"/>
            <w:vAlign w:val="center"/>
          </w:tcPr>
          <w:p w:rsidR="00595FAD" w:rsidRPr="00661595" w:rsidRDefault="00595FAD" w:rsidP="00FF15C6">
            <w:pPr>
              <w:spacing w:before="60"/>
              <w:rPr>
                <w:rStyle w:val="InstructionsTabelleberschrift"/>
                <w:rFonts w:ascii="Times New Roman" w:hAnsi="Times New Roman"/>
                <w:sz w:val="24"/>
              </w:rPr>
            </w:pPr>
            <w:r w:rsidRPr="00661595">
              <w:rPr>
                <w:rStyle w:val="InstructionsTabelleberschrift"/>
                <w:rFonts w:ascii="Times New Roman" w:hAnsi="Times New Roman"/>
                <w:sz w:val="24"/>
              </w:rPr>
              <w:t>Initial margin</w:t>
            </w:r>
          </w:p>
          <w:p w:rsidR="00595FAD" w:rsidRPr="00661595" w:rsidRDefault="004134E6" w:rsidP="00FF15C6">
            <w:pPr>
              <w:spacing w:before="60"/>
              <w:rPr>
                <w:rFonts w:ascii="Times New Roman" w:hAnsi="Times New Roman"/>
                <w:sz w:val="24"/>
                <w:lang w:eastAsia="en-CA"/>
              </w:rPr>
            </w:pPr>
            <w:r>
              <w:rPr>
                <w:rFonts w:ascii="Times New Roman" w:hAnsi="Times New Roman"/>
                <w:sz w:val="24"/>
                <w:lang w:eastAsia="en-CA"/>
              </w:rPr>
              <w:t>Point (140) of Article 4(1</w:t>
            </w:r>
            <w:r w:rsidR="00595FAD" w:rsidRPr="00661595">
              <w:rPr>
                <w:rFonts w:ascii="Times New Roman" w:hAnsi="Times New Roman"/>
                <w:sz w:val="24"/>
                <w:lang w:eastAsia="en-CA"/>
              </w:rPr>
              <w:t>) CRR</w:t>
            </w:r>
          </w:p>
          <w:p w:rsidR="00595FAD" w:rsidRPr="00661595" w:rsidRDefault="00595FAD" w:rsidP="00FF15C6">
            <w:pPr>
              <w:spacing w:before="60"/>
              <w:rPr>
                <w:rFonts w:ascii="Times New Roman" w:hAnsi="Times New Roman"/>
                <w:sz w:val="24"/>
                <w:lang w:eastAsia="en-CA"/>
              </w:rPr>
            </w:pPr>
            <w:r w:rsidRPr="00661595">
              <w:rPr>
                <w:rFonts w:ascii="Times New Roman" w:hAnsi="Times New Roman"/>
                <w:sz w:val="24"/>
                <w:lang w:eastAsia="en-CA"/>
              </w:rPr>
              <w:t xml:space="preserve">Institutions shall report the fair values of collateral received or posted as initial margin (defined in </w:t>
            </w:r>
            <w:r w:rsidR="004134E6">
              <w:rPr>
                <w:rFonts w:ascii="Times New Roman" w:hAnsi="Times New Roman"/>
                <w:sz w:val="24"/>
                <w:lang w:eastAsia="en-CA"/>
              </w:rPr>
              <w:t xml:space="preserve">point (140) of Article 4(1) </w:t>
            </w:r>
            <w:r w:rsidRPr="00661595">
              <w:rPr>
                <w:rFonts w:ascii="Times New Roman" w:hAnsi="Times New Roman"/>
                <w:sz w:val="24"/>
                <w:lang w:eastAsia="en-CA"/>
              </w:rPr>
              <w:t>CRR).</w:t>
            </w:r>
          </w:p>
        </w:tc>
      </w:tr>
      <w:tr w:rsidR="00595FAD" w:rsidRPr="00661595" w:rsidTr="00FF15C6">
        <w:trPr>
          <w:trHeight w:val="680"/>
        </w:trPr>
        <w:tc>
          <w:tcPr>
            <w:tcW w:w="1384" w:type="dxa"/>
          </w:tcPr>
          <w:p w:rsidR="00595FAD" w:rsidRPr="00661595" w:rsidRDefault="00595FAD" w:rsidP="00FF15C6">
            <w:pPr>
              <w:pStyle w:val="Applicationdirecte"/>
              <w:spacing w:before="60" w:after="0"/>
            </w:pPr>
            <w:r w:rsidRPr="00661595">
              <w:t>0020, 0040, 0060, 0080, 0100, 0120, 0150, 0170</w:t>
            </w:r>
          </w:p>
        </w:tc>
        <w:tc>
          <w:tcPr>
            <w:tcW w:w="7655" w:type="dxa"/>
            <w:vAlign w:val="center"/>
          </w:tcPr>
          <w:p w:rsidR="00595FAD" w:rsidRPr="00661595" w:rsidRDefault="00595FAD" w:rsidP="00FF15C6">
            <w:pPr>
              <w:spacing w:before="60"/>
              <w:rPr>
                <w:rStyle w:val="InstructionsTabelleberschrift"/>
                <w:rFonts w:ascii="Times New Roman" w:hAnsi="Times New Roman"/>
                <w:sz w:val="24"/>
              </w:rPr>
            </w:pPr>
            <w:r w:rsidRPr="00661595">
              <w:rPr>
                <w:rStyle w:val="InstructionsTabelleberschrift"/>
                <w:rFonts w:ascii="Times New Roman" w:hAnsi="Times New Roman"/>
                <w:sz w:val="24"/>
              </w:rPr>
              <w:t>Variation margin</w:t>
            </w:r>
          </w:p>
          <w:p w:rsidR="00595FAD" w:rsidRPr="00661595" w:rsidRDefault="00595FAD" w:rsidP="00FF15C6">
            <w:pPr>
              <w:spacing w:before="60"/>
              <w:rPr>
                <w:rFonts w:ascii="Times New Roman" w:eastAsia="Calibri" w:hAnsi="Times New Roman"/>
                <w:sz w:val="24"/>
                <w:lang w:eastAsia="en-GB"/>
              </w:rPr>
            </w:pPr>
            <w:r w:rsidRPr="00661595">
              <w:rPr>
                <w:rFonts w:ascii="Times New Roman" w:eastAsia="Calibri" w:hAnsi="Times New Roman"/>
                <w:sz w:val="24"/>
                <w:lang w:eastAsia="en-GB"/>
              </w:rPr>
              <w:t>Institutions shall report the fair values of collateral received or posted as variation margin.</w:t>
            </w:r>
          </w:p>
        </w:tc>
      </w:tr>
      <w:tr w:rsidR="00595FAD" w:rsidRPr="00661595" w:rsidTr="00FF15C6">
        <w:trPr>
          <w:trHeight w:val="680"/>
        </w:trPr>
        <w:tc>
          <w:tcPr>
            <w:tcW w:w="1384" w:type="dxa"/>
          </w:tcPr>
          <w:p w:rsidR="00595FAD" w:rsidRPr="00661595" w:rsidRDefault="00595FAD" w:rsidP="00FF15C6">
            <w:pPr>
              <w:pStyle w:val="Applicationdirecte"/>
              <w:spacing w:before="60" w:after="0"/>
            </w:pPr>
            <w:r w:rsidRPr="00661595">
              <w:t>0130, 0180</w:t>
            </w:r>
          </w:p>
        </w:tc>
        <w:tc>
          <w:tcPr>
            <w:tcW w:w="7655" w:type="dxa"/>
            <w:vAlign w:val="center"/>
          </w:tcPr>
          <w:p w:rsidR="00595FAD" w:rsidRPr="00661595" w:rsidRDefault="00595FAD" w:rsidP="00FF15C6">
            <w:pPr>
              <w:spacing w:before="60"/>
              <w:rPr>
                <w:rStyle w:val="InstructionsTabelleberschrift"/>
                <w:rFonts w:ascii="Times New Roman" w:hAnsi="Times New Roman"/>
                <w:sz w:val="24"/>
              </w:rPr>
            </w:pPr>
            <w:r w:rsidRPr="00661595">
              <w:rPr>
                <w:rStyle w:val="InstructionsTabelleberschrift"/>
                <w:rFonts w:ascii="Times New Roman" w:hAnsi="Times New Roman"/>
                <w:sz w:val="24"/>
              </w:rPr>
              <w:t xml:space="preserve">SFT security </w:t>
            </w:r>
          </w:p>
          <w:p w:rsidR="00595FAD" w:rsidRPr="00661595" w:rsidRDefault="00595FAD" w:rsidP="00FF15C6">
            <w:pPr>
              <w:spacing w:before="60"/>
              <w:rPr>
                <w:rFonts w:ascii="Times New Roman" w:eastAsia="Calibri" w:hAnsi="Times New Roman"/>
                <w:i/>
                <w:sz w:val="24"/>
                <w:lang w:eastAsia="en-GB"/>
              </w:rPr>
            </w:pPr>
            <w:r w:rsidRPr="00661595">
              <w:rPr>
                <w:rFonts w:ascii="Times New Roman" w:eastAsia="Calibri" w:hAnsi="Times New Roman"/>
                <w:sz w:val="24"/>
                <w:lang w:eastAsia="en-GB"/>
              </w:rPr>
              <w:t>Institutions shall report the fair values of collateral appearing as security in SFTs (e.g. the security leg of the SFT that has been received for column 0130, or posted for column 0180).</w:t>
            </w:r>
          </w:p>
        </w:tc>
      </w:tr>
    </w:tbl>
    <w:p w:rsidR="00595FAD" w:rsidRPr="00661595" w:rsidRDefault="00595FAD" w:rsidP="00595FAD">
      <w:pPr>
        <w:pStyle w:val="Titlelevel2"/>
        <w:spacing w:before="120" w:after="120"/>
        <w:rPr>
          <w:rFonts w:ascii="Times New Roman" w:hAnsi="Times New Roman" w:cs="Times New Roman"/>
          <w:color w:val="auto"/>
          <w:sz w:val="24"/>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655"/>
      </w:tblGrid>
      <w:tr w:rsidR="00595FAD" w:rsidRPr="00661595" w:rsidTr="00FF15C6">
        <w:trPr>
          <w:trHeight w:val="238"/>
        </w:trPr>
        <w:tc>
          <w:tcPr>
            <w:tcW w:w="9039" w:type="dxa"/>
            <w:gridSpan w:val="2"/>
            <w:shd w:val="clear" w:color="auto" w:fill="D9D9D9" w:themeFill="background1" w:themeFillShade="D9"/>
          </w:tcPr>
          <w:p w:rsidR="00595FAD" w:rsidRPr="00661595" w:rsidRDefault="00595FAD" w:rsidP="00FF15C6">
            <w:pPr>
              <w:autoSpaceDE w:val="0"/>
              <w:autoSpaceDN w:val="0"/>
              <w:adjustRightInd w:val="0"/>
              <w:rPr>
                <w:rFonts w:ascii="Times New Roman" w:hAnsi="Times New Roman"/>
                <w:sz w:val="24"/>
              </w:rPr>
            </w:pPr>
            <w:r w:rsidRPr="00661595">
              <w:rPr>
                <w:rFonts w:ascii="Times New Roman" w:hAnsi="Times New Roman"/>
                <w:b/>
                <w:sz w:val="24"/>
              </w:rPr>
              <w:t xml:space="preserve">Rows </w:t>
            </w:r>
          </w:p>
        </w:tc>
      </w:tr>
      <w:tr w:rsidR="00595FAD" w:rsidRPr="00661595" w:rsidTr="00FF15C6">
        <w:trPr>
          <w:trHeight w:val="120"/>
        </w:trPr>
        <w:tc>
          <w:tcPr>
            <w:tcW w:w="1384" w:type="dxa"/>
            <w:tcBorders>
              <w:top w:val="single" w:sz="4" w:space="0" w:color="auto"/>
              <w:left w:val="single" w:sz="4" w:space="0" w:color="auto"/>
              <w:bottom w:val="single" w:sz="4" w:space="0" w:color="auto"/>
              <w:right w:val="single" w:sz="4" w:space="0" w:color="auto"/>
            </w:tcBorders>
            <w:shd w:val="clear" w:color="auto" w:fill="auto"/>
          </w:tcPr>
          <w:p w:rsidR="00595FAD" w:rsidRPr="00661595" w:rsidRDefault="00595FAD" w:rsidP="00FF15C6">
            <w:pPr>
              <w:autoSpaceDE w:val="0"/>
              <w:autoSpaceDN w:val="0"/>
              <w:adjustRightInd w:val="0"/>
              <w:rPr>
                <w:rFonts w:ascii="Times New Roman" w:hAnsi="Times New Roman"/>
                <w:sz w:val="24"/>
              </w:rPr>
            </w:pPr>
            <w:r w:rsidRPr="00661595">
              <w:rPr>
                <w:rFonts w:ascii="Times New Roman" w:hAnsi="Times New Roman"/>
                <w:sz w:val="24"/>
              </w:rPr>
              <w:t>0010 – 0080</w:t>
            </w:r>
          </w:p>
        </w:tc>
        <w:tc>
          <w:tcPr>
            <w:tcW w:w="7655" w:type="dxa"/>
            <w:tcBorders>
              <w:top w:val="single" w:sz="4" w:space="0" w:color="auto"/>
              <w:left w:val="single" w:sz="4" w:space="0" w:color="auto"/>
              <w:bottom w:val="single" w:sz="4" w:space="0" w:color="auto"/>
              <w:right w:val="single" w:sz="4" w:space="0" w:color="auto"/>
            </w:tcBorders>
            <w:shd w:val="clear" w:color="auto" w:fill="auto"/>
          </w:tcPr>
          <w:p w:rsidR="00595FAD" w:rsidRPr="00661595" w:rsidRDefault="00595FAD" w:rsidP="00FF15C6">
            <w:pPr>
              <w:autoSpaceDE w:val="0"/>
              <w:autoSpaceDN w:val="0"/>
              <w:adjustRightInd w:val="0"/>
              <w:rPr>
                <w:rStyle w:val="InstructionsTabelleberschrift"/>
                <w:rFonts w:ascii="Times New Roman" w:hAnsi="Times New Roman"/>
                <w:sz w:val="24"/>
              </w:rPr>
            </w:pPr>
            <w:r w:rsidRPr="00661595">
              <w:rPr>
                <w:rStyle w:val="InstructionsTabelleberschrift"/>
                <w:rFonts w:ascii="Times New Roman" w:hAnsi="Times New Roman"/>
                <w:sz w:val="24"/>
              </w:rPr>
              <w:t>Collateral type</w:t>
            </w:r>
          </w:p>
          <w:p w:rsidR="00595FAD" w:rsidRPr="00661595" w:rsidRDefault="00595FAD" w:rsidP="00CF4C30">
            <w:pPr>
              <w:autoSpaceDE w:val="0"/>
              <w:autoSpaceDN w:val="0"/>
              <w:adjustRightInd w:val="0"/>
              <w:rPr>
                <w:rFonts w:ascii="Times New Roman" w:hAnsi="Times New Roman"/>
                <w:sz w:val="24"/>
              </w:rPr>
            </w:pPr>
            <w:r w:rsidRPr="00661595">
              <w:rPr>
                <w:rFonts w:ascii="Times New Roman" w:hAnsi="Times New Roman"/>
                <w:sz w:val="24"/>
              </w:rPr>
              <w:t>Breakdown by different collateral types</w:t>
            </w:r>
          </w:p>
        </w:tc>
      </w:tr>
    </w:tbl>
    <w:p w:rsidR="00595FAD" w:rsidRPr="00661595" w:rsidRDefault="00595FAD" w:rsidP="00595FAD">
      <w:pPr>
        <w:pStyle w:val="Titlelevel2"/>
        <w:spacing w:before="120" w:after="120"/>
        <w:rPr>
          <w:rFonts w:ascii="Times New Roman" w:hAnsi="Times New Roman" w:cs="Times New Roman"/>
          <w:color w:val="auto"/>
          <w:sz w:val="24"/>
        </w:rPr>
      </w:pPr>
    </w:p>
    <w:p w:rsidR="00595FAD" w:rsidRPr="00661595" w:rsidRDefault="00595FAD" w:rsidP="002F29AF">
      <w:pPr>
        <w:pStyle w:val="Instructionsberschrift2"/>
        <w:numPr>
          <w:ilvl w:val="2"/>
          <w:numId w:val="48"/>
        </w:numPr>
        <w:rPr>
          <w:rFonts w:ascii="Times New Roman" w:hAnsi="Times New Roman" w:cs="Times New Roman"/>
          <w:sz w:val="24"/>
          <w:lang w:val="en-GB"/>
        </w:rPr>
      </w:pPr>
      <w:bookmarkStart w:id="493" w:name="_Toc19715825"/>
      <w:bookmarkStart w:id="494" w:name="_Toc57831615"/>
      <w:r w:rsidRPr="00661595">
        <w:rPr>
          <w:rFonts w:ascii="Times New Roman" w:hAnsi="Times New Roman" w:cs="Times New Roman"/>
          <w:sz w:val="24"/>
          <w:lang w:val="en-GB"/>
        </w:rPr>
        <w:t>C 34.09 - Credit derivatives exposures</w:t>
      </w:r>
      <w:bookmarkEnd w:id="493"/>
      <w:bookmarkEnd w:id="494"/>
    </w:p>
    <w:p w:rsidR="00595FAD" w:rsidRPr="00661595" w:rsidRDefault="00595FAD" w:rsidP="002F29AF">
      <w:pPr>
        <w:pStyle w:val="Instructionsberschrift2"/>
        <w:numPr>
          <w:ilvl w:val="3"/>
          <w:numId w:val="48"/>
        </w:numPr>
        <w:rPr>
          <w:rFonts w:ascii="Times New Roman" w:hAnsi="Times New Roman" w:cs="Times New Roman"/>
          <w:sz w:val="24"/>
          <w:lang w:val="en-GB"/>
        </w:rPr>
      </w:pPr>
      <w:bookmarkStart w:id="495" w:name="_Toc19715826"/>
      <w:bookmarkStart w:id="496" w:name="_Toc57831616"/>
      <w:r w:rsidRPr="00661595">
        <w:rPr>
          <w:rFonts w:ascii="Times New Roman" w:hAnsi="Times New Roman" w:cs="Times New Roman"/>
          <w:sz w:val="24"/>
          <w:lang w:val="en-GB"/>
        </w:rPr>
        <w:t>Instructions concerning specific positions</w:t>
      </w:r>
      <w:bookmarkEnd w:id="495"/>
      <w:bookmarkEnd w:id="496"/>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655"/>
      </w:tblGrid>
      <w:tr w:rsidR="00595FAD" w:rsidRPr="00661595" w:rsidTr="00FF15C6">
        <w:trPr>
          <w:trHeight w:val="680"/>
        </w:trPr>
        <w:tc>
          <w:tcPr>
            <w:tcW w:w="903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95FAD" w:rsidRPr="00661595" w:rsidRDefault="00595FAD" w:rsidP="00FF15C6">
            <w:pPr>
              <w:autoSpaceDE w:val="0"/>
              <w:autoSpaceDN w:val="0"/>
              <w:adjustRightInd w:val="0"/>
              <w:rPr>
                <w:rFonts w:ascii="Times New Roman" w:hAnsi="Times New Roman"/>
                <w:b/>
                <w:sz w:val="24"/>
              </w:rPr>
            </w:pPr>
            <w:r w:rsidRPr="00661595">
              <w:rPr>
                <w:rFonts w:ascii="Times New Roman" w:hAnsi="Times New Roman"/>
                <w:b/>
                <w:sz w:val="24"/>
              </w:rPr>
              <w:t xml:space="preserve">Columns </w:t>
            </w:r>
          </w:p>
        </w:tc>
      </w:tr>
      <w:tr w:rsidR="00595FAD" w:rsidRPr="00661595" w:rsidTr="00FF15C6">
        <w:trPr>
          <w:trHeight w:val="120"/>
        </w:trPr>
        <w:tc>
          <w:tcPr>
            <w:tcW w:w="1384" w:type="dxa"/>
            <w:tcBorders>
              <w:top w:val="single" w:sz="4" w:space="0" w:color="auto"/>
              <w:left w:val="single" w:sz="4" w:space="0" w:color="auto"/>
              <w:bottom w:val="single" w:sz="4" w:space="0" w:color="auto"/>
              <w:right w:val="single" w:sz="4" w:space="0" w:color="auto"/>
            </w:tcBorders>
            <w:shd w:val="clear" w:color="auto" w:fill="auto"/>
          </w:tcPr>
          <w:p w:rsidR="00595FAD" w:rsidRPr="00661595" w:rsidRDefault="00595FAD" w:rsidP="00FF15C6">
            <w:pPr>
              <w:autoSpaceDE w:val="0"/>
              <w:autoSpaceDN w:val="0"/>
              <w:adjustRightInd w:val="0"/>
              <w:rPr>
                <w:rFonts w:ascii="Times New Roman" w:hAnsi="Times New Roman"/>
                <w:sz w:val="24"/>
              </w:rPr>
            </w:pPr>
            <w:r w:rsidRPr="00661595">
              <w:rPr>
                <w:rFonts w:ascii="Times New Roman" w:hAnsi="Times New Roman"/>
                <w:sz w:val="24"/>
              </w:rPr>
              <w:t>0010-0040</w:t>
            </w:r>
          </w:p>
        </w:tc>
        <w:tc>
          <w:tcPr>
            <w:tcW w:w="7655" w:type="dxa"/>
            <w:tcBorders>
              <w:top w:val="single" w:sz="4" w:space="0" w:color="auto"/>
              <w:left w:val="single" w:sz="4" w:space="0" w:color="auto"/>
              <w:bottom w:val="single" w:sz="4" w:space="0" w:color="auto"/>
              <w:right w:val="single" w:sz="4" w:space="0" w:color="auto"/>
            </w:tcBorders>
            <w:shd w:val="clear" w:color="auto" w:fill="auto"/>
          </w:tcPr>
          <w:p w:rsidR="00595FAD" w:rsidRPr="00661595" w:rsidRDefault="00595FAD" w:rsidP="00FF15C6">
            <w:pPr>
              <w:autoSpaceDE w:val="0"/>
              <w:autoSpaceDN w:val="0"/>
              <w:adjustRightInd w:val="0"/>
              <w:rPr>
                <w:rStyle w:val="InstructionsTabelleberschrift"/>
                <w:rFonts w:ascii="Times New Roman" w:hAnsi="Times New Roman"/>
                <w:sz w:val="24"/>
              </w:rPr>
            </w:pPr>
            <w:r w:rsidRPr="00661595">
              <w:rPr>
                <w:rStyle w:val="InstructionsTabelleberschrift"/>
                <w:rFonts w:ascii="Times New Roman" w:hAnsi="Times New Roman"/>
                <w:sz w:val="24"/>
              </w:rPr>
              <w:t>CREDIT DERIVATIVE PROTECTION</w:t>
            </w:r>
          </w:p>
          <w:p w:rsidR="00595FAD" w:rsidRPr="00661595" w:rsidRDefault="00595FAD" w:rsidP="00CF4C30">
            <w:pPr>
              <w:autoSpaceDE w:val="0"/>
              <w:autoSpaceDN w:val="0"/>
              <w:adjustRightInd w:val="0"/>
              <w:spacing w:before="60"/>
              <w:rPr>
                <w:rFonts w:ascii="Times New Roman" w:hAnsi="Times New Roman"/>
                <w:b/>
                <w:sz w:val="24"/>
              </w:rPr>
            </w:pPr>
            <w:r w:rsidRPr="00661595">
              <w:rPr>
                <w:rFonts w:ascii="Times New Roman" w:hAnsi="Times New Roman"/>
                <w:sz w:val="24"/>
              </w:rPr>
              <w:t>Credit derivative protection bought or sold</w:t>
            </w:r>
          </w:p>
        </w:tc>
      </w:tr>
      <w:tr w:rsidR="00595FAD" w:rsidRPr="00661595" w:rsidTr="00FF15C6">
        <w:trPr>
          <w:trHeight w:val="120"/>
        </w:trPr>
        <w:tc>
          <w:tcPr>
            <w:tcW w:w="1384" w:type="dxa"/>
            <w:tcBorders>
              <w:top w:val="single" w:sz="4" w:space="0" w:color="auto"/>
              <w:left w:val="single" w:sz="4" w:space="0" w:color="auto"/>
              <w:bottom w:val="single" w:sz="4" w:space="0" w:color="auto"/>
              <w:right w:val="single" w:sz="4" w:space="0" w:color="auto"/>
            </w:tcBorders>
            <w:shd w:val="clear" w:color="auto" w:fill="auto"/>
          </w:tcPr>
          <w:p w:rsidR="00595FAD" w:rsidRPr="00661595" w:rsidRDefault="00595FAD" w:rsidP="00FF15C6">
            <w:pPr>
              <w:autoSpaceDE w:val="0"/>
              <w:autoSpaceDN w:val="0"/>
              <w:adjustRightInd w:val="0"/>
              <w:rPr>
                <w:rFonts w:ascii="Times New Roman" w:hAnsi="Times New Roman"/>
                <w:sz w:val="24"/>
              </w:rPr>
            </w:pPr>
            <w:r w:rsidRPr="00661595">
              <w:rPr>
                <w:rFonts w:ascii="Times New Roman" w:hAnsi="Times New Roman"/>
                <w:sz w:val="24"/>
              </w:rPr>
              <w:t>0010, 0020</w:t>
            </w:r>
          </w:p>
        </w:tc>
        <w:tc>
          <w:tcPr>
            <w:tcW w:w="7655" w:type="dxa"/>
            <w:tcBorders>
              <w:top w:val="single" w:sz="4" w:space="0" w:color="auto"/>
              <w:left w:val="single" w:sz="4" w:space="0" w:color="auto"/>
              <w:bottom w:val="single" w:sz="4" w:space="0" w:color="auto"/>
              <w:right w:val="single" w:sz="4" w:space="0" w:color="auto"/>
            </w:tcBorders>
            <w:shd w:val="clear" w:color="auto" w:fill="auto"/>
          </w:tcPr>
          <w:p w:rsidR="00595FAD" w:rsidRPr="00661595" w:rsidRDefault="00595FAD" w:rsidP="00FF15C6">
            <w:pPr>
              <w:autoSpaceDE w:val="0"/>
              <w:autoSpaceDN w:val="0"/>
              <w:adjustRightInd w:val="0"/>
              <w:rPr>
                <w:rStyle w:val="InstructionsTabelleberschrift"/>
                <w:rFonts w:ascii="Times New Roman" w:hAnsi="Times New Roman"/>
                <w:sz w:val="24"/>
              </w:rPr>
            </w:pPr>
            <w:r w:rsidRPr="00661595">
              <w:rPr>
                <w:rStyle w:val="InstructionsTabelleberschrift"/>
                <w:rFonts w:ascii="Times New Roman" w:hAnsi="Times New Roman"/>
                <w:sz w:val="24"/>
              </w:rPr>
              <w:t xml:space="preserve">NOTIONAL AMOUNTS </w:t>
            </w:r>
          </w:p>
          <w:p w:rsidR="00595FAD" w:rsidRPr="00661595" w:rsidRDefault="00595FAD" w:rsidP="00CF4C30">
            <w:pPr>
              <w:autoSpaceDE w:val="0"/>
              <w:autoSpaceDN w:val="0"/>
              <w:adjustRightInd w:val="0"/>
              <w:spacing w:before="60"/>
              <w:rPr>
                <w:rFonts w:ascii="Times New Roman" w:hAnsi="Times New Roman"/>
                <w:i/>
                <w:sz w:val="24"/>
              </w:rPr>
            </w:pPr>
            <w:r w:rsidRPr="00661595">
              <w:rPr>
                <w:rFonts w:ascii="Times New Roman" w:hAnsi="Times New Roman"/>
                <w:sz w:val="24"/>
              </w:rPr>
              <w:t>Sum of the notional derivative amounts before any netting, broken down by product type</w:t>
            </w:r>
          </w:p>
        </w:tc>
      </w:tr>
      <w:tr w:rsidR="00595FAD" w:rsidRPr="00661595" w:rsidTr="00FF15C6">
        <w:trPr>
          <w:trHeight w:val="120"/>
        </w:trPr>
        <w:tc>
          <w:tcPr>
            <w:tcW w:w="1384" w:type="dxa"/>
            <w:tcBorders>
              <w:top w:val="single" w:sz="4" w:space="0" w:color="auto"/>
              <w:left w:val="single" w:sz="4" w:space="0" w:color="auto"/>
              <w:bottom w:val="single" w:sz="4" w:space="0" w:color="auto"/>
              <w:right w:val="single" w:sz="4" w:space="0" w:color="auto"/>
            </w:tcBorders>
            <w:shd w:val="clear" w:color="auto" w:fill="auto"/>
          </w:tcPr>
          <w:p w:rsidR="00595FAD" w:rsidRPr="00661595" w:rsidRDefault="00595FAD" w:rsidP="00FF15C6">
            <w:pPr>
              <w:autoSpaceDE w:val="0"/>
              <w:autoSpaceDN w:val="0"/>
              <w:adjustRightInd w:val="0"/>
              <w:rPr>
                <w:rFonts w:ascii="Times New Roman" w:hAnsi="Times New Roman"/>
                <w:sz w:val="24"/>
              </w:rPr>
            </w:pPr>
            <w:r w:rsidRPr="00661595">
              <w:rPr>
                <w:rFonts w:ascii="Times New Roman" w:hAnsi="Times New Roman"/>
                <w:sz w:val="24"/>
              </w:rPr>
              <w:t>0030, 0040</w:t>
            </w:r>
          </w:p>
        </w:tc>
        <w:tc>
          <w:tcPr>
            <w:tcW w:w="7655" w:type="dxa"/>
            <w:tcBorders>
              <w:top w:val="single" w:sz="4" w:space="0" w:color="auto"/>
              <w:left w:val="single" w:sz="4" w:space="0" w:color="auto"/>
              <w:bottom w:val="single" w:sz="4" w:space="0" w:color="auto"/>
              <w:right w:val="single" w:sz="4" w:space="0" w:color="auto"/>
            </w:tcBorders>
            <w:shd w:val="clear" w:color="auto" w:fill="auto"/>
          </w:tcPr>
          <w:p w:rsidR="00595FAD" w:rsidRPr="00661595" w:rsidRDefault="00595FAD" w:rsidP="00FF15C6">
            <w:pPr>
              <w:autoSpaceDE w:val="0"/>
              <w:autoSpaceDN w:val="0"/>
              <w:adjustRightInd w:val="0"/>
              <w:spacing w:before="60"/>
              <w:rPr>
                <w:rStyle w:val="InstructionsTabelleberschrift"/>
                <w:rFonts w:ascii="Times New Roman" w:hAnsi="Times New Roman"/>
                <w:sz w:val="24"/>
              </w:rPr>
            </w:pPr>
            <w:r w:rsidRPr="00661595">
              <w:rPr>
                <w:rStyle w:val="InstructionsTabelleberschrift"/>
                <w:rFonts w:ascii="Times New Roman" w:hAnsi="Times New Roman"/>
                <w:sz w:val="24"/>
              </w:rPr>
              <w:t>FAIR VALUES</w:t>
            </w:r>
          </w:p>
          <w:p w:rsidR="00595FAD" w:rsidRPr="00661595" w:rsidRDefault="00595FAD" w:rsidP="00CF4C30">
            <w:pPr>
              <w:autoSpaceDE w:val="0"/>
              <w:autoSpaceDN w:val="0"/>
              <w:adjustRightInd w:val="0"/>
              <w:spacing w:before="60"/>
              <w:rPr>
                <w:rFonts w:ascii="Times New Roman" w:hAnsi="Times New Roman"/>
                <w:i/>
                <w:sz w:val="24"/>
              </w:rPr>
            </w:pPr>
            <w:r w:rsidRPr="00661595">
              <w:rPr>
                <w:rFonts w:ascii="Times New Roman" w:hAnsi="Times New Roman"/>
                <w:sz w:val="24"/>
              </w:rPr>
              <w:t xml:space="preserve">Sum of fair values broken down by protection bough and protection sold </w:t>
            </w:r>
          </w:p>
        </w:tc>
      </w:tr>
    </w:tbl>
    <w:p w:rsidR="00595FAD" w:rsidRPr="00661595" w:rsidRDefault="00595FAD" w:rsidP="00487A02">
      <w:pPr>
        <w:pStyle w:val="InstructionsText2"/>
        <w:numPr>
          <w:ilvl w:val="0"/>
          <w:numId w:val="0"/>
        </w:numPr>
        <w:ind w:left="1353" w:hanging="360"/>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655"/>
      </w:tblGrid>
      <w:tr w:rsidR="00595FAD" w:rsidRPr="00661595" w:rsidTr="00FF15C6">
        <w:trPr>
          <w:trHeight w:val="238"/>
        </w:trPr>
        <w:tc>
          <w:tcPr>
            <w:tcW w:w="9039" w:type="dxa"/>
            <w:gridSpan w:val="2"/>
            <w:shd w:val="clear" w:color="auto" w:fill="D9D9D9" w:themeFill="background1" w:themeFillShade="D9"/>
          </w:tcPr>
          <w:p w:rsidR="00595FAD" w:rsidRPr="00661595" w:rsidRDefault="00595FAD" w:rsidP="00FF15C6">
            <w:pPr>
              <w:autoSpaceDE w:val="0"/>
              <w:autoSpaceDN w:val="0"/>
              <w:adjustRightInd w:val="0"/>
              <w:rPr>
                <w:rFonts w:ascii="Times New Roman" w:hAnsi="Times New Roman"/>
                <w:sz w:val="24"/>
              </w:rPr>
            </w:pPr>
            <w:r w:rsidRPr="00661595">
              <w:rPr>
                <w:rFonts w:ascii="Times New Roman" w:hAnsi="Times New Roman"/>
                <w:b/>
                <w:sz w:val="24"/>
              </w:rPr>
              <w:t xml:space="preserve">Rows </w:t>
            </w:r>
          </w:p>
        </w:tc>
      </w:tr>
      <w:tr w:rsidR="00595FAD" w:rsidRPr="00661595" w:rsidTr="00FF15C6">
        <w:trPr>
          <w:trHeight w:val="120"/>
        </w:trPr>
        <w:tc>
          <w:tcPr>
            <w:tcW w:w="1384" w:type="dxa"/>
            <w:tcBorders>
              <w:top w:val="single" w:sz="4" w:space="0" w:color="auto"/>
              <w:left w:val="single" w:sz="4" w:space="0" w:color="auto"/>
              <w:bottom w:val="single" w:sz="4" w:space="0" w:color="auto"/>
              <w:right w:val="single" w:sz="4" w:space="0" w:color="auto"/>
            </w:tcBorders>
            <w:shd w:val="clear" w:color="auto" w:fill="auto"/>
          </w:tcPr>
          <w:p w:rsidR="00595FAD" w:rsidRPr="00661595" w:rsidRDefault="00595FAD" w:rsidP="00FF15C6">
            <w:pPr>
              <w:autoSpaceDE w:val="0"/>
              <w:autoSpaceDN w:val="0"/>
              <w:adjustRightInd w:val="0"/>
              <w:rPr>
                <w:rFonts w:ascii="Times New Roman" w:hAnsi="Times New Roman"/>
                <w:sz w:val="24"/>
              </w:rPr>
            </w:pPr>
            <w:r w:rsidRPr="00661595">
              <w:rPr>
                <w:rFonts w:ascii="Times New Roman" w:hAnsi="Times New Roman"/>
                <w:sz w:val="24"/>
              </w:rPr>
              <w:t>0010 – 0050</w:t>
            </w:r>
          </w:p>
        </w:tc>
        <w:tc>
          <w:tcPr>
            <w:tcW w:w="7655" w:type="dxa"/>
            <w:tcBorders>
              <w:top w:val="single" w:sz="4" w:space="0" w:color="auto"/>
              <w:left w:val="single" w:sz="4" w:space="0" w:color="auto"/>
              <w:bottom w:val="single" w:sz="4" w:space="0" w:color="auto"/>
              <w:right w:val="single" w:sz="4" w:space="0" w:color="auto"/>
            </w:tcBorders>
            <w:shd w:val="clear" w:color="auto" w:fill="auto"/>
          </w:tcPr>
          <w:p w:rsidR="00595FAD" w:rsidRPr="00661595" w:rsidRDefault="00595FAD" w:rsidP="00FF15C6">
            <w:pPr>
              <w:autoSpaceDE w:val="0"/>
              <w:autoSpaceDN w:val="0"/>
              <w:adjustRightInd w:val="0"/>
              <w:rPr>
                <w:rStyle w:val="InstructionsTabelleberschrift"/>
                <w:rFonts w:ascii="Times New Roman" w:hAnsi="Times New Roman"/>
                <w:sz w:val="24"/>
              </w:rPr>
            </w:pPr>
            <w:r w:rsidRPr="00661595">
              <w:rPr>
                <w:rStyle w:val="InstructionsTabelleberschrift"/>
                <w:rFonts w:ascii="Times New Roman" w:hAnsi="Times New Roman"/>
                <w:sz w:val="24"/>
              </w:rPr>
              <w:t>Product type</w:t>
            </w:r>
          </w:p>
          <w:p w:rsidR="00595FAD" w:rsidRPr="00661595" w:rsidRDefault="00595FAD" w:rsidP="00CF4C30">
            <w:pPr>
              <w:autoSpaceDE w:val="0"/>
              <w:autoSpaceDN w:val="0"/>
              <w:adjustRightInd w:val="0"/>
              <w:rPr>
                <w:rFonts w:ascii="Times New Roman" w:hAnsi="Times New Roman"/>
                <w:sz w:val="24"/>
              </w:rPr>
            </w:pPr>
            <w:r w:rsidRPr="00661595">
              <w:rPr>
                <w:rFonts w:ascii="Times New Roman" w:hAnsi="Times New Roman"/>
                <w:sz w:val="24"/>
              </w:rPr>
              <w:t>Breakdown of credit derivatives product types</w:t>
            </w:r>
          </w:p>
        </w:tc>
      </w:tr>
      <w:tr w:rsidR="00595FAD" w:rsidRPr="00661595" w:rsidTr="00FF15C6">
        <w:trPr>
          <w:trHeight w:val="120"/>
        </w:trPr>
        <w:tc>
          <w:tcPr>
            <w:tcW w:w="1384" w:type="dxa"/>
            <w:tcBorders>
              <w:top w:val="single" w:sz="4" w:space="0" w:color="auto"/>
              <w:left w:val="single" w:sz="4" w:space="0" w:color="auto"/>
              <w:bottom w:val="single" w:sz="4" w:space="0" w:color="auto"/>
              <w:right w:val="single" w:sz="4" w:space="0" w:color="auto"/>
            </w:tcBorders>
            <w:shd w:val="clear" w:color="auto" w:fill="auto"/>
          </w:tcPr>
          <w:p w:rsidR="00595FAD" w:rsidRPr="00661595" w:rsidRDefault="00595FAD" w:rsidP="00FF15C6">
            <w:pPr>
              <w:autoSpaceDE w:val="0"/>
              <w:autoSpaceDN w:val="0"/>
              <w:adjustRightInd w:val="0"/>
              <w:rPr>
                <w:rFonts w:ascii="Times New Roman" w:hAnsi="Times New Roman"/>
                <w:sz w:val="24"/>
              </w:rPr>
            </w:pPr>
            <w:r w:rsidRPr="00661595">
              <w:rPr>
                <w:rFonts w:ascii="Times New Roman" w:hAnsi="Times New Roman"/>
                <w:sz w:val="24"/>
              </w:rPr>
              <w:t>0060</w:t>
            </w:r>
          </w:p>
        </w:tc>
        <w:tc>
          <w:tcPr>
            <w:tcW w:w="7655" w:type="dxa"/>
            <w:tcBorders>
              <w:top w:val="single" w:sz="4" w:space="0" w:color="auto"/>
              <w:left w:val="single" w:sz="4" w:space="0" w:color="auto"/>
              <w:bottom w:val="single" w:sz="4" w:space="0" w:color="auto"/>
              <w:right w:val="single" w:sz="4" w:space="0" w:color="auto"/>
            </w:tcBorders>
            <w:shd w:val="clear" w:color="auto" w:fill="auto"/>
          </w:tcPr>
          <w:p w:rsidR="00595FAD" w:rsidRPr="00661595" w:rsidRDefault="00595FAD" w:rsidP="00FF15C6">
            <w:pPr>
              <w:autoSpaceDE w:val="0"/>
              <w:autoSpaceDN w:val="0"/>
              <w:adjustRightInd w:val="0"/>
              <w:rPr>
                <w:rStyle w:val="InstructionsTabelleberschrift"/>
                <w:rFonts w:ascii="Times New Roman" w:hAnsi="Times New Roman"/>
                <w:sz w:val="24"/>
              </w:rPr>
            </w:pPr>
            <w:r w:rsidRPr="00661595">
              <w:rPr>
                <w:rStyle w:val="InstructionsTabelleberschrift"/>
                <w:rFonts w:ascii="Times New Roman" w:hAnsi="Times New Roman"/>
                <w:sz w:val="24"/>
              </w:rPr>
              <w:t>Total</w:t>
            </w:r>
          </w:p>
          <w:p w:rsidR="00595FAD" w:rsidRPr="00661595" w:rsidRDefault="00595FAD" w:rsidP="00CF4C30">
            <w:pPr>
              <w:autoSpaceDE w:val="0"/>
              <w:autoSpaceDN w:val="0"/>
              <w:adjustRightInd w:val="0"/>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Sum of all product types</w:t>
            </w:r>
          </w:p>
        </w:tc>
      </w:tr>
      <w:tr w:rsidR="00595FAD" w:rsidRPr="00661595" w:rsidTr="00FF15C6">
        <w:trPr>
          <w:trHeight w:val="120"/>
        </w:trPr>
        <w:tc>
          <w:tcPr>
            <w:tcW w:w="1384" w:type="dxa"/>
            <w:tcBorders>
              <w:top w:val="single" w:sz="4" w:space="0" w:color="auto"/>
              <w:left w:val="single" w:sz="4" w:space="0" w:color="auto"/>
              <w:bottom w:val="single" w:sz="4" w:space="0" w:color="auto"/>
              <w:right w:val="single" w:sz="4" w:space="0" w:color="auto"/>
            </w:tcBorders>
            <w:shd w:val="clear" w:color="auto" w:fill="auto"/>
          </w:tcPr>
          <w:p w:rsidR="00595FAD" w:rsidRPr="00661595" w:rsidRDefault="00595FAD" w:rsidP="00FF15C6">
            <w:pPr>
              <w:autoSpaceDE w:val="0"/>
              <w:autoSpaceDN w:val="0"/>
              <w:adjustRightInd w:val="0"/>
              <w:rPr>
                <w:rFonts w:ascii="Times New Roman" w:hAnsi="Times New Roman"/>
                <w:sz w:val="24"/>
              </w:rPr>
            </w:pPr>
            <w:r w:rsidRPr="00661595">
              <w:rPr>
                <w:rFonts w:ascii="Times New Roman" w:hAnsi="Times New Roman"/>
                <w:sz w:val="24"/>
              </w:rPr>
              <w:t>0070, 0080</w:t>
            </w:r>
          </w:p>
        </w:tc>
        <w:tc>
          <w:tcPr>
            <w:tcW w:w="7655" w:type="dxa"/>
            <w:tcBorders>
              <w:top w:val="single" w:sz="4" w:space="0" w:color="auto"/>
              <w:left w:val="single" w:sz="4" w:space="0" w:color="auto"/>
              <w:bottom w:val="single" w:sz="4" w:space="0" w:color="auto"/>
              <w:right w:val="single" w:sz="4" w:space="0" w:color="auto"/>
            </w:tcBorders>
            <w:shd w:val="clear" w:color="auto" w:fill="auto"/>
          </w:tcPr>
          <w:p w:rsidR="00595FAD" w:rsidRPr="00661595" w:rsidRDefault="00595FAD" w:rsidP="00FF15C6">
            <w:pPr>
              <w:autoSpaceDE w:val="0"/>
              <w:autoSpaceDN w:val="0"/>
              <w:adjustRightInd w:val="0"/>
              <w:rPr>
                <w:rStyle w:val="InstructionsTabelleberschrift"/>
                <w:rFonts w:ascii="Times New Roman" w:hAnsi="Times New Roman"/>
                <w:sz w:val="24"/>
              </w:rPr>
            </w:pPr>
            <w:r w:rsidRPr="00661595">
              <w:rPr>
                <w:rStyle w:val="InstructionsTabelleberschrift"/>
                <w:rFonts w:ascii="Times New Roman" w:hAnsi="Times New Roman"/>
                <w:sz w:val="24"/>
              </w:rPr>
              <w:t>Fair values</w:t>
            </w:r>
          </w:p>
          <w:p w:rsidR="00595FAD" w:rsidRPr="00661595" w:rsidRDefault="00595FAD" w:rsidP="00CF4C30">
            <w:pPr>
              <w:autoSpaceDE w:val="0"/>
              <w:autoSpaceDN w:val="0"/>
              <w:adjustRightInd w:val="0"/>
              <w:rPr>
                <w:rFonts w:ascii="Times New Roman" w:hAnsi="Times New Roman"/>
                <w:bCs/>
                <w:sz w:val="24"/>
              </w:rPr>
            </w:pPr>
            <w:r w:rsidRPr="00661595">
              <w:rPr>
                <w:rFonts w:ascii="Times New Roman" w:hAnsi="Times New Roman"/>
                <w:bCs/>
                <w:sz w:val="24"/>
              </w:rPr>
              <w:t>Fair values broken down by product type as well as assets (positive fair values) and liabilities (negative fair values)</w:t>
            </w:r>
          </w:p>
        </w:tc>
      </w:tr>
    </w:tbl>
    <w:p w:rsidR="00595FAD" w:rsidRPr="00661595" w:rsidRDefault="00595FAD" w:rsidP="00595FAD">
      <w:pPr>
        <w:pStyle w:val="Titlelevel2"/>
        <w:spacing w:before="120" w:after="120"/>
        <w:rPr>
          <w:rFonts w:ascii="Times New Roman" w:hAnsi="Times New Roman" w:cs="Times New Roman"/>
          <w:b/>
          <w:color w:val="auto"/>
          <w:sz w:val="24"/>
        </w:rPr>
      </w:pPr>
    </w:p>
    <w:p w:rsidR="00595FAD" w:rsidRPr="00661595" w:rsidRDefault="00595FAD" w:rsidP="002F29AF">
      <w:pPr>
        <w:pStyle w:val="Instructionsberschrift2"/>
        <w:numPr>
          <w:ilvl w:val="2"/>
          <w:numId w:val="48"/>
        </w:numPr>
        <w:rPr>
          <w:rFonts w:ascii="Times New Roman" w:hAnsi="Times New Roman" w:cs="Times New Roman"/>
          <w:sz w:val="24"/>
          <w:lang w:val="en-GB"/>
        </w:rPr>
      </w:pPr>
      <w:bookmarkStart w:id="497" w:name="_Toc19715827"/>
      <w:bookmarkStart w:id="498" w:name="_Toc57831617"/>
      <w:r w:rsidRPr="00661595">
        <w:rPr>
          <w:rFonts w:ascii="Times New Roman" w:hAnsi="Times New Roman" w:cs="Times New Roman"/>
          <w:sz w:val="24"/>
          <w:lang w:val="en-GB"/>
        </w:rPr>
        <w:t>C 34.10 - Exposures to CCPs</w:t>
      </w:r>
      <w:bookmarkEnd w:id="497"/>
      <w:bookmarkEnd w:id="498"/>
    </w:p>
    <w:p w:rsidR="00595FAD" w:rsidRPr="00661595" w:rsidRDefault="00595FAD" w:rsidP="002F29AF">
      <w:pPr>
        <w:pStyle w:val="Instructionsberschrift2"/>
        <w:numPr>
          <w:ilvl w:val="3"/>
          <w:numId w:val="48"/>
        </w:numPr>
        <w:rPr>
          <w:rFonts w:ascii="Times New Roman" w:hAnsi="Times New Roman" w:cs="Times New Roman"/>
          <w:sz w:val="24"/>
          <w:lang w:val="en-GB"/>
        </w:rPr>
      </w:pPr>
      <w:bookmarkStart w:id="499" w:name="_Toc19715828"/>
      <w:bookmarkStart w:id="500" w:name="_Toc57831618"/>
      <w:r w:rsidRPr="00661595">
        <w:rPr>
          <w:rFonts w:ascii="Times New Roman" w:hAnsi="Times New Roman" w:cs="Times New Roman"/>
          <w:sz w:val="24"/>
          <w:lang w:val="en-GB"/>
        </w:rPr>
        <w:t>General remarks</w:t>
      </w:r>
      <w:bookmarkEnd w:id="499"/>
      <w:bookmarkEnd w:id="500"/>
    </w:p>
    <w:p w:rsidR="00595FAD" w:rsidRPr="00661595" w:rsidRDefault="00D11E4C" w:rsidP="00487A02">
      <w:pPr>
        <w:pStyle w:val="InstructionsText2"/>
        <w:numPr>
          <w:ilvl w:val="0"/>
          <w:numId w:val="0"/>
        </w:numPr>
        <w:ind w:left="1353" w:hanging="360"/>
      </w:pPr>
      <w:fldSimple w:instr=" seq paragraphs ">
        <w:r w:rsidR="00771068">
          <w:rPr>
            <w:noProof/>
          </w:rPr>
          <w:t>132</w:t>
        </w:r>
      </w:fldSimple>
      <w:r w:rsidR="00595FAD" w:rsidRPr="00661595">
        <w:t xml:space="preserve">. Institutions shall report the information on exposures to CCPs, i.e. to contracts and transactions listed in Article 301(1) CRR for as long as they are outstanding with a CCP and exposures from CCP-related transactions, in accordance with Article 300(2) CRR, for which the own funds requirements are calculated in accordance with Section 9 of Chapter 6 of Title II of Part Three CRR. </w:t>
      </w:r>
    </w:p>
    <w:p w:rsidR="00595FAD" w:rsidRPr="00661595" w:rsidRDefault="00595FAD" w:rsidP="002F29AF">
      <w:pPr>
        <w:pStyle w:val="Instructionsberschrift2"/>
        <w:numPr>
          <w:ilvl w:val="3"/>
          <w:numId w:val="48"/>
        </w:numPr>
        <w:rPr>
          <w:rFonts w:ascii="Times New Roman" w:hAnsi="Times New Roman" w:cs="Times New Roman"/>
          <w:sz w:val="24"/>
          <w:lang w:val="en-GB"/>
        </w:rPr>
      </w:pPr>
      <w:bookmarkStart w:id="501" w:name="_Toc19715829"/>
      <w:bookmarkStart w:id="502" w:name="_Toc57831619"/>
      <w:r w:rsidRPr="00661595">
        <w:rPr>
          <w:rFonts w:ascii="Times New Roman" w:hAnsi="Times New Roman" w:cs="Times New Roman"/>
          <w:sz w:val="24"/>
          <w:lang w:val="en-GB"/>
        </w:rPr>
        <w:t>Instructions concerning specific positions</w:t>
      </w:r>
      <w:bookmarkEnd w:id="501"/>
      <w:bookmarkEnd w:id="502"/>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655"/>
      </w:tblGrid>
      <w:tr w:rsidR="00595FAD" w:rsidRPr="00661595" w:rsidTr="00FF15C6">
        <w:trPr>
          <w:trHeight w:val="680"/>
        </w:trPr>
        <w:tc>
          <w:tcPr>
            <w:tcW w:w="903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95FAD" w:rsidRPr="00661595" w:rsidRDefault="00595FAD" w:rsidP="00FF15C6">
            <w:pPr>
              <w:autoSpaceDE w:val="0"/>
              <w:autoSpaceDN w:val="0"/>
              <w:adjustRightInd w:val="0"/>
              <w:rPr>
                <w:rFonts w:ascii="Times New Roman" w:hAnsi="Times New Roman"/>
                <w:b/>
                <w:sz w:val="24"/>
              </w:rPr>
            </w:pPr>
            <w:r w:rsidRPr="00661595">
              <w:rPr>
                <w:rFonts w:ascii="Times New Roman" w:hAnsi="Times New Roman"/>
                <w:b/>
                <w:sz w:val="24"/>
              </w:rPr>
              <w:t xml:space="preserve">Columns </w:t>
            </w:r>
          </w:p>
        </w:tc>
      </w:tr>
      <w:tr w:rsidR="00595FAD" w:rsidRPr="00661595" w:rsidTr="00FF15C6">
        <w:trPr>
          <w:trHeight w:val="680"/>
        </w:trPr>
        <w:tc>
          <w:tcPr>
            <w:tcW w:w="1384" w:type="dxa"/>
          </w:tcPr>
          <w:p w:rsidR="00595FAD" w:rsidRPr="00661595" w:rsidRDefault="00595FAD" w:rsidP="00FF15C6">
            <w:pPr>
              <w:pStyle w:val="Applicationdirecte"/>
              <w:spacing w:before="0" w:after="0"/>
            </w:pPr>
            <w:r w:rsidRPr="00661595">
              <w:t>0010</w:t>
            </w:r>
          </w:p>
        </w:tc>
        <w:tc>
          <w:tcPr>
            <w:tcW w:w="7655" w:type="dxa"/>
            <w:vAlign w:val="center"/>
          </w:tcPr>
          <w:p w:rsidR="00595FAD" w:rsidRPr="00661595" w:rsidRDefault="00595FAD" w:rsidP="00FF15C6">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 xml:space="preserve">EXPOSURE VALUE </w:t>
            </w:r>
          </w:p>
          <w:p w:rsidR="00595FAD" w:rsidRPr="00661595" w:rsidRDefault="00595FAD" w:rsidP="00FF15C6">
            <w:pPr>
              <w:keepNext/>
              <w:spacing w:before="60"/>
              <w:rPr>
                <w:rFonts w:ascii="Times New Roman" w:hAnsi="Times New Roman"/>
                <w:sz w:val="24"/>
                <w:lang w:eastAsia="en-GB"/>
              </w:rPr>
            </w:pPr>
            <w:r w:rsidRPr="00661595">
              <w:rPr>
                <w:rFonts w:ascii="Times New Roman" w:hAnsi="Times New Roman"/>
                <w:sz w:val="24"/>
              </w:rPr>
              <w:t xml:space="preserve">Exposure value </w:t>
            </w:r>
            <w:r w:rsidRPr="00661595">
              <w:rPr>
                <w:rFonts w:ascii="Times New Roman" w:hAnsi="Times New Roman"/>
                <w:sz w:val="24"/>
                <w:lang w:eastAsia="en-GB"/>
              </w:rPr>
              <w:t xml:space="preserve">for transactions in the scope of Section 9 of Chapter 6 of Title II of </w:t>
            </w:r>
            <w:r w:rsidRPr="00661595">
              <w:rPr>
                <w:rFonts w:ascii="Times New Roman" w:hAnsi="Times New Roman"/>
                <w:sz w:val="24"/>
              </w:rPr>
              <w:t>Part Three</w:t>
            </w:r>
            <w:r w:rsidRPr="00661595">
              <w:rPr>
                <w:rFonts w:ascii="Times New Roman" w:hAnsi="Times New Roman"/>
                <w:sz w:val="24"/>
                <w:lang w:eastAsia="en-GB"/>
              </w:rPr>
              <w:t xml:space="preserve"> CRR</w:t>
            </w:r>
            <w:r w:rsidRPr="00661595">
              <w:rPr>
                <w:rFonts w:ascii="Times New Roman" w:hAnsi="Times New Roman"/>
                <w:sz w:val="24"/>
              </w:rPr>
              <w:t xml:space="preserve"> calculated </w:t>
            </w:r>
            <w:r w:rsidR="00CF4C30">
              <w:rPr>
                <w:rFonts w:ascii="Times New Roman" w:hAnsi="Times New Roman"/>
                <w:sz w:val="24"/>
              </w:rPr>
              <w:t>in accordance with</w:t>
            </w:r>
            <w:r w:rsidRPr="00661595">
              <w:rPr>
                <w:rFonts w:ascii="Times New Roman" w:hAnsi="Times New Roman"/>
                <w:sz w:val="24"/>
              </w:rPr>
              <w:t xml:space="preserve"> the relevant methods laid down in that Chapter and in particular in its s</w:t>
            </w:r>
            <w:r w:rsidRPr="00661595">
              <w:rPr>
                <w:rFonts w:ascii="Times New Roman" w:hAnsi="Times New Roman"/>
                <w:sz w:val="24"/>
                <w:lang w:eastAsia="en-GB"/>
              </w:rPr>
              <w:t>ection 9</w:t>
            </w:r>
          </w:p>
          <w:p w:rsidR="00595FAD" w:rsidRPr="00661595" w:rsidRDefault="00595FAD" w:rsidP="00FF15C6">
            <w:pPr>
              <w:keepNext/>
              <w:spacing w:before="60"/>
              <w:rPr>
                <w:rFonts w:ascii="Times New Roman" w:hAnsi="Times New Roman"/>
                <w:sz w:val="24"/>
                <w:lang w:eastAsia="en-GB"/>
              </w:rPr>
            </w:pPr>
            <w:r w:rsidRPr="00661595">
              <w:rPr>
                <w:rFonts w:ascii="Times New Roman" w:hAnsi="Times New Roman"/>
                <w:sz w:val="24"/>
                <w:lang w:eastAsia="en-GB"/>
              </w:rPr>
              <w:t xml:space="preserve">The exposure value reported </w:t>
            </w:r>
            <w:r w:rsidR="00CF4C30">
              <w:rPr>
                <w:rFonts w:ascii="Times New Roman" w:hAnsi="Times New Roman"/>
                <w:sz w:val="24"/>
                <w:lang w:eastAsia="en-GB"/>
              </w:rPr>
              <w:t>shall be</w:t>
            </w:r>
            <w:r w:rsidR="00CF4C30" w:rsidRPr="00661595">
              <w:rPr>
                <w:rFonts w:ascii="Times New Roman" w:hAnsi="Times New Roman"/>
                <w:sz w:val="24"/>
                <w:lang w:eastAsia="en-GB"/>
              </w:rPr>
              <w:t xml:space="preserve"> </w:t>
            </w:r>
            <w:r w:rsidRPr="00661595">
              <w:rPr>
                <w:rFonts w:ascii="Times New Roman" w:hAnsi="Times New Roman"/>
                <w:sz w:val="24"/>
                <w:lang w:eastAsia="en-GB"/>
              </w:rPr>
              <w:t>the amount relevant for the own funds requirements calculation in accordance with</w:t>
            </w:r>
            <w:r w:rsidRPr="00661595">
              <w:rPr>
                <w:rFonts w:ascii="Times New Roman" w:hAnsi="Times New Roman"/>
                <w:sz w:val="24"/>
              </w:rPr>
              <w:t xml:space="preserve"> Section 9 of Chapter 6 of Title II of </w:t>
            </w:r>
            <w:r w:rsidRPr="00661595">
              <w:rPr>
                <w:rFonts w:ascii="Times New Roman" w:hAnsi="Times New Roman"/>
                <w:sz w:val="24"/>
                <w:lang w:eastAsia="en-GB"/>
              </w:rPr>
              <w:t xml:space="preserve">Part Three CRR, considering the requirements in Article 497 of that </w:t>
            </w:r>
            <w:r w:rsidR="00837612">
              <w:rPr>
                <w:rFonts w:ascii="Times New Roman" w:hAnsi="Times New Roman"/>
                <w:sz w:val="24"/>
                <w:lang w:eastAsia="en-GB"/>
              </w:rPr>
              <w:t>R</w:t>
            </w:r>
            <w:r w:rsidRPr="00661595">
              <w:rPr>
                <w:rFonts w:ascii="Times New Roman" w:hAnsi="Times New Roman"/>
                <w:sz w:val="24"/>
                <w:lang w:eastAsia="en-GB"/>
              </w:rPr>
              <w:t xml:space="preserve">egulation during the transitional period provided for </w:t>
            </w:r>
            <w:r w:rsidR="00CF4C30">
              <w:rPr>
                <w:rFonts w:ascii="Times New Roman" w:hAnsi="Times New Roman"/>
                <w:sz w:val="24"/>
                <w:lang w:eastAsia="en-GB"/>
              </w:rPr>
              <w:t>in</w:t>
            </w:r>
            <w:r w:rsidR="00CF4C30" w:rsidRPr="00661595">
              <w:rPr>
                <w:rFonts w:ascii="Times New Roman" w:hAnsi="Times New Roman"/>
                <w:sz w:val="24"/>
                <w:lang w:eastAsia="en-GB"/>
              </w:rPr>
              <w:t xml:space="preserve"> </w:t>
            </w:r>
            <w:r w:rsidRPr="00661595">
              <w:rPr>
                <w:rFonts w:ascii="Times New Roman" w:hAnsi="Times New Roman"/>
                <w:sz w:val="24"/>
                <w:lang w:eastAsia="en-GB"/>
              </w:rPr>
              <w:t>that article.</w:t>
            </w:r>
          </w:p>
          <w:p w:rsidR="00595FAD" w:rsidRPr="00661595" w:rsidRDefault="00595FAD" w:rsidP="00FF15C6">
            <w:pPr>
              <w:keepNext/>
              <w:spacing w:before="60"/>
              <w:rPr>
                <w:rFonts w:ascii="Times New Roman" w:hAnsi="Times New Roman"/>
                <w:sz w:val="24"/>
                <w:lang w:eastAsia="en-GB"/>
              </w:rPr>
            </w:pPr>
            <w:r w:rsidRPr="00661595">
              <w:rPr>
                <w:rFonts w:ascii="Times New Roman" w:hAnsi="Times New Roman"/>
                <w:sz w:val="24"/>
                <w:lang w:eastAsia="en-GB"/>
              </w:rPr>
              <w:t xml:space="preserve">An exposure can be a trade exposure, as defined in </w:t>
            </w:r>
            <w:r w:rsidR="00F45413">
              <w:rPr>
                <w:rFonts w:ascii="Times New Roman" w:hAnsi="Times New Roman"/>
                <w:sz w:val="24"/>
                <w:lang w:eastAsia="en-GB"/>
              </w:rPr>
              <w:t>point (91) of Article 4(</w:t>
            </w:r>
            <w:r w:rsidRPr="00661595">
              <w:rPr>
                <w:rFonts w:ascii="Times New Roman" w:hAnsi="Times New Roman"/>
                <w:sz w:val="24"/>
                <w:lang w:eastAsia="en-GB"/>
              </w:rPr>
              <w:t>1) CRR.</w:t>
            </w:r>
          </w:p>
        </w:tc>
      </w:tr>
      <w:tr w:rsidR="00595FAD" w:rsidRPr="00661595" w:rsidTr="00FF15C6">
        <w:trPr>
          <w:trHeight w:val="680"/>
        </w:trPr>
        <w:tc>
          <w:tcPr>
            <w:tcW w:w="1384" w:type="dxa"/>
          </w:tcPr>
          <w:p w:rsidR="00595FAD" w:rsidRPr="00661595" w:rsidRDefault="00595FAD" w:rsidP="00FF15C6">
            <w:pPr>
              <w:pStyle w:val="Applicationdirecte"/>
              <w:spacing w:before="0" w:after="0"/>
            </w:pPr>
            <w:r w:rsidRPr="00661595">
              <w:t>0020</w:t>
            </w:r>
          </w:p>
        </w:tc>
        <w:tc>
          <w:tcPr>
            <w:tcW w:w="7655" w:type="dxa"/>
            <w:vAlign w:val="center"/>
          </w:tcPr>
          <w:p w:rsidR="00595FAD" w:rsidRPr="00661595" w:rsidRDefault="00595FAD" w:rsidP="00FF15C6">
            <w:pPr>
              <w:keepNext/>
              <w:tabs>
                <w:tab w:val="left" w:pos="6983"/>
              </w:tabs>
              <w:spacing w:before="60"/>
              <w:rPr>
                <w:rStyle w:val="InstructionsTabelleberschrift"/>
                <w:rFonts w:ascii="Times New Roman" w:hAnsi="Times New Roman"/>
                <w:sz w:val="24"/>
              </w:rPr>
            </w:pPr>
            <w:r w:rsidRPr="00661595">
              <w:rPr>
                <w:rStyle w:val="InstructionsTabelleberschrift"/>
                <w:rFonts w:ascii="Times New Roman" w:hAnsi="Times New Roman"/>
                <w:sz w:val="24"/>
              </w:rPr>
              <w:t>RISK WEIGHTED EXPOSURE AMOUNTS</w:t>
            </w:r>
          </w:p>
          <w:p w:rsidR="00595FAD" w:rsidRPr="00661595" w:rsidRDefault="00595FAD" w:rsidP="00FF15C6">
            <w:pPr>
              <w:keepNext/>
              <w:spacing w:before="60"/>
              <w:rPr>
                <w:rFonts w:ascii="Times New Roman" w:hAnsi="Times New Roman"/>
                <w:strike/>
                <w:sz w:val="24"/>
                <w:lang w:eastAsia="en-CA"/>
              </w:rPr>
            </w:pPr>
            <w:r w:rsidRPr="00661595">
              <w:rPr>
                <w:rFonts w:ascii="Times New Roman" w:hAnsi="Times New Roman"/>
                <w:sz w:val="24"/>
                <w:lang w:eastAsia="en-GB"/>
              </w:rPr>
              <w:t>Risk weighted exposure amounts determined in accordance with</w:t>
            </w:r>
            <w:r w:rsidRPr="00661595">
              <w:rPr>
                <w:rFonts w:ascii="Times New Roman" w:hAnsi="Times New Roman"/>
                <w:sz w:val="24"/>
              </w:rPr>
              <w:t xml:space="preserve"> Section 9 of Chapter 6 of Title II of </w:t>
            </w:r>
            <w:r w:rsidRPr="00661595">
              <w:rPr>
                <w:rFonts w:ascii="Times New Roman" w:hAnsi="Times New Roman"/>
                <w:sz w:val="24"/>
                <w:lang w:eastAsia="en-GB"/>
              </w:rPr>
              <w:t xml:space="preserve">Part Three CRR, considering the requirements in Article 497 of that </w:t>
            </w:r>
            <w:r w:rsidR="00837612">
              <w:rPr>
                <w:rFonts w:ascii="Times New Roman" w:hAnsi="Times New Roman"/>
                <w:sz w:val="24"/>
                <w:lang w:eastAsia="en-GB"/>
              </w:rPr>
              <w:t>R</w:t>
            </w:r>
            <w:r w:rsidRPr="00661595">
              <w:rPr>
                <w:rFonts w:ascii="Times New Roman" w:hAnsi="Times New Roman"/>
                <w:sz w:val="24"/>
                <w:lang w:eastAsia="en-GB"/>
              </w:rPr>
              <w:t>egulation during the transitional period provided for by that Article</w:t>
            </w:r>
          </w:p>
        </w:tc>
      </w:tr>
    </w:tbl>
    <w:p w:rsidR="00595FAD" w:rsidRPr="00661595" w:rsidRDefault="00595FAD" w:rsidP="00595FAD">
      <w:pPr>
        <w:pStyle w:val="Titlelevel2"/>
        <w:spacing w:before="120" w:after="120"/>
        <w:jc w:val="both"/>
        <w:rPr>
          <w:rFonts w:ascii="Times New Roman" w:hAnsi="Times New Roman" w:cs="Times New Roman"/>
          <w:b/>
          <w:color w:val="auto"/>
          <w:sz w:val="24"/>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655"/>
      </w:tblGrid>
      <w:tr w:rsidR="00595FAD" w:rsidRPr="00661595" w:rsidTr="00FF15C6">
        <w:trPr>
          <w:trHeight w:val="238"/>
        </w:trPr>
        <w:tc>
          <w:tcPr>
            <w:tcW w:w="9039" w:type="dxa"/>
            <w:gridSpan w:val="2"/>
            <w:shd w:val="clear" w:color="auto" w:fill="D9D9D9" w:themeFill="background1" w:themeFillShade="D9"/>
          </w:tcPr>
          <w:p w:rsidR="00595FAD" w:rsidRPr="00661595" w:rsidRDefault="00595FAD" w:rsidP="00FF15C6">
            <w:pPr>
              <w:autoSpaceDE w:val="0"/>
              <w:autoSpaceDN w:val="0"/>
              <w:adjustRightInd w:val="0"/>
              <w:rPr>
                <w:rFonts w:ascii="Times New Roman" w:hAnsi="Times New Roman"/>
                <w:sz w:val="24"/>
              </w:rPr>
            </w:pPr>
            <w:r w:rsidRPr="00661595">
              <w:rPr>
                <w:rFonts w:ascii="Times New Roman" w:hAnsi="Times New Roman"/>
                <w:b/>
                <w:sz w:val="24"/>
              </w:rPr>
              <w:t xml:space="preserve">Rows </w:t>
            </w:r>
          </w:p>
        </w:tc>
      </w:tr>
      <w:tr w:rsidR="00595FAD" w:rsidRPr="00661595" w:rsidTr="00FF15C6">
        <w:trPr>
          <w:trHeight w:val="680"/>
        </w:trPr>
        <w:tc>
          <w:tcPr>
            <w:tcW w:w="1384" w:type="dxa"/>
          </w:tcPr>
          <w:p w:rsidR="00595FAD" w:rsidRPr="00661595" w:rsidRDefault="00595FAD" w:rsidP="00FF15C6">
            <w:pPr>
              <w:pStyle w:val="Applicationdirecte"/>
              <w:spacing w:before="0" w:after="0"/>
            </w:pPr>
            <w:r w:rsidRPr="00661595">
              <w:t>0010-0100</w:t>
            </w:r>
          </w:p>
        </w:tc>
        <w:tc>
          <w:tcPr>
            <w:tcW w:w="7655" w:type="dxa"/>
            <w:vAlign w:val="center"/>
          </w:tcPr>
          <w:p w:rsidR="00595FAD" w:rsidRPr="00661595" w:rsidRDefault="00595FAD" w:rsidP="00FF15C6">
            <w:pPr>
              <w:spacing w:beforeLines="60" w:before="144" w:afterLines="60" w:after="144"/>
              <w:rPr>
                <w:rFonts w:ascii="Times New Roman" w:hAnsi="Times New Roman"/>
                <w:sz w:val="24"/>
                <w:lang w:eastAsia="en-CA"/>
              </w:rPr>
            </w:pPr>
            <w:r w:rsidRPr="00661595">
              <w:rPr>
                <w:rStyle w:val="InstructionsTabelleberschrift"/>
                <w:rFonts w:ascii="Times New Roman" w:hAnsi="Times New Roman"/>
                <w:sz w:val="24"/>
              </w:rPr>
              <w:t>Qualifying CCP (QCCP)</w:t>
            </w:r>
            <w:r w:rsidRPr="00661595">
              <w:rPr>
                <w:rFonts w:ascii="Times New Roman" w:hAnsi="Times New Roman"/>
                <w:sz w:val="24"/>
                <w:lang w:eastAsia="en-CA"/>
              </w:rPr>
              <w:t xml:space="preserve"> </w:t>
            </w:r>
          </w:p>
          <w:p w:rsidR="00595FAD" w:rsidRPr="00661595" w:rsidRDefault="006418A0" w:rsidP="006418A0">
            <w:pPr>
              <w:spacing w:beforeLines="60" w:before="144" w:afterLines="60" w:after="144"/>
              <w:rPr>
                <w:rFonts w:ascii="Times New Roman" w:hAnsi="Times New Roman"/>
                <w:sz w:val="24"/>
                <w:lang w:eastAsia="en-CA"/>
              </w:rPr>
            </w:pPr>
            <w:r>
              <w:rPr>
                <w:rFonts w:ascii="Times New Roman" w:hAnsi="Times New Roman"/>
                <w:sz w:val="24"/>
                <w:lang w:eastAsia="en-CA"/>
              </w:rPr>
              <w:t>A</w:t>
            </w:r>
            <w:r w:rsidR="00595FAD" w:rsidRPr="00661595">
              <w:rPr>
                <w:rFonts w:ascii="Times New Roman" w:hAnsi="Times New Roman"/>
                <w:sz w:val="24"/>
                <w:lang w:eastAsia="en-CA"/>
              </w:rPr>
              <w:t xml:space="preserve"> qualifying central counterparty or “QCCP”</w:t>
            </w:r>
            <w:r w:rsidR="00C85EAB">
              <w:rPr>
                <w:rFonts w:ascii="Times New Roman" w:hAnsi="Times New Roman"/>
                <w:sz w:val="24"/>
                <w:lang w:eastAsia="en-CA"/>
              </w:rPr>
              <w:t xml:space="preserve"> </w:t>
            </w:r>
            <w:r>
              <w:rPr>
                <w:rFonts w:ascii="Times New Roman" w:hAnsi="Times New Roman"/>
                <w:sz w:val="24"/>
                <w:lang w:eastAsia="en-CA"/>
              </w:rPr>
              <w:t>as</w:t>
            </w:r>
            <w:r w:rsidR="00C85EAB">
              <w:rPr>
                <w:rFonts w:ascii="Times New Roman" w:hAnsi="Times New Roman"/>
                <w:sz w:val="24"/>
                <w:lang w:eastAsia="en-CA"/>
              </w:rPr>
              <w:t xml:space="preserve"> defined in </w:t>
            </w:r>
            <w:r w:rsidR="00C76804">
              <w:rPr>
                <w:rFonts w:ascii="Times New Roman" w:hAnsi="Times New Roman"/>
                <w:sz w:val="24"/>
                <w:lang w:eastAsia="en-CA"/>
              </w:rPr>
              <w:t xml:space="preserve">point (88) of </w:t>
            </w:r>
            <w:r w:rsidR="00595FAD" w:rsidRPr="00661595">
              <w:rPr>
                <w:rFonts w:ascii="Times New Roman" w:hAnsi="Times New Roman"/>
                <w:sz w:val="24"/>
                <w:lang w:eastAsia="en-CA"/>
              </w:rPr>
              <w:t>Article 4</w:t>
            </w:r>
            <w:r w:rsidR="00381685">
              <w:rPr>
                <w:rFonts w:ascii="Times New Roman" w:hAnsi="Times New Roman"/>
                <w:sz w:val="24"/>
                <w:lang w:eastAsia="en-CA"/>
              </w:rPr>
              <w:t>(1)</w:t>
            </w:r>
            <w:r w:rsidR="00595FAD" w:rsidRPr="00661595">
              <w:rPr>
                <w:rFonts w:ascii="Times New Roman" w:hAnsi="Times New Roman"/>
                <w:sz w:val="24"/>
                <w:lang w:eastAsia="en-CA"/>
              </w:rPr>
              <w:t xml:space="preserve"> CRR </w:t>
            </w:r>
          </w:p>
        </w:tc>
      </w:tr>
      <w:tr w:rsidR="00595FAD" w:rsidRPr="00661595" w:rsidTr="00FF15C6">
        <w:trPr>
          <w:trHeight w:val="680"/>
        </w:trPr>
        <w:tc>
          <w:tcPr>
            <w:tcW w:w="1384" w:type="dxa"/>
          </w:tcPr>
          <w:p w:rsidR="00595FAD" w:rsidRPr="00661595" w:rsidRDefault="00595FAD" w:rsidP="00FF15C6">
            <w:pPr>
              <w:pStyle w:val="Applicationdirecte"/>
              <w:spacing w:before="0" w:after="0"/>
            </w:pPr>
            <w:r w:rsidRPr="00661595">
              <w:t>0070, 0080</w:t>
            </w:r>
          </w:p>
          <w:p w:rsidR="00595FAD" w:rsidRPr="00661595" w:rsidRDefault="00595FAD" w:rsidP="00FF15C6">
            <w:pPr>
              <w:pStyle w:val="Fait"/>
            </w:pPr>
            <w:r w:rsidRPr="00661595">
              <w:t>0170, 0180</w:t>
            </w:r>
          </w:p>
        </w:tc>
        <w:tc>
          <w:tcPr>
            <w:tcW w:w="7655" w:type="dxa"/>
            <w:vAlign w:val="center"/>
          </w:tcPr>
          <w:p w:rsidR="00595FAD" w:rsidRPr="00661595" w:rsidRDefault="00595FAD" w:rsidP="00FF15C6">
            <w:pPr>
              <w:keepNext/>
              <w:spacing w:before="60"/>
              <w:rPr>
                <w:rStyle w:val="InstructionsTabelleberschrift"/>
                <w:rFonts w:ascii="Times New Roman" w:hAnsi="Times New Roman"/>
                <w:b w:val="0"/>
                <w:sz w:val="24"/>
              </w:rPr>
            </w:pPr>
            <w:r w:rsidRPr="00661595">
              <w:rPr>
                <w:rStyle w:val="InstructionsTabelleberschrift"/>
                <w:rFonts w:ascii="Times New Roman" w:hAnsi="Times New Roman"/>
                <w:sz w:val="24"/>
              </w:rPr>
              <w:t>Initial margin</w:t>
            </w:r>
          </w:p>
          <w:p w:rsidR="00595FAD" w:rsidRPr="00661595" w:rsidRDefault="00595FAD" w:rsidP="00FF15C6">
            <w:pPr>
              <w:keepNext/>
              <w:spacing w:before="60"/>
              <w:rPr>
                <w:rFonts w:ascii="Times New Roman" w:hAnsi="Times New Roman"/>
                <w:sz w:val="24"/>
                <w:lang w:eastAsia="en-CA"/>
              </w:rPr>
            </w:pPr>
            <w:r w:rsidRPr="00661595">
              <w:rPr>
                <w:rFonts w:ascii="Times New Roman" w:eastAsia="Calibri" w:hAnsi="Times New Roman"/>
                <w:sz w:val="24"/>
                <w:lang w:eastAsia="en-GB"/>
              </w:rPr>
              <w:t>See instructions for template C</w:t>
            </w:r>
            <w:r w:rsidR="00381685">
              <w:rPr>
                <w:rFonts w:ascii="Times New Roman" w:eastAsia="Calibri" w:hAnsi="Times New Roman"/>
                <w:sz w:val="24"/>
                <w:lang w:eastAsia="en-GB"/>
              </w:rPr>
              <w:t xml:space="preserve"> </w:t>
            </w:r>
            <w:r w:rsidRPr="00661595">
              <w:rPr>
                <w:rFonts w:ascii="Times New Roman" w:eastAsia="Calibri" w:hAnsi="Times New Roman"/>
                <w:sz w:val="24"/>
                <w:lang w:eastAsia="en-GB"/>
              </w:rPr>
              <w:t>34.08.</w:t>
            </w:r>
          </w:p>
          <w:p w:rsidR="00595FAD" w:rsidRPr="00661595" w:rsidRDefault="00595FAD" w:rsidP="00C76804">
            <w:pPr>
              <w:keepNext/>
              <w:spacing w:before="60"/>
              <w:rPr>
                <w:rFonts w:ascii="Times New Roman" w:hAnsi="Times New Roman"/>
                <w:i/>
                <w:sz w:val="24"/>
                <w:lang w:eastAsia="en-CA"/>
              </w:rPr>
            </w:pPr>
            <w:r w:rsidRPr="00661595">
              <w:rPr>
                <w:rFonts w:ascii="Times New Roman" w:hAnsi="Times New Roman"/>
                <w:sz w:val="24"/>
                <w:lang w:eastAsia="en-CA"/>
              </w:rPr>
              <w:t xml:space="preserve">For the purposes of this template, initial margin </w:t>
            </w:r>
            <w:r w:rsidR="00C76804">
              <w:rPr>
                <w:rFonts w:ascii="Times New Roman" w:hAnsi="Times New Roman"/>
                <w:sz w:val="24"/>
                <w:lang w:eastAsia="en-CA"/>
              </w:rPr>
              <w:t>shall</w:t>
            </w:r>
            <w:r w:rsidR="00C76804" w:rsidRPr="00661595">
              <w:rPr>
                <w:rFonts w:ascii="Times New Roman" w:hAnsi="Times New Roman"/>
                <w:sz w:val="24"/>
                <w:lang w:eastAsia="en-CA"/>
              </w:rPr>
              <w:t xml:space="preserve"> </w:t>
            </w:r>
            <w:r w:rsidRPr="00661595">
              <w:rPr>
                <w:rFonts w:ascii="Times New Roman" w:hAnsi="Times New Roman"/>
                <w:sz w:val="24"/>
                <w:lang w:eastAsia="en-CA"/>
              </w:rPr>
              <w:t xml:space="preserve">not include contributions to a CCP for mutualised loss-sharing arrangements (i.e. in cases where a CCP uses initial margin to mutualise losses among the clearing members, it </w:t>
            </w:r>
            <w:r w:rsidR="00C76804">
              <w:rPr>
                <w:rFonts w:ascii="Times New Roman" w:hAnsi="Times New Roman"/>
                <w:sz w:val="24"/>
                <w:lang w:eastAsia="en-CA"/>
              </w:rPr>
              <w:t>shall</w:t>
            </w:r>
            <w:r w:rsidR="00C76804" w:rsidRPr="00661595">
              <w:rPr>
                <w:rFonts w:ascii="Times New Roman" w:hAnsi="Times New Roman"/>
                <w:sz w:val="24"/>
                <w:lang w:eastAsia="en-CA"/>
              </w:rPr>
              <w:t xml:space="preserve"> </w:t>
            </w:r>
            <w:r w:rsidRPr="00661595">
              <w:rPr>
                <w:rFonts w:ascii="Times New Roman" w:hAnsi="Times New Roman"/>
                <w:sz w:val="24"/>
                <w:lang w:eastAsia="en-CA"/>
              </w:rPr>
              <w:t xml:space="preserve">be treated as a default fund exposure). </w:t>
            </w:r>
          </w:p>
        </w:tc>
      </w:tr>
      <w:tr w:rsidR="00595FAD" w:rsidRPr="00661595" w:rsidTr="00FF15C6">
        <w:trPr>
          <w:trHeight w:val="680"/>
        </w:trPr>
        <w:tc>
          <w:tcPr>
            <w:tcW w:w="1384" w:type="dxa"/>
          </w:tcPr>
          <w:p w:rsidR="00595FAD" w:rsidRPr="00661595" w:rsidRDefault="00595FAD" w:rsidP="00FF15C6">
            <w:pPr>
              <w:pStyle w:val="Applicationdirecte"/>
              <w:spacing w:before="0" w:after="0"/>
            </w:pPr>
            <w:r w:rsidRPr="00661595">
              <w:t>0090, 0190</w:t>
            </w:r>
          </w:p>
        </w:tc>
        <w:tc>
          <w:tcPr>
            <w:tcW w:w="7655" w:type="dxa"/>
            <w:vAlign w:val="center"/>
          </w:tcPr>
          <w:p w:rsidR="00595FAD" w:rsidRPr="00661595" w:rsidRDefault="00595FAD" w:rsidP="00FF15C6">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Prefunded default fund contributions</w:t>
            </w:r>
          </w:p>
          <w:p w:rsidR="00595FAD" w:rsidRPr="00661595" w:rsidRDefault="00C85EAB" w:rsidP="006418A0">
            <w:pPr>
              <w:keepNext/>
              <w:spacing w:before="60"/>
              <w:rPr>
                <w:rFonts w:ascii="Times New Roman" w:hAnsi="Times New Roman"/>
                <w:sz w:val="24"/>
                <w:lang w:eastAsia="en-CA"/>
              </w:rPr>
            </w:pPr>
            <w:r>
              <w:rPr>
                <w:rFonts w:ascii="Times New Roman" w:hAnsi="Times New Roman"/>
                <w:sz w:val="24"/>
                <w:lang w:eastAsia="en-CA"/>
              </w:rPr>
              <w:t xml:space="preserve">Articles </w:t>
            </w:r>
            <w:r w:rsidR="006418A0">
              <w:rPr>
                <w:rFonts w:ascii="Times New Roman" w:hAnsi="Times New Roman"/>
                <w:sz w:val="24"/>
                <w:lang w:eastAsia="en-CA"/>
              </w:rPr>
              <w:t>308 and 309 CRR; a d</w:t>
            </w:r>
            <w:r w:rsidR="006418A0" w:rsidRPr="00661595">
              <w:rPr>
                <w:rFonts w:ascii="Times New Roman" w:hAnsi="Times New Roman"/>
                <w:sz w:val="24"/>
                <w:lang w:eastAsia="en-CA"/>
              </w:rPr>
              <w:t xml:space="preserve">efault fund </w:t>
            </w:r>
            <w:r w:rsidR="006418A0">
              <w:rPr>
                <w:rFonts w:ascii="Times New Roman" w:hAnsi="Times New Roman"/>
                <w:sz w:val="24"/>
                <w:lang w:eastAsia="en-CA"/>
              </w:rPr>
              <w:t>as</w:t>
            </w:r>
            <w:r w:rsidR="006418A0" w:rsidRPr="00661595">
              <w:rPr>
                <w:rFonts w:ascii="Times New Roman" w:hAnsi="Times New Roman"/>
                <w:sz w:val="24"/>
                <w:lang w:eastAsia="en-CA"/>
              </w:rPr>
              <w:t xml:space="preserve"> defined in </w:t>
            </w:r>
            <w:r w:rsidR="006418A0">
              <w:rPr>
                <w:rFonts w:ascii="Times New Roman" w:hAnsi="Times New Roman"/>
                <w:sz w:val="24"/>
                <w:lang w:eastAsia="en-CA"/>
              </w:rPr>
              <w:t xml:space="preserve">point (89) of </w:t>
            </w:r>
            <w:r w:rsidR="006418A0" w:rsidRPr="00661595">
              <w:rPr>
                <w:rFonts w:ascii="Times New Roman" w:hAnsi="Times New Roman"/>
                <w:sz w:val="24"/>
                <w:lang w:eastAsia="en-CA"/>
              </w:rPr>
              <w:t>Article 4</w:t>
            </w:r>
            <w:r w:rsidR="006418A0">
              <w:rPr>
                <w:rFonts w:ascii="Times New Roman" w:hAnsi="Times New Roman"/>
                <w:sz w:val="24"/>
                <w:lang w:eastAsia="en-CA"/>
              </w:rPr>
              <w:t>(1)</w:t>
            </w:r>
            <w:r w:rsidR="006418A0" w:rsidRPr="00661595">
              <w:rPr>
                <w:rFonts w:ascii="Times New Roman" w:hAnsi="Times New Roman"/>
                <w:sz w:val="24"/>
                <w:lang w:eastAsia="en-CA"/>
              </w:rPr>
              <w:t xml:space="preserve"> CRR</w:t>
            </w:r>
            <w:r w:rsidR="006418A0">
              <w:rPr>
                <w:rFonts w:ascii="Times New Roman" w:hAnsi="Times New Roman"/>
                <w:sz w:val="24"/>
                <w:lang w:eastAsia="en-CA"/>
              </w:rPr>
              <w:t>; t</w:t>
            </w:r>
            <w:r w:rsidR="00595FAD" w:rsidRPr="00661595">
              <w:rPr>
                <w:rFonts w:ascii="Times New Roman" w:hAnsi="Times New Roman"/>
                <w:sz w:val="24"/>
                <w:lang w:eastAsia="en-CA"/>
              </w:rPr>
              <w:t>he contribution to the default fund of a CCP that is paid in by the institution</w:t>
            </w:r>
          </w:p>
        </w:tc>
      </w:tr>
      <w:tr w:rsidR="00595FAD" w:rsidRPr="00661595" w:rsidTr="00FF15C6">
        <w:trPr>
          <w:trHeight w:val="680"/>
        </w:trPr>
        <w:tc>
          <w:tcPr>
            <w:tcW w:w="1384" w:type="dxa"/>
          </w:tcPr>
          <w:p w:rsidR="00595FAD" w:rsidRPr="00661595" w:rsidRDefault="00595FAD" w:rsidP="00FF15C6">
            <w:pPr>
              <w:pStyle w:val="Applicationdirecte"/>
              <w:spacing w:before="0" w:after="0"/>
            </w:pPr>
            <w:r w:rsidRPr="00661595">
              <w:t>0100, 0200</w:t>
            </w:r>
          </w:p>
        </w:tc>
        <w:tc>
          <w:tcPr>
            <w:tcW w:w="7655" w:type="dxa"/>
            <w:vAlign w:val="center"/>
          </w:tcPr>
          <w:p w:rsidR="00595FAD" w:rsidRPr="00661595" w:rsidRDefault="00595FAD" w:rsidP="00FF15C6">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Unfunded default fund contributions</w:t>
            </w:r>
          </w:p>
          <w:p w:rsidR="00595FAD" w:rsidRPr="00661595" w:rsidRDefault="00C85EAB" w:rsidP="00FF15C6">
            <w:pPr>
              <w:keepNext/>
              <w:spacing w:before="60"/>
              <w:rPr>
                <w:rStyle w:val="InstructionsTabelleberschrift"/>
                <w:rFonts w:ascii="Times New Roman" w:hAnsi="Times New Roman"/>
                <w:b w:val="0"/>
                <w:bCs w:val="0"/>
                <w:sz w:val="24"/>
                <w:lang w:eastAsia="en-CA"/>
              </w:rPr>
            </w:pPr>
            <w:r>
              <w:rPr>
                <w:rFonts w:ascii="Times New Roman" w:hAnsi="Times New Roman"/>
                <w:sz w:val="24"/>
                <w:lang w:eastAsia="en-CA"/>
              </w:rPr>
              <w:t xml:space="preserve">Articles </w:t>
            </w:r>
            <w:r w:rsidR="00595FAD" w:rsidRPr="00661595">
              <w:rPr>
                <w:rFonts w:ascii="Times New Roman" w:hAnsi="Times New Roman"/>
                <w:sz w:val="24"/>
                <w:lang w:eastAsia="en-CA"/>
              </w:rPr>
              <w:t>309 and 310 CRR</w:t>
            </w:r>
            <w:r w:rsidR="006418A0">
              <w:rPr>
                <w:rFonts w:ascii="Times New Roman" w:hAnsi="Times New Roman"/>
                <w:sz w:val="24"/>
                <w:lang w:eastAsia="en-CA"/>
              </w:rPr>
              <w:t>; a d</w:t>
            </w:r>
            <w:r w:rsidR="006418A0" w:rsidRPr="00661595">
              <w:rPr>
                <w:rFonts w:ascii="Times New Roman" w:hAnsi="Times New Roman"/>
                <w:sz w:val="24"/>
                <w:lang w:eastAsia="en-CA"/>
              </w:rPr>
              <w:t xml:space="preserve">efault fund </w:t>
            </w:r>
            <w:r w:rsidR="006418A0">
              <w:rPr>
                <w:rFonts w:ascii="Times New Roman" w:hAnsi="Times New Roman"/>
                <w:sz w:val="24"/>
                <w:lang w:eastAsia="en-CA"/>
              </w:rPr>
              <w:t xml:space="preserve">as defined in point (89) of </w:t>
            </w:r>
            <w:r w:rsidR="006418A0" w:rsidRPr="00661595">
              <w:rPr>
                <w:rFonts w:ascii="Times New Roman" w:hAnsi="Times New Roman"/>
                <w:sz w:val="24"/>
                <w:lang w:eastAsia="en-CA"/>
              </w:rPr>
              <w:t>Article 4</w:t>
            </w:r>
            <w:r w:rsidR="006418A0">
              <w:rPr>
                <w:rFonts w:ascii="Times New Roman" w:hAnsi="Times New Roman"/>
                <w:sz w:val="24"/>
                <w:lang w:eastAsia="en-CA"/>
              </w:rPr>
              <w:t>(1) CRR</w:t>
            </w:r>
          </w:p>
          <w:p w:rsidR="00595FAD" w:rsidRPr="00661595" w:rsidRDefault="0014210E" w:rsidP="006418A0">
            <w:pPr>
              <w:keepNext/>
              <w:spacing w:before="60"/>
              <w:rPr>
                <w:rFonts w:ascii="Times New Roman" w:hAnsi="Times New Roman"/>
                <w:sz w:val="24"/>
                <w:lang w:eastAsia="en-CA"/>
              </w:rPr>
            </w:pPr>
            <w:r>
              <w:rPr>
                <w:rFonts w:ascii="Times New Roman" w:hAnsi="Times New Roman"/>
                <w:sz w:val="24"/>
                <w:lang w:eastAsia="en-CA"/>
              </w:rPr>
              <w:t>Institutions shall report c</w:t>
            </w:r>
            <w:r w:rsidR="00595FAD" w:rsidRPr="00661595">
              <w:rPr>
                <w:rFonts w:ascii="Times New Roman" w:hAnsi="Times New Roman"/>
                <w:sz w:val="24"/>
                <w:lang w:eastAsia="en-CA"/>
              </w:rPr>
              <w:t>ontributions that an institution acting as a clearing member has contractually committed to provide to a CCP after the CCP has depleted its default fund to cover the losses it incurred following the default of one o</w:t>
            </w:r>
            <w:r w:rsidR="006418A0">
              <w:rPr>
                <w:rFonts w:ascii="Times New Roman" w:hAnsi="Times New Roman"/>
                <w:sz w:val="24"/>
                <w:lang w:eastAsia="en-CA"/>
              </w:rPr>
              <w:t>r more of its clearing members.</w:t>
            </w:r>
          </w:p>
        </w:tc>
      </w:tr>
      <w:tr w:rsidR="00595FAD" w:rsidRPr="00661595" w:rsidTr="00FF15C6">
        <w:trPr>
          <w:trHeight w:val="680"/>
        </w:trPr>
        <w:tc>
          <w:tcPr>
            <w:tcW w:w="1384" w:type="dxa"/>
          </w:tcPr>
          <w:p w:rsidR="00595FAD" w:rsidRPr="00661595" w:rsidRDefault="00595FAD" w:rsidP="00FF15C6">
            <w:pPr>
              <w:pStyle w:val="Applicationdirecte"/>
              <w:spacing w:before="0" w:after="0"/>
            </w:pPr>
            <w:r w:rsidRPr="00661595">
              <w:t>0070, 0170</w:t>
            </w:r>
          </w:p>
        </w:tc>
        <w:tc>
          <w:tcPr>
            <w:tcW w:w="7655" w:type="dxa"/>
            <w:vAlign w:val="center"/>
          </w:tcPr>
          <w:p w:rsidR="00595FAD" w:rsidRPr="00661595" w:rsidRDefault="00595FAD" w:rsidP="00FF15C6">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Segregated</w:t>
            </w:r>
          </w:p>
          <w:p w:rsidR="00595FAD" w:rsidRPr="00661595" w:rsidRDefault="00595FAD" w:rsidP="00FF15C6">
            <w:pPr>
              <w:spacing w:before="60"/>
              <w:rPr>
                <w:rFonts w:ascii="Times New Roman" w:eastAsia="Calibri" w:hAnsi="Times New Roman"/>
                <w:sz w:val="24"/>
                <w:lang w:eastAsia="en-GB"/>
              </w:rPr>
            </w:pPr>
            <w:r w:rsidRPr="00661595">
              <w:rPr>
                <w:rFonts w:ascii="Times New Roman" w:eastAsia="Calibri" w:hAnsi="Times New Roman"/>
                <w:sz w:val="24"/>
                <w:lang w:eastAsia="en-GB"/>
              </w:rPr>
              <w:t>See instructions for template C</w:t>
            </w:r>
            <w:r w:rsidR="00381685">
              <w:rPr>
                <w:rFonts w:ascii="Times New Roman" w:eastAsia="Calibri" w:hAnsi="Times New Roman"/>
                <w:sz w:val="24"/>
                <w:lang w:eastAsia="en-GB"/>
              </w:rPr>
              <w:t xml:space="preserve"> </w:t>
            </w:r>
            <w:r w:rsidRPr="00661595">
              <w:rPr>
                <w:rFonts w:ascii="Times New Roman" w:eastAsia="Calibri" w:hAnsi="Times New Roman"/>
                <w:sz w:val="24"/>
                <w:lang w:eastAsia="en-GB"/>
              </w:rPr>
              <w:t>34.08.</w:t>
            </w:r>
          </w:p>
        </w:tc>
      </w:tr>
      <w:tr w:rsidR="00595FAD" w:rsidRPr="00661595" w:rsidTr="00FF15C6">
        <w:trPr>
          <w:trHeight w:val="680"/>
        </w:trPr>
        <w:tc>
          <w:tcPr>
            <w:tcW w:w="1384" w:type="dxa"/>
          </w:tcPr>
          <w:p w:rsidR="00595FAD" w:rsidRPr="00661595" w:rsidRDefault="00595FAD" w:rsidP="00FF15C6">
            <w:pPr>
              <w:pStyle w:val="Applicationdirecte"/>
              <w:spacing w:before="0" w:after="0"/>
            </w:pPr>
            <w:r w:rsidRPr="00661595">
              <w:t>0080,0180</w:t>
            </w:r>
          </w:p>
        </w:tc>
        <w:tc>
          <w:tcPr>
            <w:tcW w:w="7655" w:type="dxa"/>
            <w:vAlign w:val="center"/>
          </w:tcPr>
          <w:p w:rsidR="00595FAD" w:rsidRPr="00661595" w:rsidRDefault="00595FAD" w:rsidP="00FF15C6">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Unsegregated</w:t>
            </w:r>
          </w:p>
          <w:p w:rsidR="00595FAD" w:rsidRPr="00661595" w:rsidRDefault="00595FAD" w:rsidP="00FF15C6">
            <w:pPr>
              <w:spacing w:before="60"/>
              <w:rPr>
                <w:rFonts w:ascii="Times New Roman" w:eastAsia="Calibri" w:hAnsi="Times New Roman"/>
                <w:sz w:val="24"/>
                <w:lang w:eastAsia="en-GB"/>
              </w:rPr>
            </w:pPr>
            <w:r w:rsidRPr="00661595">
              <w:rPr>
                <w:rFonts w:ascii="Times New Roman" w:eastAsia="Calibri" w:hAnsi="Times New Roman"/>
                <w:sz w:val="24"/>
                <w:lang w:eastAsia="en-GB"/>
              </w:rPr>
              <w:t>See instructions for template C</w:t>
            </w:r>
            <w:r w:rsidR="00381685">
              <w:rPr>
                <w:rFonts w:ascii="Times New Roman" w:eastAsia="Calibri" w:hAnsi="Times New Roman"/>
                <w:sz w:val="24"/>
                <w:lang w:eastAsia="en-GB"/>
              </w:rPr>
              <w:t xml:space="preserve"> </w:t>
            </w:r>
            <w:r w:rsidRPr="00661595">
              <w:rPr>
                <w:rFonts w:ascii="Times New Roman" w:eastAsia="Calibri" w:hAnsi="Times New Roman"/>
                <w:sz w:val="24"/>
                <w:lang w:eastAsia="en-GB"/>
              </w:rPr>
              <w:t>34.08.</w:t>
            </w:r>
          </w:p>
        </w:tc>
      </w:tr>
    </w:tbl>
    <w:p w:rsidR="00595FAD" w:rsidRPr="00661595" w:rsidRDefault="00595FAD" w:rsidP="002F29AF">
      <w:pPr>
        <w:pStyle w:val="Instructionsberschrift2"/>
        <w:numPr>
          <w:ilvl w:val="2"/>
          <w:numId w:val="48"/>
        </w:numPr>
        <w:rPr>
          <w:rFonts w:ascii="Times New Roman" w:hAnsi="Times New Roman" w:cs="Times New Roman"/>
          <w:sz w:val="24"/>
          <w:lang w:val="en-GB"/>
        </w:rPr>
      </w:pPr>
      <w:bookmarkStart w:id="503" w:name="_Toc19715830"/>
      <w:bookmarkStart w:id="504" w:name="_Toc57831620"/>
      <w:r w:rsidRPr="00661595">
        <w:rPr>
          <w:rFonts w:ascii="Times New Roman" w:hAnsi="Times New Roman" w:cs="Times New Roman"/>
          <w:sz w:val="24"/>
          <w:lang w:val="en-GB"/>
        </w:rPr>
        <w:t xml:space="preserve">C 34.11 - Risk weighted exposure amounts </w:t>
      </w:r>
      <w:r w:rsidR="00BF3C23">
        <w:rPr>
          <w:rFonts w:ascii="Times New Roman" w:hAnsi="Times New Roman" w:cs="Times New Roman"/>
          <w:sz w:val="24"/>
          <w:lang w:val="en-GB"/>
        </w:rPr>
        <w:t xml:space="preserve">(RWEA) </w:t>
      </w:r>
      <w:r w:rsidRPr="00661595">
        <w:rPr>
          <w:rFonts w:ascii="Times New Roman" w:hAnsi="Times New Roman" w:cs="Times New Roman"/>
          <w:sz w:val="24"/>
          <w:lang w:val="en-GB"/>
        </w:rPr>
        <w:t>flow statements of CCR exposures under the IMM</w:t>
      </w:r>
      <w:bookmarkEnd w:id="503"/>
      <w:bookmarkEnd w:id="504"/>
    </w:p>
    <w:p w:rsidR="00595FAD" w:rsidRPr="00661595" w:rsidRDefault="00595FAD" w:rsidP="002F29AF">
      <w:pPr>
        <w:pStyle w:val="Instructionsberschrift2"/>
        <w:numPr>
          <w:ilvl w:val="3"/>
          <w:numId w:val="48"/>
        </w:numPr>
        <w:rPr>
          <w:rFonts w:ascii="Times New Roman" w:hAnsi="Times New Roman" w:cs="Times New Roman"/>
          <w:sz w:val="24"/>
          <w:lang w:val="en-GB"/>
        </w:rPr>
      </w:pPr>
      <w:bookmarkStart w:id="505" w:name="_Toc19715831"/>
      <w:bookmarkStart w:id="506" w:name="_Toc57831621"/>
      <w:r w:rsidRPr="00661595">
        <w:rPr>
          <w:rFonts w:ascii="Times New Roman" w:hAnsi="Times New Roman" w:cs="Times New Roman"/>
          <w:sz w:val="24"/>
          <w:lang w:val="en-GB"/>
        </w:rPr>
        <w:t>General remarks</w:t>
      </w:r>
      <w:bookmarkEnd w:id="505"/>
      <w:bookmarkEnd w:id="506"/>
    </w:p>
    <w:p w:rsidR="00595FAD" w:rsidRPr="00661595" w:rsidRDefault="00D11E4C" w:rsidP="00487A02">
      <w:pPr>
        <w:pStyle w:val="InstructionsText2"/>
        <w:numPr>
          <w:ilvl w:val="0"/>
          <w:numId w:val="0"/>
        </w:numPr>
        <w:ind w:left="1353" w:hanging="360"/>
      </w:pPr>
      <w:fldSimple w:instr=" seq paragraphs ">
        <w:r w:rsidR="00771068">
          <w:rPr>
            <w:noProof/>
          </w:rPr>
          <w:t>133</w:t>
        </w:r>
      </w:fldSimple>
      <w:r w:rsidR="00595FAD" w:rsidRPr="00661595">
        <w:t>. Institutions using the IMM to compute risk weighted exposure amounts for all or part of their CCR exposures in accordance with Chapter 6 of Title II of Part Three CRR, irrespective of the credit risk approach used to determine the corresponding risk weights shall report this template with the flow statement explaining changes in risk weighted exposure amounts of derivatives and SFTs in the IMM scope differentiated by key drivers and based on reasonable estimations.</w:t>
      </w:r>
    </w:p>
    <w:p w:rsidR="00595FAD" w:rsidRPr="00661595" w:rsidRDefault="00D11E4C" w:rsidP="00487A02">
      <w:pPr>
        <w:pStyle w:val="InstructionsText2"/>
        <w:numPr>
          <w:ilvl w:val="0"/>
          <w:numId w:val="0"/>
        </w:numPr>
        <w:ind w:left="1353" w:hanging="360"/>
      </w:pPr>
      <w:fldSimple w:instr=" seq paragraphs ">
        <w:r w:rsidR="00771068">
          <w:rPr>
            <w:noProof/>
          </w:rPr>
          <w:t>134</w:t>
        </w:r>
      </w:fldSimple>
      <w:r w:rsidR="00595FAD" w:rsidRPr="00661595">
        <w:t xml:space="preserve">. Institutions that shall report this template with quarterly frequency shall fill in only column 0010. Institutions that shall report this template with annually frequency shall fill in only column 0020. </w:t>
      </w:r>
    </w:p>
    <w:p w:rsidR="00595FAD" w:rsidRPr="00661595" w:rsidRDefault="00D11E4C" w:rsidP="00487A02">
      <w:pPr>
        <w:pStyle w:val="InstructionsText2"/>
        <w:numPr>
          <w:ilvl w:val="0"/>
          <w:numId w:val="0"/>
        </w:numPr>
        <w:ind w:left="1353" w:hanging="360"/>
      </w:pPr>
      <w:fldSimple w:instr=" seq paragraphs ">
        <w:r w:rsidR="00771068">
          <w:rPr>
            <w:noProof/>
          </w:rPr>
          <w:t>135</w:t>
        </w:r>
      </w:fldSimple>
      <w:r w:rsidR="00595FAD" w:rsidRPr="00661595">
        <w:t>. This template excludes risk weighted exposure amounts for exposures to a central counterparty (Section 9 of Chapter 6 of Title II of Part Three CRR).</w:t>
      </w:r>
    </w:p>
    <w:p w:rsidR="00595FAD" w:rsidRPr="00661595" w:rsidRDefault="00595FAD" w:rsidP="002F29AF">
      <w:pPr>
        <w:pStyle w:val="Instructionsberschrift2"/>
        <w:numPr>
          <w:ilvl w:val="3"/>
          <w:numId w:val="48"/>
        </w:numPr>
        <w:rPr>
          <w:rFonts w:ascii="Times New Roman" w:hAnsi="Times New Roman" w:cs="Times New Roman"/>
          <w:sz w:val="24"/>
          <w:lang w:val="en-GB"/>
        </w:rPr>
      </w:pPr>
      <w:bookmarkStart w:id="507" w:name="_Toc19715832"/>
      <w:bookmarkStart w:id="508" w:name="_Toc57831622"/>
      <w:r w:rsidRPr="00661595">
        <w:rPr>
          <w:rFonts w:ascii="Times New Roman" w:hAnsi="Times New Roman" w:cs="Times New Roman"/>
          <w:sz w:val="24"/>
          <w:lang w:val="en-GB"/>
        </w:rPr>
        <w:t>Instructions concerning specific positions</w:t>
      </w:r>
      <w:bookmarkEnd w:id="507"/>
      <w:bookmarkEnd w:id="508"/>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655"/>
      </w:tblGrid>
      <w:tr w:rsidR="00595FAD" w:rsidRPr="00661595" w:rsidTr="00FF15C6">
        <w:trPr>
          <w:trHeight w:val="90"/>
        </w:trPr>
        <w:tc>
          <w:tcPr>
            <w:tcW w:w="903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95FAD" w:rsidRPr="00661595" w:rsidRDefault="00595FAD" w:rsidP="00FF15C6">
            <w:pPr>
              <w:rPr>
                <w:rFonts w:ascii="Times New Roman" w:hAnsi="Times New Roman"/>
                <w:b/>
                <w:sz w:val="24"/>
              </w:rPr>
            </w:pPr>
            <w:r w:rsidRPr="00661595">
              <w:rPr>
                <w:rFonts w:ascii="Times New Roman" w:hAnsi="Times New Roman"/>
                <w:b/>
                <w:sz w:val="24"/>
              </w:rPr>
              <w:t>Columns</w:t>
            </w:r>
          </w:p>
        </w:tc>
      </w:tr>
      <w:tr w:rsidR="00595FAD" w:rsidRPr="00661595" w:rsidTr="00FF15C6">
        <w:trPr>
          <w:trHeight w:val="680"/>
        </w:trPr>
        <w:tc>
          <w:tcPr>
            <w:tcW w:w="1384" w:type="dxa"/>
            <w:tcBorders>
              <w:top w:val="single" w:sz="4" w:space="0" w:color="auto"/>
              <w:left w:val="single" w:sz="4" w:space="0" w:color="auto"/>
              <w:bottom w:val="single" w:sz="4" w:space="0" w:color="auto"/>
              <w:right w:val="single" w:sz="4" w:space="0" w:color="auto"/>
            </w:tcBorders>
            <w:shd w:val="clear" w:color="auto" w:fill="auto"/>
          </w:tcPr>
          <w:p w:rsidR="00595FAD" w:rsidRPr="00661595" w:rsidRDefault="00595FAD" w:rsidP="00FF15C6">
            <w:pPr>
              <w:pStyle w:val="Applicationdirecte"/>
              <w:spacing w:before="0" w:after="0"/>
            </w:pPr>
            <w:r w:rsidRPr="00661595">
              <w:t>0010, 0020</w:t>
            </w:r>
          </w:p>
        </w:tc>
        <w:tc>
          <w:tcPr>
            <w:tcW w:w="7655" w:type="dxa"/>
            <w:tcBorders>
              <w:top w:val="single" w:sz="4" w:space="0" w:color="auto"/>
              <w:left w:val="single" w:sz="4" w:space="0" w:color="auto"/>
              <w:bottom w:val="single" w:sz="4" w:space="0" w:color="auto"/>
              <w:right w:val="single" w:sz="4" w:space="0" w:color="auto"/>
            </w:tcBorders>
            <w:shd w:val="clear" w:color="auto" w:fill="auto"/>
            <w:vAlign w:val="center"/>
          </w:tcPr>
          <w:p w:rsidR="00595FAD" w:rsidRPr="00661595" w:rsidRDefault="00595FAD" w:rsidP="00FF15C6">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RISK WEIGHTED EXPOSURE AMOUNTS</w:t>
            </w:r>
          </w:p>
          <w:p w:rsidR="00595FAD" w:rsidRPr="00661595" w:rsidRDefault="00595FAD" w:rsidP="00FF15C6">
            <w:pPr>
              <w:rPr>
                <w:rFonts w:ascii="Times New Roman" w:hAnsi="Times New Roman"/>
                <w:sz w:val="24"/>
              </w:rPr>
            </w:pPr>
            <w:r w:rsidRPr="00661595">
              <w:rPr>
                <w:rFonts w:ascii="Times New Roman" w:hAnsi="Times New Roman"/>
                <w:sz w:val="24"/>
              </w:rPr>
              <w:t>Risk weighted exposure amounts, as defined in Article 92(3) and (4) CRR, for positions whose risk weights are estimated on the basis of the requirements laid down in Chapters 2 and 3 of Title II of Part Three CRR and for which the institution has been permitted to calculate the exposure value using the IMM in accordance with Section 6 of Chapter 6 of Title II of Part Three CRR</w:t>
            </w:r>
          </w:p>
          <w:p w:rsidR="00595FAD" w:rsidRPr="00661595" w:rsidRDefault="00595FAD" w:rsidP="003F19BA">
            <w:pPr>
              <w:spacing w:before="60"/>
              <w:rPr>
                <w:rFonts w:ascii="Times New Roman" w:hAnsi="Times New Roman"/>
                <w:i/>
                <w:sz w:val="24"/>
              </w:rPr>
            </w:pPr>
            <w:r w:rsidRPr="00661595">
              <w:rPr>
                <w:rFonts w:ascii="Times New Roman" w:hAnsi="Times New Roman"/>
                <w:sz w:val="24"/>
              </w:rPr>
              <w:t>The SME</w:t>
            </w:r>
            <w:r w:rsidR="001A217F">
              <w:rPr>
                <w:rFonts w:ascii="Times New Roman" w:hAnsi="Times New Roman"/>
                <w:sz w:val="24"/>
              </w:rPr>
              <w:t xml:space="preserve"> </w:t>
            </w:r>
            <w:r w:rsidR="00927B49">
              <w:rPr>
                <w:rFonts w:ascii="Times New Roman" w:hAnsi="Times New Roman"/>
                <w:sz w:val="24"/>
              </w:rPr>
              <w:t xml:space="preserve">and infrastructure </w:t>
            </w:r>
            <w:r w:rsidRPr="00661595">
              <w:rPr>
                <w:rFonts w:ascii="Times New Roman" w:hAnsi="Times New Roman"/>
                <w:sz w:val="24"/>
              </w:rPr>
              <w:t>supporting factor</w:t>
            </w:r>
            <w:r w:rsidR="00927B49">
              <w:rPr>
                <w:rFonts w:ascii="Times New Roman" w:hAnsi="Times New Roman"/>
                <w:sz w:val="24"/>
              </w:rPr>
              <w:t>s</w:t>
            </w:r>
            <w:r w:rsidRPr="00661595">
              <w:rPr>
                <w:rFonts w:ascii="Times New Roman" w:hAnsi="Times New Roman"/>
                <w:sz w:val="24"/>
              </w:rPr>
              <w:t xml:space="preserve"> </w:t>
            </w:r>
            <w:r w:rsidR="00927B49">
              <w:rPr>
                <w:rFonts w:ascii="Times New Roman" w:hAnsi="Times New Roman"/>
                <w:sz w:val="24"/>
              </w:rPr>
              <w:t xml:space="preserve">laid down in </w:t>
            </w:r>
            <w:r w:rsidRPr="00661595">
              <w:rPr>
                <w:rFonts w:ascii="Times New Roman" w:hAnsi="Times New Roman"/>
                <w:sz w:val="24"/>
              </w:rPr>
              <w:t>Article 501 and Article 501a CRR shall be taken into account.</w:t>
            </w:r>
          </w:p>
        </w:tc>
      </w:tr>
    </w:tbl>
    <w:p w:rsidR="00595FAD" w:rsidRPr="00661595" w:rsidRDefault="00595FAD" w:rsidP="00595FAD">
      <w:pPr>
        <w:pStyle w:val="Titlelevel2"/>
        <w:spacing w:before="60" w:after="120"/>
        <w:jc w:val="both"/>
        <w:rPr>
          <w:rFonts w:ascii="Times New Roman" w:hAnsi="Times New Roman" w:cs="Times New Roman"/>
          <w:color w:val="auto"/>
          <w:sz w:val="24"/>
          <w:lang w:eastAsia="en-GB"/>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655"/>
      </w:tblGrid>
      <w:tr w:rsidR="00595FAD" w:rsidRPr="00661595" w:rsidTr="00FF15C6">
        <w:trPr>
          <w:trHeight w:val="90"/>
        </w:trPr>
        <w:tc>
          <w:tcPr>
            <w:tcW w:w="903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95FAD" w:rsidRPr="00661595" w:rsidRDefault="00595FAD" w:rsidP="00FF15C6">
            <w:pPr>
              <w:rPr>
                <w:rFonts w:ascii="Times New Roman" w:hAnsi="Times New Roman"/>
                <w:b/>
                <w:sz w:val="24"/>
              </w:rPr>
            </w:pPr>
            <w:r w:rsidRPr="00661595">
              <w:rPr>
                <w:rFonts w:ascii="Times New Roman" w:hAnsi="Times New Roman"/>
                <w:b/>
                <w:sz w:val="24"/>
              </w:rPr>
              <w:t>Rows</w:t>
            </w:r>
          </w:p>
        </w:tc>
      </w:tr>
      <w:tr w:rsidR="00595FAD" w:rsidRPr="00661595" w:rsidTr="00FF15C6">
        <w:trPr>
          <w:trHeight w:val="680"/>
        </w:trPr>
        <w:tc>
          <w:tcPr>
            <w:tcW w:w="1384" w:type="dxa"/>
            <w:tcBorders>
              <w:top w:val="single" w:sz="4" w:space="0" w:color="auto"/>
              <w:left w:val="single" w:sz="4" w:space="0" w:color="auto"/>
              <w:bottom w:val="single" w:sz="4" w:space="0" w:color="auto"/>
              <w:right w:val="single" w:sz="4" w:space="0" w:color="auto"/>
            </w:tcBorders>
          </w:tcPr>
          <w:p w:rsidR="00595FAD" w:rsidRPr="00661595" w:rsidRDefault="00595FAD" w:rsidP="00FF15C6">
            <w:pPr>
              <w:pStyle w:val="Applicationdirecte"/>
              <w:spacing w:before="0" w:after="0"/>
            </w:pPr>
            <w:r w:rsidRPr="00661595">
              <w:t>0010</w:t>
            </w:r>
          </w:p>
        </w:tc>
        <w:tc>
          <w:tcPr>
            <w:tcW w:w="7655" w:type="dxa"/>
            <w:tcBorders>
              <w:top w:val="single" w:sz="4" w:space="0" w:color="auto"/>
              <w:left w:val="single" w:sz="4" w:space="0" w:color="auto"/>
              <w:bottom w:val="single" w:sz="4" w:space="0" w:color="auto"/>
              <w:right w:val="single" w:sz="4" w:space="0" w:color="auto"/>
            </w:tcBorders>
            <w:vAlign w:val="center"/>
          </w:tcPr>
          <w:p w:rsidR="00595FAD" w:rsidRPr="00661595" w:rsidRDefault="00595FAD" w:rsidP="00FF15C6">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Risk weighted exposure amounts as at the end of the previous reporting period</w:t>
            </w:r>
          </w:p>
          <w:p w:rsidR="00595FAD" w:rsidRPr="00661595" w:rsidRDefault="00595FAD" w:rsidP="00FF15C6">
            <w:pPr>
              <w:spacing w:before="60"/>
              <w:rPr>
                <w:rFonts w:ascii="Times New Roman" w:hAnsi="Times New Roman"/>
                <w:sz w:val="24"/>
              </w:rPr>
            </w:pPr>
            <w:r w:rsidRPr="00661595">
              <w:rPr>
                <w:rFonts w:ascii="Times New Roman" w:hAnsi="Times New Roman"/>
                <w:sz w:val="24"/>
              </w:rPr>
              <w:t>Risk weighted exposure amounts for CCR exposures under the IMM as at the end of the previous reporting period</w:t>
            </w:r>
          </w:p>
        </w:tc>
      </w:tr>
      <w:tr w:rsidR="00595FAD" w:rsidRPr="00661595" w:rsidTr="00FF15C6">
        <w:trPr>
          <w:trHeight w:val="680"/>
        </w:trPr>
        <w:tc>
          <w:tcPr>
            <w:tcW w:w="1384" w:type="dxa"/>
            <w:tcBorders>
              <w:top w:val="single" w:sz="4" w:space="0" w:color="auto"/>
              <w:left w:val="single" w:sz="4" w:space="0" w:color="auto"/>
              <w:bottom w:val="single" w:sz="4" w:space="0" w:color="auto"/>
              <w:right w:val="single" w:sz="4" w:space="0" w:color="auto"/>
            </w:tcBorders>
          </w:tcPr>
          <w:p w:rsidR="00595FAD" w:rsidRPr="00661595" w:rsidRDefault="00595FAD" w:rsidP="00FF15C6">
            <w:pPr>
              <w:pStyle w:val="Applicationdirecte"/>
              <w:spacing w:before="0" w:after="0"/>
            </w:pPr>
            <w:r w:rsidRPr="00661595">
              <w:t>0020</w:t>
            </w:r>
          </w:p>
        </w:tc>
        <w:tc>
          <w:tcPr>
            <w:tcW w:w="7655" w:type="dxa"/>
            <w:tcBorders>
              <w:top w:val="single" w:sz="4" w:space="0" w:color="auto"/>
              <w:left w:val="single" w:sz="4" w:space="0" w:color="auto"/>
              <w:bottom w:val="single" w:sz="4" w:space="0" w:color="auto"/>
              <w:right w:val="single" w:sz="4" w:space="0" w:color="auto"/>
            </w:tcBorders>
            <w:vAlign w:val="center"/>
          </w:tcPr>
          <w:p w:rsidR="00595FAD" w:rsidRPr="00661595" w:rsidRDefault="00595FAD" w:rsidP="00FF15C6">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Asset size</w:t>
            </w:r>
          </w:p>
          <w:p w:rsidR="00595FAD" w:rsidRPr="00661595" w:rsidRDefault="00595FAD" w:rsidP="00181AC7">
            <w:pPr>
              <w:spacing w:before="60"/>
              <w:rPr>
                <w:rFonts w:ascii="Times New Roman" w:hAnsi="Times New Roman"/>
                <w:sz w:val="24"/>
              </w:rPr>
            </w:pPr>
            <w:r w:rsidRPr="00661595">
              <w:rPr>
                <w:rFonts w:ascii="Times New Roman" w:hAnsi="Times New Roman"/>
                <w:sz w:val="24"/>
              </w:rPr>
              <w:t xml:space="preserve">Risk weighted exposure amount changes (positive or negative) due to changes in book size and composition </w:t>
            </w:r>
            <w:r w:rsidR="00181AC7" w:rsidRPr="00181AC7">
              <w:rPr>
                <w:rFonts w:ascii="Times New Roman" w:hAnsi="Times New Roman"/>
                <w:sz w:val="24"/>
              </w:rPr>
              <w:t xml:space="preserve">resulting from the usual business activity </w:t>
            </w:r>
            <w:r w:rsidRPr="00661595">
              <w:rPr>
                <w:rFonts w:ascii="Times New Roman" w:hAnsi="Times New Roman"/>
                <w:sz w:val="24"/>
              </w:rPr>
              <w:t>(including the origination of new businesses and maturing exposures) but excluding changes in book size due to acquisitions and disposal of entities</w:t>
            </w:r>
          </w:p>
        </w:tc>
      </w:tr>
      <w:tr w:rsidR="00595FAD" w:rsidRPr="00661595" w:rsidTr="00FF15C6">
        <w:trPr>
          <w:trHeight w:val="680"/>
        </w:trPr>
        <w:tc>
          <w:tcPr>
            <w:tcW w:w="1384" w:type="dxa"/>
            <w:tcBorders>
              <w:top w:val="single" w:sz="4" w:space="0" w:color="auto"/>
              <w:left w:val="single" w:sz="4" w:space="0" w:color="auto"/>
              <w:bottom w:val="single" w:sz="4" w:space="0" w:color="auto"/>
              <w:right w:val="single" w:sz="4" w:space="0" w:color="auto"/>
            </w:tcBorders>
          </w:tcPr>
          <w:p w:rsidR="00595FAD" w:rsidRPr="00661595" w:rsidRDefault="00595FAD" w:rsidP="00FF15C6">
            <w:pPr>
              <w:pStyle w:val="Applicationdirecte"/>
              <w:spacing w:before="0" w:after="0"/>
            </w:pPr>
            <w:r w:rsidRPr="00661595">
              <w:t>0030</w:t>
            </w:r>
          </w:p>
        </w:tc>
        <w:tc>
          <w:tcPr>
            <w:tcW w:w="7655" w:type="dxa"/>
            <w:tcBorders>
              <w:top w:val="single" w:sz="4" w:space="0" w:color="auto"/>
              <w:left w:val="single" w:sz="4" w:space="0" w:color="auto"/>
              <w:bottom w:val="single" w:sz="4" w:space="0" w:color="auto"/>
              <w:right w:val="single" w:sz="4" w:space="0" w:color="auto"/>
            </w:tcBorders>
            <w:vAlign w:val="center"/>
          </w:tcPr>
          <w:p w:rsidR="00595FAD" w:rsidRPr="00661595" w:rsidRDefault="00595FAD" w:rsidP="00FF15C6">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 xml:space="preserve">Credit quality of counterparties </w:t>
            </w:r>
          </w:p>
          <w:p w:rsidR="00595FAD" w:rsidRPr="00661595" w:rsidRDefault="00595FAD" w:rsidP="00FF15C6">
            <w:pPr>
              <w:spacing w:before="60"/>
              <w:rPr>
                <w:rFonts w:ascii="Times New Roman" w:hAnsi="Times New Roman"/>
                <w:sz w:val="24"/>
              </w:rPr>
            </w:pPr>
            <w:r w:rsidRPr="00661595">
              <w:rPr>
                <w:rFonts w:ascii="Times New Roman" w:hAnsi="Times New Roman"/>
                <w:sz w:val="24"/>
              </w:rPr>
              <w:t>Risk weighted exposure amount changes (positive or negative) due to changes in the assessed quality of the institution’s counterparties as measured under the credit risk framework, whatever approach the institution uses. This row also includes potential Risk weighted exposure amount changes due to IRB models when the institution uses an IRB approach</w:t>
            </w:r>
          </w:p>
        </w:tc>
      </w:tr>
      <w:tr w:rsidR="00595FAD" w:rsidRPr="00661595" w:rsidTr="00FF15C6">
        <w:trPr>
          <w:trHeight w:val="680"/>
        </w:trPr>
        <w:tc>
          <w:tcPr>
            <w:tcW w:w="1384" w:type="dxa"/>
            <w:tcBorders>
              <w:top w:val="single" w:sz="4" w:space="0" w:color="auto"/>
              <w:left w:val="single" w:sz="4" w:space="0" w:color="auto"/>
              <w:bottom w:val="single" w:sz="4" w:space="0" w:color="auto"/>
              <w:right w:val="single" w:sz="4" w:space="0" w:color="auto"/>
            </w:tcBorders>
          </w:tcPr>
          <w:p w:rsidR="00595FAD" w:rsidRPr="00661595" w:rsidRDefault="00595FAD" w:rsidP="00FF15C6">
            <w:pPr>
              <w:pStyle w:val="Applicationdirecte"/>
              <w:spacing w:before="0" w:after="0"/>
            </w:pPr>
            <w:r w:rsidRPr="00661595">
              <w:t>0040</w:t>
            </w:r>
          </w:p>
        </w:tc>
        <w:tc>
          <w:tcPr>
            <w:tcW w:w="7655" w:type="dxa"/>
            <w:tcBorders>
              <w:top w:val="single" w:sz="4" w:space="0" w:color="auto"/>
              <w:left w:val="single" w:sz="4" w:space="0" w:color="auto"/>
              <w:bottom w:val="single" w:sz="4" w:space="0" w:color="auto"/>
              <w:right w:val="single" w:sz="4" w:space="0" w:color="auto"/>
            </w:tcBorders>
            <w:vAlign w:val="center"/>
          </w:tcPr>
          <w:p w:rsidR="00595FAD" w:rsidRPr="00661595" w:rsidRDefault="00595FAD" w:rsidP="00FF15C6">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Model updates (IMM only)</w:t>
            </w:r>
          </w:p>
          <w:p w:rsidR="0014210E" w:rsidRDefault="00595FAD" w:rsidP="00FF15C6">
            <w:pPr>
              <w:spacing w:before="60"/>
              <w:rPr>
                <w:rFonts w:ascii="Times New Roman" w:hAnsi="Times New Roman"/>
                <w:sz w:val="24"/>
              </w:rPr>
            </w:pPr>
            <w:r w:rsidRPr="00661595">
              <w:rPr>
                <w:rFonts w:ascii="Times New Roman" w:hAnsi="Times New Roman"/>
                <w:sz w:val="24"/>
              </w:rPr>
              <w:t>Risk weighted exposure amount changes (positive or negative) due to model implementation, changes in model scope, or any changes intended to address model weaknesses</w:t>
            </w:r>
          </w:p>
          <w:p w:rsidR="00595FAD" w:rsidRPr="00661595" w:rsidRDefault="00595FAD" w:rsidP="00FF15C6">
            <w:pPr>
              <w:spacing w:before="60"/>
              <w:rPr>
                <w:rFonts w:ascii="Times New Roman" w:hAnsi="Times New Roman"/>
                <w:sz w:val="24"/>
              </w:rPr>
            </w:pPr>
            <w:r w:rsidRPr="00661595">
              <w:rPr>
                <w:rFonts w:ascii="Times New Roman" w:hAnsi="Times New Roman"/>
                <w:sz w:val="24"/>
              </w:rPr>
              <w:t>This row addresses only changes in the IMM model.</w:t>
            </w:r>
          </w:p>
        </w:tc>
      </w:tr>
      <w:tr w:rsidR="00595FAD" w:rsidRPr="00661595" w:rsidTr="00FF15C6">
        <w:trPr>
          <w:trHeight w:val="680"/>
        </w:trPr>
        <w:tc>
          <w:tcPr>
            <w:tcW w:w="1384" w:type="dxa"/>
            <w:tcBorders>
              <w:top w:val="single" w:sz="4" w:space="0" w:color="auto"/>
              <w:left w:val="single" w:sz="4" w:space="0" w:color="auto"/>
              <w:bottom w:val="single" w:sz="4" w:space="0" w:color="auto"/>
              <w:right w:val="single" w:sz="4" w:space="0" w:color="auto"/>
            </w:tcBorders>
          </w:tcPr>
          <w:p w:rsidR="00595FAD" w:rsidRPr="00661595" w:rsidRDefault="00595FAD" w:rsidP="00FF15C6">
            <w:pPr>
              <w:pStyle w:val="Applicationdirecte"/>
              <w:spacing w:before="0" w:after="0"/>
            </w:pPr>
            <w:r w:rsidRPr="00661595">
              <w:t>0050</w:t>
            </w:r>
          </w:p>
        </w:tc>
        <w:tc>
          <w:tcPr>
            <w:tcW w:w="7655" w:type="dxa"/>
            <w:tcBorders>
              <w:top w:val="single" w:sz="4" w:space="0" w:color="auto"/>
              <w:left w:val="single" w:sz="4" w:space="0" w:color="auto"/>
              <w:bottom w:val="single" w:sz="4" w:space="0" w:color="auto"/>
              <w:right w:val="single" w:sz="4" w:space="0" w:color="auto"/>
            </w:tcBorders>
            <w:vAlign w:val="center"/>
          </w:tcPr>
          <w:p w:rsidR="00595FAD" w:rsidRPr="00661595" w:rsidRDefault="00595FAD" w:rsidP="00FF15C6">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Methodology and policy (IMM only)</w:t>
            </w:r>
          </w:p>
          <w:p w:rsidR="00595FAD" w:rsidRPr="00661595" w:rsidRDefault="00595FAD" w:rsidP="00FF15C6">
            <w:pPr>
              <w:spacing w:before="60"/>
              <w:rPr>
                <w:rFonts w:ascii="Times New Roman" w:hAnsi="Times New Roman"/>
                <w:sz w:val="24"/>
              </w:rPr>
            </w:pPr>
            <w:r w:rsidRPr="00661595">
              <w:rPr>
                <w:rFonts w:ascii="Times New Roman" w:hAnsi="Times New Roman"/>
                <w:sz w:val="24"/>
              </w:rPr>
              <w:t>Risk weighted exposure amount changes (positive or negative) due to methodological changes in calculations driven by regulatory policy changes, such as new regulations (only in the IMM model)</w:t>
            </w:r>
          </w:p>
        </w:tc>
      </w:tr>
      <w:tr w:rsidR="00595FAD" w:rsidRPr="00661595" w:rsidTr="00FF15C6">
        <w:trPr>
          <w:trHeight w:val="680"/>
        </w:trPr>
        <w:tc>
          <w:tcPr>
            <w:tcW w:w="1384" w:type="dxa"/>
            <w:tcBorders>
              <w:top w:val="single" w:sz="4" w:space="0" w:color="auto"/>
              <w:left w:val="single" w:sz="4" w:space="0" w:color="auto"/>
              <w:bottom w:val="single" w:sz="4" w:space="0" w:color="auto"/>
              <w:right w:val="single" w:sz="4" w:space="0" w:color="auto"/>
            </w:tcBorders>
          </w:tcPr>
          <w:p w:rsidR="00595FAD" w:rsidRPr="00661595" w:rsidRDefault="00595FAD" w:rsidP="00FF15C6">
            <w:pPr>
              <w:pStyle w:val="Applicationdirecte"/>
              <w:spacing w:before="0" w:after="0"/>
            </w:pPr>
            <w:r w:rsidRPr="00661595">
              <w:t>0060</w:t>
            </w:r>
          </w:p>
        </w:tc>
        <w:tc>
          <w:tcPr>
            <w:tcW w:w="7655" w:type="dxa"/>
            <w:tcBorders>
              <w:top w:val="single" w:sz="4" w:space="0" w:color="auto"/>
              <w:left w:val="single" w:sz="4" w:space="0" w:color="auto"/>
              <w:bottom w:val="single" w:sz="4" w:space="0" w:color="auto"/>
              <w:right w:val="single" w:sz="4" w:space="0" w:color="auto"/>
            </w:tcBorders>
            <w:vAlign w:val="center"/>
          </w:tcPr>
          <w:p w:rsidR="00595FAD" w:rsidRPr="00661595" w:rsidRDefault="00595FAD" w:rsidP="00FF15C6">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Acquisitions and disposals</w:t>
            </w:r>
          </w:p>
          <w:p w:rsidR="00595FAD" w:rsidRPr="00661595" w:rsidRDefault="00595FAD" w:rsidP="00FF15C6">
            <w:pPr>
              <w:spacing w:before="60"/>
              <w:rPr>
                <w:rFonts w:ascii="Times New Roman" w:hAnsi="Times New Roman"/>
                <w:sz w:val="24"/>
              </w:rPr>
            </w:pPr>
            <w:r w:rsidRPr="00661595">
              <w:rPr>
                <w:rFonts w:ascii="Times New Roman" w:hAnsi="Times New Roman"/>
                <w:sz w:val="24"/>
              </w:rPr>
              <w:t>Risk weighted exposure amount changes (positive or negative) due to changes in book sizes due to acquisitions and disposal of entities</w:t>
            </w:r>
          </w:p>
        </w:tc>
      </w:tr>
      <w:tr w:rsidR="00595FAD" w:rsidRPr="00661595" w:rsidTr="00FF15C6">
        <w:trPr>
          <w:trHeight w:val="680"/>
        </w:trPr>
        <w:tc>
          <w:tcPr>
            <w:tcW w:w="1384" w:type="dxa"/>
            <w:tcBorders>
              <w:top w:val="single" w:sz="4" w:space="0" w:color="auto"/>
              <w:left w:val="single" w:sz="4" w:space="0" w:color="auto"/>
              <w:bottom w:val="single" w:sz="4" w:space="0" w:color="auto"/>
              <w:right w:val="single" w:sz="4" w:space="0" w:color="auto"/>
            </w:tcBorders>
          </w:tcPr>
          <w:p w:rsidR="00595FAD" w:rsidRPr="00661595" w:rsidRDefault="00595FAD" w:rsidP="00FF15C6">
            <w:pPr>
              <w:pStyle w:val="Applicationdirecte"/>
              <w:spacing w:before="0" w:after="0"/>
            </w:pPr>
            <w:r w:rsidRPr="00661595">
              <w:t>0070</w:t>
            </w:r>
          </w:p>
        </w:tc>
        <w:tc>
          <w:tcPr>
            <w:tcW w:w="7655" w:type="dxa"/>
            <w:tcBorders>
              <w:top w:val="single" w:sz="4" w:space="0" w:color="auto"/>
              <w:left w:val="single" w:sz="4" w:space="0" w:color="auto"/>
              <w:bottom w:val="single" w:sz="4" w:space="0" w:color="auto"/>
              <w:right w:val="single" w:sz="4" w:space="0" w:color="auto"/>
            </w:tcBorders>
            <w:vAlign w:val="center"/>
          </w:tcPr>
          <w:p w:rsidR="00595FAD" w:rsidRPr="00661595" w:rsidRDefault="00595FAD" w:rsidP="00FF15C6">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Foreign exchange movements</w:t>
            </w:r>
          </w:p>
          <w:p w:rsidR="00595FAD" w:rsidRPr="00661595" w:rsidRDefault="00595FAD" w:rsidP="00FF15C6">
            <w:pPr>
              <w:spacing w:before="60"/>
              <w:rPr>
                <w:rFonts w:ascii="Times New Roman" w:hAnsi="Times New Roman"/>
                <w:sz w:val="24"/>
              </w:rPr>
            </w:pPr>
            <w:r w:rsidRPr="00661595">
              <w:rPr>
                <w:rFonts w:ascii="Times New Roman" w:hAnsi="Times New Roman"/>
                <w:sz w:val="24"/>
              </w:rPr>
              <w:t xml:space="preserve">Risk weighted exposure amount changes (positive or negative) due to changes arising from foreign currency translation movements </w:t>
            </w:r>
          </w:p>
        </w:tc>
      </w:tr>
      <w:tr w:rsidR="00595FAD" w:rsidRPr="00661595" w:rsidTr="00FF15C6">
        <w:trPr>
          <w:trHeight w:val="680"/>
        </w:trPr>
        <w:tc>
          <w:tcPr>
            <w:tcW w:w="1384" w:type="dxa"/>
            <w:tcBorders>
              <w:top w:val="single" w:sz="4" w:space="0" w:color="auto"/>
              <w:left w:val="single" w:sz="4" w:space="0" w:color="auto"/>
              <w:bottom w:val="single" w:sz="4" w:space="0" w:color="auto"/>
              <w:right w:val="single" w:sz="4" w:space="0" w:color="auto"/>
            </w:tcBorders>
          </w:tcPr>
          <w:p w:rsidR="00595FAD" w:rsidRPr="00661595" w:rsidRDefault="00595FAD" w:rsidP="00FF15C6">
            <w:pPr>
              <w:pStyle w:val="Applicationdirecte"/>
              <w:spacing w:before="0" w:after="0"/>
            </w:pPr>
            <w:r w:rsidRPr="00661595">
              <w:t>0080</w:t>
            </w:r>
          </w:p>
        </w:tc>
        <w:tc>
          <w:tcPr>
            <w:tcW w:w="7655" w:type="dxa"/>
            <w:tcBorders>
              <w:top w:val="single" w:sz="4" w:space="0" w:color="auto"/>
              <w:left w:val="single" w:sz="4" w:space="0" w:color="auto"/>
              <w:bottom w:val="single" w:sz="4" w:space="0" w:color="auto"/>
              <w:right w:val="single" w:sz="4" w:space="0" w:color="auto"/>
            </w:tcBorders>
            <w:vAlign w:val="center"/>
          </w:tcPr>
          <w:p w:rsidR="00595FAD" w:rsidRPr="00661595" w:rsidRDefault="00595FAD" w:rsidP="00FF15C6">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Other</w:t>
            </w:r>
          </w:p>
          <w:p w:rsidR="00595FAD" w:rsidRPr="00661595" w:rsidRDefault="00595FAD" w:rsidP="00C26C3A">
            <w:pPr>
              <w:spacing w:before="60"/>
              <w:rPr>
                <w:rFonts w:ascii="Times New Roman" w:hAnsi="Times New Roman"/>
                <w:sz w:val="24"/>
              </w:rPr>
            </w:pPr>
            <w:r w:rsidRPr="00661595">
              <w:rPr>
                <w:rFonts w:ascii="Times New Roman" w:hAnsi="Times New Roman"/>
                <w:sz w:val="24"/>
              </w:rPr>
              <w:t xml:space="preserve">This category </w:t>
            </w:r>
            <w:r w:rsidR="00C26C3A">
              <w:rPr>
                <w:rFonts w:ascii="Times New Roman" w:hAnsi="Times New Roman"/>
                <w:sz w:val="24"/>
              </w:rPr>
              <w:t>shall be used</w:t>
            </w:r>
            <w:r w:rsidRPr="00661595">
              <w:rPr>
                <w:rFonts w:ascii="Times New Roman" w:hAnsi="Times New Roman"/>
                <w:sz w:val="24"/>
              </w:rPr>
              <w:t xml:space="preserve"> to capture Risk weighted exposure amount changes (positive or negative) that cannot be attributed to the above categories. </w:t>
            </w:r>
          </w:p>
        </w:tc>
      </w:tr>
      <w:tr w:rsidR="00595FAD" w:rsidRPr="00661595" w:rsidTr="00FF15C6">
        <w:trPr>
          <w:trHeight w:val="680"/>
        </w:trPr>
        <w:tc>
          <w:tcPr>
            <w:tcW w:w="1384" w:type="dxa"/>
            <w:tcBorders>
              <w:top w:val="single" w:sz="4" w:space="0" w:color="auto"/>
              <w:left w:val="single" w:sz="4" w:space="0" w:color="auto"/>
              <w:bottom w:val="single" w:sz="4" w:space="0" w:color="auto"/>
              <w:right w:val="single" w:sz="4" w:space="0" w:color="auto"/>
            </w:tcBorders>
          </w:tcPr>
          <w:p w:rsidR="00595FAD" w:rsidRPr="00661595" w:rsidRDefault="00595FAD" w:rsidP="00FF15C6">
            <w:pPr>
              <w:pStyle w:val="Applicationdirecte"/>
              <w:spacing w:before="0" w:after="0"/>
            </w:pPr>
            <w:r w:rsidRPr="00661595">
              <w:t>0090</w:t>
            </w:r>
          </w:p>
        </w:tc>
        <w:tc>
          <w:tcPr>
            <w:tcW w:w="7655" w:type="dxa"/>
            <w:tcBorders>
              <w:top w:val="single" w:sz="4" w:space="0" w:color="auto"/>
              <w:left w:val="single" w:sz="4" w:space="0" w:color="auto"/>
              <w:bottom w:val="single" w:sz="4" w:space="0" w:color="auto"/>
              <w:right w:val="single" w:sz="4" w:space="0" w:color="auto"/>
            </w:tcBorders>
            <w:vAlign w:val="center"/>
          </w:tcPr>
          <w:p w:rsidR="00595FAD" w:rsidRPr="00661595" w:rsidRDefault="00595FAD" w:rsidP="00FF15C6">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Risk weighted exposure amounts as at the end of the current reporting period</w:t>
            </w:r>
          </w:p>
          <w:p w:rsidR="00595FAD" w:rsidRPr="00661595" w:rsidRDefault="00595FAD" w:rsidP="00FF15C6">
            <w:pPr>
              <w:spacing w:before="60"/>
              <w:rPr>
                <w:rFonts w:ascii="Times New Roman" w:hAnsi="Times New Roman"/>
                <w:i/>
                <w:sz w:val="24"/>
              </w:rPr>
            </w:pPr>
            <w:r w:rsidRPr="00661595">
              <w:rPr>
                <w:rFonts w:ascii="Times New Roman" w:hAnsi="Times New Roman"/>
                <w:sz w:val="24"/>
              </w:rPr>
              <w:t>Risk weighted exposure amounts for CCR exposures under the IMM as at the end of the current reporting period</w:t>
            </w:r>
          </w:p>
        </w:tc>
      </w:tr>
    </w:tbl>
    <w:p w:rsidR="00FC6275" w:rsidRPr="00661595" w:rsidRDefault="00FC6275">
      <w:pPr>
        <w:spacing w:before="0" w:after="0"/>
        <w:jc w:val="left"/>
        <w:rPr>
          <w:rStyle w:val="InstructionsTabelleText"/>
          <w:rFonts w:ascii="Times New Roman" w:hAnsi="Times New Roman"/>
          <w:b/>
          <w:sz w:val="24"/>
        </w:rPr>
      </w:pPr>
    </w:p>
    <w:p w:rsidR="00AC6255" w:rsidRPr="00661595" w:rsidRDefault="00CE4C49" w:rsidP="0023700C">
      <w:pPr>
        <w:pStyle w:val="Instructionsberschrift2"/>
        <w:numPr>
          <w:ilvl w:val="0"/>
          <w:numId w:val="0"/>
        </w:numPr>
        <w:ind w:left="357" w:hanging="357"/>
        <w:rPr>
          <w:rFonts w:ascii="Times New Roman" w:hAnsi="Times New Roman" w:cs="Times New Roman"/>
          <w:sz w:val="24"/>
          <w:lang w:val="en-GB"/>
        </w:rPr>
      </w:pPr>
      <w:bookmarkStart w:id="509" w:name="_Toc260157222"/>
      <w:bookmarkStart w:id="510" w:name="_Toc262566416"/>
      <w:bookmarkStart w:id="511" w:name="_Toc295829987"/>
      <w:bookmarkStart w:id="512" w:name="_Toc310415049"/>
      <w:bookmarkStart w:id="513" w:name="_Toc360188384"/>
      <w:bookmarkStart w:id="514" w:name="_Toc473560935"/>
      <w:bookmarkStart w:id="515" w:name="_Toc57831623"/>
      <w:bookmarkStart w:id="516" w:name="_Toc260157223"/>
      <w:bookmarkStart w:id="517" w:name="_Toc262566417"/>
      <w:bookmarkStart w:id="518" w:name="_Toc264038462"/>
      <w:bookmarkStart w:id="519" w:name="_Toc295829988"/>
      <w:bookmarkStart w:id="520" w:name="_Toc310415050"/>
      <w:r w:rsidRPr="00661595">
        <w:rPr>
          <w:rFonts w:ascii="Times New Roman" w:hAnsi="Times New Roman" w:cs="Times New Roman"/>
          <w:sz w:val="24"/>
          <w:lang w:val="en-GB"/>
        </w:rPr>
        <w:t>4.</w:t>
      </w:r>
      <w:r w:rsidRPr="00661595">
        <w:rPr>
          <w:rFonts w:ascii="Times New Roman" w:hAnsi="Times New Roman" w:cs="Times New Roman"/>
          <w:sz w:val="24"/>
          <w:lang w:val="en-GB"/>
        </w:rPr>
        <w:tab/>
      </w:r>
      <w:r w:rsidR="00AC6255" w:rsidRPr="00661595">
        <w:rPr>
          <w:rFonts w:ascii="Times New Roman" w:hAnsi="Times New Roman" w:cs="Times New Roman"/>
          <w:sz w:val="24"/>
          <w:lang w:val="en-GB"/>
        </w:rPr>
        <w:t>Operational Risk Templates</w:t>
      </w:r>
      <w:bookmarkEnd w:id="509"/>
      <w:bookmarkEnd w:id="510"/>
      <w:bookmarkEnd w:id="511"/>
      <w:bookmarkEnd w:id="512"/>
      <w:bookmarkEnd w:id="513"/>
      <w:bookmarkEnd w:id="514"/>
      <w:bookmarkEnd w:id="515"/>
    </w:p>
    <w:p w:rsidR="00AC6255" w:rsidRPr="00661595" w:rsidRDefault="00CE4C49" w:rsidP="0023700C">
      <w:pPr>
        <w:pStyle w:val="Instructionsberschrift2"/>
        <w:numPr>
          <w:ilvl w:val="0"/>
          <w:numId w:val="0"/>
        </w:numPr>
        <w:ind w:left="357" w:hanging="357"/>
        <w:rPr>
          <w:rFonts w:ascii="Times New Roman" w:hAnsi="Times New Roman" w:cs="Times New Roman"/>
          <w:sz w:val="24"/>
          <w:lang w:val="en-GB"/>
        </w:rPr>
      </w:pPr>
      <w:bookmarkStart w:id="521" w:name="_Toc360188385"/>
      <w:bookmarkStart w:id="522" w:name="_Toc473560936"/>
      <w:bookmarkStart w:id="523" w:name="_Toc57831624"/>
      <w:r w:rsidRPr="00661595">
        <w:rPr>
          <w:rFonts w:ascii="Times New Roman" w:hAnsi="Times New Roman" w:cs="Times New Roman"/>
          <w:sz w:val="24"/>
          <w:lang w:val="en-GB"/>
        </w:rPr>
        <w:t>4.1</w:t>
      </w:r>
      <w:r w:rsidRPr="00661595">
        <w:rPr>
          <w:rFonts w:ascii="Times New Roman" w:hAnsi="Times New Roman" w:cs="Times New Roman"/>
          <w:sz w:val="24"/>
          <w:lang w:val="en-GB"/>
        </w:rPr>
        <w:tab/>
      </w:r>
      <w:r w:rsidRPr="00661595">
        <w:rPr>
          <w:rFonts w:ascii="Times New Roman" w:hAnsi="Times New Roman" w:cs="Times New Roman"/>
          <w:sz w:val="24"/>
          <w:lang w:val="en-GB"/>
        </w:rPr>
        <w:tab/>
      </w:r>
      <w:r w:rsidR="008B73EE" w:rsidRPr="00661595">
        <w:rPr>
          <w:rFonts w:ascii="Times New Roman" w:hAnsi="Times New Roman" w:cs="Times New Roman"/>
          <w:sz w:val="24"/>
          <w:lang w:val="en-GB"/>
        </w:rPr>
        <w:t xml:space="preserve">C 16.00 </w:t>
      </w:r>
      <w:r w:rsidR="00AC6255" w:rsidRPr="00661595">
        <w:rPr>
          <w:rFonts w:ascii="Times New Roman" w:hAnsi="Times New Roman" w:cs="Times New Roman"/>
          <w:sz w:val="24"/>
          <w:lang w:val="en-GB"/>
        </w:rPr>
        <w:t>– Operational Risk</w:t>
      </w:r>
      <w:bookmarkEnd w:id="516"/>
      <w:bookmarkEnd w:id="517"/>
      <w:bookmarkEnd w:id="518"/>
      <w:bookmarkEnd w:id="519"/>
      <w:bookmarkEnd w:id="520"/>
      <w:bookmarkEnd w:id="521"/>
      <w:r w:rsidR="008B73EE" w:rsidRPr="00661595">
        <w:rPr>
          <w:rFonts w:ascii="Times New Roman" w:hAnsi="Times New Roman" w:cs="Times New Roman"/>
          <w:sz w:val="24"/>
          <w:lang w:val="en-GB"/>
        </w:rPr>
        <w:t xml:space="preserve"> (OPR)</w:t>
      </w:r>
      <w:bookmarkEnd w:id="522"/>
      <w:bookmarkEnd w:id="523"/>
    </w:p>
    <w:p w:rsidR="00AC6255" w:rsidRPr="00661595" w:rsidRDefault="00CE4C49" w:rsidP="0023700C">
      <w:pPr>
        <w:pStyle w:val="Instructionsberschrift2"/>
        <w:numPr>
          <w:ilvl w:val="0"/>
          <w:numId w:val="0"/>
        </w:numPr>
        <w:ind w:left="357" w:hanging="357"/>
        <w:rPr>
          <w:rFonts w:ascii="Times New Roman" w:hAnsi="Times New Roman" w:cs="Times New Roman"/>
          <w:sz w:val="24"/>
          <w:u w:val="none"/>
          <w:lang w:val="en-GB"/>
        </w:rPr>
      </w:pPr>
      <w:bookmarkStart w:id="524" w:name="_Toc260157224"/>
      <w:bookmarkStart w:id="525" w:name="_Toc262566418"/>
      <w:bookmarkStart w:id="526" w:name="_Toc264038463"/>
      <w:bookmarkStart w:id="527" w:name="_Toc295829989"/>
      <w:bookmarkStart w:id="528" w:name="_Toc310415051"/>
      <w:bookmarkStart w:id="529" w:name="_Toc360188386"/>
      <w:bookmarkStart w:id="530" w:name="_Toc473560937"/>
      <w:bookmarkStart w:id="531" w:name="_Toc57831625"/>
      <w:r w:rsidRPr="00661595">
        <w:rPr>
          <w:rFonts w:ascii="Times New Roman" w:hAnsi="Times New Roman" w:cs="Times New Roman"/>
          <w:sz w:val="24"/>
          <w:u w:val="none"/>
          <w:lang w:val="en-GB"/>
        </w:rPr>
        <w:t>4.1.1</w:t>
      </w:r>
      <w:r w:rsidRPr="00661595">
        <w:rPr>
          <w:rFonts w:ascii="Times New Roman" w:hAnsi="Times New Roman" w:cs="Times New Roman"/>
          <w:sz w:val="24"/>
          <w:u w:val="none"/>
          <w:lang w:val="en-GB"/>
        </w:rPr>
        <w:tab/>
      </w:r>
      <w:r w:rsidR="00AC6255" w:rsidRPr="00661595">
        <w:rPr>
          <w:rFonts w:ascii="Times New Roman" w:hAnsi="Times New Roman" w:cs="Times New Roman"/>
          <w:sz w:val="24"/>
          <w:u w:val="none"/>
          <w:lang w:val="en-GB"/>
        </w:rPr>
        <w:t>General</w:t>
      </w:r>
      <w:bookmarkEnd w:id="524"/>
      <w:r w:rsidR="00AC6255" w:rsidRPr="00661595">
        <w:rPr>
          <w:rFonts w:ascii="Times New Roman" w:hAnsi="Times New Roman" w:cs="Times New Roman"/>
          <w:sz w:val="24"/>
          <w:u w:val="none"/>
          <w:lang w:val="en-GB"/>
        </w:rPr>
        <w:t xml:space="preserve"> Remarks</w:t>
      </w:r>
      <w:bookmarkEnd w:id="525"/>
      <w:bookmarkEnd w:id="526"/>
      <w:bookmarkEnd w:id="527"/>
      <w:bookmarkEnd w:id="528"/>
      <w:bookmarkEnd w:id="529"/>
      <w:bookmarkEnd w:id="530"/>
      <w:bookmarkEnd w:id="531"/>
      <w:r w:rsidR="00AC6255" w:rsidRPr="00661595">
        <w:rPr>
          <w:rFonts w:ascii="Times New Roman" w:hAnsi="Times New Roman" w:cs="Times New Roman"/>
          <w:sz w:val="24"/>
          <w:u w:val="none"/>
          <w:lang w:val="en-GB"/>
        </w:rPr>
        <w:t xml:space="preserve"> </w:t>
      </w:r>
    </w:p>
    <w:p w:rsidR="00AC6255" w:rsidRPr="00661595" w:rsidRDefault="00D11E4C" w:rsidP="00487A02">
      <w:pPr>
        <w:pStyle w:val="InstructionsText2"/>
        <w:numPr>
          <w:ilvl w:val="0"/>
          <w:numId w:val="0"/>
        </w:numPr>
        <w:ind w:left="1353" w:hanging="360"/>
      </w:pPr>
      <w:fldSimple w:instr=" seq paragraphs ">
        <w:r w:rsidR="00771068">
          <w:rPr>
            <w:noProof/>
          </w:rPr>
          <w:t>136</w:t>
        </w:r>
      </w:fldSimple>
      <w:r w:rsidR="006660B9" w:rsidRPr="00661595">
        <w:t>.</w:t>
      </w:r>
      <w:r w:rsidR="006660B9" w:rsidRPr="00661595">
        <w:tab/>
      </w:r>
      <w:r w:rsidR="005C14B0" w:rsidRPr="00661595">
        <w:t xml:space="preserve"> </w:t>
      </w:r>
      <w:r w:rsidR="00AC6255" w:rsidRPr="00661595">
        <w:t xml:space="preserve">This template provides information on the calculation of own funds requirements </w:t>
      </w:r>
      <w:r w:rsidR="00BB22D4" w:rsidRPr="00661595">
        <w:t>in accordance with</w:t>
      </w:r>
      <w:r w:rsidR="00AC6255" w:rsidRPr="00661595">
        <w:t xml:space="preserve"> Articles </w:t>
      </w:r>
      <w:r w:rsidR="00474C49" w:rsidRPr="00661595">
        <w:t>312 to 324</w:t>
      </w:r>
      <w:r w:rsidR="00AC6255" w:rsidRPr="00661595">
        <w:t xml:space="preserve"> </w:t>
      </w:r>
      <w:r w:rsidR="00C7103D" w:rsidRPr="00661595">
        <w:t>CRR</w:t>
      </w:r>
      <w:r w:rsidR="00AC6255" w:rsidRPr="00661595">
        <w:t xml:space="preserve"> for Operational Risk under the Basic Indicator Approach (BIA), the Standardised Approach (TSA), the Alternative Standardised Approach (ASA) and the Advanced Measurement Approaches (AMA). An institution cannot apply TSA and ASA for the business lines retail banking and commercial banking at the same time at solo level</w:t>
      </w:r>
      <w:r w:rsidR="001C3443" w:rsidRPr="00661595">
        <w:t>.</w:t>
      </w:r>
    </w:p>
    <w:p w:rsidR="00AC6255" w:rsidRPr="00661595" w:rsidRDefault="00D11E4C" w:rsidP="00487A02">
      <w:pPr>
        <w:pStyle w:val="InstructionsText2"/>
        <w:numPr>
          <w:ilvl w:val="0"/>
          <w:numId w:val="0"/>
        </w:numPr>
        <w:ind w:left="1353" w:hanging="360"/>
      </w:pPr>
      <w:fldSimple w:instr=" seq paragraphs ">
        <w:r w:rsidR="00771068">
          <w:rPr>
            <w:noProof/>
          </w:rPr>
          <w:t>137</w:t>
        </w:r>
      </w:fldSimple>
      <w:r w:rsidR="00125707" w:rsidRPr="00661595">
        <w:t>.</w:t>
      </w:r>
      <w:r w:rsidR="005C14B0" w:rsidRPr="00661595">
        <w:t xml:space="preserve"> </w:t>
      </w:r>
      <w:r w:rsidR="00AC6255" w:rsidRPr="00661595">
        <w:t>Institutions using the BIA, TSA or ASA shall calculate their own funds requirement, based on the information at financial year</w:t>
      </w:r>
      <w:r w:rsidR="001C3443" w:rsidRPr="00661595">
        <w:t>-</w:t>
      </w:r>
      <w:r w:rsidR="00AC6255" w:rsidRPr="00661595">
        <w:t>end. Whe</w:t>
      </w:r>
      <w:r w:rsidR="001C3443" w:rsidRPr="00661595">
        <w:t>re</w:t>
      </w:r>
      <w:r w:rsidR="00AC6255" w:rsidRPr="00661595">
        <w:t xml:space="preserve"> audited figures are not available, institutions may use business estimates. </w:t>
      </w:r>
      <w:r w:rsidR="001C3443" w:rsidRPr="00661595">
        <w:t>Where</w:t>
      </w:r>
      <w:r w:rsidR="00AC6255" w:rsidRPr="00661595">
        <w:t xml:space="preserve"> audited figures are used, institutions </w:t>
      </w:r>
      <w:r w:rsidR="00974150" w:rsidRPr="00661595">
        <w:t xml:space="preserve">shall </w:t>
      </w:r>
      <w:r w:rsidR="00AC6255" w:rsidRPr="00661595">
        <w:t xml:space="preserve">report the audited figures </w:t>
      </w:r>
      <w:r w:rsidR="00974150" w:rsidRPr="00661595">
        <w:t>which</w:t>
      </w:r>
      <w:r w:rsidR="009A1A9B" w:rsidRPr="00661595">
        <w:t xml:space="preserve"> are expected to </w:t>
      </w:r>
      <w:r w:rsidR="00974150" w:rsidRPr="00661595">
        <w:t>remain unchanged</w:t>
      </w:r>
      <w:r w:rsidR="00AC6255" w:rsidRPr="00661595">
        <w:t>. Deviations from this "unchanged" principle are possible, for instance if during that period the exceptional circumstances, such as recent acquisitions or disposals of entities or activities, are met.</w:t>
      </w:r>
      <w:r w:rsidR="00730040" w:rsidRPr="00661595">
        <w:t xml:space="preserve"> </w:t>
      </w:r>
    </w:p>
    <w:p w:rsidR="00AC6255" w:rsidRPr="00661595" w:rsidRDefault="00D11E4C" w:rsidP="00487A02">
      <w:pPr>
        <w:pStyle w:val="InstructionsText2"/>
        <w:numPr>
          <w:ilvl w:val="0"/>
          <w:numId w:val="0"/>
        </w:numPr>
        <w:ind w:left="1353" w:hanging="360"/>
      </w:pPr>
      <w:fldSimple w:instr=" seq paragraphs ">
        <w:r w:rsidR="00771068">
          <w:rPr>
            <w:noProof/>
          </w:rPr>
          <w:t>138</w:t>
        </w:r>
      </w:fldSimple>
      <w:r w:rsidR="00125707" w:rsidRPr="00661595">
        <w:t>.</w:t>
      </w:r>
      <w:r w:rsidR="00125707" w:rsidRPr="00661595">
        <w:tab/>
      </w:r>
      <w:r w:rsidR="005C14B0" w:rsidRPr="00661595">
        <w:t xml:space="preserve"> </w:t>
      </w:r>
      <w:r w:rsidR="001C3443" w:rsidRPr="00661595">
        <w:t>Where</w:t>
      </w:r>
      <w:r w:rsidR="00AC6255" w:rsidRPr="00661595">
        <w:t xml:space="preserve"> an institution can justify its competent authority that – due to exceptional circumstances such as a merger or a disposal of entities or activities – using a three year average to calculating the relevant indicator would lead to a biased estimation for the own funds requirement for operational risk, the competent authority may permit the institution to modify the calculation in a way that would take into account such events. </w:t>
      </w:r>
      <w:r w:rsidR="001C3443" w:rsidRPr="00661595">
        <w:t>T</w:t>
      </w:r>
      <w:r w:rsidR="00AC6255" w:rsidRPr="00661595">
        <w:t xml:space="preserve">he competent authority may </w:t>
      </w:r>
      <w:r w:rsidR="001C3443" w:rsidRPr="00661595">
        <w:t xml:space="preserve">also </w:t>
      </w:r>
      <w:r w:rsidR="00AC6255" w:rsidRPr="00661595">
        <w:t xml:space="preserve">on its own initiative require an institution to modify the calculation. </w:t>
      </w:r>
      <w:r w:rsidR="001C3443" w:rsidRPr="00661595">
        <w:t>A</w:t>
      </w:r>
      <w:r w:rsidR="00AC6255" w:rsidRPr="00661595">
        <w:t xml:space="preserve">n institution </w:t>
      </w:r>
      <w:r w:rsidR="001C3443" w:rsidRPr="00661595">
        <w:t xml:space="preserve">that </w:t>
      </w:r>
      <w:r w:rsidR="00AC6255" w:rsidRPr="00661595">
        <w:t>has been in operation for less than three years may use forward looking business estimates in calculating the relevant indicator, provided that it starts using historical data as soon as th</w:t>
      </w:r>
      <w:r w:rsidR="001C3443" w:rsidRPr="00661595">
        <w:t>ose data</w:t>
      </w:r>
      <w:r w:rsidR="00AC6255" w:rsidRPr="00661595">
        <w:t xml:space="preserve"> are available.</w:t>
      </w:r>
    </w:p>
    <w:p w:rsidR="00AC6255" w:rsidRPr="00661595" w:rsidRDefault="00D11E4C" w:rsidP="00487A02">
      <w:pPr>
        <w:pStyle w:val="InstructionsText2"/>
        <w:numPr>
          <w:ilvl w:val="0"/>
          <w:numId w:val="0"/>
        </w:numPr>
        <w:ind w:left="1353" w:hanging="360"/>
      </w:pPr>
      <w:fldSimple w:instr=" seq paragraphs ">
        <w:r w:rsidR="00771068">
          <w:rPr>
            <w:noProof/>
          </w:rPr>
          <w:t>139</w:t>
        </w:r>
      </w:fldSimple>
      <w:r w:rsidR="00125707" w:rsidRPr="00661595">
        <w:t>.</w:t>
      </w:r>
      <w:r w:rsidR="00125707" w:rsidRPr="00661595">
        <w:tab/>
      </w:r>
      <w:r w:rsidR="005C14B0" w:rsidRPr="00661595">
        <w:t xml:space="preserve"> </w:t>
      </w:r>
      <w:r w:rsidR="00AC6255" w:rsidRPr="00661595">
        <w:t xml:space="preserve">By columns, this template presents information, for the three most recent years, on the amount of the relevant indicator of the banking activities subject to operational risk and on the amount of loans and advances (the latter only applicable in the case of ASA). Next, information on the amount of own funds requirement for operational risk is reported. </w:t>
      </w:r>
      <w:r w:rsidR="001C3443" w:rsidRPr="00661595">
        <w:t>Where</w:t>
      </w:r>
      <w:r w:rsidR="00AC6255" w:rsidRPr="00661595">
        <w:t xml:space="preserve"> applicable, it must be detailed which part of th</w:t>
      </w:r>
      <w:r w:rsidR="001C3443" w:rsidRPr="00661595">
        <w:t>at</w:t>
      </w:r>
      <w:r w:rsidR="00AC6255" w:rsidRPr="00661595">
        <w:t xml:space="preserve"> amount is due to an allocation mechanism. Regarding AMA, memorandum items are added to present a detail of the effect of the expected loss, diversification and mitigation techniques on own funds requirement for operational risk.</w:t>
      </w:r>
    </w:p>
    <w:p w:rsidR="00AC6255" w:rsidRPr="00661595" w:rsidRDefault="00D11E4C" w:rsidP="00487A02">
      <w:pPr>
        <w:pStyle w:val="InstructionsText2"/>
        <w:numPr>
          <w:ilvl w:val="0"/>
          <w:numId w:val="0"/>
        </w:numPr>
        <w:ind w:left="1353" w:hanging="360"/>
      </w:pPr>
      <w:fldSimple w:instr=" seq paragraphs ">
        <w:r w:rsidR="00771068">
          <w:rPr>
            <w:noProof/>
          </w:rPr>
          <w:t>140</w:t>
        </w:r>
      </w:fldSimple>
      <w:r w:rsidR="00125707" w:rsidRPr="00661595">
        <w:t>.</w:t>
      </w:r>
      <w:r w:rsidR="00125707" w:rsidRPr="00661595">
        <w:tab/>
      </w:r>
      <w:r w:rsidR="005C14B0" w:rsidRPr="00661595">
        <w:t xml:space="preserve"> </w:t>
      </w:r>
      <w:r w:rsidR="00AC6255" w:rsidRPr="00661595">
        <w:t>By rows, information is presented by method of calculation of the operational risk own funds requirement detailing business lines for TSA and ASA.</w:t>
      </w:r>
    </w:p>
    <w:p w:rsidR="00AC6255" w:rsidRPr="00661595" w:rsidRDefault="00D11E4C" w:rsidP="00487A02">
      <w:pPr>
        <w:pStyle w:val="InstructionsText2"/>
        <w:numPr>
          <w:ilvl w:val="0"/>
          <w:numId w:val="0"/>
        </w:numPr>
        <w:ind w:left="1353" w:hanging="360"/>
      </w:pPr>
      <w:fldSimple w:instr=" seq paragraphs ">
        <w:r w:rsidR="00771068">
          <w:rPr>
            <w:noProof/>
          </w:rPr>
          <w:t>141</w:t>
        </w:r>
      </w:fldSimple>
      <w:r w:rsidR="00125707" w:rsidRPr="00661595">
        <w:t>.</w:t>
      </w:r>
      <w:r w:rsidR="00125707" w:rsidRPr="00661595">
        <w:tab/>
      </w:r>
      <w:r w:rsidR="005C14B0" w:rsidRPr="00661595">
        <w:t xml:space="preserve"> </w:t>
      </w:r>
      <w:r w:rsidR="00AC6255" w:rsidRPr="00661595">
        <w:t>This template shall be submitted by all institutions subject to operational risk own funds requirement.</w:t>
      </w:r>
    </w:p>
    <w:p w:rsidR="00AC6255"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532" w:name="_Toc260157225"/>
      <w:bookmarkStart w:id="533" w:name="_Toc262566419"/>
      <w:bookmarkStart w:id="534" w:name="_Toc264038464"/>
      <w:bookmarkStart w:id="535" w:name="_Toc295829990"/>
      <w:bookmarkStart w:id="536" w:name="_Toc310415052"/>
      <w:bookmarkStart w:id="537" w:name="_Toc360188387"/>
      <w:bookmarkStart w:id="538" w:name="_Toc473560938"/>
      <w:bookmarkStart w:id="539" w:name="_Toc57831626"/>
      <w:r w:rsidRPr="00661595">
        <w:rPr>
          <w:rFonts w:ascii="Times New Roman" w:hAnsi="Times New Roman" w:cs="Times New Roman"/>
          <w:sz w:val="24"/>
          <w:u w:val="none"/>
          <w:lang w:val="en-GB"/>
        </w:rPr>
        <w:t>4.1.2.</w:t>
      </w:r>
      <w:r w:rsidRPr="00661595">
        <w:rPr>
          <w:rFonts w:ascii="Times New Roman" w:hAnsi="Times New Roman" w:cs="Times New Roman"/>
          <w:sz w:val="24"/>
          <w:u w:val="none"/>
          <w:lang w:val="en-GB"/>
        </w:rPr>
        <w:tab/>
      </w:r>
      <w:r w:rsidR="00AC6255" w:rsidRPr="00661595">
        <w:rPr>
          <w:rFonts w:ascii="Times New Roman" w:hAnsi="Times New Roman" w:cs="Times New Roman"/>
          <w:sz w:val="24"/>
          <w:lang w:val="en-GB"/>
        </w:rPr>
        <w:t>Instructions concerning specific positions</w:t>
      </w:r>
      <w:bookmarkEnd w:id="532"/>
      <w:bookmarkEnd w:id="533"/>
      <w:bookmarkEnd w:id="534"/>
      <w:bookmarkEnd w:id="535"/>
      <w:bookmarkEnd w:id="536"/>
      <w:bookmarkEnd w:id="537"/>
      <w:bookmarkEnd w:id="538"/>
      <w:bookmarkEnd w:id="539"/>
    </w:p>
    <w:p w:rsidR="00AC6255" w:rsidRPr="00661595" w:rsidRDefault="00AC6255" w:rsidP="00AC6255">
      <w:pPr>
        <w:autoSpaceDE w:val="0"/>
        <w:autoSpaceDN w:val="0"/>
        <w:adjustRightInd w:val="0"/>
        <w:spacing w:before="0" w:after="0"/>
        <w:rPr>
          <w:rFonts w:ascii="Times New Roman" w:hAnsi="Times New Roman"/>
          <w:sz w:val="24"/>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
        <w:gridCol w:w="7877"/>
      </w:tblGrid>
      <w:tr w:rsidR="00AC6255" w:rsidRPr="00661595" w:rsidTr="00672D2A">
        <w:trPr>
          <w:trHeight w:val="553"/>
        </w:trPr>
        <w:tc>
          <w:tcPr>
            <w:tcW w:w="8862" w:type="dxa"/>
            <w:gridSpan w:val="2"/>
            <w:shd w:val="clear" w:color="auto" w:fill="CCCCCC"/>
          </w:tcPr>
          <w:p w:rsidR="00AC6255" w:rsidRPr="00661595" w:rsidRDefault="00AC6255" w:rsidP="000B0B09">
            <w:pPr>
              <w:autoSpaceDE w:val="0"/>
              <w:autoSpaceDN w:val="0"/>
              <w:adjustRightInd w:val="0"/>
              <w:spacing w:after="0"/>
              <w:rPr>
                <w:rFonts w:ascii="Times New Roman" w:hAnsi="Times New Roman"/>
                <w:b/>
                <w:bCs/>
                <w:sz w:val="24"/>
                <w:lang w:eastAsia="nl-BE"/>
              </w:rPr>
            </w:pPr>
            <w:r w:rsidRPr="00661595">
              <w:rPr>
                <w:rFonts w:ascii="Times New Roman" w:hAnsi="Times New Roman"/>
                <w:b/>
                <w:bCs/>
                <w:sz w:val="24"/>
                <w:lang w:eastAsia="nl-BE"/>
              </w:rPr>
              <w:t>Columns</w:t>
            </w:r>
          </w:p>
        </w:tc>
      </w:tr>
      <w:tr w:rsidR="00AC6255" w:rsidRPr="00661595" w:rsidTr="00672D2A">
        <w:tc>
          <w:tcPr>
            <w:tcW w:w="985" w:type="dxa"/>
          </w:tcPr>
          <w:p w:rsidR="00AC6255" w:rsidRPr="00661595" w:rsidRDefault="00F20C33" w:rsidP="000F70EC">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w:t>
            </w:r>
            <w:r w:rsidR="00AC6255" w:rsidRPr="00661595">
              <w:rPr>
                <w:rFonts w:ascii="Times New Roman" w:hAnsi="Times New Roman"/>
                <w:bCs/>
                <w:sz w:val="24"/>
                <w:lang w:eastAsia="nl-BE"/>
              </w:rPr>
              <w:t>010</w:t>
            </w:r>
            <w:r w:rsidR="000F70EC" w:rsidRPr="00661595">
              <w:rPr>
                <w:rFonts w:ascii="Times New Roman" w:hAnsi="Times New Roman"/>
                <w:bCs/>
                <w:sz w:val="24"/>
                <w:lang w:eastAsia="nl-BE"/>
              </w:rPr>
              <w:t>-</w:t>
            </w:r>
            <w:r w:rsidRPr="00661595">
              <w:rPr>
                <w:rFonts w:ascii="Times New Roman" w:hAnsi="Times New Roman"/>
                <w:bCs/>
                <w:sz w:val="24"/>
                <w:lang w:eastAsia="nl-BE"/>
              </w:rPr>
              <w:t>0</w:t>
            </w:r>
            <w:r w:rsidR="00AC6255" w:rsidRPr="00661595">
              <w:rPr>
                <w:rFonts w:ascii="Times New Roman" w:hAnsi="Times New Roman"/>
                <w:bCs/>
                <w:sz w:val="24"/>
                <w:lang w:eastAsia="nl-BE"/>
              </w:rPr>
              <w:t>030</w:t>
            </w:r>
          </w:p>
        </w:tc>
        <w:tc>
          <w:tcPr>
            <w:tcW w:w="7877" w:type="dxa"/>
          </w:tcPr>
          <w:p w:rsidR="00AC6255" w:rsidRPr="00661595" w:rsidRDefault="00AC6255" w:rsidP="000B0B09">
            <w:pPr>
              <w:autoSpaceDE w:val="0"/>
              <w:autoSpaceDN w:val="0"/>
              <w:adjustRightInd w:val="0"/>
              <w:spacing w:before="0" w:after="0"/>
              <w:jc w:val="left"/>
              <w:rPr>
                <w:rStyle w:val="InstructionsTabelleberschrift"/>
                <w:rFonts w:ascii="Times New Roman" w:hAnsi="Times New Roman"/>
                <w:sz w:val="24"/>
              </w:rPr>
            </w:pPr>
            <w:r w:rsidRPr="00661595">
              <w:rPr>
                <w:rStyle w:val="InstructionsTabelleberschrift"/>
                <w:rFonts w:ascii="Times New Roman" w:hAnsi="Times New Roman"/>
                <w:sz w:val="24"/>
              </w:rPr>
              <w:t>RELEVANT INDICATOR</w:t>
            </w:r>
          </w:p>
          <w:p w:rsidR="00AC6255" w:rsidRPr="00661595" w:rsidRDefault="00AC6255" w:rsidP="000B0B09">
            <w:pPr>
              <w:autoSpaceDE w:val="0"/>
              <w:autoSpaceDN w:val="0"/>
              <w:adjustRightInd w:val="0"/>
              <w:spacing w:before="0" w:after="0"/>
              <w:jc w:val="left"/>
              <w:rPr>
                <w:rFonts w:ascii="Times New Roman" w:hAnsi="Times New Roman"/>
                <w:bCs/>
                <w:sz w:val="24"/>
                <w:lang w:eastAsia="nl-BE"/>
              </w:rPr>
            </w:pPr>
          </w:p>
          <w:p w:rsidR="00AC6255" w:rsidRPr="00661595" w:rsidRDefault="00AC6255" w:rsidP="000B0B09">
            <w:pPr>
              <w:autoSpaceDE w:val="0"/>
              <w:autoSpaceDN w:val="0"/>
              <w:adjustRightInd w:val="0"/>
              <w:spacing w:before="0" w:after="0"/>
              <w:rPr>
                <w:rFonts w:ascii="Times New Roman" w:hAnsi="Times New Roman"/>
                <w:sz w:val="24"/>
                <w:lang w:eastAsia="de-DE"/>
              </w:rPr>
            </w:pPr>
            <w:r w:rsidRPr="00661595">
              <w:rPr>
                <w:rFonts w:ascii="Times New Roman" w:hAnsi="Times New Roman"/>
                <w:sz w:val="24"/>
                <w:lang w:eastAsia="de-DE"/>
              </w:rPr>
              <w:t xml:space="preserve">Institutions using the relevant indicator to calculate the own funds requirement for operational risk (BIA, TSA and ASA) </w:t>
            </w:r>
            <w:r w:rsidR="001C3443" w:rsidRPr="00661595">
              <w:rPr>
                <w:rFonts w:ascii="Times New Roman" w:hAnsi="Times New Roman"/>
                <w:sz w:val="24"/>
                <w:lang w:eastAsia="de-DE"/>
              </w:rPr>
              <w:t xml:space="preserve">shall </w:t>
            </w:r>
            <w:r w:rsidRPr="00661595">
              <w:rPr>
                <w:rFonts w:ascii="Times New Roman" w:hAnsi="Times New Roman"/>
                <w:sz w:val="24"/>
                <w:lang w:eastAsia="de-DE"/>
              </w:rPr>
              <w:t xml:space="preserve">report </w:t>
            </w:r>
            <w:r w:rsidR="001C3443" w:rsidRPr="00661595">
              <w:rPr>
                <w:rFonts w:ascii="Times New Roman" w:hAnsi="Times New Roman"/>
                <w:sz w:val="24"/>
                <w:lang w:eastAsia="de-DE"/>
              </w:rPr>
              <w:t xml:space="preserve">the </w:t>
            </w:r>
            <w:r w:rsidRPr="00661595">
              <w:rPr>
                <w:rFonts w:ascii="Times New Roman" w:hAnsi="Times New Roman"/>
                <w:sz w:val="24"/>
                <w:lang w:eastAsia="de-DE"/>
              </w:rPr>
              <w:t xml:space="preserve">relevant indicator for the respective years in columns </w:t>
            </w:r>
            <w:r w:rsidR="00F20C33" w:rsidRPr="00661595">
              <w:rPr>
                <w:rFonts w:ascii="Times New Roman" w:hAnsi="Times New Roman"/>
                <w:sz w:val="24"/>
                <w:lang w:eastAsia="de-DE"/>
              </w:rPr>
              <w:t>0</w:t>
            </w:r>
            <w:r w:rsidRPr="00661595">
              <w:rPr>
                <w:rFonts w:ascii="Times New Roman" w:hAnsi="Times New Roman"/>
                <w:sz w:val="24"/>
                <w:lang w:eastAsia="de-DE"/>
              </w:rPr>
              <w:t xml:space="preserve">010 to </w:t>
            </w:r>
            <w:r w:rsidR="00F20C33" w:rsidRPr="00661595">
              <w:rPr>
                <w:rFonts w:ascii="Times New Roman" w:hAnsi="Times New Roman"/>
                <w:sz w:val="24"/>
                <w:lang w:eastAsia="de-DE"/>
              </w:rPr>
              <w:t>0</w:t>
            </w:r>
            <w:r w:rsidRPr="00661595">
              <w:rPr>
                <w:rFonts w:ascii="Times New Roman" w:hAnsi="Times New Roman"/>
                <w:sz w:val="24"/>
                <w:lang w:eastAsia="de-DE"/>
              </w:rPr>
              <w:t xml:space="preserve">030. Moreover, in case of a combined use of different approaches as referred in Article </w:t>
            </w:r>
            <w:r w:rsidR="00474C49" w:rsidRPr="00661595">
              <w:rPr>
                <w:rFonts w:ascii="Times New Roman" w:hAnsi="Times New Roman"/>
                <w:sz w:val="24"/>
                <w:lang w:eastAsia="de-DE"/>
              </w:rPr>
              <w:t xml:space="preserve">314 </w:t>
            </w:r>
            <w:r w:rsidR="00C7103D" w:rsidRPr="00661595">
              <w:rPr>
                <w:rFonts w:ascii="Times New Roman" w:hAnsi="Times New Roman"/>
                <w:sz w:val="24"/>
                <w:lang w:eastAsia="de-DE"/>
              </w:rPr>
              <w:t>CRR</w:t>
            </w:r>
            <w:r w:rsidRPr="00661595">
              <w:rPr>
                <w:rFonts w:ascii="Times New Roman" w:hAnsi="Times New Roman"/>
                <w:sz w:val="24"/>
                <w:lang w:eastAsia="de-DE"/>
              </w:rPr>
              <w:t xml:space="preserve">, institutions </w:t>
            </w:r>
            <w:r w:rsidR="001C3443" w:rsidRPr="00661595">
              <w:rPr>
                <w:rFonts w:ascii="Times New Roman" w:hAnsi="Times New Roman"/>
                <w:sz w:val="24"/>
                <w:lang w:eastAsia="de-DE"/>
              </w:rPr>
              <w:t xml:space="preserve">shall also </w:t>
            </w:r>
            <w:r w:rsidRPr="00661595">
              <w:rPr>
                <w:rFonts w:ascii="Times New Roman" w:hAnsi="Times New Roman"/>
                <w:sz w:val="24"/>
                <w:lang w:eastAsia="de-DE"/>
              </w:rPr>
              <w:t xml:space="preserve">report, for information purposes, relevant </w:t>
            </w:r>
            <w:r w:rsidR="001C3443" w:rsidRPr="00661595">
              <w:rPr>
                <w:rFonts w:ascii="Times New Roman" w:hAnsi="Times New Roman"/>
                <w:sz w:val="24"/>
                <w:lang w:eastAsia="de-DE"/>
              </w:rPr>
              <w:t xml:space="preserve">the </w:t>
            </w:r>
            <w:r w:rsidRPr="00661595">
              <w:rPr>
                <w:rFonts w:ascii="Times New Roman" w:hAnsi="Times New Roman"/>
                <w:sz w:val="24"/>
                <w:lang w:eastAsia="de-DE"/>
              </w:rPr>
              <w:t xml:space="preserve">indicator for the activities subject to AMA. </w:t>
            </w:r>
            <w:r w:rsidR="001C3443" w:rsidRPr="00661595">
              <w:rPr>
                <w:rFonts w:ascii="Times New Roman" w:hAnsi="Times New Roman"/>
                <w:sz w:val="24"/>
                <w:lang w:eastAsia="de-DE"/>
              </w:rPr>
              <w:t xml:space="preserve">The same shall apply </w:t>
            </w:r>
            <w:r w:rsidRPr="00661595">
              <w:rPr>
                <w:rFonts w:ascii="Times New Roman" w:hAnsi="Times New Roman"/>
                <w:sz w:val="24"/>
                <w:lang w:eastAsia="de-DE"/>
              </w:rPr>
              <w:t>for all other AMA banks.</w:t>
            </w:r>
          </w:p>
          <w:p w:rsidR="00AC6255" w:rsidRPr="00661595" w:rsidRDefault="00AC6255" w:rsidP="000B0B09">
            <w:pPr>
              <w:autoSpaceDE w:val="0"/>
              <w:autoSpaceDN w:val="0"/>
              <w:adjustRightInd w:val="0"/>
              <w:spacing w:before="0" w:after="0"/>
              <w:rPr>
                <w:rFonts w:ascii="Times New Roman" w:hAnsi="Times New Roman"/>
                <w:bCs/>
                <w:strike/>
                <w:sz w:val="24"/>
                <w:lang w:eastAsia="nl-BE"/>
              </w:rPr>
            </w:pPr>
          </w:p>
          <w:p w:rsidR="00AC6255" w:rsidRPr="00661595" w:rsidRDefault="00AC6255" w:rsidP="000B0B09">
            <w:pPr>
              <w:autoSpaceDE w:val="0"/>
              <w:autoSpaceDN w:val="0"/>
              <w:adjustRightInd w:val="0"/>
              <w:spacing w:before="0" w:after="0"/>
              <w:rPr>
                <w:rFonts w:ascii="Times New Roman" w:hAnsi="Times New Roman"/>
                <w:bCs/>
                <w:sz w:val="24"/>
                <w:lang w:eastAsia="nl-BE"/>
              </w:rPr>
            </w:pPr>
            <w:r w:rsidRPr="00661595">
              <w:rPr>
                <w:rFonts w:ascii="Times New Roman" w:hAnsi="Times New Roman"/>
                <w:sz w:val="24"/>
                <w:lang w:eastAsia="de-DE"/>
              </w:rPr>
              <w:t xml:space="preserve">Hereafter, the term "relevant indicator" refers to "the sum of the elements" </w:t>
            </w:r>
            <w:r w:rsidRPr="00661595">
              <w:rPr>
                <w:rFonts w:ascii="Times New Roman" w:hAnsi="Times New Roman"/>
                <w:sz w:val="24"/>
              </w:rPr>
              <w:t>at the end of the financial year</w:t>
            </w:r>
            <w:r w:rsidRPr="00661595">
              <w:rPr>
                <w:rFonts w:ascii="Times New Roman" w:hAnsi="Times New Roman"/>
                <w:sz w:val="24"/>
                <w:lang w:eastAsia="de-DE"/>
              </w:rPr>
              <w:t xml:space="preserve"> as </w:t>
            </w:r>
            <w:r w:rsidR="001C3443" w:rsidRPr="00661595">
              <w:rPr>
                <w:rFonts w:ascii="Times New Roman" w:hAnsi="Times New Roman"/>
                <w:sz w:val="24"/>
                <w:lang w:eastAsia="de-DE"/>
              </w:rPr>
              <w:t xml:space="preserve">referred to </w:t>
            </w:r>
            <w:r w:rsidRPr="00661595">
              <w:rPr>
                <w:rFonts w:ascii="Times New Roman" w:hAnsi="Times New Roman"/>
                <w:sz w:val="24"/>
                <w:lang w:eastAsia="de-DE"/>
              </w:rPr>
              <w:t xml:space="preserve">in </w:t>
            </w:r>
            <w:r w:rsidR="001C3443" w:rsidRPr="00661595">
              <w:rPr>
                <w:rFonts w:ascii="Times New Roman" w:hAnsi="Times New Roman"/>
                <w:sz w:val="24"/>
                <w:lang w:eastAsia="de-DE"/>
              </w:rPr>
              <w:t xml:space="preserve">point 1 in </w:t>
            </w:r>
            <w:r w:rsidR="00705025" w:rsidRPr="00661595">
              <w:rPr>
                <w:rFonts w:ascii="Times New Roman" w:hAnsi="Times New Roman"/>
                <w:sz w:val="24"/>
                <w:lang w:eastAsia="de-DE"/>
              </w:rPr>
              <w:t xml:space="preserve">Table 1 of </w:t>
            </w:r>
            <w:r w:rsidRPr="00661595">
              <w:rPr>
                <w:rFonts w:ascii="Times New Roman" w:hAnsi="Times New Roman"/>
                <w:sz w:val="24"/>
                <w:lang w:eastAsia="de-DE"/>
              </w:rPr>
              <w:t xml:space="preserve">Article </w:t>
            </w:r>
            <w:r w:rsidR="00474C49" w:rsidRPr="00661595">
              <w:rPr>
                <w:rFonts w:ascii="Times New Roman" w:hAnsi="Times New Roman"/>
                <w:sz w:val="24"/>
                <w:lang w:eastAsia="de-DE"/>
              </w:rPr>
              <w:t xml:space="preserve">316 </w:t>
            </w:r>
            <w:r w:rsidR="00C7103D" w:rsidRPr="00661595">
              <w:rPr>
                <w:rFonts w:ascii="Times New Roman" w:hAnsi="Times New Roman"/>
                <w:sz w:val="24"/>
                <w:lang w:eastAsia="de-DE"/>
              </w:rPr>
              <w:t>CRR</w:t>
            </w:r>
            <w:r w:rsidRPr="00661595">
              <w:rPr>
                <w:rFonts w:ascii="Times New Roman" w:hAnsi="Times New Roman"/>
                <w:sz w:val="24"/>
                <w:lang w:eastAsia="de-DE"/>
              </w:rPr>
              <w:t xml:space="preserve">. </w:t>
            </w:r>
          </w:p>
          <w:p w:rsidR="00AC6255" w:rsidRPr="00661595" w:rsidRDefault="00AC6255" w:rsidP="000B0B09">
            <w:pPr>
              <w:autoSpaceDE w:val="0"/>
              <w:autoSpaceDN w:val="0"/>
              <w:adjustRightInd w:val="0"/>
              <w:spacing w:before="0" w:after="0"/>
              <w:rPr>
                <w:rFonts w:ascii="Times New Roman" w:hAnsi="Times New Roman"/>
                <w:sz w:val="24"/>
                <w:lang w:eastAsia="de-DE"/>
              </w:rPr>
            </w:pPr>
          </w:p>
          <w:p w:rsidR="00AC6255" w:rsidRPr="00661595" w:rsidRDefault="001C3443" w:rsidP="000B0B09">
            <w:pPr>
              <w:autoSpaceDE w:val="0"/>
              <w:autoSpaceDN w:val="0"/>
              <w:adjustRightInd w:val="0"/>
              <w:spacing w:before="0" w:after="0"/>
              <w:rPr>
                <w:rFonts w:ascii="Times New Roman" w:hAnsi="Times New Roman"/>
                <w:sz w:val="24"/>
                <w:lang w:eastAsia="de-DE"/>
              </w:rPr>
            </w:pPr>
            <w:r w:rsidRPr="00661595">
              <w:rPr>
                <w:rFonts w:ascii="Times New Roman" w:hAnsi="Times New Roman"/>
                <w:sz w:val="24"/>
                <w:lang w:eastAsia="de-DE"/>
              </w:rPr>
              <w:t>Where</w:t>
            </w:r>
            <w:r w:rsidR="00AC6255" w:rsidRPr="00661595">
              <w:rPr>
                <w:rFonts w:ascii="Times New Roman" w:hAnsi="Times New Roman"/>
                <w:sz w:val="24"/>
                <w:lang w:eastAsia="de-DE"/>
              </w:rPr>
              <w:t xml:space="preserve"> the institution has less than 3 years of data on “relevant indicator” available, the available historical data (audited figures) </w:t>
            </w:r>
            <w:r w:rsidR="00B811B0" w:rsidRPr="00661595">
              <w:rPr>
                <w:rFonts w:ascii="Times New Roman" w:hAnsi="Times New Roman"/>
                <w:sz w:val="24"/>
                <w:lang w:eastAsia="de-DE"/>
              </w:rPr>
              <w:t>shall</w:t>
            </w:r>
            <w:r w:rsidR="00AC6255" w:rsidRPr="00661595">
              <w:rPr>
                <w:rFonts w:ascii="Times New Roman" w:hAnsi="Times New Roman"/>
                <w:sz w:val="24"/>
                <w:lang w:eastAsia="de-DE"/>
              </w:rPr>
              <w:t xml:space="preserve"> be assigned by priority to the corresponding columns in the </w:t>
            </w:r>
            <w:r w:rsidR="00133396" w:rsidRPr="00661595">
              <w:rPr>
                <w:rFonts w:ascii="Times New Roman" w:hAnsi="Times New Roman"/>
                <w:sz w:val="24"/>
                <w:lang w:eastAsia="de-DE"/>
              </w:rPr>
              <w:t>template</w:t>
            </w:r>
            <w:r w:rsidR="00AC6255" w:rsidRPr="00661595">
              <w:rPr>
                <w:rFonts w:ascii="Times New Roman" w:hAnsi="Times New Roman"/>
                <w:sz w:val="24"/>
                <w:lang w:eastAsia="de-DE"/>
              </w:rPr>
              <w:t xml:space="preserve">. </w:t>
            </w:r>
            <w:r w:rsidRPr="00661595">
              <w:rPr>
                <w:rFonts w:ascii="Times New Roman" w:hAnsi="Times New Roman"/>
                <w:sz w:val="24"/>
                <w:lang w:eastAsia="de-DE"/>
              </w:rPr>
              <w:t>Where</w:t>
            </w:r>
            <w:r w:rsidR="00AC6255" w:rsidRPr="00661595">
              <w:rPr>
                <w:rFonts w:ascii="Times New Roman" w:hAnsi="Times New Roman"/>
                <w:sz w:val="24"/>
                <w:lang w:eastAsia="de-DE"/>
              </w:rPr>
              <w:t xml:space="preserve">, for instance, historical data for only one year is available, </w:t>
            </w:r>
            <w:r w:rsidRPr="00661595">
              <w:rPr>
                <w:rFonts w:ascii="Times New Roman" w:hAnsi="Times New Roman"/>
                <w:sz w:val="24"/>
                <w:lang w:eastAsia="de-DE"/>
              </w:rPr>
              <w:t>those data</w:t>
            </w:r>
            <w:r w:rsidR="00AC6255" w:rsidRPr="00661595">
              <w:rPr>
                <w:rFonts w:ascii="Times New Roman" w:hAnsi="Times New Roman"/>
                <w:sz w:val="24"/>
                <w:lang w:eastAsia="de-DE"/>
              </w:rPr>
              <w:t xml:space="preserve"> </w:t>
            </w:r>
            <w:r w:rsidR="00B811B0" w:rsidRPr="00661595">
              <w:rPr>
                <w:rFonts w:ascii="Times New Roman" w:hAnsi="Times New Roman"/>
                <w:sz w:val="24"/>
                <w:lang w:eastAsia="de-DE"/>
              </w:rPr>
              <w:t>shall</w:t>
            </w:r>
            <w:r w:rsidR="00AC6255" w:rsidRPr="00661595">
              <w:rPr>
                <w:rFonts w:ascii="Times New Roman" w:hAnsi="Times New Roman"/>
                <w:sz w:val="24"/>
                <w:lang w:eastAsia="de-DE"/>
              </w:rPr>
              <w:t xml:space="preserve"> be reported in column </w:t>
            </w:r>
            <w:r w:rsidR="00F20C33" w:rsidRPr="00661595">
              <w:rPr>
                <w:rFonts w:ascii="Times New Roman" w:hAnsi="Times New Roman"/>
                <w:sz w:val="24"/>
                <w:lang w:eastAsia="de-DE"/>
              </w:rPr>
              <w:t>0</w:t>
            </w:r>
            <w:r w:rsidR="00AC6255" w:rsidRPr="00661595">
              <w:rPr>
                <w:rFonts w:ascii="Times New Roman" w:hAnsi="Times New Roman"/>
                <w:sz w:val="24"/>
                <w:lang w:eastAsia="de-DE"/>
              </w:rPr>
              <w:t xml:space="preserve">030. </w:t>
            </w:r>
            <w:r w:rsidRPr="00661595">
              <w:rPr>
                <w:rFonts w:ascii="Times New Roman" w:hAnsi="Times New Roman"/>
                <w:sz w:val="24"/>
                <w:lang w:eastAsia="de-DE"/>
              </w:rPr>
              <w:t>Where</w:t>
            </w:r>
            <w:r w:rsidR="00AC6255" w:rsidRPr="00661595">
              <w:rPr>
                <w:rFonts w:ascii="Times New Roman" w:hAnsi="Times New Roman"/>
                <w:sz w:val="24"/>
                <w:lang w:eastAsia="de-DE"/>
              </w:rPr>
              <w:t xml:space="preserve"> it seems reasonable, the forward looking estimates </w:t>
            </w:r>
            <w:r w:rsidR="00B811B0" w:rsidRPr="00661595">
              <w:rPr>
                <w:rFonts w:ascii="Times New Roman" w:hAnsi="Times New Roman"/>
                <w:sz w:val="24"/>
                <w:lang w:eastAsia="de-DE"/>
              </w:rPr>
              <w:t>shall</w:t>
            </w:r>
            <w:r w:rsidR="00AC6255" w:rsidRPr="00661595">
              <w:rPr>
                <w:rFonts w:ascii="Times New Roman" w:hAnsi="Times New Roman"/>
                <w:sz w:val="24"/>
                <w:lang w:eastAsia="de-DE"/>
              </w:rPr>
              <w:t xml:space="preserve"> be included in column </w:t>
            </w:r>
            <w:r w:rsidR="00F20C33" w:rsidRPr="00661595">
              <w:rPr>
                <w:rFonts w:ascii="Times New Roman" w:hAnsi="Times New Roman"/>
                <w:sz w:val="24"/>
                <w:lang w:eastAsia="de-DE"/>
              </w:rPr>
              <w:t>0</w:t>
            </w:r>
            <w:r w:rsidR="00AC6255" w:rsidRPr="00661595">
              <w:rPr>
                <w:rFonts w:ascii="Times New Roman" w:hAnsi="Times New Roman"/>
                <w:sz w:val="24"/>
                <w:lang w:eastAsia="de-DE"/>
              </w:rPr>
              <w:t xml:space="preserve">020 (estimate of next year) and column </w:t>
            </w:r>
            <w:r w:rsidR="00F20C33" w:rsidRPr="00661595">
              <w:rPr>
                <w:rFonts w:ascii="Times New Roman" w:hAnsi="Times New Roman"/>
                <w:sz w:val="24"/>
                <w:lang w:eastAsia="de-DE"/>
              </w:rPr>
              <w:t>0</w:t>
            </w:r>
            <w:r w:rsidR="00AC6255" w:rsidRPr="00661595">
              <w:rPr>
                <w:rFonts w:ascii="Times New Roman" w:hAnsi="Times New Roman"/>
                <w:sz w:val="24"/>
                <w:lang w:eastAsia="de-DE"/>
              </w:rPr>
              <w:t>010 (estimate of year +2).</w:t>
            </w:r>
          </w:p>
          <w:p w:rsidR="00AC6255" w:rsidRPr="00661595" w:rsidRDefault="00AC6255" w:rsidP="000B0B09">
            <w:pPr>
              <w:autoSpaceDE w:val="0"/>
              <w:autoSpaceDN w:val="0"/>
              <w:adjustRightInd w:val="0"/>
              <w:spacing w:before="0" w:after="0"/>
              <w:rPr>
                <w:rFonts w:ascii="Times New Roman" w:hAnsi="Times New Roman"/>
                <w:i/>
                <w:sz w:val="24"/>
              </w:rPr>
            </w:pPr>
          </w:p>
          <w:p w:rsidR="00AC6255" w:rsidRPr="00661595" w:rsidRDefault="00AC6255" w:rsidP="000B0B09">
            <w:pPr>
              <w:autoSpaceDE w:val="0"/>
              <w:autoSpaceDN w:val="0"/>
              <w:adjustRightInd w:val="0"/>
              <w:spacing w:before="0" w:after="0"/>
              <w:rPr>
                <w:rFonts w:ascii="Times New Roman" w:hAnsi="Times New Roman"/>
                <w:sz w:val="24"/>
              </w:rPr>
            </w:pPr>
            <w:r w:rsidRPr="00661595">
              <w:rPr>
                <w:rFonts w:ascii="Times New Roman" w:hAnsi="Times New Roman"/>
                <w:sz w:val="24"/>
              </w:rPr>
              <w:t>Furthermore</w:t>
            </w:r>
            <w:r w:rsidR="001C3443" w:rsidRPr="00661595">
              <w:rPr>
                <w:rFonts w:ascii="Times New Roman" w:hAnsi="Times New Roman"/>
                <w:sz w:val="24"/>
              </w:rPr>
              <w:t>,</w:t>
            </w:r>
            <w:r w:rsidRPr="00661595">
              <w:rPr>
                <w:rFonts w:ascii="Times New Roman" w:hAnsi="Times New Roman"/>
                <w:sz w:val="24"/>
              </w:rPr>
              <w:t xml:space="preserve"> </w:t>
            </w:r>
            <w:r w:rsidR="001C3443" w:rsidRPr="00661595">
              <w:rPr>
                <w:rFonts w:ascii="Times New Roman" w:hAnsi="Times New Roman"/>
                <w:sz w:val="24"/>
              </w:rPr>
              <w:t>where</w:t>
            </w:r>
            <w:r w:rsidRPr="00661595">
              <w:rPr>
                <w:rFonts w:ascii="Times New Roman" w:hAnsi="Times New Roman"/>
                <w:sz w:val="24"/>
              </w:rPr>
              <w:t xml:space="preserve"> there are no historical data on </w:t>
            </w:r>
            <w:r w:rsidRPr="00661595">
              <w:rPr>
                <w:rFonts w:ascii="Times New Roman" w:hAnsi="Times New Roman"/>
                <w:sz w:val="24"/>
                <w:lang w:eastAsia="de-DE"/>
              </w:rPr>
              <w:t xml:space="preserve">"relevant indicator" </w:t>
            </w:r>
            <w:r w:rsidRPr="00661595">
              <w:rPr>
                <w:rFonts w:ascii="Times New Roman" w:hAnsi="Times New Roman"/>
                <w:sz w:val="24"/>
              </w:rPr>
              <w:t>available</w:t>
            </w:r>
            <w:r w:rsidR="001C3443" w:rsidRPr="00661595">
              <w:rPr>
                <w:rFonts w:ascii="Times New Roman" w:hAnsi="Times New Roman"/>
                <w:sz w:val="24"/>
              </w:rPr>
              <w:t>,</w:t>
            </w:r>
            <w:r w:rsidRPr="00661595">
              <w:rPr>
                <w:rFonts w:ascii="Times New Roman" w:hAnsi="Times New Roman"/>
                <w:sz w:val="24"/>
              </w:rPr>
              <w:t xml:space="preserve"> the institution may use forward-looking business estimates.</w:t>
            </w:r>
          </w:p>
          <w:p w:rsidR="00AC6255" w:rsidRPr="00661595" w:rsidRDefault="00AC6255" w:rsidP="000B0B09">
            <w:pPr>
              <w:autoSpaceDE w:val="0"/>
              <w:autoSpaceDN w:val="0"/>
              <w:adjustRightInd w:val="0"/>
              <w:spacing w:before="0" w:after="0"/>
              <w:jc w:val="left"/>
              <w:rPr>
                <w:rFonts w:ascii="Times New Roman" w:hAnsi="Times New Roman"/>
                <w:bCs/>
                <w:sz w:val="24"/>
                <w:lang w:eastAsia="nl-BE"/>
              </w:rPr>
            </w:pPr>
          </w:p>
        </w:tc>
      </w:tr>
      <w:tr w:rsidR="00AC6255" w:rsidRPr="00661595" w:rsidTr="00672D2A">
        <w:tc>
          <w:tcPr>
            <w:tcW w:w="985" w:type="dxa"/>
          </w:tcPr>
          <w:p w:rsidR="00AC6255" w:rsidRPr="00661595" w:rsidRDefault="00F20C33" w:rsidP="000F70EC">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w:t>
            </w:r>
            <w:r w:rsidR="00AC6255" w:rsidRPr="00661595">
              <w:rPr>
                <w:rFonts w:ascii="Times New Roman" w:hAnsi="Times New Roman"/>
                <w:bCs/>
                <w:sz w:val="24"/>
                <w:lang w:eastAsia="nl-BE"/>
              </w:rPr>
              <w:t>040-</w:t>
            </w:r>
            <w:r w:rsidRPr="00661595">
              <w:rPr>
                <w:rFonts w:ascii="Times New Roman" w:hAnsi="Times New Roman"/>
                <w:bCs/>
                <w:sz w:val="24"/>
                <w:lang w:eastAsia="nl-BE"/>
              </w:rPr>
              <w:t>0</w:t>
            </w:r>
            <w:r w:rsidR="00AC6255" w:rsidRPr="00661595">
              <w:rPr>
                <w:rFonts w:ascii="Times New Roman" w:hAnsi="Times New Roman"/>
                <w:bCs/>
                <w:sz w:val="24"/>
                <w:lang w:eastAsia="nl-BE"/>
              </w:rPr>
              <w:t>060</w:t>
            </w:r>
          </w:p>
        </w:tc>
        <w:tc>
          <w:tcPr>
            <w:tcW w:w="7877" w:type="dxa"/>
          </w:tcPr>
          <w:p w:rsidR="00AC6255" w:rsidRPr="00661595" w:rsidRDefault="00AC6255" w:rsidP="000B0B09">
            <w:pPr>
              <w:autoSpaceDE w:val="0"/>
              <w:autoSpaceDN w:val="0"/>
              <w:adjustRightInd w:val="0"/>
              <w:spacing w:before="0" w:after="0"/>
              <w:jc w:val="left"/>
              <w:rPr>
                <w:rStyle w:val="InstructionsTabelleberschrift"/>
                <w:rFonts w:ascii="Times New Roman" w:hAnsi="Times New Roman"/>
                <w:sz w:val="24"/>
              </w:rPr>
            </w:pPr>
            <w:r w:rsidRPr="00661595">
              <w:rPr>
                <w:rStyle w:val="InstructionsTabelleberschrift"/>
                <w:rFonts w:ascii="Times New Roman" w:hAnsi="Times New Roman"/>
                <w:sz w:val="24"/>
              </w:rPr>
              <w:t>LOANS AND ADVANCES (IN THE CASE OF ASA APPLICATION)</w:t>
            </w:r>
          </w:p>
          <w:p w:rsidR="00AC6255" w:rsidRPr="00661595" w:rsidRDefault="00AC6255" w:rsidP="000B0B09">
            <w:pPr>
              <w:autoSpaceDE w:val="0"/>
              <w:autoSpaceDN w:val="0"/>
              <w:adjustRightInd w:val="0"/>
              <w:spacing w:before="0" w:after="0"/>
              <w:jc w:val="left"/>
              <w:rPr>
                <w:rFonts w:ascii="Times New Roman" w:hAnsi="Times New Roman"/>
                <w:bCs/>
                <w:sz w:val="24"/>
                <w:lang w:eastAsia="nl-BE"/>
              </w:rPr>
            </w:pPr>
          </w:p>
          <w:p w:rsidR="00AC6255" w:rsidRPr="00661595" w:rsidRDefault="00AC6255" w:rsidP="000B0B09">
            <w:pPr>
              <w:autoSpaceDE w:val="0"/>
              <w:autoSpaceDN w:val="0"/>
              <w:adjustRightInd w:val="0"/>
              <w:spacing w:before="0" w:after="0"/>
              <w:rPr>
                <w:rFonts w:ascii="Times New Roman" w:hAnsi="Times New Roman"/>
                <w:sz w:val="24"/>
              </w:rPr>
            </w:pPr>
            <w:r w:rsidRPr="00661595">
              <w:rPr>
                <w:rFonts w:ascii="Times New Roman" w:hAnsi="Times New Roman"/>
                <w:sz w:val="24"/>
              </w:rPr>
              <w:t>These columns shall be used to report the amounts of the loans and advances</w:t>
            </w:r>
            <w:r w:rsidR="0023276A" w:rsidRPr="00661595">
              <w:rPr>
                <w:rFonts w:ascii="Times New Roman" w:hAnsi="Times New Roman"/>
                <w:sz w:val="24"/>
              </w:rPr>
              <w:t>,</w:t>
            </w:r>
            <w:r w:rsidRPr="00661595">
              <w:rPr>
                <w:rFonts w:ascii="Times New Roman" w:hAnsi="Times New Roman"/>
                <w:sz w:val="24"/>
              </w:rPr>
              <w:t xml:space="preserve"> </w:t>
            </w:r>
            <w:r w:rsidR="0023276A" w:rsidRPr="00661595">
              <w:rPr>
                <w:rFonts w:ascii="Times New Roman" w:hAnsi="Times New Roman"/>
                <w:sz w:val="24"/>
              </w:rPr>
              <w:t xml:space="preserve">as referred to in point (b) of Article 319(1) </w:t>
            </w:r>
            <w:r w:rsidR="0023276A" w:rsidRPr="00661595">
              <w:rPr>
                <w:rFonts w:ascii="Times New Roman" w:hAnsi="Times New Roman"/>
                <w:sz w:val="24"/>
                <w:lang w:eastAsia="de-DE"/>
              </w:rPr>
              <w:t>CRR,</w:t>
            </w:r>
            <w:r w:rsidR="0023276A" w:rsidRPr="00661595">
              <w:rPr>
                <w:rFonts w:ascii="Times New Roman" w:hAnsi="Times New Roman"/>
                <w:sz w:val="24"/>
              </w:rPr>
              <w:t xml:space="preserve"> </w:t>
            </w:r>
            <w:r w:rsidRPr="00661595">
              <w:rPr>
                <w:rFonts w:ascii="Times New Roman" w:hAnsi="Times New Roman"/>
                <w:sz w:val="24"/>
              </w:rPr>
              <w:t>for business lines “</w:t>
            </w:r>
            <w:r w:rsidR="001C3443" w:rsidRPr="00661595">
              <w:rPr>
                <w:rFonts w:ascii="Times New Roman" w:hAnsi="Times New Roman"/>
                <w:sz w:val="24"/>
              </w:rPr>
              <w:t>c</w:t>
            </w:r>
            <w:r w:rsidRPr="00661595">
              <w:rPr>
                <w:rFonts w:ascii="Times New Roman" w:hAnsi="Times New Roman"/>
                <w:sz w:val="24"/>
              </w:rPr>
              <w:t>ommercial banking” and “</w:t>
            </w:r>
            <w:r w:rsidR="001C3443" w:rsidRPr="00661595">
              <w:rPr>
                <w:rFonts w:ascii="Times New Roman" w:hAnsi="Times New Roman"/>
                <w:sz w:val="24"/>
              </w:rPr>
              <w:t>r</w:t>
            </w:r>
            <w:r w:rsidRPr="00661595">
              <w:rPr>
                <w:rFonts w:ascii="Times New Roman" w:hAnsi="Times New Roman"/>
                <w:sz w:val="24"/>
              </w:rPr>
              <w:t>etail banking”. Th</w:t>
            </w:r>
            <w:r w:rsidR="001C3443" w:rsidRPr="00661595">
              <w:rPr>
                <w:rFonts w:ascii="Times New Roman" w:hAnsi="Times New Roman"/>
                <w:sz w:val="24"/>
              </w:rPr>
              <w:t>o</w:t>
            </w:r>
            <w:r w:rsidRPr="00661595">
              <w:rPr>
                <w:rFonts w:ascii="Times New Roman" w:hAnsi="Times New Roman"/>
                <w:sz w:val="24"/>
              </w:rPr>
              <w:t xml:space="preserve">se amounts shall be used to calculate the alternative relevant indicator that leads to the own funds requirements corresponding to the activities subject to </w:t>
            </w:r>
            <w:r w:rsidR="001C3443" w:rsidRPr="00661595">
              <w:rPr>
                <w:rFonts w:ascii="Times New Roman" w:hAnsi="Times New Roman"/>
                <w:sz w:val="24"/>
              </w:rPr>
              <w:t>the alternative standard approach</w:t>
            </w:r>
            <w:r w:rsidRPr="00661595">
              <w:rPr>
                <w:rFonts w:ascii="Times New Roman" w:hAnsi="Times New Roman"/>
                <w:sz w:val="24"/>
              </w:rPr>
              <w:t xml:space="preserve"> (</w:t>
            </w:r>
            <w:r w:rsidR="00705025" w:rsidRPr="00661595">
              <w:rPr>
                <w:rFonts w:ascii="Times New Roman" w:hAnsi="Times New Roman"/>
                <w:sz w:val="24"/>
              </w:rPr>
              <w:t xml:space="preserve">point (a) of </w:t>
            </w:r>
            <w:r w:rsidRPr="00661595">
              <w:rPr>
                <w:rFonts w:ascii="Times New Roman" w:hAnsi="Times New Roman"/>
                <w:sz w:val="24"/>
              </w:rPr>
              <w:t xml:space="preserve">Article </w:t>
            </w:r>
            <w:r w:rsidR="00474C49" w:rsidRPr="00661595">
              <w:rPr>
                <w:rFonts w:ascii="Times New Roman" w:hAnsi="Times New Roman"/>
                <w:sz w:val="24"/>
              </w:rPr>
              <w:t>319</w:t>
            </w:r>
            <w:r w:rsidRPr="00661595">
              <w:rPr>
                <w:rFonts w:ascii="Times New Roman" w:hAnsi="Times New Roman"/>
                <w:sz w:val="24"/>
              </w:rPr>
              <w:t xml:space="preserve">(1) </w:t>
            </w:r>
            <w:r w:rsidR="00C7103D" w:rsidRPr="00661595">
              <w:rPr>
                <w:rFonts w:ascii="Times New Roman" w:hAnsi="Times New Roman"/>
                <w:sz w:val="24"/>
                <w:lang w:eastAsia="de-DE"/>
              </w:rPr>
              <w:t>CRR</w:t>
            </w:r>
            <w:r w:rsidRPr="00661595">
              <w:rPr>
                <w:rFonts w:ascii="Times New Roman" w:hAnsi="Times New Roman"/>
                <w:sz w:val="24"/>
              </w:rPr>
              <w:t xml:space="preserve">). </w:t>
            </w:r>
          </w:p>
          <w:p w:rsidR="00AC6255" w:rsidRPr="00661595" w:rsidRDefault="00AC6255" w:rsidP="000B0B09">
            <w:pPr>
              <w:autoSpaceDE w:val="0"/>
              <w:autoSpaceDN w:val="0"/>
              <w:adjustRightInd w:val="0"/>
              <w:spacing w:before="0" w:after="0"/>
              <w:rPr>
                <w:rFonts w:ascii="Times New Roman" w:hAnsi="Times New Roman"/>
                <w:sz w:val="24"/>
              </w:rPr>
            </w:pPr>
          </w:p>
          <w:p w:rsidR="00AC6255" w:rsidRPr="00661595" w:rsidRDefault="00AC6255" w:rsidP="000B0B09">
            <w:pPr>
              <w:autoSpaceDE w:val="0"/>
              <w:autoSpaceDN w:val="0"/>
              <w:adjustRightInd w:val="0"/>
              <w:spacing w:before="0" w:after="0"/>
              <w:rPr>
                <w:rFonts w:ascii="Times New Roman" w:hAnsi="Times New Roman"/>
                <w:bCs/>
                <w:sz w:val="24"/>
                <w:lang w:eastAsia="nl-BE"/>
              </w:rPr>
            </w:pPr>
            <w:r w:rsidRPr="00661595">
              <w:rPr>
                <w:rFonts w:ascii="Times New Roman" w:hAnsi="Times New Roman"/>
                <w:sz w:val="24"/>
              </w:rPr>
              <w:t>For the "commercial banking" business line, securities held in the non-trading book shall also be included.</w:t>
            </w:r>
          </w:p>
        </w:tc>
      </w:tr>
      <w:tr w:rsidR="00AC6255" w:rsidRPr="00661595" w:rsidTr="00672D2A">
        <w:tc>
          <w:tcPr>
            <w:tcW w:w="985" w:type="dxa"/>
          </w:tcPr>
          <w:p w:rsidR="00AC6255" w:rsidRPr="00661595" w:rsidRDefault="00F20C33" w:rsidP="000B0B09">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w:t>
            </w:r>
            <w:r w:rsidR="00AC6255" w:rsidRPr="00661595">
              <w:rPr>
                <w:rFonts w:ascii="Times New Roman" w:hAnsi="Times New Roman"/>
                <w:bCs/>
                <w:sz w:val="24"/>
                <w:lang w:eastAsia="nl-BE"/>
              </w:rPr>
              <w:t>070</w:t>
            </w:r>
          </w:p>
        </w:tc>
        <w:tc>
          <w:tcPr>
            <w:tcW w:w="7877" w:type="dxa"/>
          </w:tcPr>
          <w:p w:rsidR="00AC6255" w:rsidRPr="00661595" w:rsidRDefault="00AC6255" w:rsidP="000B0B09">
            <w:pPr>
              <w:autoSpaceDE w:val="0"/>
              <w:autoSpaceDN w:val="0"/>
              <w:adjustRightInd w:val="0"/>
              <w:spacing w:before="0" w:after="0"/>
              <w:jc w:val="left"/>
              <w:rPr>
                <w:rStyle w:val="InstructionsTabelleberschrift"/>
                <w:rFonts w:ascii="Times New Roman" w:hAnsi="Times New Roman"/>
                <w:sz w:val="24"/>
              </w:rPr>
            </w:pPr>
            <w:r w:rsidRPr="00661595">
              <w:rPr>
                <w:rStyle w:val="InstructionsTabelleberschrift"/>
                <w:rFonts w:ascii="Times New Roman" w:hAnsi="Times New Roman"/>
                <w:sz w:val="24"/>
              </w:rPr>
              <w:t>OWN FUND REQUIREMENT</w:t>
            </w:r>
          </w:p>
          <w:p w:rsidR="00AC6255" w:rsidRPr="00661595" w:rsidRDefault="00AC6255" w:rsidP="000B0B09">
            <w:pPr>
              <w:autoSpaceDE w:val="0"/>
              <w:autoSpaceDN w:val="0"/>
              <w:adjustRightInd w:val="0"/>
              <w:spacing w:before="0" w:after="0"/>
              <w:jc w:val="left"/>
              <w:rPr>
                <w:rFonts w:ascii="Times New Roman" w:hAnsi="Times New Roman"/>
                <w:sz w:val="24"/>
                <w:lang w:eastAsia="de-DE"/>
              </w:rPr>
            </w:pPr>
          </w:p>
          <w:p w:rsidR="00AC6255" w:rsidRPr="00661595" w:rsidRDefault="00AC6255" w:rsidP="00454CFC">
            <w:pPr>
              <w:autoSpaceDE w:val="0"/>
              <w:autoSpaceDN w:val="0"/>
              <w:adjustRightInd w:val="0"/>
              <w:spacing w:before="0" w:after="0"/>
              <w:jc w:val="left"/>
              <w:rPr>
                <w:rFonts w:ascii="Times New Roman" w:hAnsi="Times New Roman"/>
                <w:bCs/>
                <w:sz w:val="24"/>
                <w:lang w:eastAsia="nl-BE"/>
              </w:rPr>
            </w:pPr>
            <w:r w:rsidRPr="00661595">
              <w:rPr>
                <w:rFonts w:ascii="Times New Roman" w:hAnsi="Times New Roman"/>
                <w:sz w:val="24"/>
              </w:rPr>
              <w:t xml:space="preserve">The own fund requirement </w:t>
            </w:r>
            <w:r w:rsidR="001C3443" w:rsidRPr="00661595">
              <w:rPr>
                <w:rFonts w:ascii="Times New Roman" w:hAnsi="Times New Roman"/>
                <w:sz w:val="24"/>
              </w:rPr>
              <w:t>shall be</w:t>
            </w:r>
            <w:r w:rsidRPr="00661595">
              <w:rPr>
                <w:rFonts w:ascii="Times New Roman" w:hAnsi="Times New Roman"/>
                <w:sz w:val="24"/>
              </w:rPr>
              <w:t xml:space="preserve"> calculated </w:t>
            </w:r>
            <w:r w:rsidR="00BB22D4" w:rsidRPr="00661595">
              <w:rPr>
                <w:rFonts w:ascii="Times New Roman" w:hAnsi="Times New Roman"/>
                <w:sz w:val="24"/>
              </w:rPr>
              <w:t>in accordance with</w:t>
            </w:r>
            <w:r w:rsidRPr="00661595">
              <w:rPr>
                <w:rFonts w:ascii="Times New Roman" w:hAnsi="Times New Roman"/>
                <w:sz w:val="24"/>
              </w:rPr>
              <w:t xml:space="preserve"> the approach</w:t>
            </w:r>
            <w:r w:rsidR="001C3443" w:rsidRPr="00661595">
              <w:rPr>
                <w:rFonts w:ascii="Times New Roman" w:hAnsi="Times New Roman"/>
                <w:sz w:val="24"/>
              </w:rPr>
              <w:t>es</w:t>
            </w:r>
            <w:r w:rsidRPr="00661595">
              <w:rPr>
                <w:rFonts w:ascii="Times New Roman" w:hAnsi="Times New Roman"/>
                <w:sz w:val="24"/>
              </w:rPr>
              <w:t xml:space="preserve"> used</w:t>
            </w:r>
            <w:r w:rsidR="001C3443" w:rsidRPr="00661595">
              <w:rPr>
                <w:rFonts w:ascii="Times New Roman" w:hAnsi="Times New Roman"/>
                <w:sz w:val="24"/>
              </w:rPr>
              <w:t xml:space="preserve"> </w:t>
            </w:r>
            <w:r w:rsidR="00454CFC" w:rsidRPr="00661595">
              <w:rPr>
                <w:rFonts w:ascii="Times New Roman" w:hAnsi="Times New Roman"/>
                <w:sz w:val="24"/>
              </w:rPr>
              <w:t>and in accordance with</w:t>
            </w:r>
            <w:r w:rsidRPr="00661595">
              <w:rPr>
                <w:rFonts w:ascii="Times New Roman" w:hAnsi="Times New Roman"/>
                <w:sz w:val="24"/>
              </w:rPr>
              <w:t xml:space="preserve">Articles </w:t>
            </w:r>
            <w:r w:rsidR="00955C81" w:rsidRPr="00661595">
              <w:rPr>
                <w:rFonts w:ascii="Times New Roman" w:hAnsi="Times New Roman"/>
                <w:sz w:val="24"/>
              </w:rPr>
              <w:t xml:space="preserve">312 </w:t>
            </w:r>
            <w:r w:rsidRPr="00661595">
              <w:rPr>
                <w:rFonts w:ascii="Times New Roman" w:hAnsi="Times New Roman"/>
                <w:sz w:val="24"/>
              </w:rPr>
              <w:t xml:space="preserve">to </w:t>
            </w:r>
            <w:r w:rsidR="00955C81" w:rsidRPr="00661595">
              <w:rPr>
                <w:rFonts w:ascii="Times New Roman" w:hAnsi="Times New Roman"/>
                <w:sz w:val="24"/>
              </w:rPr>
              <w:t xml:space="preserve">324 </w:t>
            </w:r>
            <w:r w:rsidR="00C7103D" w:rsidRPr="00661595">
              <w:rPr>
                <w:rFonts w:ascii="Times New Roman" w:hAnsi="Times New Roman"/>
                <w:sz w:val="24"/>
              </w:rPr>
              <w:t>CRR</w:t>
            </w:r>
            <w:r w:rsidR="00F20C33" w:rsidRPr="00661595">
              <w:rPr>
                <w:rFonts w:ascii="Times New Roman" w:hAnsi="Times New Roman"/>
                <w:sz w:val="24"/>
              </w:rPr>
              <w:t>.</w:t>
            </w:r>
            <w:r w:rsidR="00730040" w:rsidRPr="00661595">
              <w:rPr>
                <w:rFonts w:ascii="Times New Roman" w:hAnsi="Times New Roman"/>
                <w:sz w:val="24"/>
              </w:rPr>
              <w:t xml:space="preserve"> </w:t>
            </w:r>
            <w:r w:rsidRPr="00661595">
              <w:rPr>
                <w:rFonts w:ascii="Times New Roman" w:hAnsi="Times New Roman"/>
                <w:sz w:val="24"/>
              </w:rPr>
              <w:t xml:space="preserve">The resulting amount </w:t>
            </w:r>
            <w:r w:rsidR="001C3443" w:rsidRPr="00661595">
              <w:rPr>
                <w:rFonts w:ascii="Times New Roman" w:hAnsi="Times New Roman"/>
                <w:sz w:val="24"/>
              </w:rPr>
              <w:t>shall be</w:t>
            </w:r>
            <w:r w:rsidRPr="00661595">
              <w:rPr>
                <w:rFonts w:ascii="Times New Roman" w:hAnsi="Times New Roman"/>
                <w:sz w:val="24"/>
              </w:rPr>
              <w:t xml:space="preserve"> reported in column </w:t>
            </w:r>
            <w:r w:rsidR="00F20C33" w:rsidRPr="00661595">
              <w:rPr>
                <w:rFonts w:ascii="Times New Roman" w:hAnsi="Times New Roman"/>
                <w:sz w:val="24"/>
              </w:rPr>
              <w:t>0</w:t>
            </w:r>
            <w:r w:rsidRPr="00661595">
              <w:rPr>
                <w:rFonts w:ascii="Times New Roman" w:hAnsi="Times New Roman"/>
                <w:sz w:val="24"/>
              </w:rPr>
              <w:t>070.</w:t>
            </w:r>
          </w:p>
        </w:tc>
      </w:tr>
      <w:tr w:rsidR="00AC6255" w:rsidRPr="00661595" w:rsidTr="00672D2A">
        <w:tc>
          <w:tcPr>
            <w:tcW w:w="985" w:type="dxa"/>
          </w:tcPr>
          <w:p w:rsidR="00AC6255" w:rsidRPr="00661595" w:rsidRDefault="00F20C33" w:rsidP="000B0B09">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w:t>
            </w:r>
            <w:r w:rsidR="00AC6255" w:rsidRPr="00661595">
              <w:rPr>
                <w:rFonts w:ascii="Times New Roman" w:hAnsi="Times New Roman"/>
                <w:bCs/>
                <w:sz w:val="24"/>
                <w:lang w:eastAsia="nl-BE"/>
              </w:rPr>
              <w:t>071</w:t>
            </w:r>
          </w:p>
        </w:tc>
        <w:tc>
          <w:tcPr>
            <w:tcW w:w="7877" w:type="dxa"/>
          </w:tcPr>
          <w:p w:rsidR="00AC6255" w:rsidRPr="00661595" w:rsidRDefault="00AC6255" w:rsidP="000B0B09">
            <w:pPr>
              <w:autoSpaceDE w:val="0"/>
              <w:autoSpaceDN w:val="0"/>
              <w:adjustRightInd w:val="0"/>
              <w:spacing w:before="0" w:after="0"/>
              <w:jc w:val="left"/>
              <w:rPr>
                <w:rStyle w:val="InstructionsTabelleberschrift"/>
                <w:rFonts w:ascii="Times New Roman" w:hAnsi="Times New Roman"/>
                <w:sz w:val="24"/>
              </w:rPr>
            </w:pPr>
            <w:r w:rsidRPr="00661595">
              <w:rPr>
                <w:rStyle w:val="InstructionsTabelleberschrift"/>
                <w:rFonts w:ascii="Times New Roman" w:hAnsi="Times New Roman"/>
                <w:sz w:val="24"/>
              </w:rPr>
              <w:t>TOTAL OPERATIONAL RISK EXPOSURE AMOUNT</w:t>
            </w:r>
          </w:p>
          <w:p w:rsidR="00454CFC" w:rsidRPr="00661595" w:rsidRDefault="00AC6255" w:rsidP="0002267E">
            <w:pPr>
              <w:rPr>
                <w:rFonts w:ascii="Times New Roman" w:hAnsi="Times New Roman"/>
                <w:sz w:val="24"/>
              </w:rPr>
            </w:pPr>
            <w:r w:rsidRPr="00661595">
              <w:t xml:space="preserve">Article 92(4) </w:t>
            </w:r>
            <w:r w:rsidR="00C7103D" w:rsidRPr="00661595">
              <w:t>CRR</w:t>
            </w:r>
            <w:r w:rsidRPr="00661595">
              <w:t xml:space="preserve"> </w:t>
            </w:r>
          </w:p>
          <w:p w:rsidR="00AC6255" w:rsidRPr="00661595" w:rsidRDefault="00AC6255" w:rsidP="0002267E">
            <w:pPr>
              <w:rPr>
                <w:rStyle w:val="InstructionsTabelleberschrift"/>
                <w:rFonts w:ascii="Times New Roman" w:hAnsi="Times New Roman"/>
                <w:b w:val="0"/>
                <w:sz w:val="24"/>
              </w:rPr>
            </w:pPr>
            <w:r w:rsidRPr="00661595">
              <w:rPr>
                <w:rFonts w:ascii="Times New Roman" w:hAnsi="Times New Roman"/>
                <w:sz w:val="24"/>
              </w:rPr>
              <w:t xml:space="preserve">Own funds requirements in column </w:t>
            </w:r>
            <w:r w:rsidR="00F20C33" w:rsidRPr="00661595">
              <w:rPr>
                <w:rFonts w:ascii="Times New Roman" w:hAnsi="Times New Roman"/>
                <w:sz w:val="24"/>
              </w:rPr>
              <w:t>0</w:t>
            </w:r>
            <w:r w:rsidRPr="00661595">
              <w:rPr>
                <w:rFonts w:ascii="Times New Roman" w:hAnsi="Times New Roman"/>
                <w:sz w:val="24"/>
              </w:rPr>
              <w:t>070 multiplied by 12.5.</w:t>
            </w:r>
          </w:p>
        </w:tc>
      </w:tr>
      <w:tr w:rsidR="00AC6255" w:rsidRPr="00661595" w:rsidTr="00672D2A">
        <w:tc>
          <w:tcPr>
            <w:tcW w:w="985" w:type="dxa"/>
          </w:tcPr>
          <w:p w:rsidR="00AC6255" w:rsidRPr="00661595" w:rsidRDefault="00F20C33" w:rsidP="000B0B09">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w:t>
            </w:r>
            <w:r w:rsidR="00AC6255" w:rsidRPr="00661595">
              <w:rPr>
                <w:rFonts w:ascii="Times New Roman" w:hAnsi="Times New Roman"/>
                <w:bCs/>
                <w:sz w:val="24"/>
                <w:lang w:eastAsia="nl-BE"/>
              </w:rPr>
              <w:t>080</w:t>
            </w:r>
          </w:p>
        </w:tc>
        <w:tc>
          <w:tcPr>
            <w:tcW w:w="7877" w:type="dxa"/>
          </w:tcPr>
          <w:p w:rsidR="00AC6255" w:rsidRPr="00661595" w:rsidRDefault="00AC6255" w:rsidP="000B0B09">
            <w:pPr>
              <w:autoSpaceDE w:val="0"/>
              <w:autoSpaceDN w:val="0"/>
              <w:adjustRightInd w:val="0"/>
              <w:spacing w:before="0" w:after="0"/>
              <w:jc w:val="left"/>
              <w:rPr>
                <w:rStyle w:val="InstructionsTabelleberschrift"/>
                <w:rFonts w:ascii="Times New Roman" w:hAnsi="Times New Roman"/>
                <w:sz w:val="24"/>
              </w:rPr>
            </w:pPr>
            <w:r w:rsidRPr="00661595">
              <w:rPr>
                <w:rStyle w:val="InstructionsTabelleberschrift"/>
                <w:rFonts w:ascii="Times New Roman" w:hAnsi="Times New Roman"/>
                <w:sz w:val="24"/>
              </w:rPr>
              <w:t>OF WHICH: DUE TO AN ALLOCATION MECHANISM</w:t>
            </w:r>
          </w:p>
          <w:p w:rsidR="00AC6255" w:rsidRPr="00661595" w:rsidRDefault="00AC6255" w:rsidP="000B0B09">
            <w:pPr>
              <w:autoSpaceDE w:val="0"/>
              <w:autoSpaceDN w:val="0"/>
              <w:adjustRightInd w:val="0"/>
              <w:spacing w:before="0" w:after="0"/>
              <w:jc w:val="left"/>
              <w:rPr>
                <w:rFonts w:ascii="Times New Roman" w:hAnsi="Times New Roman"/>
                <w:bCs/>
                <w:sz w:val="24"/>
                <w:lang w:eastAsia="nl-BE"/>
              </w:rPr>
            </w:pPr>
          </w:p>
          <w:p w:rsidR="00AC6255" w:rsidRPr="00661595" w:rsidRDefault="003E7AEC" w:rsidP="000B0B09">
            <w:pPr>
              <w:jc w:val="left"/>
              <w:rPr>
                <w:rFonts w:ascii="Times New Roman" w:hAnsi="Times New Roman"/>
                <w:bCs/>
                <w:sz w:val="24"/>
              </w:rPr>
            </w:pPr>
            <w:r w:rsidRPr="00661595">
              <w:rPr>
                <w:rFonts w:ascii="Times New Roman" w:hAnsi="Times New Roman"/>
                <w:bCs/>
                <w:sz w:val="24"/>
              </w:rPr>
              <w:t>Where a permission to use the AMA at consolidated level (</w:t>
            </w:r>
            <w:r w:rsidR="00AC6255" w:rsidRPr="00661595">
              <w:rPr>
                <w:rFonts w:ascii="Times New Roman" w:hAnsi="Times New Roman"/>
                <w:bCs/>
                <w:sz w:val="24"/>
              </w:rPr>
              <w:t>Article 18</w:t>
            </w:r>
            <w:r w:rsidR="00E86638" w:rsidRPr="00661595">
              <w:rPr>
                <w:rFonts w:ascii="Times New Roman" w:hAnsi="Times New Roman"/>
                <w:bCs/>
                <w:sz w:val="24"/>
              </w:rPr>
              <w:t>(</w:t>
            </w:r>
            <w:r w:rsidR="00AC6255" w:rsidRPr="00661595">
              <w:rPr>
                <w:rFonts w:ascii="Times New Roman" w:hAnsi="Times New Roman"/>
                <w:bCs/>
                <w:sz w:val="24"/>
              </w:rPr>
              <w:t>1</w:t>
            </w:r>
            <w:r w:rsidR="00E86638" w:rsidRPr="00661595">
              <w:rPr>
                <w:rFonts w:ascii="Times New Roman" w:hAnsi="Times New Roman"/>
                <w:bCs/>
                <w:sz w:val="24"/>
              </w:rPr>
              <w:t xml:space="preserve">) </w:t>
            </w:r>
            <w:r w:rsidR="00C7103D" w:rsidRPr="00661595">
              <w:rPr>
                <w:rFonts w:ascii="Times New Roman" w:hAnsi="Times New Roman"/>
                <w:bCs/>
                <w:sz w:val="24"/>
              </w:rPr>
              <w:t>CRR</w:t>
            </w:r>
            <w:r w:rsidRPr="00661595">
              <w:rPr>
                <w:rFonts w:ascii="Times New Roman" w:hAnsi="Times New Roman"/>
                <w:bCs/>
                <w:sz w:val="24"/>
              </w:rPr>
              <w:t xml:space="preserve">) has been granted </w:t>
            </w:r>
            <w:r w:rsidR="00AC6255" w:rsidRPr="00661595">
              <w:rPr>
                <w:rFonts w:ascii="Times New Roman" w:hAnsi="Times New Roman"/>
                <w:sz w:val="24"/>
              </w:rPr>
              <w:t xml:space="preserve">in </w:t>
            </w:r>
            <w:r w:rsidRPr="00661595">
              <w:rPr>
                <w:rFonts w:ascii="Times New Roman" w:hAnsi="Times New Roman"/>
                <w:sz w:val="24"/>
              </w:rPr>
              <w:t xml:space="preserve">accordance with </w:t>
            </w:r>
            <w:r w:rsidR="00AC6255" w:rsidRPr="00661595">
              <w:rPr>
                <w:rFonts w:ascii="Times New Roman" w:hAnsi="Times New Roman"/>
                <w:sz w:val="24"/>
              </w:rPr>
              <w:t xml:space="preserve">Article </w:t>
            </w:r>
            <w:r w:rsidR="00474C49" w:rsidRPr="00661595">
              <w:rPr>
                <w:rFonts w:ascii="Times New Roman" w:hAnsi="Times New Roman"/>
                <w:sz w:val="24"/>
              </w:rPr>
              <w:t>312</w:t>
            </w:r>
            <w:r w:rsidR="00AC6255" w:rsidRPr="00661595">
              <w:rPr>
                <w:rFonts w:ascii="Times New Roman" w:hAnsi="Times New Roman"/>
                <w:sz w:val="24"/>
              </w:rPr>
              <w:t xml:space="preserve">(2) </w:t>
            </w:r>
            <w:r w:rsidR="00C7103D" w:rsidRPr="00661595">
              <w:rPr>
                <w:rFonts w:ascii="Times New Roman" w:hAnsi="Times New Roman"/>
                <w:sz w:val="24"/>
              </w:rPr>
              <w:t>CRR</w:t>
            </w:r>
            <w:r w:rsidRPr="00661595">
              <w:rPr>
                <w:rFonts w:ascii="Times New Roman" w:hAnsi="Times New Roman"/>
                <w:sz w:val="24"/>
              </w:rPr>
              <w:t xml:space="preserve">, </w:t>
            </w:r>
            <w:r w:rsidR="00AC6255" w:rsidRPr="00661595">
              <w:rPr>
                <w:rFonts w:ascii="Times New Roman" w:hAnsi="Times New Roman"/>
                <w:sz w:val="24"/>
              </w:rPr>
              <w:t xml:space="preserve">operational risk capital </w:t>
            </w:r>
            <w:r w:rsidRPr="00661595">
              <w:rPr>
                <w:rFonts w:ascii="Times New Roman" w:hAnsi="Times New Roman"/>
                <w:sz w:val="24"/>
              </w:rPr>
              <w:t xml:space="preserve">shall be allocated </w:t>
            </w:r>
            <w:r w:rsidR="00AC6255" w:rsidRPr="00661595">
              <w:rPr>
                <w:rFonts w:ascii="Times New Roman" w:hAnsi="Times New Roman"/>
                <w:sz w:val="24"/>
              </w:rPr>
              <w:t xml:space="preserve">between the different entities of the group </w:t>
            </w:r>
            <w:r w:rsidRPr="00661595">
              <w:rPr>
                <w:rFonts w:ascii="Times New Roman" w:hAnsi="Times New Roman"/>
                <w:sz w:val="24"/>
              </w:rPr>
              <w:t xml:space="preserve">on the basis of the methodology applied by the institutions to consider </w:t>
            </w:r>
            <w:r w:rsidR="00AC6255" w:rsidRPr="00661595">
              <w:rPr>
                <w:rFonts w:ascii="Times New Roman" w:hAnsi="Times New Roman"/>
                <w:sz w:val="24"/>
              </w:rPr>
              <w:t xml:space="preserve">diversification effects in the risk measurement system used by a EU parent credit institution and its subsidiaries or jointly by the subsidiaries of an EU parent financial holding company or </w:t>
            </w:r>
            <w:r w:rsidR="001C3443" w:rsidRPr="00661595">
              <w:rPr>
                <w:rFonts w:ascii="Times New Roman" w:hAnsi="Times New Roman"/>
                <w:sz w:val="24"/>
              </w:rPr>
              <w:t xml:space="preserve">an </w:t>
            </w:r>
            <w:r w:rsidR="00AC6255" w:rsidRPr="00661595">
              <w:rPr>
                <w:rFonts w:ascii="Times New Roman" w:hAnsi="Times New Roman"/>
                <w:sz w:val="24"/>
              </w:rPr>
              <w:t>EU parent mixed financial holding company.</w:t>
            </w:r>
            <w:r w:rsidRPr="00661595">
              <w:rPr>
                <w:rFonts w:ascii="Times New Roman" w:hAnsi="Times New Roman"/>
                <w:sz w:val="24"/>
              </w:rPr>
              <w:t xml:space="preserve"> The result of that allocation shall be reported in this column. </w:t>
            </w:r>
          </w:p>
          <w:p w:rsidR="00AC6255" w:rsidRPr="00661595" w:rsidRDefault="00AC6255" w:rsidP="000B0B09">
            <w:pPr>
              <w:autoSpaceDE w:val="0"/>
              <w:autoSpaceDN w:val="0"/>
              <w:adjustRightInd w:val="0"/>
              <w:spacing w:before="0" w:after="0"/>
              <w:jc w:val="left"/>
              <w:rPr>
                <w:rFonts w:ascii="Times New Roman" w:hAnsi="Times New Roman"/>
                <w:bCs/>
                <w:sz w:val="24"/>
                <w:lang w:eastAsia="nl-BE"/>
              </w:rPr>
            </w:pPr>
          </w:p>
        </w:tc>
      </w:tr>
      <w:tr w:rsidR="00AC6255" w:rsidRPr="00661595" w:rsidTr="00672D2A">
        <w:tc>
          <w:tcPr>
            <w:tcW w:w="985" w:type="dxa"/>
          </w:tcPr>
          <w:p w:rsidR="00AC6255" w:rsidRPr="00661595" w:rsidRDefault="00F20C33" w:rsidP="000F70EC">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w:t>
            </w:r>
            <w:r w:rsidR="00AC6255" w:rsidRPr="00661595">
              <w:rPr>
                <w:rFonts w:ascii="Times New Roman" w:hAnsi="Times New Roman"/>
                <w:bCs/>
                <w:sz w:val="24"/>
                <w:lang w:eastAsia="nl-BE"/>
              </w:rPr>
              <w:t>090-</w:t>
            </w:r>
            <w:r w:rsidRPr="00661595">
              <w:rPr>
                <w:rFonts w:ascii="Times New Roman" w:hAnsi="Times New Roman"/>
                <w:bCs/>
                <w:sz w:val="24"/>
                <w:lang w:eastAsia="nl-BE"/>
              </w:rPr>
              <w:t>0</w:t>
            </w:r>
            <w:r w:rsidR="00AC6255" w:rsidRPr="00661595">
              <w:rPr>
                <w:rFonts w:ascii="Times New Roman" w:hAnsi="Times New Roman"/>
                <w:bCs/>
                <w:sz w:val="24"/>
                <w:lang w:eastAsia="nl-BE"/>
              </w:rPr>
              <w:t>120</w:t>
            </w:r>
          </w:p>
        </w:tc>
        <w:tc>
          <w:tcPr>
            <w:tcW w:w="7877" w:type="dxa"/>
          </w:tcPr>
          <w:p w:rsidR="00AC6255" w:rsidRPr="00661595" w:rsidRDefault="00AC6255" w:rsidP="000B0B09">
            <w:pPr>
              <w:autoSpaceDE w:val="0"/>
              <w:autoSpaceDN w:val="0"/>
              <w:adjustRightInd w:val="0"/>
              <w:spacing w:before="0" w:after="0"/>
              <w:jc w:val="left"/>
              <w:rPr>
                <w:rStyle w:val="InstructionsTabelleberschrift"/>
                <w:rFonts w:ascii="Times New Roman" w:hAnsi="Times New Roman"/>
                <w:sz w:val="24"/>
              </w:rPr>
            </w:pPr>
            <w:r w:rsidRPr="00661595">
              <w:rPr>
                <w:rStyle w:val="InstructionsTabelleberschrift"/>
                <w:rFonts w:ascii="Times New Roman" w:hAnsi="Times New Roman"/>
                <w:sz w:val="24"/>
              </w:rPr>
              <w:t>AMA MEMORANDUM ITEMS TO BE REPORTED IF APPLICABLE</w:t>
            </w:r>
          </w:p>
        </w:tc>
      </w:tr>
      <w:tr w:rsidR="00AC6255" w:rsidRPr="00661595" w:rsidTr="00672D2A">
        <w:tc>
          <w:tcPr>
            <w:tcW w:w="985" w:type="dxa"/>
          </w:tcPr>
          <w:p w:rsidR="00AC6255" w:rsidRPr="00661595" w:rsidRDefault="00F20C33" w:rsidP="000B0B09">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w:t>
            </w:r>
            <w:r w:rsidR="00AC6255" w:rsidRPr="00661595">
              <w:rPr>
                <w:rFonts w:ascii="Times New Roman" w:hAnsi="Times New Roman"/>
                <w:bCs/>
                <w:sz w:val="24"/>
                <w:lang w:eastAsia="nl-BE"/>
              </w:rPr>
              <w:t>090</w:t>
            </w:r>
          </w:p>
        </w:tc>
        <w:tc>
          <w:tcPr>
            <w:tcW w:w="7877" w:type="dxa"/>
          </w:tcPr>
          <w:p w:rsidR="00AC6255" w:rsidRPr="00661595" w:rsidRDefault="00AC6255" w:rsidP="000B0B09">
            <w:pPr>
              <w:autoSpaceDE w:val="0"/>
              <w:autoSpaceDN w:val="0"/>
              <w:adjustRightInd w:val="0"/>
              <w:spacing w:before="0" w:after="0"/>
              <w:jc w:val="left"/>
              <w:rPr>
                <w:rStyle w:val="InstructionsTabelleberschrift"/>
                <w:rFonts w:ascii="Times New Roman" w:hAnsi="Times New Roman"/>
                <w:sz w:val="24"/>
              </w:rPr>
            </w:pPr>
            <w:r w:rsidRPr="00661595">
              <w:rPr>
                <w:rStyle w:val="InstructionsTabelleberschrift"/>
                <w:rFonts w:ascii="Times New Roman" w:hAnsi="Times New Roman"/>
                <w:sz w:val="24"/>
              </w:rPr>
              <w:t>OWN FUNDS REQUIREMENT BEFORE ALLEVIATION DUE TO EXPECTED LOSS, DIVERSIFICATION AND RISK MITIGATION TECHNIQUES</w:t>
            </w:r>
          </w:p>
          <w:p w:rsidR="00AC6255" w:rsidRPr="00661595" w:rsidRDefault="00AC6255" w:rsidP="000B0B09">
            <w:pPr>
              <w:autoSpaceDE w:val="0"/>
              <w:autoSpaceDN w:val="0"/>
              <w:adjustRightInd w:val="0"/>
              <w:spacing w:before="0" w:after="0"/>
              <w:jc w:val="left"/>
              <w:rPr>
                <w:rFonts w:ascii="Times New Roman" w:hAnsi="Times New Roman"/>
                <w:bCs/>
                <w:sz w:val="24"/>
                <w:lang w:eastAsia="nl-BE"/>
              </w:rPr>
            </w:pPr>
          </w:p>
          <w:p w:rsidR="00AC6255" w:rsidRPr="00661595" w:rsidRDefault="00AC6255" w:rsidP="000B0B09">
            <w:pPr>
              <w:autoSpaceDE w:val="0"/>
              <w:autoSpaceDN w:val="0"/>
              <w:adjustRightInd w:val="0"/>
              <w:spacing w:before="0" w:after="0"/>
              <w:rPr>
                <w:rFonts w:ascii="Times New Roman" w:hAnsi="Times New Roman"/>
                <w:sz w:val="24"/>
                <w:lang w:eastAsia="de-DE"/>
              </w:rPr>
            </w:pPr>
            <w:r w:rsidRPr="00661595">
              <w:rPr>
                <w:rFonts w:ascii="Times New Roman" w:hAnsi="Times New Roman"/>
                <w:sz w:val="24"/>
                <w:lang w:eastAsia="de-DE"/>
              </w:rPr>
              <w:t>The own funds requirement reported in column 090 is the one of column 070 but calculated before taking into account the alleviation effects due to expected loss, diversification and risk mitigation techniques (see below).</w:t>
            </w:r>
          </w:p>
          <w:p w:rsidR="00AC6255" w:rsidRPr="00661595" w:rsidRDefault="00AC6255" w:rsidP="000B0B09">
            <w:pPr>
              <w:autoSpaceDE w:val="0"/>
              <w:autoSpaceDN w:val="0"/>
              <w:adjustRightInd w:val="0"/>
              <w:spacing w:before="0" w:after="0"/>
              <w:jc w:val="left"/>
              <w:rPr>
                <w:rFonts w:ascii="Times New Roman" w:hAnsi="Times New Roman"/>
                <w:bCs/>
                <w:sz w:val="24"/>
                <w:lang w:eastAsia="nl-BE"/>
              </w:rPr>
            </w:pPr>
          </w:p>
        </w:tc>
      </w:tr>
      <w:tr w:rsidR="00AC6255" w:rsidRPr="00661595" w:rsidTr="00672D2A">
        <w:tc>
          <w:tcPr>
            <w:tcW w:w="985" w:type="dxa"/>
          </w:tcPr>
          <w:p w:rsidR="00AC6255" w:rsidRPr="00661595" w:rsidRDefault="00F20C33" w:rsidP="000B0B09">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w:t>
            </w:r>
            <w:r w:rsidR="00AC6255" w:rsidRPr="00661595">
              <w:rPr>
                <w:rFonts w:ascii="Times New Roman" w:hAnsi="Times New Roman"/>
                <w:bCs/>
                <w:sz w:val="24"/>
                <w:lang w:eastAsia="nl-BE"/>
              </w:rPr>
              <w:t>100</w:t>
            </w:r>
          </w:p>
        </w:tc>
        <w:tc>
          <w:tcPr>
            <w:tcW w:w="7877" w:type="dxa"/>
          </w:tcPr>
          <w:p w:rsidR="00AC6255" w:rsidRPr="00661595" w:rsidRDefault="00AC6255" w:rsidP="000B0B09">
            <w:pPr>
              <w:autoSpaceDE w:val="0"/>
              <w:autoSpaceDN w:val="0"/>
              <w:adjustRightInd w:val="0"/>
              <w:spacing w:before="0" w:after="0"/>
              <w:jc w:val="left"/>
              <w:rPr>
                <w:rStyle w:val="InstructionsTabelleberschrift"/>
                <w:rFonts w:ascii="Times New Roman" w:hAnsi="Times New Roman"/>
                <w:sz w:val="24"/>
              </w:rPr>
            </w:pPr>
            <w:r w:rsidRPr="00661595">
              <w:rPr>
                <w:rStyle w:val="InstructionsTabelleberschrift"/>
                <w:rFonts w:ascii="Times New Roman" w:hAnsi="Times New Roman"/>
                <w:sz w:val="24"/>
              </w:rPr>
              <w:t>(-) ALLEVIATION OF OWN FUNDS REQUIREMENTS DUE TO THE EXPECTED LOSS CAPTURED IN BUSINESS PRACTICES</w:t>
            </w:r>
          </w:p>
          <w:p w:rsidR="00AC6255" w:rsidRPr="00661595" w:rsidRDefault="00AC6255" w:rsidP="000B0B09">
            <w:pPr>
              <w:autoSpaceDE w:val="0"/>
              <w:autoSpaceDN w:val="0"/>
              <w:adjustRightInd w:val="0"/>
              <w:spacing w:before="0" w:after="0"/>
              <w:jc w:val="left"/>
              <w:rPr>
                <w:rFonts w:ascii="Times New Roman" w:hAnsi="Times New Roman"/>
                <w:bCs/>
                <w:sz w:val="24"/>
                <w:lang w:eastAsia="nl-BE"/>
              </w:rPr>
            </w:pPr>
          </w:p>
          <w:p w:rsidR="00AC6255" w:rsidRPr="00661595" w:rsidRDefault="00AC6255" w:rsidP="000B0B09">
            <w:pPr>
              <w:autoSpaceDE w:val="0"/>
              <w:autoSpaceDN w:val="0"/>
              <w:adjustRightInd w:val="0"/>
              <w:spacing w:before="0" w:after="0"/>
              <w:rPr>
                <w:rFonts w:ascii="Times New Roman" w:hAnsi="Times New Roman"/>
                <w:sz w:val="24"/>
                <w:lang w:eastAsia="de-DE"/>
              </w:rPr>
            </w:pPr>
            <w:r w:rsidRPr="00661595">
              <w:rPr>
                <w:rFonts w:ascii="Times New Roman" w:hAnsi="Times New Roman"/>
                <w:sz w:val="24"/>
                <w:lang w:eastAsia="de-DE"/>
              </w:rPr>
              <w:t>In column 100</w:t>
            </w:r>
            <w:r w:rsidR="001C3443" w:rsidRPr="00661595">
              <w:rPr>
                <w:rFonts w:ascii="Times New Roman" w:hAnsi="Times New Roman"/>
                <w:sz w:val="24"/>
                <w:lang w:eastAsia="de-DE"/>
              </w:rPr>
              <w:t>,</w:t>
            </w:r>
            <w:r w:rsidRPr="00661595">
              <w:rPr>
                <w:rFonts w:ascii="Times New Roman" w:hAnsi="Times New Roman"/>
                <w:sz w:val="24"/>
                <w:lang w:eastAsia="de-DE"/>
              </w:rPr>
              <w:t xml:space="preserve"> the alleviation of own funds requirements due to expected loss captured in internal business practices (as referred to in </w:t>
            </w:r>
            <w:r w:rsidR="00705025" w:rsidRPr="00661595">
              <w:rPr>
                <w:rFonts w:ascii="Times New Roman" w:hAnsi="Times New Roman"/>
                <w:sz w:val="24"/>
                <w:lang w:eastAsia="de-DE"/>
              </w:rPr>
              <w:t xml:space="preserve">point (a) of </w:t>
            </w:r>
            <w:r w:rsidRPr="00661595">
              <w:rPr>
                <w:rFonts w:ascii="Times New Roman" w:hAnsi="Times New Roman"/>
                <w:sz w:val="24"/>
                <w:lang w:eastAsia="de-DE"/>
              </w:rPr>
              <w:t xml:space="preserve">Article </w:t>
            </w:r>
            <w:r w:rsidR="00474C49" w:rsidRPr="00661595">
              <w:rPr>
                <w:rFonts w:ascii="Times New Roman" w:hAnsi="Times New Roman"/>
                <w:sz w:val="24"/>
                <w:lang w:eastAsia="de-DE"/>
              </w:rPr>
              <w:t>322</w:t>
            </w:r>
            <w:r w:rsidRPr="00661595">
              <w:rPr>
                <w:rFonts w:ascii="Times New Roman" w:hAnsi="Times New Roman"/>
                <w:sz w:val="24"/>
                <w:lang w:eastAsia="de-DE"/>
              </w:rPr>
              <w:t xml:space="preserve">(2) </w:t>
            </w:r>
            <w:r w:rsidR="00C7103D" w:rsidRPr="00661595">
              <w:rPr>
                <w:rFonts w:ascii="Times New Roman" w:hAnsi="Times New Roman"/>
                <w:sz w:val="24"/>
                <w:lang w:eastAsia="de-DE"/>
              </w:rPr>
              <w:t>CRR</w:t>
            </w:r>
            <w:r w:rsidRPr="00661595">
              <w:rPr>
                <w:rFonts w:ascii="Times New Roman" w:hAnsi="Times New Roman"/>
                <w:sz w:val="24"/>
                <w:lang w:eastAsia="de-DE"/>
              </w:rPr>
              <w:t xml:space="preserve">) </w:t>
            </w:r>
            <w:r w:rsidR="001C3443" w:rsidRPr="00661595">
              <w:rPr>
                <w:rFonts w:ascii="Times New Roman" w:hAnsi="Times New Roman"/>
                <w:sz w:val="24"/>
                <w:lang w:eastAsia="de-DE"/>
              </w:rPr>
              <w:t>shall</w:t>
            </w:r>
            <w:r w:rsidRPr="00661595">
              <w:rPr>
                <w:rFonts w:ascii="Times New Roman" w:hAnsi="Times New Roman"/>
                <w:sz w:val="24"/>
                <w:lang w:eastAsia="de-DE"/>
              </w:rPr>
              <w:t xml:space="preserve"> reported.</w:t>
            </w:r>
          </w:p>
          <w:p w:rsidR="00AC6255" w:rsidRPr="00661595" w:rsidRDefault="00AC6255" w:rsidP="000B0B09">
            <w:pPr>
              <w:autoSpaceDE w:val="0"/>
              <w:autoSpaceDN w:val="0"/>
              <w:adjustRightInd w:val="0"/>
              <w:spacing w:before="0" w:after="0"/>
              <w:jc w:val="left"/>
              <w:rPr>
                <w:rFonts w:ascii="Times New Roman" w:hAnsi="Times New Roman"/>
                <w:bCs/>
                <w:sz w:val="24"/>
                <w:lang w:eastAsia="nl-BE"/>
              </w:rPr>
            </w:pPr>
          </w:p>
        </w:tc>
      </w:tr>
      <w:tr w:rsidR="00AC6255" w:rsidRPr="00661595" w:rsidTr="00672D2A">
        <w:tc>
          <w:tcPr>
            <w:tcW w:w="985" w:type="dxa"/>
          </w:tcPr>
          <w:p w:rsidR="00AC6255" w:rsidRPr="00661595" w:rsidRDefault="00F20C33" w:rsidP="000B0B09">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w:t>
            </w:r>
            <w:r w:rsidR="00AC6255" w:rsidRPr="00661595">
              <w:rPr>
                <w:rFonts w:ascii="Times New Roman" w:hAnsi="Times New Roman"/>
                <w:bCs/>
                <w:sz w:val="24"/>
                <w:lang w:eastAsia="nl-BE"/>
              </w:rPr>
              <w:t>110</w:t>
            </w:r>
          </w:p>
        </w:tc>
        <w:tc>
          <w:tcPr>
            <w:tcW w:w="7877" w:type="dxa"/>
          </w:tcPr>
          <w:p w:rsidR="00AC6255" w:rsidRPr="00661595" w:rsidRDefault="00AC6255" w:rsidP="000B0B09">
            <w:pPr>
              <w:autoSpaceDE w:val="0"/>
              <w:autoSpaceDN w:val="0"/>
              <w:adjustRightInd w:val="0"/>
              <w:spacing w:before="0" w:after="0"/>
              <w:jc w:val="left"/>
              <w:rPr>
                <w:rStyle w:val="InstructionsTabelleberschrift"/>
                <w:rFonts w:ascii="Times New Roman" w:hAnsi="Times New Roman"/>
                <w:sz w:val="24"/>
              </w:rPr>
            </w:pPr>
            <w:r w:rsidRPr="00661595">
              <w:rPr>
                <w:rStyle w:val="InstructionsTabelleberschrift"/>
                <w:rFonts w:ascii="Times New Roman" w:hAnsi="Times New Roman"/>
                <w:sz w:val="24"/>
              </w:rPr>
              <w:t>(-) ALLEVIATION OF OWN FUNDS REQUIREMENTS DUE TO DIVERSIFICATION</w:t>
            </w:r>
          </w:p>
          <w:p w:rsidR="00AC6255" w:rsidRPr="00661595" w:rsidRDefault="00AC6255" w:rsidP="000B0B09">
            <w:pPr>
              <w:rPr>
                <w:rFonts w:ascii="Times New Roman" w:hAnsi="Times New Roman"/>
                <w:sz w:val="24"/>
              </w:rPr>
            </w:pPr>
            <w:r w:rsidRPr="00661595">
              <w:rPr>
                <w:rFonts w:ascii="Times New Roman" w:hAnsi="Times New Roman"/>
                <w:sz w:val="24"/>
              </w:rPr>
              <w:t>The diversification effect</w:t>
            </w:r>
            <w:r w:rsidR="00730040" w:rsidRPr="00661595">
              <w:rPr>
                <w:rFonts w:ascii="Times New Roman" w:hAnsi="Times New Roman"/>
                <w:sz w:val="24"/>
              </w:rPr>
              <w:t xml:space="preserve"> </w:t>
            </w:r>
            <w:r w:rsidR="005E7FAD" w:rsidRPr="00661595">
              <w:rPr>
                <w:rFonts w:ascii="Times New Roman" w:hAnsi="Times New Roman"/>
                <w:sz w:val="24"/>
              </w:rPr>
              <w:t>reported in this column</w:t>
            </w:r>
            <w:r w:rsidRPr="00661595">
              <w:rPr>
                <w:rFonts w:ascii="Times New Roman" w:hAnsi="Times New Roman"/>
                <w:sz w:val="24"/>
              </w:rPr>
              <w:t xml:space="preserve"> </w:t>
            </w:r>
            <w:r w:rsidR="001C3443" w:rsidRPr="00661595">
              <w:rPr>
                <w:rFonts w:ascii="Times New Roman" w:hAnsi="Times New Roman"/>
                <w:sz w:val="24"/>
              </w:rPr>
              <w:t>shall be</w:t>
            </w:r>
            <w:r w:rsidRPr="00661595">
              <w:rPr>
                <w:rFonts w:ascii="Times New Roman" w:hAnsi="Times New Roman"/>
                <w:sz w:val="24"/>
              </w:rPr>
              <w:t xml:space="preserve"> the difference between the sum of own funds requirements calculated separately for each operational risk class (i.e. a “perfect dependence” situation) and the diversified own funds requirement calculated by taking into account correlations and dependencies (i.e. assuming less than “perfect dependence” between the risk classes). The “perfect dependence” situation occurs in the “default case”, that is whe</w:t>
            </w:r>
            <w:r w:rsidR="001C3443" w:rsidRPr="00661595">
              <w:rPr>
                <w:rFonts w:ascii="Times New Roman" w:hAnsi="Times New Roman"/>
                <w:sz w:val="24"/>
              </w:rPr>
              <w:t>re</w:t>
            </w:r>
            <w:r w:rsidRPr="00661595">
              <w:rPr>
                <w:rFonts w:ascii="Times New Roman" w:hAnsi="Times New Roman"/>
                <w:sz w:val="24"/>
              </w:rPr>
              <w:t xml:space="preserve"> the institution does not use explicit correlations structure between the risk classes, hence the AMA capital is </w:t>
            </w:r>
            <w:r w:rsidR="001C3443" w:rsidRPr="00661595">
              <w:rPr>
                <w:rFonts w:ascii="Times New Roman" w:hAnsi="Times New Roman"/>
                <w:sz w:val="24"/>
              </w:rPr>
              <w:t>calculated</w:t>
            </w:r>
            <w:r w:rsidRPr="00661595">
              <w:rPr>
                <w:rFonts w:ascii="Times New Roman" w:hAnsi="Times New Roman"/>
                <w:sz w:val="24"/>
              </w:rPr>
              <w:t xml:space="preserve"> as the sum of the individual operational risk measures of the chosen risk classes. In th</w:t>
            </w:r>
            <w:r w:rsidR="001C3443" w:rsidRPr="00661595">
              <w:rPr>
                <w:rFonts w:ascii="Times New Roman" w:hAnsi="Times New Roman"/>
                <w:sz w:val="24"/>
              </w:rPr>
              <w:t>at</w:t>
            </w:r>
            <w:r w:rsidRPr="00661595">
              <w:rPr>
                <w:rFonts w:ascii="Times New Roman" w:hAnsi="Times New Roman"/>
                <w:sz w:val="24"/>
              </w:rPr>
              <w:t xml:space="preserve"> case</w:t>
            </w:r>
            <w:r w:rsidR="001C3443" w:rsidRPr="00661595">
              <w:rPr>
                <w:rFonts w:ascii="Times New Roman" w:hAnsi="Times New Roman"/>
                <w:sz w:val="24"/>
              </w:rPr>
              <w:t>,</w:t>
            </w:r>
            <w:r w:rsidRPr="00661595">
              <w:rPr>
                <w:rFonts w:ascii="Times New Roman" w:hAnsi="Times New Roman"/>
                <w:sz w:val="24"/>
              </w:rPr>
              <w:t xml:space="preserve"> the correlation between the risk classes is assumed </w:t>
            </w:r>
            <w:r w:rsidR="001C3443" w:rsidRPr="00661595">
              <w:rPr>
                <w:rFonts w:ascii="Times New Roman" w:hAnsi="Times New Roman"/>
                <w:sz w:val="24"/>
              </w:rPr>
              <w:t>to be</w:t>
            </w:r>
            <w:r w:rsidRPr="00661595">
              <w:rPr>
                <w:rFonts w:ascii="Times New Roman" w:hAnsi="Times New Roman"/>
                <w:sz w:val="24"/>
              </w:rPr>
              <w:t xml:space="preserve"> 100% and the value in the column has to be set to zero. Conversely, whe</w:t>
            </w:r>
            <w:r w:rsidR="001C3443" w:rsidRPr="00661595">
              <w:rPr>
                <w:rFonts w:ascii="Times New Roman" w:hAnsi="Times New Roman"/>
                <w:sz w:val="24"/>
              </w:rPr>
              <w:t>re</w:t>
            </w:r>
            <w:r w:rsidRPr="00661595">
              <w:rPr>
                <w:rFonts w:ascii="Times New Roman" w:hAnsi="Times New Roman"/>
                <w:sz w:val="24"/>
              </w:rPr>
              <w:t xml:space="preserve"> the institution c</w:t>
            </w:r>
            <w:r w:rsidR="001C3443" w:rsidRPr="00661595">
              <w:rPr>
                <w:rFonts w:ascii="Times New Roman" w:hAnsi="Times New Roman"/>
                <w:sz w:val="24"/>
              </w:rPr>
              <w:t>alculates</w:t>
            </w:r>
            <w:r w:rsidRPr="00661595">
              <w:rPr>
                <w:rFonts w:ascii="Times New Roman" w:hAnsi="Times New Roman"/>
                <w:sz w:val="24"/>
              </w:rPr>
              <w:t xml:space="preserve"> an explicit correlations structure between risk classes, it has to include in this column the difference between the AMA capital as stemming from the “default case” and </w:t>
            </w:r>
            <w:r w:rsidR="001C3443" w:rsidRPr="00661595">
              <w:rPr>
                <w:rFonts w:ascii="Times New Roman" w:hAnsi="Times New Roman"/>
                <w:sz w:val="24"/>
              </w:rPr>
              <w:t xml:space="preserve">the AMA capital </w:t>
            </w:r>
            <w:r w:rsidRPr="00661595">
              <w:rPr>
                <w:rFonts w:ascii="Times New Roman" w:hAnsi="Times New Roman"/>
                <w:sz w:val="24"/>
              </w:rPr>
              <w:t>obtained after applying the correlations structure between the risk classes. The value reflects the “diversification capacity” of the AMA model, that is the ability of the model to capture the not simultaneous occurrence of severe operational risk loss events. In column 110</w:t>
            </w:r>
            <w:r w:rsidR="001C3443" w:rsidRPr="00661595">
              <w:rPr>
                <w:rFonts w:ascii="Times New Roman" w:hAnsi="Times New Roman"/>
                <w:sz w:val="24"/>
              </w:rPr>
              <w:t>,</w:t>
            </w:r>
            <w:r w:rsidRPr="00661595">
              <w:rPr>
                <w:rFonts w:ascii="Times New Roman" w:hAnsi="Times New Roman"/>
                <w:sz w:val="24"/>
              </w:rPr>
              <w:t xml:space="preserve"> the amount by which the assumed correlation structure decreases the AMA capital relative to the assumption of 100% correlation has to be reported.</w:t>
            </w:r>
          </w:p>
          <w:p w:rsidR="00AC6255" w:rsidRPr="00661595" w:rsidRDefault="00AC6255" w:rsidP="000B0B09">
            <w:pPr>
              <w:autoSpaceDE w:val="0"/>
              <w:autoSpaceDN w:val="0"/>
              <w:adjustRightInd w:val="0"/>
              <w:spacing w:before="0" w:after="0"/>
              <w:jc w:val="left"/>
              <w:rPr>
                <w:rFonts w:ascii="Times New Roman" w:hAnsi="Times New Roman"/>
                <w:bCs/>
                <w:sz w:val="24"/>
                <w:lang w:eastAsia="nl-BE"/>
              </w:rPr>
            </w:pPr>
          </w:p>
        </w:tc>
      </w:tr>
      <w:tr w:rsidR="00AC6255" w:rsidRPr="00661595" w:rsidTr="00672D2A">
        <w:tc>
          <w:tcPr>
            <w:tcW w:w="985" w:type="dxa"/>
          </w:tcPr>
          <w:p w:rsidR="00AC6255" w:rsidRPr="00661595" w:rsidRDefault="00F20C33" w:rsidP="000B0B09">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w:t>
            </w:r>
            <w:r w:rsidR="00AC6255" w:rsidRPr="00661595">
              <w:rPr>
                <w:rFonts w:ascii="Times New Roman" w:hAnsi="Times New Roman"/>
                <w:bCs/>
                <w:sz w:val="24"/>
                <w:lang w:eastAsia="nl-BE"/>
              </w:rPr>
              <w:t>120</w:t>
            </w:r>
          </w:p>
        </w:tc>
        <w:tc>
          <w:tcPr>
            <w:tcW w:w="7877" w:type="dxa"/>
          </w:tcPr>
          <w:p w:rsidR="00AC6255" w:rsidRPr="00661595" w:rsidRDefault="00AC6255" w:rsidP="000B0B09">
            <w:pPr>
              <w:autoSpaceDE w:val="0"/>
              <w:autoSpaceDN w:val="0"/>
              <w:adjustRightInd w:val="0"/>
              <w:spacing w:before="0" w:after="0"/>
              <w:jc w:val="left"/>
              <w:rPr>
                <w:rFonts w:ascii="Times New Roman" w:hAnsi="Times New Roman"/>
                <w:sz w:val="24"/>
                <w:lang w:eastAsia="de-DE"/>
              </w:rPr>
            </w:pPr>
            <w:r w:rsidRPr="00661595">
              <w:rPr>
                <w:rStyle w:val="InstructionsTabelleberschrift"/>
                <w:rFonts w:ascii="Times New Roman" w:hAnsi="Times New Roman"/>
                <w:sz w:val="24"/>
              </w:rPr>
              <w:t>(-) ALLEVIATION OF OWN FUNDS REQUIREMENT DUE TO RISK MITIGATION TECHNIQUES (INSURANCE AND OTHER RISK TRANSFER MECHANISMS)</w:t>
            </w:r>
          </w:p>
          <w:p w:rsidR="00AC6255" w:rsidRPr="00661595" w:rsidRDefault="00AC6255" w:rsidP="000B0B09">
            <w:pPr>
              <w:autoSpaceDE w:val="0"/>
              <w:autoSpaceDN w:val="0"/>
              <w:adjustRightInd w:val="0"/>
              <w:spacing w:before="0" w:after="0"/>
              <w:jc w:val="left"/>
              <w:rPr>
                <w:rFonts w:ascii="Times New Roman" w:hAnsi="Times New Roman"/>
                <w:sz w:val="24"/>
                <w:lang w:eastAsia="de-DE"/>
              </w:rPr>
            </w:pPr>
          </w:p>
          <w:p w:rsidR="00AC6255" w:rsidRPr="00661595" w:rsidRDefault="005E7FAD" w:rsidP="000B0B09">
            <w:pPr>
              <w:autoSpaceDE w:val="0"/>
              <w:autoSpaceDN w:val="0"/>
              <w:adjustRightInd w:val="0"/>
              <w:spacing w:before="0" w:after="0"/>
              <w:jc w:val="left"/>
              <w:rPr>
                <w:rFonts w:ascii="Times New Roman" w:hAnsi="Times New Roman"/>
                <w:sz w:val="24"/>
                <w:lang w:eastAsia="de-DE"/>
              </w:rPr>
            </w:pPr>
            <w:r w:rsidRPr="00661595">
              <w:rPr>
                <w:rFonts w:ascii="Times New Roman" w:hAnsi="Times New Roman"/>
                <w:sz w:val="24"/>
                <w:lang w:eastAsia="de-DE"/>
              </w:rPr>
              <w:t>T</w:t>
            </w:r>
            <w:r w:rsidR="00AC6255" w:rsidRPr="00661595">
              <w:rPr>
                <w:rFonts w:ascii="Times New Roman" w:hAnsi="Times New Roman"/>
                <w:sz w:val="24"/>
                <w:lang w:eastAsia="de-DE"/>
              </w:rPr>
              <w:t xml:space="preserve">he impact of insurance and other risk transfer mechanisms </w:t>
            </w:r>
            <w:r w:rsidR="001C3443" w:rsidRPr="00661595">
              <w:rPr>
                <w:rFonts w:ascii="Times New Roman" w:hAnsi="Times New Roman"/>
                <w:sz w:val="24"/>
                <w:lang w:eastAsia="de-DE"/>
              </w:rPr>
              <w:t>as referred to in</w:t>
            </w:r>
            <w:r w:rsidR="00AC6255" w:rsidRPr="00661595">
              <w:rPr>
                <w:rFonts w:ascii="Times New Roman" w:hAnsi="Times New Roman"/>
                <w:sz w:val="24"/>
                <w:lang w:eastAsia="de-DE"/>
              </w:rPr>
              <w:t xml:space="preserve"> Article </w:t>
            </w:r>
            <w:r w:rsidR="00474C49" w:rsidRPr="00661595">
              <w:rPr>
                <w:rFonts w:ascii="Times New Roman" w:hAnsi="Times New Roman"/>
                <w:sz w:val="24"/>
                <w:lang w:eastAsia="de-DE"/>
              </w:rPr>
              <w:t>323</w:t>
            </w:r>
            <w:r w:rsidR="00AC6255" w:rsidRPr="00661595">
              <w:rPr>
                <w:rFonts w:ascii="Times New Roman" w:hAnsi="Times New Roman"/>
                <w:sz w:val="24"/>
                <w:lang w:eastAsia="de-DE"/>
              </w:rPr>
              <w:t xml:space="preserve"> </w:t>
            </w:r>
            <w:r w:rsidR="00C7103D" w:rsidRPr="00661595">
              <w:rPr>
                <w:rFonts w:ascii="Times New Roman" w:hAnsi="Times New Roman"/>
                <w:sz w:val="24"/>
                <w:lang w:eastAsia="de-DE"/>
              </w:rPr>
              <w:t>CRR</w:t>
            </w:r>
            <w:r w:rsidR="00AC6255" w:rsidRPr="00661595">
              <w:rPr>
                <w:rFonts w:ascii="Times New Roman" w:hAnsi="Times New Roman"/>
                <w:sz w:val="24"/>
                <w:lang w:eastAsia="de-DE"/>
              </w:rPr>
              <w:t xml:space="preserve"> </w:t>
            </w:r>
            <w:r w:rsidR="001C3443" w:rsidRPr="00661595">
              <w:rPr>
                <w:rFonts w:ascii="Times New Roman" w:hAnsi="Times New Roman"/>
                <w:sz w:val="24"/>
                <w:lang w:eastAsia="de-DE"/>
              </w:rPr>
              <w:t>shall be</w:t>
            </w:r>
            <w:r w:rsidR="00AC6255" w:rsidRPr="00661595">
              <w:rPr>
                <w:rFonts w:ascii="Times New Roman" w:hAnsi="Times New Roman"/>
                <w:sz w:val="24"/>
                <w:lang w:eastAsia="de-DE"/>
              </w:rPr>
              <w:t xml:space="preserve"> reported</w:t>
            </w:r>
            <w:r w:rsidRPr="00661595">
              <w:rPr>
                <w:rFonts w:ascii="Times New Roman" w:hAnsi="Times New Roman"/>
                <w:sz w:val="24"/>
                <w:lang w:eastAsia="de-DE"/>
              </w:rPr>
              <w:t xml:space="preserve"> in this column.</w:t>
            </w:r>
          </w:p>
          <w:p w:rsidR="00AC6255" w:rsidRPr="00661595" w:rsidRDefault="00AC6255" w:rsidP="000B0B09">
            <w:pPr>
              <w:autoSpaceDE w:val="0"/>
              <w:autoSpaceDN w:val="0"/>
              <w:adjustRightInd w:val="0"/>
              <w:spacing w:before="0" w:after="0"/>
              <w:jc w:val="left"/>
              <w:rPr>
                <w:rFonts w:ascii="Times New Roman" w:hAnsi="Times New Roman"/>
                <w:bCs/>
                <w:sz w:val="24"/>
                <w:lang w:eastAsia="nl-BE"/>
              </w:rPr>
            </w:pPr>
          </w:p>
        </w:tc>
      </w:tr>
    </w:tbl>
    <w:p w:rsidR="00AC6255" w:rsidRPr="00661595" w:rsidRDefault="00AC6255" w:rsidP="00AC6255">
      <w:pPr>
        <w:autoSpaceDE w:val="0"/>
        <w:autoSpaceDN w:val="0"/>
        <w:adjustRightInd w:val="0"/>
        <w:spacing w:before="0" w:after="0"/>
        <w:rPr>
          <w:rFonts w:ascii="Times New Roman" w:hAnsi="Times New Roman"/>
          <w:sz w:val="24"/>
          <w:lang w:eastAsia="de-DE"/>
        </w:rPr>
      </w:pPr>
    </w:p>
    <w:p w:rsidR="00AC6255" w:rsidRPr="00661595" w:rsidRDefault="00AC6255" w:rsidP="00AC6255">
      <w:pPr>
        <w:autoSpaceDE w:val="0"/>
        <w:autoSpaceDN w:val="0"/>
        <w:adjustRightInd w:val="0"/>
        <w:spacing w:before="0" w:after="0"/>
        <w:rPr>
          <w:rFonts w:ascii="Times New Roman" w:hAnsi="Times New Roman"/>
          <w:sz w:val="24"/>
          <w:lang w:eastAsia="de-DE"/>
        </w:rPr>
      </w:pPr>
    </w:p>
    <w:p w:rsidR="00AC6255" w:rsidRPr="00661595" w:rsidRDefault="00AC6255" w:rsidP="00AC6255">
      <w:pPr>
        <w:pStyle w:val="PlainText"/>
        <w:jc w:val="both"/>
        <w:rPr>
          <w:rFonts w:ascii="Times New Roman" w:hAnsi="Times New Roman"/>
          <w:sz w:val="24"/>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
        <w:gridCol w:w="7877"/>
      </w:tblGrid>
      <w:tr w:rsidR="00AC6255" w:rsidRPr="00661595" w:rsidTr="00672D2A">
        <w:trPr>
          <w:trHeight w:val="518"/>
        </w:trPr>
        <w:tc>
          <w:tcPr>
            <w:tcW w:w="8862" w:type="dxa"/>
            <w:gridSpan w:val="2"/>
            <w:shd w:val="clear" w:color="auto" w:fill="CCCCCC"/>
          </w:tcPr>
          <w:p w:rsidR="00AC6255" w:rsidRPr="00661595" w:rsidRDefault="00AC6255" w:rsidP="000B0B09">
            <w:pPr>
              <w:autoSpaceDE w:val="0"/>
              <w:autoSpaceDN w:val="0"/>
              <w:adjustRightInd w:val="0"/>
              <w:spacing w:after="0"/>
              <w:rPr>
                <w:rFonts w:ascii="Times New Roman" w:hAnsi="Times New Roman"/>
                <w:b/>
                <w:bCs/>
                <w:sz w:val="24"/>
                <w:lang w:eastAsia="nl-BE"/>
              </w:rPr>
            </w:pPr>
            <w:r w:rsidRPr="00661595">
              <w:rPr>
                <w:rFonts w:ascii="Times New Roman" w:hAnsi="Times New Roman"/>
                <w:b/>
                <w:bCs/>
                <w:sz w:val="24"/>
                <w:lang w:eastAsia="nl-BE"/>
              </w:rPr>
              <w:t>Rows</w:t>
            </w:r>
          </w:p>
        </w:tc>
      </w:tr>
      <w:tr w:rsidR="00AC6255" w:rsidRPr="00661595" w:rsidTr="00672D2A">
        <w:tc>
          <w:tcPr>
            <w:tcW w:w="985" w:type="dxa"/>
          </w:tcPr>
          <w:p w:rsidR="00AC6255" w:rsidRPr="00661595" w:rsidRDefault="005E7FAD" w:rsidP="000B0B09">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w:t>
            </w:r>
            <w:r w:rsidR="00AC6255" w:rsidRPr="00661595">
              <w:rPr>
                <w:rFonts w:ascii="Times New Roman" w:hAnsi="Times New Roman"/>
                <w:bCs/>
                <w:sz w:val="24"/>
                <w:lang w:eastAsia="nl-BE"/>
              </w:rPr>
              <w:t xml:space="preserve">010 </w:t>
            </w:r>
          </w:p>
        </w:tc>
        <w:tc>
          <w:tcPr>
            <w:tcW w:w="7877" w:type="dxa"/>
          </w:tcPr>
          <w:p w:rsidR="00AC6255" w:rsidRPr="00661595" w:rsidRDefault="00AC6255" w:rsidP="000B0B09">
            <w:pPr>
              <w:autoSpaceDE w:val="0"/>
              <w:autoSpaceDN w:val="0"/>
              <w:adjustRightInd w:val="0"/>
              <w:spacing w:before="0" w:after="0"/>
              <w:rPr>
                <w:rStyle w:val="InstructionsTabelleberschrift"/>
                <w:rFonts w:ascii="Times New Roman" w:hAnsi="Times New Roman"/>
                <w:sz w:val="24"/>
              </w:rPr>
            </w:pPr>
            <w:r w:rsidRPr="00661595">
              <w:rPr>
                <w:rStyle w:val="InstructionsTabelleberschrift"/>
                <w:rFonts w:ascii="Times New Roman" w:hAnsi="Times New Roman"/>
                <w:sz w:val="24"/>
              </w:rPr>
              <w:t>BANKING ACTIVITIES SUBJECT TO BASIC INDICATOR APPROACH (BIA)</w:t>
            </w:r>
          </w:p>
          <w:p w:rsidR="00AC6255" w:rsidRPr="00661595" w:rsidRDefault="00AC6255" w:rsidP="000B0B09">
            <w:pPr>
              <w:pStyle w:val="PlainText"/>
              <w:jc w:val="both"/>
              <w:rPr>
                <w:rFonts w:ascii="Times New Roman" w:eastAsia="Times New Roman" w:hAnsi="Times New Roman"/>
                <w:sz w:val="24"/>
                <w:szCs w:val="24"/>
                <w:lang w:val="en-GB" w:eastAsia="de-DE"/>
              </w:rPr>
            </w:pPr>
          </w:p>
          <w:p w:rsidR="00AC6255" w:rsidRPr="00661595" w:rsidRDefault="00AC6255" w:rsidP="000B0B09">
            <w:pPr>
              <w:pStyle w:val="PlainText"/>
              <w:jc w:val="both"/>
              <w:rPr>
                <w:rFonts w:ascii="Times New Roman" w:eastAsia="Times New Roman" w:hAnsi="Times New Roman"/>
                <w:sz w:val="24"/>
                <w:szCs w:val="24"/>
                <w:lang w:val="en-GB" w:eastAsia="de-DE"/>
              </w:rPr>
            </w:pPr>
            <w:r w:rsidRPr="00661595">
              <w:rPr>
                <w:rFonts w:ascii="Times New Roman" w:eastAsia="Times New Roman" w:hAnsi="Times New Roman"/>
                <w:sz w:val="24"/>
                <w:szCs w:val="24"/>
                <w:lang w:val="en-GB"/>
              </w:rPr>
              <w:t xml:space="preserve">This row shall present the amounts corresponding to activities subject to the BIA to calculate the own funds requirement for operational risk (Articles </w:t>
            </w:r>
            <w:r w:rsidR="00474C49" w:rsidRPr="00661595">
              <w:rPr>
                <w:rFonts w:ascii="Times New Roman" w:eastAsia="Times New Roman" w:hAnsi="Times New Roman"/>
                <w:sz w:val="24"/>
                <w:szCs w:val="24"/>
                <w:lang w:val="en-GB"/>
              </w:rPr>
              <w:t xml:space="preserve">315 </w:t>
            </w:r>
            <w:r w:rsidRPr="00661595">
              <w:rPr>
                <w:rFonts w:ascii="Times New Roman" w:eastAsia="Times New Roman" w:hAnsi="Times New Roman"/>
                <w:sz w:val="24"/>
                <w:szCs w:val="24"/>
                <w:lang w:val="en-GB"/>
              </w:rPr>
              <w:t xml:space="preserve">and </w:t>
            </w:r>
            <w:r w:rsidR="00474C49" w:rsidRPr="00661595">
              <w:rPr>
                <w:rFonts w:ascii="Times New Roman" w:eastAsia="Times New Roman" w:hAnsi="Times New Roman"/>
                <w:sz w:val="24"/>
                <w:szCs w:val="24"/>
                <w:lang w:val="en-GB"/>
              </w:rPr>
              <w:t>316</w:t>
            </w:r>
            <w:r w:rsidRPr="00661595">
              <w:rPr>
                <w:rFonts w:ascii="Times New Roman" w:eastAsia="Times New Roman" w:hAnsi="Times New Roman"/>
                <w:sz w:val="24"/>
                <w:szCs w:val="24"/>
                <w:lang w:val="en-GB"/>
              </w:rPr>
              <w:t xml:space="preserve"> </w:t>
            </w:r>
            <w:r w:rsidR="00C7103D" w:rsidRPr="00661595">
              <w:rPr>
                <w:rFonts w:ascii="Times New Roman" w:eastAsia="Times New Roman" w:hAnsi="Times New Roman"/>
                <w:sz w:val="24"/>
                <w:szCs w:val="24"/>
                <w:lang w:val="en-GB"/>
              </w:rPr>
              <w:t>CRR</w:t>
            </w:r>
            <w:r w:rsidRPr="00661595">
              <w:rPr>
                <w:rFonts w:ascii="Times New Roman" w:eastAsia="Times New Roman" w:hAnsi="Times New Roman"/>
                <w:sz w:val="24"/>
                <w:szCs w:val="24"/>
                <w:lang w:val="en-GB"/>
              </w:rPr>
              <w:t>).</w:t>
            </w:r>
          </w:p>
          <w:p w:rsidR="00AC6255" w:rsidRPr="00661595" w:rsidRDefault="00AC6255" w:rsidP="000B0B09">
            <w:pPr>
              <w:pStyle w:val="PlainText"/>
              <w:jc w:val="both"/>
              <w:rPr>
                <w:rFonts w:ascii="Times New Roman" w:eastAsia="Times New Roman" w:hAnsi="Times New Roman"/>
                <w:bCs/>
                <w:sz w:val="24"/>
                <w:szCs w:val="24"/>
                <w:lang w:val="en-GB" w:eastAsia="nl-BE"/>
              </w:rPr>
            </w:pPr>
          </w:p>
        </w:tc>
      </w:tr>
      <w:tr w:rsidR="00AC6255" w:rsidRPr="00661595" w:rsidTr="00672D2A">
        <w:tc>
          <w:tcPr>
            <w:tcW w:w="985" w:type="dxa"/>
          </w:tcPr>
          <w:p w:rsidR="00AC6255" w:rsidRPr="00661595" w:rsidRDefault="005E7FAD" w:rsidP="000B0B09">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w:t>
            </w:r>
            <w:r w:rsidR="00AC6255" w:rsidRPr="00661595">
              <w:rPr>
                <w:rFonts w:ascii="Times New Roman" w:hAnsi="Times New Roman"/>
                <w:bCs/>
                <w:sz w:val="24"/>
                <w:lang w:eastAsia="nl-BE"/>
              </w:rPr>
              <w:t>020</w:t>
            </w:r>
          </w:p>
        </w:tc>
        <w:tc>
          <w:tcPr>
            <w:tcW w:w="7877" w:type="dxa"/>
          </w:tcPr>
          <w:p w:rsidR="00AC6255" w:rsidRPr="00661595" w:rsidRDefault="00AC6255" w:rsidP="000B0B09">
            <w:pPr>
              <w:autoSpaceDE w:val="0"/>
              <w:autoSpaceDN w:val="0"/>
              <w:adjustRightInd w:val="0"/>
              <w:spacing w:before="0" w:after="0"/>
              <w:rPr>
                <w:rStyle w:val="InstructionsTabelleberschrift"/>
                <w:rFonts w:ascii="Times New Roman" w:hAnsi="Times New Roman"/>
                <w:sz w:val="24"/>
              </w:rPr>
            </w:pPr>
            <w:r w:rsidRPr="00661595">
              <w:rPr>
                <w:rStyle w:val="InstructionsTabelleberschrift"/>
                <w:rFonts w:ascii="Times New Roman" w:hAnsi="Times New Roman"/>
                <w:sz w:val="24"/>
              </w:rPr>
              <w:t>BANKING ACTIVITIES SUBJECT TO STANDARISED (TSA)/ ALTERNATIVE STANDARDISED (ASA) APPROACHES</w:t>
            </w:r>
          </w:p>
          <w:p w:rsidR="00AC6255" w:rsidRPr="00661595" w:rsidRDefault="00AC6255" w:rsidP="000B0B09">
            <w:pPr>
              <w:autoSpaceDE w:val="0"/>
              <w:autoSpaceDN w:val="0"/>
              <w:adjustRightInd w:val="0"/>
              <w:spacing w:before="0" w:after="0"/>
              <w:rPr>
                <w:rFonts w:ascii="Times New Roman" w:hAnsi="Times New Roman"/>
                <w:sz w:val="24"/>
                <w:lang w:eastAsia="de-DE"/>
              </w:rPr>
            </w:pPr>
          </w:p>
          <w:p w:rsidR="00AC6255" w:rsidRPr="00661595" w:rsidRDefault="00AC6255" w:rsidP="000B0B09">
            <w:pPr>
              <w:autoSpaceDE w:val="0"/>
              <w:autoSpaceDN w:val="0"/>
              <w:adjustRightInd w:val="0"/>
              <w:spacing w:before="0" w:after="0"/>
              <w:rPr>
                <w:rFonts w:ascii="Times New Roman" w:hAnsi="Times New Roman"/>
                <w:sz w:val="24"/>
                <w:lang w:eastAsia="de-DE"/>
              </w:rPr>
            </w:pPr>
            <w:r w:rsidRPr="00661595">
              <w:rPr>
                <w:rFonts w:ascii="Times New Roman" w:hAnsi="Times New Roman"/>
                <w:sz w:val="24"/>
                <w:lang w:eastAsia="de-DE"/>
              </w:rPr>
              <w:t xml:space="preserve">The </w:t>
            </w:r>
            <w:r w:rsidRPr="00661595">
              <w:rPr>
                <w:rFonts w:ascii="Times New Roman" w:hAnsi="Times New Roman"/>
                <w:sz w:val="24"/>
              </w:rPr>
              <w:t xml:space="preserve">own funds requirement </w:t>
            </w:r>
            <w:r w:rsidRPr="00661595">
              <w:rPr>
                <w:rFonts w:ascii="Times New Roman" w:hAnsi="Times New Roman"/>
                <w:sz w:val="24"/>
                <w:lang w:eastAsia="de-DE"/>
              </w:rPr>
              <w:t xml:space="preserve">calculated </w:t>
            </w:r>
            <w:r w:rsidR="00BB22D4" w:rsidRPr="00661595">
              <w:rPr>
                <w:rFonts w:ascii="Times New Roman" w:hAnsi="Times New Roman"/>
                <w:sz w:val="24"/>
                <w:lang w:eastAsia="de-DE"/>
              </w:rPr>
              <w:t>in accordance with</w:t>
            </w:r>
            <w:r w:rsidRPr="00661595">
              <w:rPr>
                <w:rFonts w:ascii="Times New Roman" w:hAnsi="Times New Roman"/>
                <w:sz w:val="24"/>
                <w:lang w:eastAsia="de-DE"/>
              </w:rPr>
              <w:t xml:space="preserve"> the TSA and ASA (Articles </w:t>
            </w:r>
            <w:r w:rsidR="00F249CD" w:rsidRPr="00661595">
              <w:rPr>
                <w:rFonts w:ascii="Times New Roman" w:hAnsi="Times New Roman"/>
                <w:sz w:val="24"/>
                <w:lang w:eastAsia="de-DE"/>
              </w:rPr>
              <w:t>317</w:t>
            </w:r>
            <w:r w:rsidR="001C3443" w:rsidRPr="00661595">
              <w:rPr>
                <w:rFonts w:ascii="Times New Roman" w:hAnsi="Times New Roman"/>
                <w:sz w:val="24"/>
                <w:lang w:eastAsia="de-DE"/>
              </w:rPr>
              <w:t>, 318 and</w:t>
            </w:r>
            <w:r w:rsidRPr="00661595">
              <w:rPr>
                <w:rFonts w:ascii="Times New Roman" w:hAnsi="Times New Roman"/>
                <w:sz w:val="24"/>
                <w:lang w:eastAsia="de-DE"/>
              </w:rPr>
              <w:t xml:space="preserve"> </w:t>
            </w:r>
            <w:r w:rsidR="00474C49" w:rsidRPr="00661595">
              <w:rPr>
                <w:rFonts w:ascii="Times New Roman" w:hAnsi="Times New Roman"/>
                <w:sz w:val="24"/>
                <w:lang w:eastAsia="de-DE"/>
              </w:rPr>
              <w:t>319</w:t>
            </w:r>
            <w:r w:rsidRPr="00661595">
              <w:rPr>
                <w:rFonts w:ascii="Times New Roman" w:hAnsi="Times New Roman"/>
                <w:sz w:val="24"/>
                <w:lang w:eastAsia="de-DE"/>
              </w:rPr>
              <w:t xml:space="preserve"> </w:t>
            </w:r>
            <w:r w:rsidR="00C7103D" w:rsidRPr="00661595">
              <w:rPr>
                <w:rFonts w:ascii="Times New Roman" w:hAnsi="Times New Roman"/>
                <w:sz w:val="24"/>
                <w:lang w:eastAsia="de-DE"/>
              </w:rPr>
              <w:t>CRR</w:t>
            </w:r>
            <w:r w:rsidRPr="00661595">
              <w:rPr>
                <w:rFonts w:ascii="Times New Roman" w:hAnsi="Times New Roman"/>
                <w:sz w:val="24"/>
                <w:lang w:eastAsia="de-DE"/>
              </w:rPr>
              <w:t xml:space="preserve">) </w:t>
            </w:r>
            <w:r w:rsidR="00A95FD0" w:rsidRPr="00661595">
              <w:rPr>
                <w:rFonts w:ascii="Times New Roman" w:hAnsi="Times New Roman"/>
                <w:sz w:val="24"/>
                <w:lang w:eastAsia="de-DE"/>
              </w:rPr>
              <w:t>shall be reported</w:t>
            </w:r>
            <w:r w:rsidRPr="00661595">
              <w:rPr>
                <w:rFonts w:ascii="Times New Roman" w:hAnsi="Times New Roman"/>
                <w:sz w:val="24"/>
                <w:lang w:eastAsia="de-DE"/>
              </w:rPr>
              <w:t>.</w:t>
            </w:r>
          </w:p>
          <w:p w:rsidR="00AC6255" w:rsidRPr="00661595" w:rsidRDefault="00AC6255" w:rsidP="000B0B09">
            <w:pPr>
              <w:autoSpaceDE w:val="0"/>
              <w:autoSpaceDN w:val="0"/>
              <w:adjustRightInd w:val="0"/>
              <w:spacing w:before="0" w:after="0"/>
              <w:rPr>
                <w:rFonts w:ascii="Times New Roman" w:hAnsi="Times New Roman"/>
                <w:bCs/>
                <w:sz w:val="24"/>
                <w:lang w:eastAsia="nl-BE"/>
              </w:rPr>
            </w:pPr>
          </w:p>
        </w:tc>
      </w:tr>
      <w:tr w:rsidR="00AC6255" w:rsidRPr="00661595" w:rsidTr="00672D2A">
        <w:trPr>
          <w:trHeight w:val="1705"/>
        </w:trPr>
        <w:tc>
          <w:tcPr>
            <w:tcW w:w="985" w:type="dxa"/>
          </w:tcPr>
          <w:p w:rsidR="00AC6255" w:rsidRPr="00661595" w:rsidRDefault="005E7FAD" w:rsidP="000F70EC">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w:t>
            </w:r>
            <w:r w:rsidR="00AC6255" w:rsidRPr="00661595">
              <w:rPr>
                <w:rFonts w:ascii="Times New Roman" w:hAnsi="Times New Roman"/>
                <w:bCs/>
                <w:sz w:val="24"/>
                <w:lang w:eastAsia="nl-BE"/>
              </w:rPr>
              <w:t>030-</w:t>
            </w:r>
            <w:r w:rsidRPr="00661595">
              <w:rPr>
                <w:rFonts w:ascii="Times New Roman" w:hAnsi="Times New Roman"/>
                <w:bCs/>
                <w:sz w:val="24"/>
                <w:lang w:eastAsia="nl-BE"/>
              </w:rPr>
              <w:t>0</w:t>
            </w:r>
            <w:r w:rsidR="00AC6255" w:rsidRPr="00661595">
              <w:rPr>
                <w:rFonts w:ascii="Times New Roman" w:hAnsi="Times New Roman"/>
                <w:bCs/>
                <w:sz w:val="24"/>
                <w:lang w:eastAsia="nl-BE"/>
              </w:rPr>
              <w:t>100</w:t>
            </w:r>
          </w:p>
        </w:tc>
        <w:tc>
          <w:tcPr>
            <w:tcW w:w="7877" w:type="dxa"/>
          </w:tcPr>
          <w:p w:rsidR="00AC6255" w:rsidRPr="00661595" w:rsidRDefault="00AC6255" w:rsidP="000B0B09">
            <w:pPr>
              <w:rPr>
                <w:rStyle w:val="InstructionsTabelleberschrift"/>
                <w:rFonts w:ascii="Times New Roman" w:hAnsi="Times New Roman"/>
                <w:sz w:val="24"/>
              </w:rPr>
            </w:pPr>
            <w:r w:rsidRPr="00661595">
              <w:rPr>
                <w:rStyle w:val="InstructionsTabelleberschrift"/>
                <w:rFonts w:ascii="Times New Roman" w:hAnsi="Times New Roman"/>
                <w:sz w:val="24"/>
              </w:rPr>
              <w:t>SUBJECT TO TSA</w:t>
            </w:r>
          </w:p>
          <w:p w:rsidR="00AC6255" w:rsidRPr="00661595" w:rsidRDefault="001C3443" w:rsidP="00133396">
            <w:pPr>
              <w:autoSpaceDE w:val="0"/>
              <w:autoSpaceDN w:val="0"/>
              <w:adjustRightInd w:val="0"/>
              <w:spacing w:before="0" w:after="0"/>
              <w:jc w:val="left"/>
              <w:rPr>
                <w:rFonts w:ascii="Times New Roman" w:hAnsi="Times New Roman"/>
                <w:bCs/>
                <w:sz w:val="24"/>
                <w:lang w:eastAsia="nl-BE"/>
              </w:rPr>
            </w:pPr>
            <w:r w:rsidRPr="00661595">
              <w:rPr>
                <w:rFonts w:ascii="Times New Roman" w:hAnsi="Times New Roman"/>
                <w:sz w:val="24"/>
              </w:rPr>
              <w:t xml:space="preserve">Where </w:t>
            </w:r>
            <w:r w:rsidR="00AC6255" w:rsidRPr="00661595">
              <w:rPr>
                <w:rFonts w:ascii="Times New Roman" w:hAnsi="Times New Roman"/>
                <w:sz w:val="24"/>
              </w:rPr>
              <w:t>the TSA</w:t>
            </w:r>
            <w:r w:rsidRPr="00661595">
              <w:rPr>
                <w:rFonts w:ascii="Times New Roman" w:hAnsi="Times New Roman"/>
                <w:sz w:val="24"/>
              </w:rPr>
              <w:t xml:space="preserve"> is used</w:t>
            </w:r>
            <w:r w:rsidR="00AC6255" w:rsidRPr="00661595">
              <w:rPr>
                <w:rFonts w:ascii="Times New Roman" w:hAnsi="Times New Roman"/>
                <w:sz w:val="24"/>
              </w:rPr>
              <w:t xml:space="preserve">, </w:t>
            </w:r>
            <w:r w:rsidRPr="00661595">
              <w:rPr>
                <w:rFonts w:ascii="Times New Roman" w:hAnsi="Times New Roman"/>
                <w:sz w:val="24"/>
              </w:rPr>
              <w:t xml:space="preserve">the </w:t>
            </w:r>
            <w:r w:rsidR="00AC6255" w:rsidRPr="00661595">
              <w:rPr>
                <w:rFonts w:ascii="Times New Roman" w:hAnsi="Times New Roman"/>
                <w:sz w:val="24"/>
              </w:rPr>
              <w:t xml:space="preserve">relevant indicator for each respective year shall be distributed in rows </w:t>
            </w:r>
            <w:r w:rsidR="005E7FAD" w:rsidRPr="00661595">
              <w:rPr>
                <w:rFonts w:ascii="Times New Roman" w:hAnsi="Times New Roman"/>
                <w:sz w:val="24"/>
              </w:rPr>
              <w:t>0</w:t>
            </w:r>
            <w:r w:rsidR="00AC6255" w:rsidRPr="00661595">
              <w:rPr>
                <w:rFonts w:ascii="Times New Roman" w:hAnsi="Times New Roman"/>
                <w:sz w:val="24"/>
              </w:rPr>
              <w:t xml:space="preserve">030 to </w:t>
            </w:r>
            <w:r w:rsidR="005E7FAD" w:rsidRPr="00661595">
              <w:rPr>
                <w:rFonts w:ascii="Times New Roman" w:hAnsi="Times New Roman"/>
                <w:sz w:val="24"/>
              </w:rPr>
              <w:t>0</w:t>
            </w:r>
            <w:r w:rsidR="00AC6255" w:rsidRPr="00661595">
              <w:rPr>
                <w:rFonts w:ascii="Times New Roman" w:hAnsi="Times New Roman"/>
                <w:sz w:val="24"/>
              </w:rPr>
              <w:t xml:space="preserve">100 amongst the business lines </w:t>
            </w:r>
            <w:r w:rsidRPr="00661595">
              <w:rPr>
                <w:rFonts w:ascii="Times New Roman" w:hAnsi="Times New Roman"/>
                <w:sz w:val="24"/>
              </w:rPr>
              <w:t>referred to</w:t>
            </w:r>
            <w:r w:rsidR="00AC6255" w:rsidRPr="00661595">
              <w:rPr>
                <w:rFonts w:ascii="Times New Roman" w:hAnsi="Times New Roman"/>
                <w:sz w:val="24"/>
              </w:rPr>
              <w:t xml:space="preserve"> in </w:t>
            </w:r>
            <w:r w:rsidR="00133396" w:rsidRPr="00661595">
              <w:rPr>
                <w:rFonts w:ascii="Times New Roman" w:hAnsi="Times New Roman"/>
                <w:sz w:val="24"/>
              </w:rPr>
              <w:t xml:space="preserve">Table 2 of </w:t>
            </w:r>
            <w:r w:rsidR="00AC6255" w:rsidRPr="00661595">
              <w:rPr>
                <w:rFonts w:ascii="Times New Roman" w:hAnsi="Times New Roman"/>
                <w:sz w:val="24"/>
              </w:rPr>
              <w:t xml:space="preserve">Article </w:t>
            </w:r>
            <w:r w:rsidR="00474C49" w:rsidRPr="00661595">
              <w:rPr>
                <w:rFonts w:ascii="Times New Roman" w:hAnsi="Times New Roman"/>
                <w:sz w:val="24"/>
              </w:rPr>
              <w:t>317</w:t>
            </w:r>
            <w:r w:rsidR="0042594B" w:rsidRPr="00661595">
              <w:rPr>
                <w:rFonts w:ascii="Times New Roman" w:hAnsi="Times New Roman"/>
                <w:sz w:val="24"/>
              </w:rPr>
              <w:t xml:space="preserve"> </w:t>
            </w:r>
            <w:r w:rsidR="00C7103D" w:rsidRPr="00661595">
              <w:rPr>
                <w:rFonts w:ascii="Times New Roman" w:hAnsi="Times New Roman"/>
                <w:sz w:val="24"/>
                <w:lang w:eastAsia="de-DE"/>
              </w:rPr>
              <w:t>CRR</w:t>
            </w:r>
            <w:r w:rsidR="00AC6255" w:rsidRPr="00661595">
              <w:rPr>
                <w:rFonts w:ascii="Times New Roman" w:hAnsi="Times New Roman"/>
                <w:sz w:val="24"/>
              </w:rPr>
              <w:t xml:space="preserve">. The mapping of activities into business lines </w:t>
            </w:r>
            <w:r w:rsidR="00A95FD0" w:rsidRPr="00661595">
              <w:rPr>
                <w:rFonts w:ascii="Times New Roman" w:hAnsi="Times New Roman"/>
                <w:sz w:val="24"/>
              </w:rPr>
              <w:t xml:space="preserve">shall </w:t>
            </w:r>
            <w:r w:rsidR="00AC6255" w:rsidRPr="00661595">
              <w:rPr>
                <w:rFonts w:ascii="Times New Roman" w:hAnsi="Times New Roman"/>
                <w:sz w:val="24"/>
              </w:rPr>
              <w:t xml:space="preserve">follow the principles described in Article </w:t>
            </w:r>
            <w:r w:rsidR="00474C49" w:rsidRPr="00661595">
              <w:rPr>
                <w:rFonts w:ascii="Times New Roman" w:hAnsi="Times New Roman"/>
                <w:sz w:val="24"/>
              </w:rPr>
              <w:t xml:space="preserve">318 </w:t>
            </w:r>
            <w:r w:rsidR="00C7103D" w:rsidRPr="00661595">
              <w:rPr>
                <w:rFonts w:ascii="Times New Roman" w:hAnsi="Times New Roman"/>
                <w:sz w:val="24"/>
                <w:lang w:eastAsia="de-DE"/>
              </w:rPr>
              <w:t>CRR</w:t>
            </w:r>
            <w:r w:rsidR="00AC6255" w:rsidRPr="00661595">
              <w:rPr>
                <w:rFonts w:ascii="Times New Roman" w:hAnsi="Times New Roman"/>
                <w:sz w:val="24"/>
              </w:rPr>
              <w:t>.</w:t>
            </w:r>
          </w:p>
        </w:tc>
      </w:tr>
      <w:tr w:rsidR="00AC6255" w:rsidRPr="00661595" w:rsidTr="00672D2A">
        <w:tc>
          <w:tcPr>
            <w:tcW w:w="985" w:type="dxa"/>
          </w:tcPr>
          <w:p w:rsidR="00AC6255" w:rsidRPr="00661595" w:rsidRDefault="005E7FAD" w:rsidP="000F70EC">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w:t>
            </w:r>
            <w:r w:rsidR="00AC6255" w:rsidRPr="00661595">
              <w:rPr>
                <w:rFonts w:ascii="Times New Roman" w:hAnsi="Times New Roman"/>
                <w:bCs/>
                <w:sz w:val="24"/>
                <w:lang w:eastAsia="nl-BE"/>
              </w:rPr>
              <w:t>110-</w:t>
            </w:r>
            <w:r w:rsidRPr="00661595">
              <w:rPr>
                <w:rFonts w:ascii="Times New Roman" w:hAnsi="Times New Roman"/>
                <w:bCs/>
                <w:sz w:val="24"/>
                <w:lang w:eastAsia="nl-BE"/>
              </w:rPr>
              <w:t>0</w:t>
            </w:r>
            <w:r w:rsidR="00AC6255" w:rsidRPr="00661595">
              <w:rPr>
                <w:rFonts w:ascii="Times New Roman" w:hAnsi="Times New Roman"/>
                <w:bCs/>
                <w:sz w:val="24"/>
                <w:lang w:eastAsia="nl-BE"/>
              </w:rPr>
              <w:t>120</w:t>
            </w:r>
          </w:p>
        </w:tc>
        <w:tc>
          <w:tcPr>
            <w:tcW w:w="7877" w:type="dxa"/>
          </w:tcPr>
          <w:p w:rsidR="00AC6255" w:rsidRPr="00661595" w:rsidRDefault="00AC6255" w:rsidP="000B0B09">
            <w:pPr>
              <w:autoSpaceDE w:val="0"/>
              <w:autoSpaceDN w:val="0"/>
              <w:adjustRightInd w:val="0"/>
              <w:spacing w:before="0" w:after="0"/>
              <w:jc w:val="left"/>
              <w:rPr>
                <w:rStyle w:val="InstructionsTabelleberschrift"/>
                <w:rFonts w:ascii="Times New Roman" w:hAnsi="Times New Roman"/>
                <w:sz w:val="24"/>
              </w:rPr>
            </w:pPr>
            <w:r w:rsidRPr="00661595">
              <w:rPr>
                <w:rStyle w:val="InstructionsTabelleberschrift"/>
                <w:rFonts w:ascii="Times New Roman" w:hAnsi="Times New Roman"/>
                <w:sz w:val="24"/>
              </w:rPr>
              <w:t>SUBJECT TO ASA</w:t>
            </w:r>
          </w:p>
          <w:p w:rsidR="00AC6255" w:rsidRPr="00661595" w:rsidRDefault="00AC6255" w:rsidP="000B0B09">
            <w:pPr>
              <w:rPr>
                <w:rFonts w:ascii="Times New Roman" w:hAnsi="Times New Roman"/>
                <w:sz w:val="24"/>
              </w:rPr>
            </w:pPr>
            <w:r w:rsidRPr="00661595">
              <w:rPr>
                <w:rFonts w:ascii="Times New Roman" w:hAnsi="Times New Roman"/>
                <w:sz w:val="24"/>
                <w:lang w:eastAsia="de-DE"/>
              </w:rPr>
              <w:t xml:space="preserve">Institutions using the ASA (Article </w:t>
            </w:r>
            <w:r w:rsidR="00474C49" w:rsidRPr="00661595">
              <w:rPr>
                <w:rFonts w:ascii="Times New Roman" w:hAnsi="Times New Roman"/>
                <w:sz w:val="24"/>
                <w:lang w:eastAsia="de-DE"/>
              </w:rPr>
              <w:t>319</w:t>
            </w:r>
            <w:r w:rsidRPr="00661595">
              <w:rPr>
                <w:rFonts w:ascii="Times New Roman" w:hAnsi="Times New Roman"/>
                <w:sz w:val="24"/>
                <w:lang w:eastAsia="de-DE"/>
              </w:rPr>
              <w:t xml:space="preserve"> </w:t>
            </w:r>
            <w:r w:rsidR="00C7103D" w:rsidRPr="00661595">
              <w:rPr>
                <w:rFonts w:ascii="Times New Roman" w:hAnsi="Times New Roman"/>
                <w:sz w:val="24"/>
                <w:lang w:eastAsia="de-DE"/>
              </w:rPr>
              <w:t>CRR</w:t>
            </w:r>
            <w:r w:rsidRPr="00661595">
              <w:rPr>
                <w:rFonts w:ascii="Times New Roman" w:hAnsi="Times New Roman"/>
                <w:sz w:val="24"/>
                <w:lang w:eastAsia="de-DE"/>
              </w:rPr>
              <w:t>)</w:t>
            </w:r>
            <w:r w:rsidR="00A95FD0" w:rsidRPr="00661595">
              <w:rPr>
                <w:rFonts w:ascii="Times New Roman" w:hAnsi="Times New Roman"/>
                <w:sz w:val="24"/>
                <w:lang w:eastAsia="de-DE"/>
              </w:rPr>
              <w:t xml:space="preserve"> shall</w:t>
            </w:r>
            <w:r w:rsidRPr="00661595">
              <w:rPr>
                <w:rFonts w:ascii="Times New Roman" w:hAnsi="Times New Roman"/>
                <w:sz w:val="24"/>
                <w:lang w:eastAsia="de-DE"/>
              </w:rPr>
              <w:t xml:space="preserve"> report for the respective years </w:t>
            </w:r>
            <w:r w:rsidR="0006666B" w:rsidRPr="00661595">
              <w:rPr>
                <w:rFonts w:ascii="Times New Roman" w:hAnsi="Times New Roman"/>
                <w:sz w:val="24"/>
                <w:lang w:eastAsia="de-DE"/>
              </w:rPr>
              <w:t xml:space="preserve">the </w:t>
            </w:r>
            <w:r w:rsidRPr="00661595">
              <w:rPr>
                <w:rFonts w:ascii="Times New Roman" w:hAnsi="Times New Roman"/>
                <w:sz w:val="24"/>
                <w:lang w:eastAsia="de-DE"/>
              </w:rPr>
              <w:t xml:space="preserve">relevant indicator separately for each business line in rows </w:t>
            </w:r>
            <w:r w:rsidR="005E7FAD" w:rsidRPr="00661595">
              <w:rPr>
                <w:rFonts w:ascii="Times New Roman" w:hAnsi="Times New Roman"/>
                <w:sz w:val="24"/>
                <w:lang w:eastAsia="de-DE"/>
              </w:rPr>
              <w:t>0</w:t>
            </w:r>
            <w:r w:rsidRPr="00661595">
              <w:rPr>
                <w:rFonts w:ascii="Times New Roman" w:hAnsi="Times New Roman"/>
                <w:sz w:val="24"/>
                <w:lang w:eastAsia="de-DE"/>
              </w:rPr>
              <w:t xml:space="preserve">030 to </w:t>
            </w:r>
            <w:r w:rsidR="005E7FAD" w:rsidRPr="00661595">
              <w:rPr>
                <w:rFonts w:ascii="Times New Roman" w:hAnsi="Times New Roman"/>
                <w:sz w:val="24"/>
                <w:lang w:eastAsia="de-DE"/>
              </w:rPr>
              <w:t>0</w:t>
            </w:r>
            <w:r w:rsidRPr="00661595">
              <w:rPr>
                <w:rFonts w:ascii="Times New Roman" w:hAnsi="Times New Roman"/>
                <w:sz w:val="24"/>
                <w:lang w:eastAsia="de-DE"/>
              </w:rPr>
              <w:t xml:space="preserve">050 and </w:t>
            </w:r>
            <w:r w:rsidR="005E7FAD" w:rsidRPr="00661595">
              <w:rPr>
                <w:rFonts w:ascii="Times New Roman" w:hAnsi="Times New Roman"/>
                <w:sz w:val="24"/>
                <w:lang w:eastAsia="de-DE"/>
              </w:rPr>
              <w:t>0</w:t>
            </w:r>
            <w:r w:rsidRPr="00661595">
              <w:rPr>
                <w:rFonts w:ascii="Times New Roman" w:hAnsi="Times New Roman"/>
                <w:sz w:val="24"/>
                <w:lang w:eastAsia="de-DE"/>
              </w:rPr>
              <w:t xml:space="preserve">080 to </w:t>
            </w:r>
            <w:r w:rsidR="005E7FAD" w:rsidRPr="00661595">
              <w:rPr>
                <w:rFonts w:ascii="Times New Roman" w:hAnsi="Times New Roman"/>
                <w:sz w:val="24"/>
                <w:lang w:eastAsia="de-DE"/>
              </w:rPr>
              <w:t>0</w:t>
            </w:r>
            <w:r w:rsidRPr="00661595">
              <w:rPr>
                <w:rFonts w:ascii="Times New Roman" w:hAnsi="Times New Roman"/>
                <w:sz w:val="24"/>
                <w:lang w:eastAsia="de-DE"/>
              </w:rPr>
              <w:t xml:space="preserve">100 and in rows </w:t>
            </w:r>
            <w:r w:rsidR="005E7FAD" w:rsidRPr="00661595">
              <w:rPr>
                <w:rFonts w:ascii="Times New Roman" w:hAnsi="Times New Roman"/>
                <w:sz w:val="24"/>
                <w:lang w:eastAsia="de-DE"/>
              </w:rPr>
              <w:t>0</w:t>
            </w:r>
            <w:r w:rsidRPr="00661595">
              <w:rPr>
                <w:rFonts w:ascii="Times New Roman" w:hAnsi="Times New Roman"/>
                <w:sz w:val="24"/>
                <w:lang w:eastAsia="de-DE"/>
              </w:rPr>
              <w:t xml:space="preserve">110 and </w:t>
            </w:r>
            <w:r w:rsidR="005E7FAD" w:rsidRPr="00661595">
              <w:rPr>
                <w:rFonts w:ascii="Times New Roman" w:hAnsi="Times New Roman"/>
                <w:sz w:val="24"/>
                <w:lang w:eastAsia="de-DE"/>
              </w:rPr>
              <w:t>0</w:t>
            </w:r>
            <w:r w:rsidRPr="00661595">
              <w:rPr>
                <w:rFonts w:ascii="Times New Roman" w:hAnsi="Times New Roman"/>
                <w:sz w:val="24"/>
                <w:lang w:eastAsia="de-DE"/>
              </w:rPr>
              <w:t>120 for business lines "</w:t>
            </w:r>
            <w:r w:rsidR="00A369C3" w:rsidRPr="00661595">
              <w:rPr>
                <w:rFonts w:ascii="Times New Roman" w:hAnsi="Times New Roman"/>
                <w:sz w:val="24"/>
                <w:lang w:eastAsia="de-DE"/>
              </w:rPr>
              <w:t>c</w:t>
            </w:r>
            <w:r w:rsidRPr="00661595">
              <w:rPr>
                <w:rFonts w:ascii="Times New Roman" w:hAnsi="Times New Roman"/>
                <w:sz w:val="24"/>
                <w:lang w:eastAsia="de-DE"/>
              </w:rPr>
              <w:t>ommercial banking" and "</w:t>
            </w:r>
            <w:r w:rsidR="00A369C3" w:rsidRPr="00661595">
              <w:rPr>
                <w:rFonts w:ascii="Times New Roman" w:hAnsi="Times New Roman"/>
                <w:sz w:val="24"/>
                <w:lang w:eastAsia="de-DE"/>
              </w:rPr>
              <w:t>r</w:t>
            </w:r>
            <w:r w:rsidRPr="00661595">
              <w:rPr>
                <w:rFonts w:ascii="Times New Roman" w:hAnsi="Times New Roman"/>
                <w:sz w:val="24"/>
                <w:lang w:eastAsia="de-DE"/>
              </w:rPr>
              <w:t xml:space="preserve">etail banking". </w:t>
            </w:r>
          </w:p>
          <w:p w:rsidR="00AC6255" w:rsidRPr="00661595" w:rsidRDefault="00AC6255" w:rsidP="0042594B">
            <w:pPr>
              <w:autoSpaceDE w:val="0"/>
              <w:autoSpaceDN w:val="0"/>
              <w:adjustRightInd w:val="0"/>
              <w:spacing w:before="0" w:after="0"/>
              <w:rPr>
                <w:rFonts w:ascii="Times New Roman" w:hAnsi="Times New Roman"/>
                <w:bCs/>
                <w:sz w:val="24"/>
                <w:lang w:eastAsia="nl-BE"/>
              </w:rPr>
            </w:pPr>
            <w:r w:rsidRPr="00661595">
              <w:rPr>
                <w:rStyle w:val="InstructionsTabelleText"/>
                <w:rFonts w:ascii="Times New Roman" w:hAnsi="Times New Roman"/>
                <w:sz w:val="24"/>
              </w:rPr>
              <w:t xml:space="preserve">Rows 110 and 120 shall present the amount of </w:t>
            </w:r>
            <w:r w:rsidR="00A369C3" w:rsidRPr="00661595">
              <w:rPr>
                <w:rStyle w:val="InstructionsTabelleText"/>
                <w:rFonts w:ascii="Times New Roman" w:hAnsi="Times New Roman"/>
                <w:sz w:val="24"/>
              </w:rPr>
              <w:t xml:space="preserve">the </w:t>
            </w:r>
            <w:r w:rsidRPr="00661595">
              <w:rPr>
                <w:rFonts w:ascii="Times New Roman" w:hAnsi="Times New Roman"/>
                <w:sz w:val="24"/>
                <w:lang w:eastAsia="de-DE"/>
              </w:rPr>
              <w:t xml:space="preserve">relevant indicator </w:t>
            </w:r>
            <w:r w:rsidRPr="00661595">
              <w:rPr>
                <w:rStyle w:val="InstructionsTabelleText"/>
                <w:rFonts w:ascii="Times New Roman" w:hAnsi="Times New Roman"/>
                <w:sz w:val="24"/>
              </w:rPr>
              <w:t>of activities subject to ASA</w:t>
            </w:r>
            <w:r w:rsidR="00A369C3" w:rsidRPr="00661595">
              <w:rPr>
                <w:rStyle w:val="InstructionsTabelleText"/>
                <w:rFonts w:ascii="Times New Roman" w:hAnsi="Times New Roman"/>
                <w:sz w:val="24"/>
              </w:rPr>
              <w:t>,</w:t>
            </w:r>
            <w:r w:rsidRPr="00661595">
              <w:rPr>
                <w:rStyle w:val="InstructionsTabelleText"/>
                <w:rFonts w:ascii="Times New Roman" w:hAnsi="Times New Roman"/>
                <w:sz w:val="24"/>
              </w:rPr>
              <w:t xml:space="preserve"> distinguishing between th</w:t>
            </w:r>
            <w:r w:rsidR="00A369C3" w:rsidRPr="00661595">
              <w:rPr>
                <w:rStyle w:val="InstructionsTabelleText"/>
                <w:rFonts w:ascii="Times New Roman" w:hAnsi="Times New Roman"/>
                <w:sz w:val="24"/>
              </w:rPr>
              <w:t>e amount</w:t>
            </w:r>
            <w:r w:rsidRPr="00661595">
              <w:rPr>
                <w:rStyle w:val="InstructionsTabelleText"/>
                <w:rFonts w:ascii="Times New Roman" w:hAnsi="Times New Roman"/>
                <w:sz w:val="24"/>
              </w:rPr>
              <w:t xml:space="preserve"> corresponding to the business line “</w:t>
            </w:r>
            <w:r w:rsidR="00A369C3" w:rsidRPr="00661595">
              <w:rPr>
                <w:rStyle w:val="InstructionsTabelleText"/>
                <w:rFonts w:ascii="Times New Roman" w:hAnsi="Times New Roman"/>
                <w:sz w:val="24"/>
              </w:rPr>
              <w:t>c</w:t>
            </w:r>
            <w:r w:rsidRPr="00661595">
              <w:rPr>
                <w:rStyle w:val="InstructionsTabelleText"/>
                <w:rFonts w:ascii="Times New Roman" w:hAnsi="Times New Roman"/>
                <w:sz w:val="24"/>
              </w:rPr>
              <w:t>ommercial banking” and th</w:t>
            </w:r>
            <w:r w:rsidR="00A369C3" w:rsidRPr="00661595">
              <w:rPr>
                <w:rStyle w:val="InstructionsTabelleText"/>
                <w:rFonts w:ascii="Times New Roman" w:hAnsi="Times New Roman"/>
                <w:sz w:val="24"/>
              </w:rPr>
              <w:t>e amounts</w:t>
            </w:r>
            <w:r w:rsidRPr="00661595">
              <w:rPr>
                <w:rStyle w:val="InstructionsTabelleText"/>
                <w:rFonts w:ascii="Times New Roman" w:hAnsi="Times New Roman"/>
                <w:sz w:val="24"/>
              </w:rPr>
              <w:t xml:space="preserve"> corresponding to the business line “</w:t>
            </w:r>
            <w:r w:rsidR="00A369C3" w:rsidRPr="00661595">
              <w:rPr>
                <w:rStyle w:val="InstructionsTabelleText"/>
                <w:rFonts w:ascii="Times New Roman" w:hAnsi="Times New Roman"/>
                <w:sz w:val="24"/>
              </w:rPr>
              <w:t>r</w:t>
            </w:r>
            <w:r w:rsidRPr="00661595">
              <w:rPr>
                <w:rStyle w:val="InstructionsTabelleText"/>
                <w:rFonts w:ascii="Times New Roman" w:hAnsi="Times New Roman"/>
                <w:sz w:val="24"/>
              </w:rPr>
              <w:t xml:space="preserve">etail banking” (Article </w:t>
            </w:r>
            <w:r w:rsidR="00474C49" w:rsidRPr="00661595">
              <w:rPr>
                <w:rStyle w:val="InstructionsTabelleText"/>
                <w:rFonts w:ascii="Times New Roman" w:hAnsi="Times New Roman"/>
                <w:sz w:val="24"/>
              </w:rPr>
              <w:t xml:space="preserve">319 </w:t>
            </w:r>
            <w:r w:rsidR="00C7103D" w:rsidRPr="00661595">
              <w:rPr>
                <w:rFonts w:ascii="Times New Roman" w:hAnsi="Times New Roman"/>
                <w:sz w:val="24"/>
                <w:lang w:eastAsia="de-DE"/>
              </w:rPr>
              <w:t>CRR</w:t>
            </w:r>
            <w:r w:rsidRPr="00661595">
              <w:rPr>
                <w:rStyle w:val="InstructionsTabelleText"/>
                <w:rFonts w:ascii="Times New Roman" w:hAnsi="Times New Roman"/>
                <w:sz w:val="24"/>
              </w:rPr>
              <w:t>). There can be amounts for the rows corresponding to “</w:t>
            </w:r>
            <w:r w:rsidR="00A369C3" w:rsidRPr="00661595">
              <w:rPr>
                <w:rStyle w:val="InstructionsTabelleText"/>
                <w:rFonts w:ascii="Times New Roman" w:hAnsi="Times New Roman"/>
                <w:sz w:val="24"/>
              </w:rPr>
              <w:t>c</w:t>
            </w:r>
            <w:r w:rsidRPr="00661595">
              <w:rPr>
                <w:rStyle w:val="InstructionsTabelleText"/>
                <w:rFonts w:ascii="Times New Roman" w:hAnsi="Times New Roman"/>
                <w:sz w:val="24"/>
              </w:rPr>
              <w:t>ommercial banking” and “</w:t>
            </w:r>
            <w:r w:rsidR="00A369C3" w:rsidRPr="00661595">
              <w:rPr>
                <w:rStyle w:val="InstructionsTabelleText"/>
                <w:rFonts w:ascii="Times New Roman" w:hAnsi="Times New Roman"/>
                <w:sz w:val="24"/>
              </w:rPr>
              <w:t>r</w:t>
            </w:r>
            <w:r w:rsidRPr="00661595">
              <w:rPr>
                <w:rStyle w:val="InstructionsTabelleText"/>
                <w:rFonts w:ascii="Times New Roman" w:hAnsi="Times New Roman"/>
                <w:sz w:val="24"/>
              </w:rPr>
              <w:t xml:space="preserve">etail banking” under the TSA (rows </w:t>
            </w:r>
            <w:r w:rsidR="005E7FAD" w:rsidRPr="00661595">
              <w:rPr>
                <w:rStyle w:val="InstructionsTabelleText"/>
                <w:rFonts w:ascii="Times New Roman" w:hAnsi="Times New Roman"/>
                <w:sz w:val="24"/>
              </w:rPr>
              <w:t>0</w:t>
            </w:r>
            <w:r w:rsidRPr="00661595">
              <w:rPr>
                <w:rStyle w:val="InstructionsTabelleText"/>
                <w:rFonts w:ascii="Times New Roman" w:hAnsi="Times New Roman"/>
                <w:sz w:val="24"/>
              </w:rPr>
              <w:t xml:space="preserve">060 and </w:t>
            </w:r>
            <w:r w:rsidR="005E7FAD" w:rsidRPr="00661595">
              <w:rPr>
                <w:rStyle w:val="InstructionsTabelleText"/>
                <w:rFonts w:ascii="Times New Roman" w:hAnsi="Times New Roman"/>
                <w:sz w:val="24"/>
              </w:rPr>
              <w:t>0</w:t>
            </w:r>
            <w:r w:rsidRPr="00661595">
              <w:rPr>
                <w:rStyle w:val="InstructionsTabelleText"/>
                <w:rFonts w:ascii="Times New Roman" w:hAnsi="Times New Roman"/>
                <w:sz w:val="24"/>
              </w:rPr>
              <w:t xml:space="preserve">070) as well as under the ASA rows </w:t>
            </w:r>
            <w:r w:rsidR="005E7FAD" w:rsidRPr="00661595">
              <w:rPr>
                <w:rStyle w:val="InstructionsTabelleText"/>
                <w:rFonts w:ascii="Times New Roman" w:hAnsi="Times New Roman"/>
                <w:sz w:val="24"/>
              </w:rPr>
              <w:t>0</w:t>
            </w:r>
            <w:r w:rsidRPr="00661595">
              <w:rPr>
                <w:rStyle w:val="InstructionsTabelleText"/>
                <w:rFonts w:ascii="Times New Roman" w:hAnsi="Times New Roman"/>
                <w:sz w:val="24"/>
              </w:rPr>
              <w:t xml:space="preserve">110 and </w:t>
            </w:r>
            <w:r w:rsidR="005E7FAD" w:rsidRPr="00661595">
              <w:rPr>
                <w:rStyle w:val="InstructionsTabelleText"/>
                <w:rFonts w:ascii="Times New Roman" w:hAnsi="Times New Roman"/>
                <w:sz w:val="24"/>
              </w:rPr>
              <w:t>0</w:t>
            </w:r>
            <w:r w:rsidRPr="00661595">
              <w:rPr>
                <w:rStyle w:val="InstructionsTabelleText"/>
                <w:rFonts w:ascii="Times New Roman" w:hAnsi="Times New Roman"/>
                <w:sz w:val="24"/>
              </w:rPr>
              <w:t>120 (e.g. if a subsidiary is subject to TSA whereas the parent entity is subject to ASA).</w:t>
            </w:r>
          </w:p>
        </w:tc>
      </w:tr>
      <w:tr w:rsidR="00AC6255" w:rsidRPr="00661595" w:rsidTr="00672D2A">
        <w:tc>
          <w:tcPr>
            <w:tcW w:w="985" w:type="dxa"/>
          </w:tcPr>
          <w:p w:rsidR="00AC6255" w:rsidRPr="00661595" w:rsidRDefault="005E7FAD" w:rsidP="000B0B09">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w:t>
            </w:r>
            <w:r w:rsidR="00AC6255" w:rsidRPr="00661595">
              <w:rPr>
                <w:rFonts w:ascii="Times New Roman" w:hAnsi="Times New Roman"/>
                <w:bCs/>
                <w:sz w:val="24"/>
                <w:lang w:eastAsia="nl-BE"/>
              </w:rPr>
              <w:t>130</w:t>
            </w:r>
          </w:p>
        </w:tc>
        <w:tc>
          <w:tcPr>
            <w:tcW w:w="7877" w:type="dxa"/>
          </w:tcPr>
          <w:p w:rsidR="00AC6255" w:rsidRPr="00661595" w:rsidRDefault="00AC6255" w:rsidP="000B0B09">
            <w:pPr>
              <w:autoSpaceDE w:val="0"/>
              <w:autoSpaceDN w:val="0"/>
              <w:adjustRightInd w:val="0"/>
              <w:spacing w:before="0" w:after="0"/>
              <w:rPr>
                <w:rStyle w:val="InstructionsTabelleberschrift"/>
                <w:rFonts w:ascii="Times New Roman" w:hAnsi="Times New Roman"/>
                <w:sz w:val="24"/>
              </w:rPr>
            </w:pPr>
            <w:r w:rsidRPr="00661595">
              <w:rPr>
                <w:rStyle w:val="InstructionsTabelleberschrift"/>
                <w:rFonts w:ascii="Times New Roman" w:hAnsi="Times New Roman"/>
                <w:sz w:val="24"/>
              </w:rPr>
              <w:t>BANKING ACTIVITIES SUBJECT TO ADVANCED MEASUREMENT APPROACHES AMA</w:t>
            </w:r>
          </w:p>
          <w:p w:rsidR="00AC6255" w:rsidRPr="00661595" w:rsidRDefault="00AC6255" w:rsidP="000B0B09">
            <w:pPr>
              <w:autoSpaceDE w:val="0"/>
              <w:autoSpaceDN w:val="0"/>
              <w:adjustRightInd w:val="0"/>
              <w:spacing w:before="0" w:after="0"/>
              <w:rPr>
                <w:rFonts w:ascii="Times New Roman" w:hAnsi="Times New Roman"/>
                <w:bCs/>
                <w:sz w:val="24"/>
                <w:lang w:eastAsia="nl-BE"/>
              </w:rPr>
            </w:pPr>
          </w:p>
          <w:p w:rsidR="00AC6255" w:rsidRPr="00661595" w:rsidRDefault="00AC6255" w:rsidP="000B0B09">
            <w:pPr>
              <w:autoSpaceDE w:val="0"/>
              <w:autoSpaceDN w:val="0"/>
              <w:adjustRightInd w:val="0"/>
              <w:spacing w:before="0" w:after="0"/>
              <w:rPr>
                <w:rFonts w:ascii="Times New Roman" w:hAnsi="Times New Roman"/>
                <w:sz w:val="24"/>
              </w:rPr>
            </w:pPr>
            <w:r w:rsidRPr="00661595">
              <w:rPr>
                <w:rFonts w:ascii="Times New Roman" w:hAnsi="Times New Roman"/>
                <w:sz w:val="24"/>
              </w:rPr>
              <w:t xml:space="preserve">The relevant data for AMA institutions (Article </w:t>
            </w:r>
            <w:r w:rsidR="00474C49" w:rsidRPr="00661595">
              <w:rPr>
                <w:rFonts w:ascii="Times New Roman" w:hAnsi="Times New Roman"/>
                <w:sz w:val="24"/>
              </w:rPr>
              <w:t>312</w:t>
            </w:r>
            <w:r w:rsidR="0042594B" w:rsidRPr="00661595">
              <w:rPr>
                <w:rFonts w:ascii="Times New Roman" w:hAnsi="Times New Roman"/>
                <w:sz w:val="24"/>
              </w:rPr>
              <w:t>(2)</w:t>
            </w:r>
            <w:r w:rsidR="00474C49" w:rsidRPr="00661595">
              <w:rPr>
                <w:rFonts w:ascii="Times New Roman" w:hAnsi="Times New Roman"/>
                <w:sz w:val="24"/>
              </w:rPr>
              <w:t xml:space="preserve"> </w:t>
            </w:r>
            <w:r w:rsidRPr="00661595">
              <w:rPr>
                <w:rFonts w:ascii="Times New Roman" w:hAnsi="Times New Roman"/>
                <w:sz w:val="24"/>
              </w:rPr>
              <w:t>and Article</w:t>
            </w:r>
            <w:r w:rsidR="00705025" w:rsidRPr="00661595">
              <w:rPr>
                <w:rFonts w:ascii="Times New Roman" w:hAnsi="Times New Roman"/>
                <w:sz w:val="24"/>
              </w:rPr>
              <w:t>s</w:t>
            </w:r>
            <w:r w:rsidRPr="00661595">
              <w:rPr>
                <w:rFonts w:ascii="Times New Roman" w:hAnsi="Times New Roman"/>
                <w:sz w:val="24"/>
              </w:rPr>
              <w:t xml:space="preserve"> </w:t>
            </w:r>
            <w:r w:rsidR="00474C49" w:rsidRPr="00661595">
              <w:rPr>
                <w:rFonts w:ascii="Times New Roman" w:hAnsi="Times New Roman"/>
                <w:sz w:val="24"/>
              </w:rPr>
              <w:t>321</w:t>
            </w:r>
            <w:r w:rsidR="00A369C3" w:rsidRPr="00661595">
              <w:rPr>
                <w:rFonts w:ascii="Times New Roman" w:hAnsi="Times New Roman"/>
                <w:sz w:val="24"/>
              </w:rPr>
              <w:t>, 322 and</w:t>
            </w:r>
            <w:r w:rsidRPr="00661595">
              <w:rPr>
                <w:rFonts w:ascii="Times New Roman" w:hAnsi="Times New Roman"/>
                <w:sz w:val="24"/>
              </w:rPr>
              <w:t xml:space="preserve"> </w:t>
            </w:r>
            <w:r w:rsidR="00474C49" w:rsidRPr="00661595">
              <w:rPr>
                <w:rFonts w:ascii="Times New Roman" w:hAnsi="Times New Roman"/>
                <w:sz w:val="24"/>
              </w:rPr>
              <w:t>323</w:t>
            </w:r>
            <w:r w:rsidRPr="00661595">
              <w:rPr>
                <w:rFonts w:ascii="Times New Roman" w:hAnsi="Times New Roman"/>
                <w:sz w:val="24"/>
              </w:rPr>
              <w:t xml:space="preserve"> </w:t>
            </w:r>
            <w:r w:rsidR="00C7103D" w:rsidRPr="00661595">
              <w:rPr>
                <w:rFonts w:ascii="Times New Roman" w:hAnsi="Times New Roman"/>
                <w:sz w:val="24"/>
                <w:lang w:eastAsia="de-DE"/>
              </w:rPr>
              <w:t>CRR</w:t>
            </w:r>
            <w:r w:rsidRPr="00661595">
              <w:rPr>
                <w:rFonts w:ascii="Times New Roman" w:hAnsi="Times New Roman"/>
                <w:sz w:val="24"/>
              </w:rPr>
              <w:t xml:space="preserve">) </w:t>
            </w:r>
            <w:r w:rsidR="00A95FD0" w:rsidRPr="00661595">
              <w:rPr>
                <w:rFonts w:ascii="Times New Roman" w:hAnsi="Times New Roman"/>
                <w:sz w:val="24"/>
              </w:rPr>
              <w:t xml:space="preserve">shall be </w:t>
            </w:r>
            <w:r w:rsidRPr="00661595">
              <w:rPr>
                <w:rFonts w:ascii="Times New Roman" w:hAnsi="Times New Roman"/>
                <w:sz w:val="24"/>
              </w:rPr>
              <w:t xml:space="preserve">reported. </w:t>
            </w:r>
          </w:p>
          <w:p w:rsidR="00AC6255" w:rsidRPr="00661595" w:rsidRDefault="00AC6255" w:rsidP="000B0B09">
            <w:pPr>
              <w:autoSpaceDE w:val="0"/>
              <w:autoSpaceDN w:val="0"/>
              <w:adjustRightInd w:val="0"/>
              <w:spacing w:before="0" w:after="0"/>
              <w:rPr>
                <w:rFonts w:ascii="Times New Roman" w:hAnsi="Times New Roman"/>
                <w:sz w:val="24"/>
              </w:rPr>
            </w:pPr>
          </w:p>
          <w:p w:rsidR="00AC6255" w:rsidRPr="00661595" w:rsidRDefault="00A369C3" w:rsidP="000B0B09">
            <w:pPr>
              <w:autoSpaceDE w:val="0"/>
              <w:autoSpaceDN w:val="0"/>
              <w:adjustRightInd w:val="0"/>
              <w:spacing w:before="0" w:after="0"/>
              <w:rPr>
                <w:rFonts w:ascii="Times New Roman" w:hAnsi="Times New Roman"/>
                <w:sz w:val="24"/>
                <w:lang w:eastAsia="de-DE"/>
              </w:rPr>
            </w:pPr>
            <w:r w:rsidRPr="00661595">
              <w:rPr>
                <w:rFonts w:ascii="Times New Roman" w:hAnsi="Times New Roman"/>
                <w:sz w:val="24"/>
                <w:lang w:eastAsia="de-DE"/>
              </w:rPr>
              <w:t xml:space="preserve">Where </w:t>
            </w:r>
            <w:r w:rsidR="00AC6255" w:rsidRPr="00661595">
              <w:rPr>
                <w:rFonts w:ascii="Times New Roman" w:hAnsi="Times New Roman"/>
                <w:sz w:val="24"/>
                <w:lang w:eastAsia="de-DE"/>
              </w:rPr>
              <w:t>different approaches</w:t>
            </w:r>
            <w:r w:rsidRPr="00661595">
              <w:rPr>
                <w:rFonts w:ascii="Times New Roman" w:hAnsi="Times New Roman"/>
                <w:sz w:val="24"/>
                <w:lang w:eastAsia="de-DE"/>
              </w:rPr>
              <w:t xml:space="preserve"> are combined</w:t>
            </w:r>
            <w:r w:rsidR="00AC6255" w:rsidRPr="00661595">
              <w:rPr>
                <w:rFonts w:ascii="Times New Roman" w:hAnsi="Times New Roman"/>
                <w:sz w:val="24"/>
                <w:lang w:eastAsia="de-DE"/>
              </w:rPr>
              <w:t xml:space="preserve"> as indicated in Article </w:t>
            </w:r>
            <w:r w:rsidR="00474C49" w:rsidRPr="00661595">
              <w:rPr>
                <w:rFonts w:ascii="Times New Roman" w:hAnsi="Times New Roman"/>
                <w:sz w:val="24"/>
                <w:lang w:eastAsia="de-DE"/>
              </w:rPr>
              <w:t xml:space="preserve">314 </w:t>
            </w:r>
            <w:r w:rsidR="00C7103D" w:rsidRPr="00661595">
              <w:rPr>
                <w:rFonts w:ascii="Times New Roman" w:hAnsi="Times New Roman"/>
                <w:sz w:val="24"/>
                <w:lang w:eastAsia="de-DE"/>
              </w:rPr>
              <w:t>CRR</w:t>
            </w:r>
            <w:r w:rsidR="00AC6255" w:rsidRPr="00661595">
              <w:rPr>
                <w:rFonts w:ascii="Times New Roman" w:hAnsi="Times New Roman"/>
                <w:sz w:val="24"/>
                <w:lang w:eastAsia="de-DE"/>
              </w:rPr>
              <w:t xml:space="preserve">, information on relevant indicator for activities subject to AMA </w:t>
            </w:r>
            <w:r w:rsidR="00B811B0" w:rsidRPr="00661595">
              <w:rPr>
                <w:rFonts w:ascii="Times New Roman" w:hAnsi="Times New Roman"/>
                <w:sz w:val="24"/>
                <w:lang w:eastAsia="de-DE"/>
              </w:rPr>
              <w:t>shall</w:t>
            </w:r>
            <w:r w:rsidR="00AC6255" w:rsidRPr="00661595">
              <w:rPr>
                <w:rFonts w:ascii="Times New Roman" w:hAnsi="Times New Roman"/>
                <w:sz w:val="24"/>
                <w:lang w:eastAsia="de-DE"/>
              </w:rPr>
              <w:t xml:space="preserve"> be reported. </w:t>
            </w:r>
            <w:r w:rsidRPr="00661595">
              <w:rPr>
                <w:rFonts w:ascii="Times New Roman" w:hAnsi="Times New Roman"/>
                <w:sz w:val="24"/>
                <w:lang w:eastAsia="de-DE"/>
              </w:rPr>
              <w:t xml:space="preserve">The same shall apply for </w:t>
            </w:r>
            <w:r w:rsidR="00AC6255" w:rsidRPr="00661595">
              <w:rPr>
                <w:rFonts w:ascii="Times New Roman" w:hAnsi="Times New Roman"/>
                <w:sz w:val="24"/>
                <w:lang w:eastAsia="de-DE"/>
              </w:rPr>
              <w:t>all other AMA banks.</w:t>
            </w:r>
          </w:p>
          <w:p w:rsidR="00AC6255" w:rsidRPr="00661595" w:rsidRDefault="00AC6255" w:rsidP="000B0B09">
            <w:pPr>
              <w:autoSpaceDE w:val="0"/>
              <w:autoSpaceDN w:val="0"/>
              <w:adjustRightInd w:val="0"/>
              <w:spacing w:before="0" w:after="0"/>
              <w:rPr>
                <w:rFonts w:ascii="Times New Roman" w:hAnsi="Times New Roman"/>
                <w:bCs/>
                <w:sz w:val="24"/>
                <w:lang w:eastAsia="nl-BE"/>
              </w:rPr>
            </w:pPr>
          </w:p>
        </w:tc>
      </w:tr>
    </w:tbl>
    <w:p w:rsidR="00AC6255" w:rsidRPr="00661595" w:rsidRDefault="00AC6255" w:rsidP="00AC6255">
      <w:pPr>
        <w:pStyle w:val="PlainText"/>
        <w:jc w:val="both"/>
        <w:rPr>
          <w:rFonts w:ascii="Times New Roman" w:hAnsi="Times New Roman"/>
          <w:sz w:val="24"/>
          <w:szCs w:val="24"/>
          <w:lang w:val="en-GB"/>
        </w:rPr>
      </w:pPr>
    </w:p>
    <w:p w:rsidR="00AC6255" w:rsidRPr="00661595" w:rsidRDefault="00AC6255" w:rsidP="00AC6255">
      <w:pPr>
        <w:rPr>
          <w:rFonts w:ascii="Times New Roman" w:hAnsi="Times New Roman"/>
          <w:sz w:val="24"/>
        </w:rPr>
      </w:pPr>
    </w:p>
    <w:p w:rsidR="00FD54FC"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540" w:name="_Toc473560939"/>
      <w:bookmarkStart w:id="541" w:name="_Toc473560940"/>
      <w:bookmarkStart w:id="542" w:name="_Toc473560941"/>
      <w:bookmarkStart w:id="543" w:name="_Toc473560942"/>
      <w:bookmarkStart w:id="544" w:name="_Toc473560943"/>
      <w:bookmarkStart w:id="545" w:name="_Toc473560944"/>
      <w:bookmarkStart w:id="546" w:name="_Toc473560945"/>
      <w:bookmarkStart w:id="547" w:name="_Toc473560946"/>
      <w:bookmarkStart w:id="548" w:name="_Toc473560947"/>
      <w:bookmarkStart w:id="549" w:name="_Toc473560948"/>
      <w:bookmarkStart w:id="550" w:name="_Toc473560949"/>
      <w:bookmarkStart w:id="551" w:name="_Toc473560950"/>
      <w:bookmarkStart w:id="552" w:name="_Toc473560951"/>
      <w:bookmarkStart w:id="553" w:name="_Toc473560952"/>
      <w:bookmarkStart w:id="554" w:name="_Toc473560953"/>
      <w:bookmarkStart w:id="555" w:name="_Toc473560954"/>
      <w:bookmarkStart w:id="556" w:name="_Toc473560955"/>
      <w:bookmarkStart w:id="557" w:name="_Toc473560956"/>
      <w:bookmarkStart w:id="558" w:name="_Toc473560957"/>
      <w:bookmarkStart w:id="559" w:name="_Toc473560958"/>
      <w:bookmarkStart w:id="560" w:name="_Toc473560959"/>
      <w:bookmarkStart w:id="561" w:name="_Toc473560960"/>
      <w:bookmarkStart w:id="562" w:name="_Toc473560961"/>
      <w:bookmarkStart w:id="563" w:name="_Toc473560962"/>
      <w:bookmarkStart w:id="564" w:name="_Toc473560963"/>
      <w:bookmarkStart w:id="565" w:name="_Toc473560964"/>
      <w:bookmarkStart w:id="566" w:name="_Toc473560965"/>
      <w:bookmarkStart w:id="567" w:name="_Toc473560966"/>
      <w:bookmarkStart w:id="568" w:name="_Toc473560967"/>
      <w:bookmarkStart w:id="569" w:name="_Toc473560968"/>
      <w:bookmarkStart w:id="570" w:name="_Toc473560969"/>
      <w:bookmarkStart w:id="571" w:name="_Toc473560970"/>
      <w:bookmarkStart w:id="572" w:name="_Toc473560989"/>
      <w:bookmarkStart w:id="573" w:name="_Toc473560990"/>
      <w:bookmarkStart w:id="574" w:name="_Toc473561022"/>
      <w:bookmarkStart w:id="575" w:name="_Toc473561023"/>
      <w:bookmarkStart w:id="576" w:name="_Toc57831627"/>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r w:rsidRPr="00661595">
        <w:rPr>
          <w:rFonts w:ascii="Times New Roman" w:hAnsi="Times New Roman" w:cs="Times New Roman"/>
          <w:sz w:val="24"/>
          <w:u w:val="none"/>
          <w:lang w:val="en-GB"/>
        </w:rPr>
        <w:t>4.2.</w:t>
      </w:r>
      <w:r w:rsidRPr="00661595">
        <w:rPr>
          <w:rFonts w:ascii="Times New Roman" w:hAnsi="Times New Roman" w:cs="Times New Roman"/>
          <w:sz w:val="24"/>
          <w:u w:val="none"/>
          <w:lang w:val="en-GB"/>
        </w:rPr>
        <w:tab/>
      </w:r>
      <w:r w:rsidR="00FD54FC" w:rsidRPr="00661595">
        <w:rPr>
          <w:rFonts w:ascii="Times New Roman" w:hAnsi="Times New Roman" w:cs="Times New Roman"/>
          <w:sz w:val="24"/>
          <w:lang w:val="en-GB"/>
        </w:rPr>
        <w:t>Operational Risk: Detailed information on losses in the last year (OPR DETAILS)</w:t>
      </w:r>
      <w:bookmarkEnd w:id="575"/>
      <w:bookmarkEnd w:id="576"/>
    </w:p>
    <w:p w:rsidR="00FD54FC"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577" w:name="_Toc473561024"/>
      <w:bookmarkStart w:id="578" w:name="_Toc57831628"/>
      <w:r w:rsidRPr="00661595">
        <w:rPr>
          <w:rFonts w:ascii="Times New Roman" w:hAnsi="Times New Roman" w:cs="Times New Roman"/>
          <w:sz w:val="24"/>
          <w:u w:val="none"/>
          <w:lang w:val="en-GB"/>
        </w:rPr>
        <w:t>4.2.1.</w:t>
      </w:r>
      <w:r w:rsidRPr="00661595">
        <w:rPr>
          <w:rFonts w:ascii="Times New Roman" w:hAnsi="Times New Roman" w:cs="Times New Roman"/>
          <w:sz w:val="24"/>
          <w:u w:val="none"/>
          <w:lang w:val="en-GB"/>
        </w:rPr>
        <w:tab/>
      </w:r>
      <w:r w:rsidR="00FD54FC" w:rsidRPr="00661595">
        <w:rPr>
          <w:rFonts w:ascii="Times New Roman" w:hAnsi="Times New Roman" w:cs="Times New Roman"/>
          <w:sz w:val="24"/>
          <w:lang w:val="en-GB"/>
        </w:rPr>
        <w:t>General Remarks</w:t>
      </w:r>
      <w:bookmarkEnd w:id="577"/>
      <w:bookmarkEnd w:id="578"/>
    </w:p>
    <w:p w:rsidR="00FD54FC" w:rsidRPr="00661595" w:rsidRDefault="00D11E4C" w:rsidP="00487A02">
      <w:pPr>
        <w:pStyle w:val="InstructionsText2"/>
        <w:numPr>
          <w:ilvl w:val="0"/>
          <w:numId w:val="0"/>
        </w:numPr>
        <w:ind w:left="1353" w:hanging="360"/>
      </w:pPr>
      <w:fldSimple w:instr=" seq paragraphs ">
        <w:r w:rsidR="00771068">
          <w:rPr>
            <w:noProof/>
          </w:rPr>
          <w:t>142</w:t>
        </w:r>
      </w:fldSimple>
      <w:r w:rsidR="00125707" w:rsidRPr="00661595">
        <w:t>.</w:t>
      </w:r>
      <w:r w:rsidR="00125707" w:rsidRPr="00661595">
        <w:tab/>
      </w:r>
      <w:r w:rsidR="005C14B0" w:rsidRPr="00661595">
        <w:t xml:space="preserve"> </w:t>
      </w:r>
      <w:r w:rsidR="00FD54FC" w:rsidRPr="00661595">
        <w:t xml:space="preserve">Template C 17.01 (OPR DETAILS 1) summarises the information on the gross losses and loss recoveries registered by an institution in the last year </w:t>
      </w:r>
      <w:r w:rsidR="0023276A" w:rsidRPr="00661595">
        <w:t>by</w:t>
      </w:r>
      <w:r w:rsidR="00FD54FC" w:rsidRPr="00661595">
        <w:t xml:space="preserve"> event types and business lines. Template C 17.02 (OPR DETAILS 2) provides detailed information on the largest loss events in the </w:t>
      </w:r>
      <w:r w:rsidR="001F6487" w:rsidRPr="00661595">
        <w:t>most recent</w:t>
      </w:r>
      <w:r w:rsidR="00FD54FC" w:rsidRPr="00661595">
        <w:t xml:space="preserve"> year. </w:t>
      </w:r>
    </w:p>
    <w:p w:rsidR="00FD54FC" w:rsidRPr="00661595" w:rsidRDefault="00D11E4C" w:rsidP="00487A02">
      <w:pPr>
        <w:pStyle w:val="InstructionsText2"/>
        <w:numPr>
          <w:ilvl w:val="0"/>
          <w:numId w:val="0"/>
        </w:numPr>
        <w:ind w:left="1353" w:hanging="360"/>
      </w:pPr>
      <w:fldSimple w:instr=" seq paragraphs ">
        <w:r w:rsidR="00771068">
          <w:rPr>
            <w:noProof/>
          </w:rPr>
          <w:t>143</w:t>
        </w:r>
      </w:fldSimple>
      <w:r w:rsidR="00125707" w:rsidRPr="00661595">
        <w:t>.</w:t>
      </w:r>
      <w:r w:rsidR="005C14B0" w:rsidRPr="00661595">
        <w:t xml:space="preserve"> </w:t>
      </w:r>
      <w:r w:rsidR="00FD54FC" w:rsidRPr="00661595">
        <w:t>Operational risk losses that are related to credit risk and are subject to own funds requirements for credit risk (boundary credit-related operational risk events) are neither considered in template C 17.01 nor template C 17.02.</w:t>
      </w:r>
    </w:p>
    <w:p w:rsidR="00FD54FC" w:rsidRPr="00661595" w:rsidRDefault="00D11E4C" w:rsidP="00487A02">
      <w:pPr>
        <w:pStyle w:val="InstructionsText2"/>
        <w:numPr>
          <w:ilvl w:val="0"/>
          <w:numId w:val="0"/>
        </w:numPr>
        <w:ind w:left="1353" w:hanging="360"/>
      </w:pPr>
      <w:fldSimple w:instr=" seq paragraphs ">
        <w:r w:rsidR="00771068">
          <w:rPr>
            <w:noProof/>
          </w:rPr>
          <w:t>144</w:t>
        </w:r>
      </w:fldSimple>
      <w:r w:rsidR="00125707" w:rsidRPr="00661595">
        <w:t>.</w:t>
      </w:r>
      <w:r w:rsidR="005C14B0" w:rsidRPr="00661595">
        <w:t xml:space="preserve"> </w:t>
      </w:r>
      <w:r w:rsidR="00FD54FC" w:rsidRPr="00661595">
        <w:t xml:space="preserve">In case of a combined use of different approaches for the calculation of own funds requirements for operational risk </w:t>
      </w:r>
      <w:r w:rsidR="00BB22D4" w:rsidRPr="00661595">
        <w:t>in accordance with</w:t>
      </w:r>
      <w:r w:rsidR="00FD54FC" w:rsidRPr="00661595">
        <w:t xml:space="preserve"> Article 314 CRR, losses and recoveries registered by an institution shall be reported in C 17.0</w:t>
      </w:r>
      <w:r w:rsidR="00417984" w:rsidRPr="00661595">
        <w:t>1</w:t>
      </w:r>
      <w:r w:rsidR="00FD54FC" w:rsidRPr="00661595">
        <w:t xml:space="preserve"> and C 17.02</w:t>
      </w:r>
      <w:r w:rsidR="001F6487" w:rsidRPr="00661595">
        <w:t>,</w:t>
      </w:r>
      <w:r w:rsidR="00FD54FC" w:rsidRPr="00661595">
        <w:t xml:space="preserve"> irrespective of the approach applied to calculate own funds requirements.</w:t>
      </w:r>
    </w:p>
    <w:p w:rsidR="00FD54FC" w:rsidRPr="00661595" w:rsidRDefault="00D11E4C" w:rsidP="00487A02">
      <w:pPr>
        <w:pStyle w:val="InstructionsText2"/>
        <w:numPr>
          <w:ilvl w:val="0"/>
          <w:numId w:val="0"/>
        </w:numPr>
        <w:ind w:left="1353" w:hanging="360"/>
      </w:pPr>
      <w:fldSimple w:instr=" seq paragraphs ">
        <w:r w:rsidR="00771068">
          <w:rPr>
            <w:noProof/>
          </w:rPr>
          <w:t>145</w:t>
        </w:r>
      </w:fldSimple>
      <w:r w:rsidR="00125707" w:rsidRPr="00661595">
        <w:t>.</w:t>
      </w:r>
      <w:r w:rsidR="005C14B0" w:rsidRPr="00661595">
        <w:t xml:space="preserve"> </w:t>
      </w:r>
      <w:r w:rsidR="00FD54FC" w:rsidRPr="00661595">
        <w:t>“Gross loss” means a loss</w:t>
      </w:r>
      <w:r w:rsidR="0023276A" w:rsidRPr="00661595">
        <w:t xml:space="preserve"> -</w:t>
      </w:r>
      <w:r w:rsidR="00FD54FC" w:rsidRPr="00661595">
        <w:t xml:space="preserve"> </w:t>
      </w:r>
      <w:r w:rsidR="0023276A" w:rsidRPr="00661595">
        <w:t xml:space="preserve">as referred to in point (b) of Article 322(3)  CRR - </w:t>
      </w:r>
      <w:r w:rsidR="00FD54FC" w:rsidRPr="00661595">
        <w:t xml:space="preserve">stemming from an operational risk event or </w:t>
      </w:r>
      <w:r w:rsidR="001F6487" w:rsidRPr="00661595">
        <w:t xml:space="preserve">loss </w:t>
      </w:r>
      <w:r w:rsidR="00FD54FC" w:rsidRPr="00661595">
        <w:t xml:space="preserve">event type  before recoveries of any </w:t>
      </w:r>
      <w:r w:rsidR="0042594B" w:rsidRPr="00661595">
        <w:t>kind</w:t>
      </w:r>
      <w:r w:rsidR="00FD54FC" w:rsidRPr="00661595">
        <w:t xml:space="preserve">, without prejudice to “rapidly recovered loss events” as defined below. </w:t>
      </w:r>
    </w:p>
    <w:p w:rsidR="00FD54FC" w:rsidRPr="00661595" w:rsidRDefault="00D11E4C" w:rsidP="00487A02">
      <w:pPr>
        <w:pStyle w:val="InstructionsText2"/>
        <w:numPr>
          <w:ilvl w:val="0"/>
          <w:numId w:val="0"/>
        </w:numPr>
        <w:ind w:left="1353" w:hanging="360"/>
      </w:pPr>
      <w:fldSimple w:instr=" seq paragraphs ">
        <w:r w:rsidR="00771068">
          <w:rPr>
            <w:noProof/>
          </w:rPr>
          <w:t>146</w:t>
        </w:r>
      </w:fldSimple>
      <w:r w:rsidR="00125707" w:rsidRPr="00661595">
        <w:t>.</w:t>
      </w:r>
      <w:r w:rsidR="005C14B0" w:rsidRPr="00661595">
        <w:t xml:space="preserve"> </w:t>
      </w:r>
      <w:r w:rsidR="00FD54FC" w:rsidRPr="00661595">
        <w:t>“Recovery</w:t>
      </w:r>
      <w:r w:rsidR="001F6487" w:rsidRPr="00661595">
        <w:t>”</w:t>
      </w:r>
      <w:r w:rsidR="00FD54FC" w:rsidRPr="00661595">
        <w:t xml:space="preserve"> means an independent occurrence related to the original operational risk loss that is separate in time, in which funds or inflows of economic benefits are received from first or third parties, such as insurers or other parties. Recoveries are broken down into </w:t>
      </w:r>
      <w:r w:rsidR="005A020C" w:rsidRPr="00661595">
        <w:t xml:space="preserve">recoveries from insurance and other risk transfer mechanisms and </w:t>
      </w:r>
      <w:r w:rsidR="00FD54FC" w:rsidRPr="00661595">
        <w:t>direct recoveries.</w:t>
      </w:r>
    </w:p>
    <w:p w:rsidR="00FD54FC" w:rsidRPr="00661595" w:rsidRDefault="00D11E4C" w:rsidP="00487A02">
      <w:pPr>
        <w:pStyle w:val="InstructionsText2"/>
        <w:numPr>
          <w:ilvl w:val="0"/>
          <w:numId w:val="0"/>
        </w:numPr>
        <w:ind w:left="1353" w:hanging="360"/>
      </w:pPr>
      <w:fldSimple w:instr=" seq paragraphs ">
        <w:r w:rsidR="00771068">
          <w:rPr>
            <w:noProof/>
          </w:rPr>
          <w:t>147</w:t>
        </w:r>
      </w:fldSimple>
      <w:r w:rsidR="00125707" w:rsidRPr="00661595">
        <w:t>.</w:t>
      </w:r>
      <w:r w:rsidR="00125707" w:rsidRPr="00661595">
        <w:tab/>
      </w:r>
      <w:r w:rsidR="005C14B0" w:rsidRPr="00661595">
        <w:t xml:space="preserve"> </w:t>
      </w:r>
      <w:r w:rsidR="00FD54FC" w:rsidRPr="00661595">
        <w:t>“Rapidly recovered loss events</w:t>
      </w:r>
      <w:r w:rsidR="001F6487" w:rsidRPr="00661595">
        <w:t>”</w:t>
      </w:r>
      <w:r w:rsidR="00FD54FC" w:rsidRPr="00661595">
        <w:t xml:space="preserve"> means operational risk events that lead to losses that are partly or fully recovered within five working days. In case of a rapidly recovered loss event, only the part of the loss that is not fully recovered (i.e. the loss net of the partial rapid recovery) shall be included into the gross loss definition. As a consequence, loss events that lead to losses that are fully recovered within five working days shall not be included into the gross loss definition, </w:t>
      </w:r>
      <w:r w:rsidR="0023276A" w:rsidRPr="00661595">
        <w:t>and neither</w:t>
      </w:r>
      <w:r w:rsidR="00FD54FC" w:rsidRPr="00661595">
        <w:t xml:space="preserve"> into the OPR DETAILS reporting.</w:t>
      </w:r>
    </w:p>
    <w:p w:rsidR="00FD54FC" w:rsidRPr="00661595" w:rsidRDefault="00D11E4C" w:rsidP="00487A02">
      <w:pPr>
        <w:pStyle w:val="InstructionsText2"/>
        <w:numPr>
          <w:ilvl w:val="0"/>
          <w:numId w:val="0"/>
        </w:numPr>
        <w:ind w:left="1353" w:hanging="360"/>
      </w:pPr>
      <w:fldSimple w:instr=" seq paragraphs ">
        <w:r w:rsidR="00771068">
          <w:rPr>
            <w:noProof/>
          </w:rPr>
          <w:t>148</w:t>
        </w:r>
      </w:fldSimple>
      <w:r w:rsidR="00125707" w:rsidRPr="00661595">
        <w:t>.</w:t>
      </w:r>
      <w:r w:rsidR="00125707" w:rsidRPr="00661595">
        <w:tab/>
      </w:r>
      <w:r w:rsidR="005C14B0" w:rsidRPr="00661595">
        <w:t xml:space="preserve"> </w:t>
      </w:r>
      <w:r w:rsidR="00FD54FC" w:rsidRPr="00661595">
        <w:t>“Date of accounting” means the date when a loss or reserve/provision was first recogni</w:t>
      </w:r>
      <w:r w:rsidR="00C7103D" w:rsidRPr="00661595">
        <w:t>s</w:t>
      </w:r>
      <w:r w:rsidR="00FD54FC" w:rsidRPr="00661595">
        <w:t>ed in the Profit and Loss statement, against an operational risk loss. Th</w:t>
      </w:r>
      <w:r w:rsidR="001F6487" w:rsidRPr="00661595">
        <w:t>o</w:t>
      </w:r>
      <w:r w:rsidR="00FD54FC" w:rsidRPr="00661595">
        <w:t>s</w:t>
      </w:r>
      <w:r w:rsidR="001F6487" w:rsidRPr="00661595">
        <w:t>e</w:t>
      </w:r>
      <w:r w:rsidR="00FD54FC" w:rsidRPr="00661595">
        <w:t xml:space="preserve"> date logically follow the “Date of occurrence” (i.e. the date when the operational risk event happened or first began) and the “Date of discovery” (i.e. the date on which the institution became aware of the operational risk event). </w:t>
      </w:r>
    </w:p>
    <w:p w:rsidR="00FD54FC" w:rsidRPr="00661595" w:rsidRDefault="00D11E4C" w:rsidP="00487A02">
      <w:pPr>
        <w:pStyle w:val="InstructionsText2"/>
        <w:numPr>
          <w:ilvl w:val="0"/>
          <w:numId w:val="0"/>
        </w:numPr>
        <w:ind w:left="1353" w:hanging="360"/>
      </w:pPr>
      <w:fldSimple w:instr=" seq paragraphs ">
        <w:r w:rsidR="00771068">
          <w:rPr>
            <w:noProof/>
          </w:rPr>
          <w:t>149</w:t>
        </w:r>
      </w:fldSimple>
      <w:r w:rsidR="00125707" w:rsidRPr="00661595">
        <w:t>.</w:t>
      </w:r>
      <w:r w:rsidR="00125707" w:rsidRPr="00661595">
        <w:tab/>
      </w:r>
      <w:r w:rsidR="005C14B0" w:rsidRPr="00661595">
        <w:t xml:space="preserve"> </w:t>
      </w:r>
      <w:r w:rsidR="00FD54FC" w:rsidRPr="00661595">
        <w:t xml:space="preserve">Losses caused by a common operational risk event or by multiple events linked to an initial operational risk event generating events or losses (‘root-event’) are grouped. The grouped events shall be </w:t>
      </w:r>
      <w:r w:rsidR="008D30F0" w:rsidRPr="00661595">
        <w:t xml:space="preserve">considered and </w:t>
      </w:r>
      <w:r w:rsidR="00FD54FC" w:rsidRPr="00661595">
        <w:t>reported as one event</w:t>
      </w:r>
      <w:r w:rsidR="008D30F0" w:rsidRPr="00661595">
        <w:t xml:space="preserve">, and thus the related </w:t>
      </w:r>
      <w:r w:rsidR="00FD54FC" w:rsidRPr="00661595">
        <w:t>gross loss amounts</w:t>
      </w:r>
      <w:r w:rsidR="001F6487" w:rsidRPr="00661595">
        <w:t>,</w:t>
      </w:r>
      <w:r w:rsidR="00FD54FC" w:rsidRPr="00661595">
        <w:t xml:space="preserve"> respectively </w:t>
      </w:r>
      <w:r w:rsidR="008D30F0" w:rsidRPr="00661595">
        <w:t xml:space="preserve">amounts of </w:t>
      </w:r>
      <w:r w:rsidR="00FD54FC" w:rsidRPr="00661595">
        <w:t>loss adjustments</w:t>
      </w:r>
      <w:r w:rsidR="001F6487" w:rsidRPr="00661595">
        <w:t>,</w:t>
      </w:r>
      <w:r w:rsidR="008D30F0" w:rsidRPr="00661595">
        <w:t xml:space="preserve"> </w:t>
      </w:r>
      <w:r w:rsidR="00D30A68" w:rsidRPr="00661595">
        <w:t xml:space="preserve">shall be </w:t>
      </w:r>
      <w:r w:rsidR="008D30F0" w:rsidRPr="00661595">
        <w:t>summed up</w:t>
      </w:r>
      <w:r w:rsidR="00FD54FC" w:rsidRPr="00661595">
        <w:t>.</w:t>
      </w:r>
    </w:p>
    <w:p w:rsidR="00FD54FC" w:rsidRPr="00661595" w:rsidRDefault="00D11E4C" w:rsidP="00487A02">
      <w:pPr>
        <w:pStyle w:val="InstructionsText2"/>
        <w:numPr>
          <w:ilvl w:val="0"/>
          <w:numId w:val="0"/>
        </w:numPr>
        <w:ind w:left="1353" w:hanging="360"/>
      </w:pPr>
      <w:fldSimple w:instr=" seq paragraphs ">
        <w:r w:rsidR="00771068">
          <w:rPr>
            <w:noProof/>
          </w:rPr>
          <w:t>150</w:t>
        </w:r>
      </w:fldSimple>
      <w:r w:rsidR="00125707" w:rsidRPr="00661595">
        <w:t>.</w:t>
      </w:r>
      <w:r w:rsidR="00125707" w:rsidRPr="00661595">
        <w:tab/>
      </w:r>
      <w:r w:rsidR="005C14B0" w:rsidRPr="00661595">
        <w:t xml:space="preserve"> </w:t>
      </w:r>
      <w:r w:rsidR="00FD54FC" w:rsidRPr="00661595">
        <w:t xml:space="preserve">The figures reported in June of the respective year </w:t>
      </w:r>
      <w:r w:rsidR="001F6487" w:rsidRPr="00661595">
        <w:t>shall be</w:t>
      </w:r>
      <w:r w:rsidR="00FD54FC" w:rsidRPr="00661595">
        <w:t xml:space="preserve"> interim figures, while the final figures </w:t>
      </w:r>
      <w:r w:rsidR="001F6487" w:rsidRPr="00661595">
        <w:t>shall be</w:t>
      </w:r>
      <w:r w:rsidR="00FD54FC" w:rsidRPr="00661595">
        <w:t xml:space="preserve"> reported in December. Therefore</w:t>
      </w:r>
      <w:r w:rsidR="001F6487" w:rsidRPr="00661595">
        <w:t>,</w:t>
      </w:r>
      <w:r w:rsidR="00FD54FC" w:rsidRPr="00661595">
        <w:t xml:space="preserve"> the figures in June </w:t>
      </w:r>
      <w:r w:rsidR="001F6487" w:rsidRPr="00661595">
        <w:t xml:space="preserve">shall </w:t>
      </w:r>
      <w:r w:rsidR="00FD54FC" w:rsidRPr="00661595">
        <w:t xml:space="preserve">have a six-month reference period (i.e. from 1 January to 30 June of the calendar year) while the figures in December </w:t>
      </w:r>
      <w:r w:rsidR="001F6487" w:rsidRPr="00661595">
        <w:t xml:space="preserve">shall </w:t>
      </w:r>
      <w:r w:rsidR="00FD54FC" w:rsidRPr="00661595">
        <w:t xml:space="preserve">have a twelve-month reference period (i.e. from 1 January to 31 December of the calendar year). Both for data reported </w:t>
      </w:r>
      <w:r w:rsidR="0023276A" w:rsidRPr="00661595">
        <w:t>in</w:t>
      </w:r>
      <w:r w:rsidR="00FD54FC" w:rsidRPr="00661595">
        <w:t xml:space="preserve"> June and December, “previous reporting reference periods” </w:t>
      </w:r>
      <w:r w:rsidR="001F6487" w:rsidRPr="00661595">
        <w:t xml:space="preserve">shall </w:t>
      </w:r>
      <w:r w:rsidR="00FD54FC" w:rsidRPr="00661595">
        <w:t>mean all reporting reference periods until and including the one ending at the preceding calendar year end.</w:t>
      </w:r>
    </w:p>
    <w:p w:rsidR="00FD54FC" w:rsidRPr="00661595" w:rsidRDefault="00FD54FC" w:rsidP="00487A02">
      <w:pPr>
        <w:pStyle w:val="InstructionsText2"/>
        <w:numPr>
          <w:ilvl w:val="0"/>
          <w:numId w:val="0"/>
        </w:numPr>
        <w:ind w:left="1353" w:hanging="360"/>
      </w:pPr>
    </w:p>
    <w:p w:rsidR="00FD54FC"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579" w:name="_Toc473561025"/>
      <w:bookmarkStart w:id="580" w:name="_Toc57831629"/>
      <w:r w:rsidRPr="00661595">
        <w:rPr>
          <w:rFonts w:ascii="Times New Roman" w:hAnsi="Times New Roman" w:cs="Times New Roman"/>
          <w:sz w:val="24"/>
          <w:u w:val="none"/>
          <w:lang w:val="en-GB"/>
        </w:rPr>
        <w:t>4.2.2.</w:t>
      </w:r>
      <w:r w:rsidRPr="00661595">
        <w:rPr>
          <w:rFonts w:ascii="Times New Roman" w:hAnsi="Times New Roman" w:cs="Times New Roman"/>
          <w:sz w:val="24"/>
          <w:u w:val="none"/>
          <w:lang w:val="en-GB"/>
        </w:rPr>
        <w:tab/>
      </w:r>
      <w:r w:rsidR="00FD54FC" w:rsidRPr="00661595">
        <w:rPr>
          <w:rFonts w:ascii="Times New Roman" w:hAnsi="Times New Roman" w:cs="Times New Roman"/>
          <w:sz w:val="24"/>
          <w:lang w:val="en-GB"/>
        </w:rPr>
        <w:t xml:space="preserve">C 17.01: Operational risk losses and recoveries by business lines and </w:t>
      </w:r>
      <w:r w:rsidR="00650B6C" w:rsidRPr="00661595">
        <w:rPr>
          <w:rFonts w:ascii="Times New Roman" w:hAnsi="Times New Roman" w:cs="Times New Roman"/>
          <w:sz w:val="24"/>
          <w:lang w:val="en-GB"/>
        </w:rPr>
        <w:t xml:space="preserve">loss </w:t>
      </w:r>
      <w:r w:rsidR="00FD54FC" w:rsidRPr="00661595">
        <w:rPr>
          <w:rFonts w:ascii="Times New Roman" w:hAnsi="Times New Roman" w:cs="Times New Roman"/>
          <w:sz w:val="24"/>
          <w:lang w:val="en-GB"/>
        </w:rPr>
        <w:t>event types in the last year (OPR DETAILS 1)</w:t>
      </w:r>
      <w:bookmarkEnd w:id="579"/>
      <w:bookmarkEnd w:id="580"/>
    </w:p>
    <w:p w:rsidR="00FD54FC"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581" w:name="_Toc473561026"/>
      <w:bookmarkStart w:id="582" w:name="_Toc57831630"/>
      <w:r w:rsidRPr="00661595">
        <w:rPr>
          <w:rFonts w:ascii="Times New Roman" w:hAnsi="Times New Roman" w:cs="Times New Roman"/>
          <w:sz w:val="24"/>
          <w:u w:val="none"/>
          <w:lang w:val="en-GB"/>
        </w:rPr>
        <w:t>4.2.2.1.</w:t>
      </w:r>
      <w:r w:rsidRPr="00661595">
        <w:rPr>
          <w:rFonts w:ascii="Times New Roman" w:hAnsi="Times New Roman" w:cs="Times New Roman"/>
          <w:sz w:val="24"/>
          <w:u w:val="none"/>
          <w:lang w:val="en-GB"/>
        </w:rPr>
        <w:tab/>
      </w:r>
      <w:r w:rsidR="00FD54FC" w:rsidRPr="00661595">
        <w:rPr>
          <w:rFonts w:ascii="Times New Roman" w:hAnsi="Times New Roman" w:cs="Times New Roman"/>
          <w:sz w:val="24"/>
          <w:lang w:val="en-GB"/>
        </w:rPr>
        <w:t>General Remarks</w:t>
      </w:r>
      <w:bookmarkEnd w:id="581"/>
      <w:bookmarkEnd w:id="582"/>
    </w:p>
    <w:p w:rsidR="00FD54FC" w:rsidRPr="00661595" w:rsidRDefault="00D11E4C" w:rsidP="00487A02">
      <w:pPr>
        <w:pStyle w:val="InstructionsText2"/>
        <w:numPr>
          <w:ilvl w:val="0"/>
          <w:numId w:val="0"/>
        </w:numPr>
        <w:ind w:left="1353" w:hanging="360"/>
      </w:pPr>
      <w:fldSimple w:instr=" seq paragraphs ">
        <w:r w:rsidR="00771068">
          <w:rPr>
            <w:noProof/>
          </w:rPr>
          <w:t>151</w:t>
        </w:r>
      </w:fldSimple>
      <w:r w:rsidR="00125707" w:rsidRPr="00661595">
        <w:t>.</w:t>
      </w:r>
      <w:r w:rsidR="005C14B0" w:rsidRPr="00661595">
        <w:t xml:space="preserve"> </w:t>
      </w:r>
      <w:r w:rsidR="00FD54FC" w:rsidRPr="00661595">
        <w:t xml:space="preserve">In template C 17.01, the information </w:t>
      </w:r>
      <w:r w:rsidR="001F6487" w:rsidRPr="00661595">
        <w:t>shall be</w:t>
      </w:r>
      <w:r w:rsidR="00FD54FC" w:rsidRPr="00661595">
        <w:t xml:space="preserve"> presented by distributing the losses and recoveries above internal thresholds amongst business lines (as </w:t>
      </w:r>
      <w:r w:rsidR="001F6487" w:rsidRPr="00661595">
        <w:t>listed</w:t>
      </w:r>
      <w:r w:rsidR="00FD54FC" w:rsidRPr="00661595">
        <w:t xml:space="preserve"> in </w:t>
      </w:r>
      <w:r w:rsidR="00133396" w:rsidRPr="00661595">
        <w:t xml:space="preserve">Table 2 of </w:t>
      </w:r>
      <w:r w:rsidR="00FD54FC" w:rsidRPr="00661595">
        <w:t>Article 317</w:t>
      </w:r>
      <w:r w:rsidR="00133396" w:rsidRPr="00661595">
        <w:t xml:space="preserve"> </w:t>
      </w:r>
      <w:r w:rsidR="00C7103D" w:rsidRPr="00661595">
        <w:t>CRR</w:t>
      </w:r>
      <w:r w:rsidR="001F6487" w:rsidRPr="00661595">
        <w:t>,</w:t>
      </w:r>
      <w:r w:rsidR="00FD54FC" w:rsidRPr="00661595">
        <w:t xml:space="preserve"> including the additional business line "</w:t>
      </w:r>
      <w:r w:rsidR="001F6487" w:rsidRPr="00661595">
        <w:t>c</w:t>
      </w:r>
      <w:r w:rsidR="00FD54FC" w:rsidRPr="00661595">
        <w:t xml:space="preserve">orporate items" referred to in </w:t>
      </w:r>
      <w:r w:rsidR="00705025" w:rsidRPr="00661595">
        <w:t xml:space="preserve">point (b) of </w:t>
      </w:r>
      <w:r w:rsidR="00FD54FC" w:rsidRPr="00661595">
        <w:t xml:space="preserve">Article 322(3) CRR) </w:t>
      </w:r>
      <w:r w:rsidR="001F6487" w:rsidRPr="00661595">
        <w:t xml:space="preserve">and loss </w:t>
      </w:r>
      <w:r w:rsidR="00FD54FC" w:rsidRPr="00661595">
        <w:t xml:space="preserve">event types (as </w:t>
      </w:r>
      <w:r w:rsidR="001F6487" w:rsidRPr="00661595">
        <w:t>referred to in</w:t>
      </w:r>
      <w:r w:rsidR="00FD54FC" w:rsidRPr="00661595">
        <w:t xml:space="preserve"> in Article 324 CRR</w:t>
      </w:r>
      <w:r w:rsidR="001F6487" w:rsidRPr="00661595">
        <w:t>). It is</w:t>
      </w:r>
      <w:r w:rsidR="00FD54FC" w:rsidRPr="00661595">
        <w:t xml:space="preserve"> possible that the losses corresponding to one </w:t>
      </w:r>
      <w:r w:rsidR="00650B6C" w:rsidRPr="00661595">
        <w:t xml:space="preserve">loss </w:t>
      </w:r>
      <w:r w:rsidR="00FD54FC" w:rsidRPr="00661595">
        <w:t>event are distributed amongst several business lines.</w:t>
      </w:r>
    </w:p>
    <w:p w:rsidR="00FD54FC" w:rsidRPr="00661595" w:rsidRDefault="00D11E4C" w:rsidP="00487A02">
      <w:pPr>
        <w:pStyle w:val="InstructionsText2"/>
        <w:numPr>
          <w:ilvl w:val="0"/>
          <w:numId w:val="0"/>
        </w:numPr>
        <w:ind w:left="1353" w:hanging="360"/>
      </w:pPr>
      <w:fldSimple w:instr=" seq paragraphs ">
        <w:r w:rsidR="00771068">
          <w:rPr>
            <w:noProof/>
          </w:rPr>
          <w:t>152</w:t>
        </w:r>
      </w:fldSimple>
      <w:r w:rsidR="00125707" w:rsidRPr="00661595">
        <w:t>.</w:t>
      </w:r>
      <w:r w:rsidR="005C14B0" w:rsidRPr="00661595">
        <w:t xml:space="preserve"> </w:t>
      </w:r>
      <w:r w:rsidR="00FD54FC" w:rsidRPr="00661595">
        <w:t xml:space="preserve">Columns present the different </w:t>
      </w:r>
      <w:r w:rsidR="00650B6C" w:rsidRPr="00661595">
        <w:t xml:space="preserve">loss </w:t>
      </w:r>
      <w:r w:rsidR="00FD54FC" w:rsidRPr="00661595">
        <w:t xml:space="preserve">event types and the totals for each business line, together with a memorandum item that shows the lowest internal threshold applied in the data collection of losses, revealing within each business line the lowest and the highest threshold </w:t>
      </w:r>
      <w:r w:rsidR="001F6487" w:rsidRPr="00661595">
        <w:t>where</w:t>
      </w:r>
      <w:r w:rsidR="00FD54FC" w:rsidRPr="00661595">
        <w:t xml:space="preserve"> there is more than one threshold.</w:t>
      </w:r>
    </w:p>
    <w:p w:rsidR="00FD54FC" w:rsidRPr="00661595" w:rsidRDefault="00D11E4C" w:rsidP="00487A02">
      <w:pPr>
        <w:pStyle w:val="InstructionsText2"/>
        <w:numPr>
          <w:ilvl w:val="0"/>
          <w:numId w:val="0"/>
        </w:numPr>
        <w:ind w:left="1353" w:hanging="360"/>
      </w:pPr>
      <w:fldSimple w:instr=" seq paragraphs ">
        <w:r w:rsidR="00771068">
          <w:rPr>
            <w:noProof/>
          </w:rPr>
          <w:t>153</w:t>
        </w:r>
      </w:fldSimple>
      <w:r w:rsidR="00125707" w:rsidRPr="00661595">
        <w:t>.</w:t>
      </w:r>
      <w:r w:rsidR="00125707" w:rsidRPr="00661595">
        <w:tab/>
      </w:r>
      <w:r w:rsidR="005C14B0" w:rsidRPr="00661595">
        <w:t xml:space="preserve"> </w:t>
      </w:r>
      <w:r w:rsidR="00FD54FC" w:rsidRPr="00661595">
        <w:t xml:space="preserve">Rows present the business lines, and within each business line, information on the number of </w:t>
      </w:r>
      <w:r w:rsidR="00650B6C" w:rsidRPr="00661595">
        <w:t xml:space="preserve">loss </w:t>
      </w:r>
      <w:r w:rsidR="00FD54FC" w:rsidRPr="00661595">
        <w:t xml:space="preserve">events (new </w:t>
      </w:r>
      <w:r w:rsidR="00650B6C" w:rsidRPr="00661595">
        <w:t xml:space="preserve">loss </w:t>
      </w:r>
      <w:r w:rsidR="00FD54FC" w:rsidRPr="00661595">
        <w:t xml:space="preserve">events), the gross loss amount (new </w:t>
      </w:r>
      <w:r w:rsidR="00650B6C" w:rsidRPr="00661595">
        <w:t xml:space="preserve">loss </w:t>
      </w:r>
      <w:r w:rsidR="00FD54FC" w:rsidRPr="00661595">
        <w:t xml:space="preserve">events), the number of </w:t>
      </w:r>
      <w:r w:rsidR="00650B6C" w:rsidRPr="00661595">
        <w:t xml:space="preserve">loss </w:t>
      </w:r>
      <w:r w:rsidR="00FD54FC" w:rsidRPr="00661595">
        <w:t>events subject to loss adjustments, the loss adjustments relating to previous reporting periods, the maximum single loss, the sum of the five largest losses and the total loss recoveries (direct loss recoveries as well as recoveries from insurance and other risk transfer mechanisms).</w:t>
      </w:r>
    </w:p>
    <w:p w:rsidR="00FD54FC" w:rsidRPr="00661595" w:rsidRDefault="00D11E4C" w:rsidP="00487A02">
      <w:pPr>
        <w:pStyle w:val="InstructionsText2"/>
        <w:numPr>
          <w:ilvl w:val="0"/>
          <w:numId w:val="0"/>
        </w:numPr>
        <w:ind w:left="1353" w:hanging="360"/>
      </w:pPr>
      <w:fldSimple w:instr=" seq paragraphs ">
        <w:r w:rsidR="00771068">
          <w:rPr>
            <w:noProof/>
          </w:rPr>
          <w:t>154</w:t>
        </w:r>
      </w:fldSimple>
      <w:r w:rsidR="00125707" w:rsidRPr="00661595">
        <w:t>.</w:t>
      </w:r>
      <w:r w:rsidR="005C14B0" w:rsidRPr="00661595">
        <w:t xml:space="preserve"> </w:t>
      </w:r>
      <w:r w:rsidR="00FD54FC" w:rsidRPr="00661595">
        <w:t xml:space="preserve">For the total business lines, data on the number of </w:t>
      </w:r>
      <w:r w:rsidR="00650B6C" w:rsidRPr="00661595">
        <w:t xml:space="preserve">loss </w:t>
      </w:r>
      <w:r w:rsidR="00FD54FC" w:rsidRPr="00661595">
        <w:t xml:space="preserve">events and the gross loss amount </w:t>
      </w:r>
      <w:r w:rsidR="001F6487" w:rsidRPr="00661595">
        <w:t>shall</w:t>
      </w:r>
      <w:r w:rsidR="00FD54FC" w:rsidRPr="00661595">
        <w:t xml:space="preserve"> also</w:t>
      </w:r>
      <w:r w:rsidR="009A1A9B" w:rsidRPr="00661595">
        <w:t xml:space="preserve"> </w:t>
      </w:r>
      <w:r w:rsidR="001F6487" w:rsidRPr="00661595">
        <w:t xml:space="preserve">be </w:t>
      </w:r>
      <w:r w:rsidR="009A1A9B" w:rsidRPr="00661595">
        <w:t>re</w:t>
      </w:r>
      <w:r w:rsidR="00F519A4" w:rsidRPr="00661595">
        <w:t xml:space="preserve">ported </w:t>
      </w:r>
      <w:r w:rsidR="00FD54FC" w:rsidRPr="00661595">
        <w:t>for certain ranges based on set thresholds,</w:t>
      </w:r>
      <w:r w:rsidR="001F6487" w:rsidRPr="00661595">
        <w:t xml:space="preserve"> that is</w:t>
      </w:r>
      <w:r w:rsidR="00FD54FC" w:rsidRPr="00661595">
        <w:t xml:space="preserve"> 10,000, 20,000, 100,000, and 1,000,000. The thresholds are set in </w:t>
      </w:r>
      <w:r w:rsidR="001F6487" w:rsidRPr="00661595">
        <w:t>EUR</w:t>
      </w:r>
      <w:r w:rsidR="00FD54FC" w:rsidRPr="00661595">
        <w:t xml:space="preserve"> and are included for comparability purposes of the reported losses among institutions</w:t>
      </w:r>
      <w:r w:rsidR="001F6487" w:rsidRPr="00661595">
        <w:t>. Those threshold</w:t>
      </w:r>
      <w:r w:rsidR="00F519A4" w:rsidRPr="00661595">
        <w:t>s</w:t>
      </w:r>
      <w:r w:rsidR="001F6487" w:rsidRPr="00661595">
        <w:t xml:space="preserve"> </w:t>
      </w:r>
      <w:r w:rsidR="00FD54FC" w:rsidRPr="00661595">
        <w:t xml:space="preserve">do </w:t>
      </w:r>
      <w:r w:rsidR="001F6487" w:rsidRPr="00661595">
        <w:t xml:space="preserve">therefore </w:t>
      </w:r>
      <w:r w:rsidR="00FD54FC" w:rsidRPr="00661595">
        <w:t xml:space="preserve">not necessarily relate </w:t>
      </w:r>
      <w:r w:rsidR="001F6487" w:rsidRPr="00661595">
        <w:t>to</w:t>
      </w:r>
      <w:r w:rsidR="00FD54FC" w:rsidRPr="00661595">
        <w:t xml:space="preserve"> the minimum loss thresholds used for the internal loss data collection, to be reported in another section of the template.</w:t>
      </w:r>
    </w:p>
    <w:p w:rsidR="00FD54FC"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583" w:name="_Toc473561027"/>
      <w:bookmarkStart w:id="584" w:name="_Toc57831631"/>
      <w:r w:rsidRPr="00661595">
        <w:rPr>
          <w:rFonts w:ascii="Times New Roman" w:hAnsi="Times New Roman" w:cs="Times New Roman"/>
          <w:sz w:val="24"/>
          <w:u w:val="none"/>
          <w:lang w:val="en-GB"/>
        </w:rPr>
        <w:t>4.2.2.2.</w:t>
      </w:r>
      <w:r w:rsidRPr="00661595">
        <w:rPr>
          <w:rFonts w:ascii="Times New Roman" w:hAnsi="Times New Roman" w:cs="Times New Roman"/>
          <w:sz w:val="24"/>
          <w:u w:val="none"/>
          <w:lang w:val="en-GB"/>
        </w:rPr>
        <w:tab/>
      </w:r>
      <w:r w:rsidR="00FD54FC" w:rsidRPr="00661595">
        <w:rPr>
          <w:rFonts w:ascii="Times New Roman" w:hAnsi="Times New Roman" w:cs="Times New Roman"/>
          <w:sz w:val="24"/>
          <w:lang w:val="en-GB"/>
        </w:rPr>
        <w:t>Instructions concerning specific positions</w:t>
      </w:r>
      <w:bookmarkEnd w:id="583"/>
      <w:bookmarkEnd w:id="5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2"/>
        <w:gridCol w:w="8080"/>
      </w:tblGrid>
      <w:tr w:rsidR="00FD54FC" w:rsidRPr="00661595" w:rsidTr="00672D2A">
        <w:trPr>
          <w:trHeight w:val="576"/>
        </w:trPr>
        <w:tc>
          <w:tcPr>
            <w:tcW w:w="9180" w:type="dxa"/>
            <w:gridSpan w:val="2"/>
            <w:shd w:val="clear" w:color="auto" w:fill="CCCCCC"/>
          </w:tcPr>
          <w:p w:rsidR="00FD54FC" w:rsidRPr="00661595" w:rsidRDefault="00FD54FC" w:rsidP="00FD54FC">
            <w:pPr>
              <w:autoSpaceDE w:val="0"/>
              <w:autoSpaceDN w:val="0"/>
              <w:adjustRightInd w:val="0"/>
              <w:spacing w:after="0"/>
              <w:rPr>
                <w:rFonts w:ascii="Times New Roman" w:hAnsi="Times New Roman"/>
                <w:b/>
                <w:bCs/>
                <w:sz w:val="24"/>
                <w:lang w:eastAsia="nl-BE"/>
              </w:rPr>
            </w:pPr>
            <w:r w:rsidRPr="00661595">
              <w:rPr>
                <w:rFonts w:ascii="Times New Roman" w:hAnsi="Times New Roman"/>
                <w:b/>
                <w:bCs/>
                <w:sz w:val="24"/>
                <w:lang w:eastAsia="nl-BE"/>
              </w:rPr>
              <w:t>Columns</w:t>
            </w:r>
          </w:p>
        </w:tc>
      </w:tr>
      <w:tr w:rsidR="00FD54FC" w:rsidRPr="00661595" w:rsidTr="00672D2A">
        <w:tc>
          <w:tcPr>
            <w:tcW w:w="985" w:type="dxa"/>
          </w:tcPr>
          <w:p w:rsidR="00FD54FC" w:rsidRPr="00661595" w:rsidRDefault="00C93FC2" w:rsidP="000F70EC">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w:t>
            </w:r>
            <w:r w:rsidR="00FD54FC" w:rsidRPr="00661595">
              <w:rPr>
                <w:rFonts w:ascii="Times New Roman" w:hAnsi="Times New Roman"/>
                <w:bCs/>
                <w:sz w:val="24"/>
                <w:lang w:eastAsia="nl-BE"/>
              </w:rPr>
              <w:t>010-</w:t>
            </w:r>
            <w:r w:rsidRPr="00661595">
              <w:rPr>
                <w:rFonts w:ascii="Times New Roman" w:hAnsi="Times New Roman"/>
                <w:bCs/>
                <w:sz w:val="24"/>
                <w:lang w:eastAsia="nl-BE"/>
              </w:rPr>
              <w:t>0</w:t>
            </w:r>
            <w:r w:rsidR="00FD54FC" w:rsidRPr="00661595">
              <w:rPr>
                <w:rFonts w:ascii="Times New Roman" w:hAnsi="Times New Roman"/>
                <w:bCs/>
                <w:sz w:val="24"/>
                <w:lang w:eastAsia="nl-BE"/>
              </w:rPr>
              <w:t>070</w:t>
            </w:r>
          </w:p>
        </w:tc>
        <w:tc>
          <w:tcPr>
            <w:tcW w:w="8195" w:type="dxa"/>
          </w:tcPr>
          <w:p w:rsidR="00FD54FC" w:rsidRPr="00661595" w:rsidRDefault="00FD54FC" w:rsidP="00FD54FC">
            <w:pPr>
              <w:autoSpaceDE w:val="0"/>
              <w:autoSpaceDN w:val="0"/>
              <w:adjustRightInd w:val="0"/>
              <w:spacing w:before="0" w:after="0"/>
              <w:rPr>
                <w:rStyle w:val="InstructionsTabelleberschrift"/>
                <w:rFonts w:ascii="Times New Roman" w:hAnsi="Times New Roman"/>
                <w:sz w:val="24"/>
              </w:rPr>
            </w:pPr>
            <w:r w:rsidRPr="00661595">
              <w:rPr>
                <w:rStyle w:val="InstructionsTabelleberschrift"/>
                <w:rFonts w:ascii="Times New Roman" w:hAnsi="Times New Roman"/>
                <w:sz w:val="24"/>
              </w:rPr>
              <w:t>EVENT TYPES</w:t>
            </w:r>
          </w:p>
          <w:p w:rsidR="00FD54FC" w:rsidRPr="00661595" w:rsidRDefault="00FD54FC" w:rsidP="00FD54FC">
            <w:pPr>
              <w:rPr>
                <w:rFonts w:ascii="Times New Roman" w:hAnsi="Times New Roman"/>
                <w:sz w:val="24"/>
              </w:rPr>
            </w:pPr>
            <w:r w:rsidRPr="00661595">
              <w:rPr>
                <w:rFonts w:ascii="Times New Roman" w:hAnsi="Times New Roman"/>
                <w:sz w:val="24"/>
              </w:rPr>
              <w:t xml:space="preserve">Institutions </w:t>
            </w:r>
            <w:r w:rsidR="001F6487" w:rsidRPr="00661595">
              <w:rPr>
                <w:rFonts w:ascii="Times New Roman" w:hAnsi="Times New Roman"/>
                <w:sz w:val="24"/>
              </w:rPr>
              <w:t xml:space="preserve">shall </w:t>
            </w:r>
            <w:r w:rsidRPr="00661595">
              <w:rPr>
                <w:rFonts w:ascii="Times New Roman" w:hAnsi="Times New Roman"/>
                <w:sz w:val="24"/>
              </w:rPr>
              <w:t xml:space="preserve">report the losses in the respective columns </w:t>
            </w:r>
            <w:r w:rsidR="00CB3146" w:rsidRPr="00661595">
              <w:rPr>
                <w:rFonts w:ascii="Times New Roman" w:hAnsi="Times New Roman"/>
                <w:sz w:val="24"/>
              </w:rPr>
              <w:t>0</w:t>
            </w:r>
            <w:r w:rsidRPr="00661595">
              <w:rPr>
                <w:rFonts w:ascii="Times New Roman" w:hAnsi="Times New Roman"/>
                <w:sz w:val="24"/>
              </w:rPr>
              <w:t xml:space="preserve">010 to </w:t>
            </w:r>
            <w:r w:rsidR="00CB3146" w:rsidRPr="00661595">
              <w:rPr>
                <w:rFonts w:ascii="Times New Roman" w:hAnsi="Times New Roman"/>
                <w:sz w:val="24"/>
              </w:rPr>
              <w:t>0</w:t>
            </w:r>
            <w:r w:rsidRPr="00661595">
              <w:rPr>
                <w:rFonts w:ascii="Times New Roman" w:hAnsi="Times New Roman"/>
                <w:sz w:val="24"/>
              </w:rPr>
              <w:t xml:space="preserve">070 </w:t>
            </w:r>
            <w:r w:rsidR="00BB22D4" w:rsidRPr="00661595">
              <w:rPr>
                <w:rFonts w:ascii="Times New Roman" w:hAnsi="Times New Roman"/>
                <w:sz w:val="24"/>
              </w:rPr>
              <w:t>in accordance with</w:t>
            </w:r>
            <w:r w:rsidRPr="00661595">
              <w:rPr>
                <w:rFonts w:ascii="Times New Roman" w:hAnsi="Times New Roman"/>
                <w:sz w:val="24"/>
              </w:rPr>
              <w:t xml:space="preserve"> the </w:t>
            </w:r>
            <w:r w:rsidR="00650B6C" w:rsidRPr="00661595">
              <w:rPr>
                <w:rFonts w:ascii="Times New Roman" w:hAnsi="Times New Roman"/>
                <w:sz w:val="24"/>
              </w:rPr>
              <w:t xml:space="preserve">loss </w:t>
            </w:r>
            <w:r w:rsidRPr="00661595">
              <w:rPr>
                <w:rFonts w:ascii="Times New Roman" w:hAnsi="Times New Roman"/>
                <w:sz w:val="24"/>
              </w:rPr>
              <w:t xml:space="preserve">event types </w:t>
            </w:r>
            <w:r w:rsidR="001F6487" w:rsidRPr="00661595">
              <w:rPr>
                <w:rFonts w:ascii="Times New Roman" w:hAnsi="Times New Roman"/>
                <w:sz w:val="24"/>
              </w:rPr>
              <w:t xml:space="preserve">referred to </w:t>
            </w:r>
            <w:r w:rsidRPr="00661595">
              <w:rPr>
                <w:rFonts w:ascii="Times New Roman" w:hAnsi="Times New Roman"/>
                <w:sz w:val="24"/>
              </w:rPr>
              <w:t xml:space="preserve">in Article 324 </w:t>
            </w:r>
            <w:r w:rsidRPr="00661595">
              <w:rPr>
                <w:rFonts w:ascii="Times New Roman" w:hAnsi="Times New Roman"/>
                <w:sz w:val="24"/>
                <w:lang w:eastAsia="de-DE"/>
              </w:rPr>
              <w:t>CRR.</w:t>
            </w:r>
            <w:r w:rsidRPr="00661595">
              <w:rPr>
                <w:rFonts w:ascii="Times New Roman" w:hAnsi="Times New Roman"/>
                <w:sz w:val="24"/>
              </w:rPr>
              <w:t xml:space="preserve"> </w:t>
            </w:r>
          </w:p>
          <w:p w:rsidR="00FD54FC" w:rsidRPr="00661595" w:rsidRDefault="00FD54FC" w:rsidP="00871877">
            <w:pPr>
              <w:rPr>
                <w:rFonts w:ascii="Times New Roman" w:hAnsi="Times New Roman"/>
                <w:bCs/>
                <w:sz w:val="24"/>
                <w:lang w:eastAsia="nl-BE"/>
              </w:rPr>
            </w:pPr>
            <w:r w:rsidRPr="00661595">
              <w:rPr>
                <w:rFonts w:ascii="Times New Roman" w:hAnsi="Times New Roman"/>
                <w:bCs/>
                <w:sz w:val="24"/>
                <w:lang w:eastAsia="nl-BE"/>
              </w:rPr>
              <w:t xml:space="preserve">Institutions </w:t>
            </w:r>
            <w:r w:rsidR="00871877" w:rsidRPr="00661595">
              <w:rPr>
                <w:rFonts w:ascii="Times New Roman" w:hAnsi="Times New Roman"/>
                <w:bCs/>
                <w:sz w:val="24"/>
                <w:lang w:eastAsia="nl-BE"/>
              </w:rPr>
              <w:t xml:space="preserve">that calculate their own funds requirement </w:t>
            </w:r>
            <w:r w:rsidR="00BB22D4" w:rsidRPr="00661595">
              <w:rPr>
                <w:rFonts w:ascii="Times New Roman" w:hAnsi="Times New Roman"/>
                <w:bCs/>
                <w:sz w:val="24"/>
                <w:lang w:eastAsia="nl-BE"/>
              </w:rPr>
              <w:t>in accordance with</w:t>
            </w:r>
            <w:r w:rsidR="00EB6FC2" w:rsidRPr="00661595">
              <w:rPr>
                <w:rFonts w:ascii="Times New Roman" w:hAnsi="Times New Roman"/>
                <w:bCs/>
                <w:sz w:val="24"/>
                <w:lang w:eastAsia="nl-BE"/>
              </w:rPr>
              <w:t xml:space="preserve"> the</w:t>
            </w:r>
            <w:r w:rsidR="00871877" w:rsidRPr="00661595">
              <w:rPr>
                <w:rFonts w:ascii="Times New Roman" w:hAnsi="Times New Roman"/>
                <w:bCs/>
                <w:sz w:val="24"/>
                <w:lang w:eastAsia="nl-BE"/>
              </w:rPr>
              <w:t xml:space="preserve"> BIA </w:t>
            </w:r>
            <w:r w:rsidRPr="00661595">
              <w:rPr>
                <w:rFonts w:ascii="Times New Roman" w:hAnsi="Times New Roman"/>
                <w:bCs/>
                <w:sz w:val="24"/>
                <w:lang w:eastAsia="nl-BE"/>
              </w:rPr>
              <w:t xml:space="preserve">may report those losses for which the </w:t>
            </w:r>
            <w:r w:rsidR="00650B6C" w:rsidRPr="00661595">
              <w:rPr>
                <w:rFonts w:ascii="Times New Roman" w:hAnsi="Times New Roman"/>
                <w:bCs/>
                <w:sz w:val="24"/>
                <w:lang w:eastAsia="nl-BE"/>
              </w:rPr>
              <w:t xml:space="preserve">loss </w:t>
            </w:r>
            <w:r w:rsidRPr="00661595">
              <w:rPr>
                <w:rFonts w:ascii="Times New Roman" w:hAnsi="Times New Roman"/>
                <w:bCs/>
                <w:sz w:val="24"/>
                <w:lang w:eastAsia="nl-BE"/>
              </w:rPr>
              <w:t>event type is not identified in column 080 only.</w:t>
            </w:r>
          </w:p>
        </w:tc>
      </w:tr>
      <w:tr w:rsidR="00FD54FC" w:rsidRPr="00661595" w:rsidTr="00672D2A">
        <w:tc>
          <w:tcPr>
            <w:tcW w:w="985" w:type="dxa"/>
          </w:tcPr>
          <w:p w:rsidR="00FD54FC" w:rsidRPr="00661595" w:rsidRDefault="00C93FC2" w:rsidP="00FD54FC">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w:t>
            </w:r>
            <w:r w:rsidR="00FD54FC" w:rsidRPr="00661595">
              <w:rPr>
                <w:rFonts w:ascii="Times New Roman" w:hAnsi="Times New Roman"/>
                <w:bCs/>
                <w:sz w:val="24"/>
                <w:lang w:eastAsia="nl-BE"/>
              </w:rPr>
              <w:t>080</w:t>
            </w:r>
          </w:p>
        </w:tc>
        <w:tc>
          <w:tcPr>
            <w:tcW w:w="8195" w:type="dxa"/>
          </w:tcPr>
          <w:p w:rsidR="00FD54FC" w:rsidRPr="00661595" w:rsidRDefault="00FD54FC" w:rsidP="00FD54FC">
            <w:pPr>
              <w:autoSpaceDE w:val="0"/>
              <w:autoSpaceDN w:val="0"/>
              <w:adjustRightInd w:val="0"/>
              <w:spacing w:before="0" w:after="0"/>
              <w:rPr>
                <w:rStyle w:val="InstructionsTabelleberschrift"/>
                <w:rFonts w:ascii="Times New Roman" w:hAnsi="Times New Roman"/>
                <w:sz w:val="24"/>
              </w:rPr>
            </w:pPr>
            <w:r w:rsidRPr="00661595">
              <w:rPr>
                <w:rStyle w:val="InstructionsTabelleberschrift"/>
                <w:rFonts w:ascii="Times New Roman" w:hAnsi="Times New Roman"/>
                <w:sz w:val="24"/>
              </w:rPr>
              <w:t xml:space="preserve">TOTAL </w:t>
            </w:r>
            <w:r w:rsidR="00650B6C" w:rsidRPr="00661595">
              <w:rPr>
                <w:rStyle w:val="InstructionsTabelleberschrift"/>
                <w:rFonts w:ascii="Times New Roman" w:hAnsi="Times New Roman"/>
                <w:sz w:val="24"/>
              </w:rPr>
              <w:t xml:space="preserve">LOSS </w:t>
            </w:r>
            <w:r w:rsidRPr="00661595">
              <w:rPr>
                <w:rStyle w:val="InstructionsTabelleberschrift"/>
                <w:rFonts w:ascii="Times New Roman" w:hAnsi="Times New Roman"/>
                <w:sz w:val="24"/>
              </w:rPr>
              <w:t>EVENT TYPES</w:t>
            </w:r>
          </w:p>
          <w:p w:rsidR="008D30F0" w:rsidRPr="00661595" w:rsidRDefault="00FD54FC" w:rsidP="00FD54FC">
            <w:pPr>
              <w:rPr>
                <w:rStyle w:val="InstructionsTabelleText"/>
                <w:rFonts w:ascii="Times New Roman" w:hAnsi="Times New Roman"/>
                <w:sz w:val="24"/>
              </w:rPr>
            </w:pPr>
            <w:r w:rsidRPr="00661595">
              <w:rPr>
                <w:rStyle w:val="InstructionsTabelleText"/>
                <w:rFonts w:ascii="Times New Roman" w:hAnsi="Times New Roman"/>
                <w:sz w:val="24"/>
              </w:rPr>
              <w:t xml:space="preserve">In column </w:t>
            </w:r>
            <w:r w:rsidR="00CB3146" w:rsidRPr="00661595">
              <w:rPr>
                <w:rStyle w:val="InstructionsTabelleText"/>
                <w:rFonts w:ascii="Times New Roman" w:hAnsi="Times New Roman"/>
                <w:sz w:val="24"/>
              </w:rPr>
              <w:t>0</w:t>
            </w:r>
            <w:r w:rsidRPr="00661595">
              <w:rPr>
                <w:rStyle w:val="InstructionsTabelleText"/>
                <w:rFonts w:ascii="Times New Roman" w:hAnsi="Times New Roman"/>
                <w:sz w:val="24"/>
              </w:rPr>
              <w:t xml:space="preserve">080, for each business line, institutions </w:t>
            </w:r>
            <w:r w:rsidR="001F6487" w:rsidRPr="00661595">
              <w:rPr>
                <w:rStyle w:val="InstructionsTabelleText"/>
                <w:rFonts w:ascii="Times New Roman" w:hAnsi="Times New Roman"/>
                <w:sz w:val="24"/>
              </w:rPr>
              <w:t xml:space="preserve">shall </w:t>
            </w:r>
            <w:r w:rsidRPr="00661595">
              <w:rPr>
                <w:rStyle w:val="InstructionsTabelleText"/>
                <w:rFonts w:ascii="Times New Roman" w:hAnsi="Times New Roman"/>
                <w:sz w:val="24"/>
              </w:rPr>
              <w:t>report the total ‘number of</w:t>
            </w:r>
            <w:r w:rsidR="00650B6C" w:rsidRPr="00661595">
              <w:rPr>
                <w:rStyle w:val="InstructionsTabelleText"/>
                <w:rFonts w:ascii="Times New Roman" w:hAnsi="Times New Roman"/>
                <w:sz w:val="24"/>
              </w:rPr>
              <w:t xml:space="preserve"> loss</w:t>
            </w:r>
            <w:r w:rsidRPr="00661595">
              <w:rPr>
                <w:rStyle w:val="InstructionsTabelleText"/>
                <w:rFonts w:ascii="Times New Roman" w:hAnsi="Times New Roman"/>
                <w:sz w:val="24"/>
              </w:rPr>
              <w:t xml:space="preserve"> events</w:t>
            </w:r>
            <w:r w:rsidR="008D30F0" w:rsidRPr="00661595">
              <w:rPr>
                <w:rStyle w:val="InstructionsTabelleText"/>
                <w:rFonts w:ascii="Times New Roman" w:hAnsi="Times New Roman"/>
                <w:sz w:val="24"/>
              </w:rPr>
              <w:t xml:space="preserve"> (new </w:t>
            </w:r>
            <w:r w:rsidR="00650B6C" w:rsidRPr="00661595">
              <w:rPr>
                <w:rStyle w:val="InstructionsTabelleText"/>
                <w:rFonts w:ascii="Times New Roman" w:hAnsi="Times New Roman"/>
                <w:sz w:val="24"/>
              </w:rPr>
              <w:t xml:space="preserve">loss </w:t>
            </w:r>
            <w:r w:rsidR="008D30F0" w:rsidRPr="00661595">
              <w:rPr>
                <w:rStyle w:val="InstructionsTabelleText"/>
                <w:rFonts w:ascii="Times New Roman" w:hAnsi="Times New Roman"/>
                <w:sz w:val="24"/>
              </w:rPr>
              <w:t>events)</w:t>
            </w:r>
            <w:r w:rsidRPr="00661595">
              <w:rPr>
                <w:rStyle w:val="InstructionsTabelleText"/>
                <w:rFonts w:ascii="Times New Roman" w:hAnsi="Times New Roman"/>
                <w:sz w:val="24"/>
              </w:rPr>
              <w:t>’, the total of ‘gross loss amount</w:t>
            </w:r>
            <w:r w:rsidR="008D30F0" w:rsidRPr="00661595">
              <w:rPr>
                <w:rStyle w:val="InstructionsTabelleText"/>
                <w:rFonts w:ascii="Times New Roman" w:hAnsi="Times New Roman"/>
                <w:sz w:val="24"/>
              </w:rPr>
              <w:t xml:space="preserve"> (new</w:t>
            </w:r>
            <w:r w:rsidR="00650B6C" w:rsidRPr="00661595">
              <w:rPr>
                <w:rStyle w:val="InstructionsTabelleText"/>
                <w:rFonts w:ascii="Times New Roman" w:hAnsi="Times New Roman"/>
                <w:sz w:val="24"/>
              </w:rPr>
              <w:t xml:space="preserve"> loss</w:t>
            </w:r>
            <w:r w:rsidR="008D30F0" w:rsidRPr="00661595">
              <w:rPr>
                <w:rStyle w:val="InstructionsTabelleText"/>
                <w:rFonts w:ascii="Times New Roman" w:hAnsi="Times New Roman"/>
                <w:sz w:val="24"/>
              </w:rPr>
              <w:t xml:space="preserve"> events)</w:t>
            </w:r>
            <w:r w:rsidRPr="00661595">
              <w:rPr>
                <w:rStyle w:val="InstructionsTabelleText"/>
                <w:rFonts w:ascii="Times New Roman" w:hAnsi="Times New Roman"/>
                <w:sz w:val="24"/>
              </w:rPr>
              <w:t xml:space="preserve">’, the total ‘number of </w:t>
            </w:r>
            <w:r w:rsidR="00650B6C" w:rsidRPr="00661595">
              <w:rPr>
                <w:rStyle w:val="InstructionsTabelleText"/>
                <w:rFonts w:ascii="Times New Roman" w:hAnsi="Times New Roman"/>
                <w:sz w:val="24"/>
              </w:rPr>
              <w:t xml:space="preserve">loss </w:t>
            </w:r>
            <w:r w:rsidRPr="00661595">
              <w:rPr>
                <w:rStyle w:val="InstructionsTabelleText"/>
                <w:rFonts w:ascii="Times New Roman" w:hAnsi="Times New Roman"/>
                <w:sz w:val="24"/>
              </w:rPr>
              <w:t>events subject to loss adjustments’, the total of ‘loss adjustments relating to previous reporting periods’</w:t>
            </w:r>
            <w:r w:rsidR="008D30F0" w:rsidRPr="00661595">
              <w:rPr>
                <w:rStyle w:val="InstructionsTabelleText"/>
                <w:rFonts w:ascii="Times New Roman" w:hAnsi="Times New Roman"/>
                <w:sz w:val="24"/>
              </w:rPr>
              <w:t>,</w:t>
            </w:r>
            <w:r w:rsidRPr="00661595">
              <w:rPr>
                <w:rStyle w:val="InstructionsTabelleText"/>
                <w:rFonts w:ascii="Times New Roman" w:hAnsi="Times New Roman"/>
                <w:sz w:val="24"/>
              </w:rPr>
              <w:t xml:space="preserve"> </w:t>
            </w:r>
            <w:r w:rsidR="008D30F0" w:rsidRPr="00661595">
              <w:rPr>
                <w:rStyle w:val="InstructionsTabelleText"/>
                <w:rFonts w:ascii="Times New Roman" w:hAnsi="Times New Roman"/>
                <w:sz w:val="24"/>
              </w:rPr>
              <w:t xml:space="preserve">the ‘maximum single loss’, the ‘sum of the five largest losses’, </w:t>
            </w:r>
            <w:r w:rsidRPr="00661595">
              <w:rPr>
                <w:rStyle w:val="InstructionsTabelleText"/>
                <w:rFonts w:ascii="Times New Roman" w:hAnsi="Times New Roman"/>
                <w:sz w:val="24"/>
              </w:rPr>
              <w:t>the total of ‘total direct loss recovery’</w:t>
            </w:r>
            <w:r w:rsidR="008D30F0" w:rsidRPr="00661595">
              <w:rPr>
                <w:rStyle w:val="InstructionsTabelleText"/>
                <w:rFonts w:ascii="Times New Roman" w:hAnsi="Times New Roman"/>
                <w:sz w:val="24"/>
              </w:rPr>
              <w:t xml:space="preserve"> and</w:t>
            </w:r>
            <w:r w:rsidRPr="00661595">
              <w:rPr>
                <w:rStyle w:val="InstructionsTabelleText"/>
                <w:rFonts w:ascii="Times New Roman" w:hAnsi="Times New Roman"/>
                <w:sz w:val="24"/>
              </w:rPr>
              <w:t xml:space="preserve"> the total of ‘</w:t>
            </w:r>
            <w:r w:rsidR="008D30F0" w:rsidRPr="00661595">
              <w:rPr>
                <w:rStyle w:val="InstructionsTabelleText"/>
                <w:rFonts w:ascii="Times New Roman" w:hAnsi="Times New Roman"/>
                <w:sz w:val="24"/>
              </w:rPr>
              <w:t>t</w:t>
            </w:r>
            <w:r w:rsidRPr="00661595">
              <w:rPr>
                <w:rStyle w:val="InstructionsTabelleText"/>
                <w:rFonts w:ascii="Times New Roman" w:hAnsi="Times New Roman"/>
                <w:sz w:val="24"/>
              </w:rPr>
              <w:t>otal recovery from insurance and other risk transfer mechanisms’.</w:t>
            </w:r>
          </w:p>
          <w:p w:rsidR="00FD54FC" w:rsidRPr="00661595" w:rsidRDefault="00FD54FC" w:rsidP="00FD54FC">
            <w:pPr>
              <w:rPr>
                <w:rStyle w:val="InstructionsTabelleText"/>
                <w:rFonts w:ascii="Times New Roman" w:hAnsi="Times New Roman"/>
                <w:sz w:val="24"/>
              </w:rPr>
            </w:pPr>
            <w:r w:rsidRPr="00661595">
              <w:rPr>
                <w:rStyle w:val="InstructionsTabelleText"/>
                <w:rFonts w:ascii="Times New Roman" w:hAnsi="Times New Roman"/>
                <w:sz w:val="24"/>
              </w:rPr>
              <w:t xml:space="preserve">Provided that the institution has identified the </w:t>
            </w:r>
            <w:r w:rsidR="00650B6C" w:rsidRPr="00661595">
              <w:rPr>
                <w:rStyle w:val="InstructionsTabelleText"/>
                <w:rFonts w:ascii="Times New Roman" w:hAnsi="Times New Roman"/>
                <w:sz w:val="24"/>
              </w:rPr>
              <w:t xml:space="preserve">loss </w:t>
            </w:r>
            <w:r w:rsidRPr="00661595">
              <w:rPr>
                <w:rStyle w:val="InstructionsTabelleText"/>
                <w:rFonts w:ascii="Times New Roman" w:hAnsi="Times New Roman"/>
                <w:sz w:val="24"/>
              </w:rPr>
              <w:t xml:space="preserve">event types for all losses, column 080 </w:t>
            </w:r>
            <w:r w:rsidR="001F6487" w:rsidRPr="00661595">
              <w:rPr>
                <w:rStyle w:val="InstructionsTabelleText"/>
                <w:rFonts w:ascii="Times New Roman" w:hAnsi="Times New Roman"/>
                <w:sz w:val="24"/>
              </w:rPr>
              <w:t xml:space="preserve">shall </w:t>
            </w:r>
            <w:r w:rsidRPr="00661595">
              <w:rPr>
                <w:rStyle w:val="InstructionsTabelleText"/>
                <w:rFonts w:ascii="Times New Roman" w:hAnsi="Times New Roman"/>
                <w:sz w:val="24"/>
              </w:rPr>
              <w:t xml:space="preserve">show the simple aggregation of the number of loss events, the total gross loss amounts, the total loss recovery amounts and the ‘loss adjustments relating to previous reporting periods’ reported in columns </w:t>
            </w:r>
            <w:r w:rsidR="00CB3146" w:rsidRPr="00661595">
              <w:rPr>
                <w:rStyle w:val="InstructionsTabelleText"/>
                <w:rFonts w:ascii="Times New Roman" w:hAnsi="Times New Roman"/>
                <w:sz w:val="24"/>
              </w:rPr>
              <w:t>0</w:t>
            </w:r>
            <w:r w:rsidRPr="00661595">
              <w:rPr>
                <w:rStyle w:val="InstructionsTabelleText"/>
                <w:rFonts w:ascii="Times New Roman" w:hAnsi="Times New Roman"/>
                <w:sz w:val="24"/>
              </w:rPr>
              <w:t xml:space="preserve">010 to </w:t>
            </w:r>
            <w:r w:rsidR="00CB3146" w:rsidRPr="00661595">
              <w:rPr>
                <w:rStyle w:val="InstructionsTabelleText"/>
                <w:rFonts w:ascii="Times New Roman" w:hAnsi="Times New Roman"/>
                <w:sz w:val="24"/>
              </w:rPr>
              <w:t>0</w:t>
            </w:r>
            <w:r w:rsidRPr="00661595">
              <w:rPr>
                <w:rStyle w:val="InstructionsTabelleText"/>
                <w:rFonts w:ascii="Times New Roman" w:hAnsi="Times New Roman"/>
                <w:sz w:val="24"/>
              </w:rPr>
              <w:t xml:space="preserve">070. </w:t>
            </w:r>
          </w:p>
          <w:p w:rsidR="00FD54FC" w:rsidRPr="00661595" w:rsidRDefault="00FD54FC" w:rsidP="00FD54FC">
            <w:pPr>
              <w:rPr>
                <w:rStyle w:val="InstructionsTabelleText"/>
                <w:rFonts w:ascii="Times New Roman" w:hAnsi="Times New Roman"/>
                <w:sz w:val="24"/>
              </w:rPr>
            </w:pPr>
            <w:r w:rsidRPr="00661595">
              <w:rPr>
                <w:rStyle w:val="InstructionsTabelleText"/>
                <w:rFonts w:ascii="Times New Roman" w:hAnsi="Times New Roman"/>
                <w:sz w:val="24"/>
              </w:rPr>
              <w:t xml:space="preserve">The ‘maximum single loss’ reported in column </w:t>
            </w:r>
            <w:r w:rsidR="00CB3146" w:rsidRPr="00661595">
              <w:rPr>
                <w:rStyle w:val="InstructionsTabelleText"/>
                <w:rFonts w:ascii="Times New Roman" w:hAnsi="Times New Roman"/>
                <w:sz w:val="24"/>
              </w:rPr>
              <w:t>0</w:t>
            </w:r>
            <w:r w:rsidRPr="00661595">
              <w:rPr>
                <w:rStyle w:val="InstructionsTabelleText"/>
                <w:rFonts w:ascii="Times New Roman" w:hAnsi="Times New Roman"/>
                <w:sz w:val="24"/>
              </w:rPr>
              <w:t xml:space="preserve">080 </w:t>
            </w:r>
            <w:r w:rsidR="001F6487" w:rsidRPr="00661595">
              <w:rPr>
                <w:rStyle w:val="InstructionsTabelleText"/>
                <w:rFonts w:ascii="Times New Roman" w:hAnsi="Times New Roman"/>
                <w:sz w:val="24"/>
              </w:rPr>
              <w:t>shall be</w:t>
            </w:r>
            <w:r w:rsidRPr="00661595">
              <w:rPr>
                <w:rStyle w:val="InstructionsTabelleText"/>
                <w:rFonts w:ascii="Times New Roman" w:hAnsi="Times New Roman"/>
                <w:sz w:val="24"/>
              </w:rPr>
              <w:t xml:space="preserve"> the maximum single loss within a business line and identical to the maximum of the ‘maximum single losses’ reported in columns </w:t>
            </w:r>
            <w:r w:rsidR="00CB3146" w:rsidRPr="00661595">
              <w:rPr>
                <w:rStyle w:val="InstructionsTabelleText"/>
                <w:rFonts w:ascii="Times New Roman" w:hAnsi="Times New Roman"/>
                <w:sz w:val="24"/>
              </w:rPr>
              <w:t>0</w:t>
            </w:r>
            <w:r w:rsidRPr="00661595">
              <w:rPr>
                <w:rStyle w:val="InstructionsTabelleText"/>
                <w:rFonts w:ascii="Times New Roman" w:hAnsi="Times New Roman"/>
                <w:sz w:val="24"/>
              </w:rPr>
              <w:t xml:space="preserve">010 to </w:t>
            </w:r>
            <w:r w:rsidR="00CB3146" w:rsidRPr="00661595">
              <w:rPr>
                <w:rStyle w:val="InstructionsTabelleText"/>
                <w:rFonts w:ascii="Times New Roman" w:hAnsi="Times New Roman"/>
                <w:sz w:val="24"/>
              </w:rPr>
              <w:t>0</w:t>
            </w:r>
            <w:r w:rsidRPr="00661595">
              <w:rPr>
                <w:rStyle w:val="InstructionsTabelleText"/>
                <w:rFonts w:ascii="Times New Roman" w:hAnsi="Times New Roman"/>
                <w:sz w:val="24"/>
              </w:rPr>
              <w:t>070, provided that the institution has identified the</w:t>
            </w:r>
            <w:r w:rsidR="00650B6C" w:rsidRPr="00661595">
              <w:rPr>
                <w:rStyle w:val="InstructionsTabelleText"/>
                <w:rFonts w:ascii="Times New Roman" w:hAnsi="Times New Roman"/>
                <w:sz w:val="24"/>
              </w:rPr>
              <w:t xml:space="preserve"> loss</w:t>
            </w:r>
            <w:r w:rsidRPr="00661595">
              <w:rPr>
                <w:rStyle w:val="InstructionsTabelleText"/>
                <w:rFonts w:ascii="Times New Roman" w:hAnsi="Times New Roman"/>
                <w:sz w:val="24"/>
              </w:rPr>
              <w:t xml:space="preserve"> event types for all losses. </w:t>
            </w:r>
          </w:p>
          <w:p w:rsidR="00FD54FC" w:rsidRPr="00661595" w:rsidRDefault="00FD54FC" w:rsidP="00FD54FC">
            <w:pPr>
              <w:rPr>
                <w:rFonts w:ascii="Times New Roman" w:hAnsi="Times New Roman"/>
                <w:bCs/>
                <w:sz w:val="24"/>
                <w:lang w:eastAsia="nl-BE"/>
              </w:rPr>
            </w:pPr>
            <w:r w:rsidRPr="00661595">
              <w:rPr>
                <w:rStyle w:val="InstructionsTabelleText"/>
                <w:rFonts w:ascii="Times New Roman" w:hAnsi="Times New Roman"/>
                <w:sz w:val="24"/>
              </w:rPr>
              <w:t xml:space="preserve">For the sum of the five largest losses, in column </w:t>
            </w:r>
            <w:r w:rsidR="00CB3146" w:rsidRPr="00661595">
              <w:rPr>
                <w:rStyle w:val="InstructionsTabelleText"/>
                <w:rFonts w:ascii="Times New Roman" w:hAnsi="Times New Roman"/>
                <w:sz w:val="24"/>
              </w:rPr>
              <w:t>0</w:t>
            </w:r>
            <w:r w:rsidRPr="00661595">
              <w:rPr>
                <w:rStyle w:val="InstructionsTabelleText"/>
                <w:rFonts w:ascii="Times New Roman" w:hAnsi="Times New Roman"/>
                <w:sz w:val="24"/>
              </w:rPr>
              <w:t xml:space="preserve">080 the sum of the five largest losses within one business line </w:t>
            </w:r>
            <w:r w:rsidR="001F6487" w:rsidRPr="00661595">
              <w:rPr>
                <w:rStyle w:val="InstructionsTabelleText"/>
                <w:rFonts w:ascii="Times New Roman" w:hAnsi="Times New Roman"/>
                <w:sz w:val="24"/>
              </w:rPr>
              <w:t>shall be</w:t>
            </w:r>
            <w:r w:rsidRPr="00661595">
              <w:rPr>
                <w:rStyle w:val="InstructionsTabelleText"/>
                <w:rFonts w:ascii="Times New Roman" w:hAnsi="Times New Roman"/>
                <w:sz w:val="24"/>
              </w:rPr>
              <w:t xml:space="preserve"> reported.</w:t>
            </w:r>
          </w:p>
        </w:tc>
      </w:tr>
      <w:tr w:rsidR="00FD54FC" w:rsidRPr="00661595" w:rsidTr="00672D2A">
        <w:tc>
          <w:tcPr>
            <w:tcW w:w="985" w:type="dxa"/>
          </w:tcPr>
          <w:p w:rsidR="00FD54FC" w:rsidRPr="00661595" w:rsidRDefault="00C93FC2" w:rsidP="000F70EC">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0</w:t>
            </w:r>
            <w:r w:rsidR="00FD54FC" w:rsidRPr="00661595">
              <w:rPr>
                <w:rFonts w:ascii="Times New Roman" w:hAnsi="Times New Roman"/>
                <w:bCs/>
                <w:sz w:val="24"/>
                <w:lang w:eastAsia="nl-BE"/>
              </w:rPr>
              <w:t>090-</w:t>
            </w:r>
            <w:r w:rsidRPr="00661595">
              <w:rPr>
                <w:rFonts w:ascii="Times New Roman" w:hAnsi="Times New Roman"/>
                <w:bCs/>
                <w:sz w:val="24"/>
                <w:lang w:eastAsia="nl-BE"/>
              </w:rPr>
              <w:t>0</w:t>
            </w:r>
            <w:r w:rsidR="00FD54FC" w:rsidRPr="00661595">
              <w:rPr>
                <w:rFonts w:ascii="Times New Roman" w:hAnsi="Times New Roman"/>
                <w:bCs/>
                <w:sz w:val="24"/>
                <w:lang w:eastAsia="nl-BE"/>
              </w:rPr>
              <w:t>100</w:t>
            </w:r>
          </w:p>
        </w:tc>
        <w:tc>
          <w:tcPr>
            <w:tcW w:w="8195" w:type="dxa"/>
          </w:tcPr>
          <w:p w:rsidR="00FD54FC" w:rsidRPr="00661595" w:rsidRDefault="00FD54FC" w:rsidP="00FD54FC">
            <w:pPr>
              <w:autoSpaceDE w:val="0"/>
              <w:autoSpaceDN w:val="0"/>
              <w:adjustRightInd w:val="0"/>
              <w:spacing w:before="0" w:after="0"/>
              <w:rPr>
                <w:rFonts w:ascii="Times New Roman" w:hAnsi="Times New Roman"/>
                <w:sz w:val="24"/>
              </w:rPr>
            </w:pPr>
            <w:r w:rsidRPr="00661595">
              <w:rPr>
                <w:rStyle w:val="InstructionsTabelleberschrift"/>
                <w:rFonts w:ascii="Times New Roman" w:hAnsi="Times New Roman"/>
                <w:sz w:val="24"/>
              </w:rPr>
              <w:t>MEMORANDUM ITEM: THRESHOLD APPLIED IN DATA COLLECTION</w:t>
            </w:r>
          </w:p>
          <w:p w:rsidR="00FD54FC" w:rsidRPr="00661595" w:rsidRDefault="00FD54FC" w:rsidP="00FD54FC">
            <w:pPr>
              <w:autoSpaceDE w:val="0"/>
              <w:autoSpaceDN w:val="0"/>
              <w:adjustRightInd w:val="0"/>
              <w:spacing w:before="0" w:after="0"/>
              <w:rPr>
                <w:rStyle w:val="InstructionsTabelleText"/>
                <w:rFonts w:ascii="Times New Roman" w:hAnsi="Times New Roman"/>
                <w:sz w:val="24"/>
              </w:rPr>
            </w:pPr>
            <w:r w:rsidRPr="00661595">
              <w:rPr>
                <w:rStyle w:val="InstructionsTabelleText"/>
                <w:rFonts w:ascii="Times New Roman" w:hAnsi="Times New Roman"/>
                <w:sz w:val="24"/>
              </w:rPr>
              <w:t xml:space="preserve">Institutions </w:t>
            </w:r>
            <w:r w:rsidR="001F6487" w:rsidRPr="00661595">
              <w:rPr>
                <w:rStyle w:val="InstructionsTabelleText"/>
                <w:rFonts w:ascii="Times New Roman" w:hAnsi="Times New Roman"/>
                <w:sz w:val="24"/>
              </w:rPr>
              <w:t xml:space="preserve">shall </w:t>
            </w:r>
            <w:r w:rsidRPr="00661595">
              <w:rPr>
                <w:rStyle w:val="InstructionsTabelleText"/>
                <w:rFonts w:ascii="Times New Roman" w:hAnsi="Times New Roman"/>
                <w:sz w:val="24"/>
              </w:rPr>
              <w:t xml:space="preserve">report in columns </w:t>
            </w:r>
            <w:r w:rsidR="00CB3146" w:rsidRPr="00661595">
              <w:rPr>
                <w:rStyle w:val="InstructionsTabelleText"/>
                <w:rFonts w:ascii="Times New Roman" w:hAnsi="Times New Roman"/>
                <w:sz w:val="24"/>
              </w:rPr>
              <w:t>0</w:t>
            </w:r>
            <w:r w:rsidRPr="00661595">
              <w:rPr>
                <w:rStyle w:val="InstructionsTabelleText"/>
                <w:rFonts w:ascii="Times New Roman" w:hAnsi="Times New Roman"/>
                <w:sz w:val="24"/>
              </w:rPr>
              <w:t xml:space="preserve">090 and </w:t>
            </w:r>
            <w:r w:rsidR="00CB3146" w:rsidRPr="00661595">
              <w:rPr>
                <w:rStyle w:val="InstructionsTabelleText"/>
                <w:rFonts w:ascii="Times New Roman" w:hAnsi="Times New Roman"/>
                <w:sz w:val="24"/>
              </w:rPr>
              <w:t>0</w:t>
            </w:r>
            <w:r w:rsidRPr="00661595">
              <w:rPr>
                <w:rStyle w:val="InstructionsTabelleText"/>
                <w:rFonts w:ascii="Times New Roman" w:hAnsi="Times New Roman"/>
                <w:sz w:val="24"/>
              </w:rPr>
              <w:t xml:space="preserve">100 the minimum loss thresholds they are using for the internal loss data collection in accordance with </w:t>
            </w:r>
            <w:r w:rsidR="00705025" w:rsidRPr="00661595">
              <w:rPr>
                <w:rStyle w:val="InstructionsTabelleText"/>
                <w:rFonts w:ascii="Times New Roman" w:hAnsi="Times New Roman"/>
                <w:sz w:val="24"/>
              </w:rPr>
              <w:t xml:space="preserve">the last sentence of point (c) of </w:t>
            </w:r>
            <w:r w:rsidRPr="00661595">
              <w:rPr>
                <w:rStyle w:val="InstructionsTabelleText"/>
                <w:rFonts w:ascii="Times New Roman" w:hAnsi="Times New Roman"/>
                <w:sz w:val="24"/>
              </w:rPr>
              <w:t xml:space="preserve">Article 322(3) CRR. </w:t>
            </w:r>
          </w:p>
          <w:p w:rsidR="00FD54FC" w:rsidRPr="00661595" w:rsidRDefault="001F6487" w:rsidP="00FD54FC">
            <w:pPr>
              <w:autoSpaceDE w:val="0"/>
              <w:autoSpaceDN w:val="0"/>
              <w:adjustRightInd w:val="0"/>
              <w:spacing w:before="0" w:after="0"/>
              <w:rPr>
                <w:rStyle w:val="InstructionsTabelleText"/>
                <w:rFonts w:ascii="Times New Roman" w:hAnsi="Times New Roman"/>
                <w:sz w:val="24"/>
              </w:rPr>
            </w:pPr>
            <w:r w:rsidRPr="00661595">
              <w:rPr>
                <w:rStyle w:val="InstructionsTabelleText"/>
                <w:rFonts w:ascii="Times New Roman" w:hAnsi="Times New Roman"/>
                <w:sz w:val="24"/>
              </w:rPr>
              <w:t>Where</w:t>
            </w:r>
            <w:r w:rsidR="00FD54FC" w:rsidRPr="00661595">
              <w:rPr>
                <w:rStyle w:val="InstructionsTabelleText"/>
                <w:rFonts w:ascii="Times New Roman" w:hAnsi="Times New Roman"/>
                <w:sz w:val="24"/>
              </w:rPr>
              <w:t xml:space="preserve"> the institution applies only one threshold for in each business line, only column </w:t>
            </w:r>
            <w:r w:rsidR="00CB3146" w:rsidRPr="00661595">
              <w:rPr>
                <w:rStyle w:val="InstructionsTabelleText"/>
                <w:rFonts w:ascii="Times New Roman" w:hAnsi="Times New Roman"/>
                <w:sz w:val="24"/>
              </w:rPr>
              <w:t>0</w:t>
            </w:r>
            <w:r w:rsidR="00FD54FC" w:rsidRPr="00661595">
              <w:rPr>
                <w:rStyle w:val="InstructionsTabelleText"/>
                <w:rFonts w:ascii="Times New Roman" w:hAnsi="Times New Roman"/>
                <w:sz w:val="24"/>
              </w:rPr>
              <w:t xml:space="preserve">090 shall be filled in. </w:t>
            </w:r>
          </w:p>
          <w:p w:rsidR="00650B6C" w:rsidRPr="00661595" w:rsidRDefault="001F6487" w:rsidP="0002267E">
            <w:pPr>
              <w:rPr>
                <w:rStyle w:val="InstructionsTabelleText"/>
                <w:rFonts w:ascii="Times New Roman" w:hAnsi="Times New Roman"/>
                <w:sz w:val="24"/>
              </w:rPr>
            </w:pPr>
            <w:r w:rsidRPr="00661595">
              <w:rPr>
                <w:rStyle w:val="InstructionsTabelleText"/>
                <w:rFonts w:ascii="Times New Roman" w:hAnsi="Times New Roman"/>
                <w:sz w:val="24"/>
              </w:rPr>
              <w:t>W</w:t>
            </w:r>
            <w:r w:rsidR="00FD54FC" w:rsidRPr="00661595">
              <w:rPr>
                <w:rStyle w:val="InstructionsTabelleText"/>
                <w:rFonts w:ascii="Times New Roman" w:hAnsi="Times New Roman"/>
                <w:sz w:val="24"/>
              </w:rPr>
              <w:t xml:space="preserve">here there are different thresholds applied within the same regulatory business line, the highest applicable threshold (column </w:t>
            </w:r>
            <w:r w:rsidR="00CB3146" w:rsidRPr="00661595">
              <w:rPr>
                <w:rStyle w:val="InstructionsTabelleText"/>
                <w:rFonts w:ascii="Times New Roman" w:hAnsi="Times New Roman"/>
                <w:sz w:val="24"/>
              </w:rPr>
              <w:t>0</w:t>
            </w:r>
            <w:r w:rsidR="00FD54FC" w:rsidRPr="00661595">
              <w:rPr>
                <w:rStyle w:val="InstructionsTabelleText"/>
                <w:rFonts w:ascii="Times New Roman" w:hAnsi="Times New Roman"/>
                <w:sz w:val="24"/>
              </w:rPr>
              <w:t>100) shall be filled in as well.</w:t>
            </w:r>
          </w:p>
        </w:tc>
      </w:tr>
    </w:tbl>
    <w:p w:rsidR="00FD54FC" w:rsidRPr="00661595" w:rsidRDefault="00FD54FC" w:rsidP="00FD54FC">
      <w:pPr>
        <w:pStyle w:val="PlainText"/>
        <w:jc w:val="both"/>
        <w:rPr>
          <w:rFonts w:ascii="Times New Roman" w:hAnsi="Times New Roman"/>
          <w:sz w:val="24"/>
          <w:szCs w:val="24"/>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5"/>
        <w:gridCol w:w="7967"/>
      </w:tblGrid>
      <w:tr w:rsidR="00FD54FC" w:rsidRPr="00661595" w:rsidTr="00672D2A">
        <w:trPr>
          <w:trHeight w:val="504"/>
        </w:trPr>
        <w:tc>
          <w:tcPr>
            <w:tcW w:w="9180" w:type="dxa"/>
            <w:gridSpan w:val="2"/>
            <w:shd w:val="clear" w:color="auto" w:fill="CCCCCC"/>
          </w:tcPr>
          <w:p w:rsidR="00FD54FC" w:rsidRPr="00661595" w:rsidRDefault="00FD54FC" w:rsidP="00FD54FC">
            <w:pPr>
              <w:autoSpaceDE w:val="0"/>
              <w:autoSpaceDN w:val="0"/>
              <w:adjustRightInd w:val="0"/>
              <w:spacing w:after="0"/>
              <w:rPr>
                <w:rFonts w:ascii="Times New Roman" w:hAnsi="Times New Roman"/>
                <w:b/>
                <w:bCs/>
                <w:sz w:val="24"/>
                <w:lang w:eastAsia="nl-BE"/>
              </w:rPr>
            </w:pPr>
            <w:r w:rsidRPr="00661595">
              <w:rPr>
                <w:rFonts w:ascii="Times New Roman" w:hAnsi="Times New Roman"/>
                <w:b/>
                <w:bCs/>
                <w:sz w:val="24"/>
                <w:lang w:eastAsia="nl-BE"/>
              </w:rPr>
              <w:t>Rows</w:t>
            </w:r>
          </w:p>
        </w:tc>
      </w:tr>
      <w:tr w:rsidR="00FD54FC" w:rsidRPr="00661595" w:rsidTr="00672D2A">
        <w:tc>
          <w:tcPr>
            <w:tcW w:w="1101" w:type="dxa"/>
          </w:tcPr>
          <w:p w:rsidR="00FD54FC" w:rsidRPr="00661595" w:rsidRDefault="00C93FC2" w:rsidP="000F70EC">
            <w:pPr>
              <w:rPr>
                <w:rFonts w:ascii="Times New Roman" w:hAnsi="Times New Roman"/>
                <w:bCs/>
                <w:sz w:val="24"/>
                <w:lang w:eastAsia="nl-BE"/>
              </w:rPr>
            </w:pPr>
            <w:r w:rsidRPr="00661595">
              <w:rPr>
                <w:rFonts w:ascii="Times New Roman" w:hAnsi="Times New Roman"/>
                <w:sz w:val="24"/>
                <w:lang w:eastAsia="de-DE"/>
              </w:rPr>
              <w:t>0</w:t>
            </w:r>
            <w:r w:rsidR="00FD54FC" w:rsidRPr="00661595">
              <w:rPr>
                <w:rFonts w:ascii="Times New Roman" w:hAnsi="Times New Roman"/>
                <w:sz w:val="24"/>
                <w:lang w:eastAsia="de-DE"/>
              </w:rPr>
              <w:t>010</w:t>
            </w:r>
            <w:r w:rsidR="00FD54FC" w:rsidRPr="00661595">
              <w:rPr>
                <w:rFonts w:ascii="Times New Roman" w:hAnsi="Times New Roman"/>
                <w:bCs/>
                <w:sz w:val="24"/>
                <w:lang w:eastAsia="nl-BE"/>
              </w:rPr>
              <w:t>-</w:t>
            </w:r>
            <w:r w:rsidRPr="00661595">
              <w:rPr>
                <w:rFonts w:ascii="Times New Roman" w:hAnsi="Times New Roman"/>
                <w:bCs/>
                <w:sz w:val="24"/>
                <w:lang w:eastAsia="nl-BE"/>
              </w:rPr>
              <w:t>0</w:t>
            </w:r>
            <w:r w:rsidR="00FD54FC" w:rsidRPr="00661595">
              <w:rPr>
                <w:rFonts w:ascii="Times New Roman" w:hAnsi="Times New Roman"/>
                <w:bCs/>
                <w:sz w:val="24"/>
                <w:lang w:eastAsia="nl-BE"/>
              </w:rPr>
              <w:t>880</w:t>
            </w:r>
          </w:p>
        </w:tc>
        <w:tc>
          <w:tcPr>
            <w:tcW w:w="8079" w:type="dxa"/>
          </w:tcPr>
          <w:p w:rsidR="00FD54FC" w:rsidRPr="00661595" w:rsidRDefault="00FD54FC" w:rsidP="00FD54FC">
            <w:pPr>
              <w:rPr>
                <w:rStyle w:val="InstructionsTabelleberschrift"/>
                <w:rFonts w:ascii="Times New Roman" w:hAnsi="Times New Roman"/>
                <w:sz w:val="24"/>
              </w:rPr>
            </w:pPr>
            <w:r w:rsidRPr="00661595">
              <w:rPr>
                <w:rStyle w:val="InstructionsTabelleberschrift"/>
                <w:rFonts w:ascii="Times New Roman" w:hAnsi="Times New Roman"/>
                <w:sz w:val="24"/>
              </w:rPr>
              <w:t>BUSINESS LINES: CORPORATE FINANCE, TRADING AND SALES, RETAIL BROKERAGE, COMMERCIAL BANKING, RETAIL BANKING, PAYMENT AND SETTLEMENT, AGENCY SERVICES, ASSET MANAGEMENT, CORPORATE ITEMS</w:t>
            </w:r>
          </w:p>
          <w:p w:rsidR="00FD54FC" w:rsidRPr="00661595" w:rsidRDefault="00FD54FC" w:rsidP="00FD54FC">
            <w:pPr>
              <w:pStyle w:val="PlainText"/>
              <w:jc w:val="both"/>
              <w:rPr>
                <w:rFonts w:ascii="Times New Roman" w:hAnsi="Times New Roman"/>
                <w:sz w:val="24"/>
                <w:szCs w:val="24"/>
                <w:lang w:val="en-GB" w:eastAsia="de-DE"/>
              </w:rPr>
            </w:pPr>
            <w:r w:rsidRPr="00661595">
              <w:rPr>
                <w:rFonts w:ascii="Times New Roman" w:hAnsi="Times New Roman"/>
                <w:sz w:val="24"/>
                <w:szCs w:val="24"/>
                <w:lang w:val="en-GB"/>
              </w:rPr>
              <w:t xml:space="preserve">For each business line </w:t>
            </w:r>
            <w:r w:rsidR="001F6487" w:rsidRPr="00661595">
              <w:rPr>
                <w:rFonts w:ascii="Times New Roman" w:hAnsi="Times New Roman"/>
                <w:sz w:val="24"/>
                <w:szCs w:val="24"/>
                <w:lang w:val="en-GB"/>
              </w:rPr>
              <w:t xml:space="preserve">referred to </w:t>
            </w:r>
            <w:r w:rsidRPr="00661595">
              <w:rPr>
                <w:rFonts w:ascii="Times New Roman" w:hAnsi="Times New Roman"/>
                <w:sz w:val="24"/>
                <w:szCs w:val="24"/>
                <w:lang w:val="en-GB"/>
              </w:rPr>
              <w:t xml:space="preserve">in </w:t>
            </w:r>
            <w:r w:rsidR="00133396" w:rsidRPr="00661595">
              <w:rPr>
                <w:rFonts w:ascii="Times New Roman" w:hAnsi="Times New Roman"/>
                <w:sz w:val="24"/>
                <w:szCs w:val="24"/>
                <w:lang w:val="en-GB"/>
              </w:rPr>
              <w:t xml:space="preserve">Table 2 of </w:t>
            </w:r>
            <w:r w:rsidRPr="00661595">
              <w:rPr>
                <w:rFonts w:ascii="Times New Roman" w:hAnsi="Times New Roman"/>
                <w:sz w:val="24"/>
                <w:szCs w:val="24"/>
                <w:lang w:val="en-GB"/>
              </w:rPr>
              <w:t>Article 317(4)</w:t>
            </w:r>
            <w:r w:rsidR="00133396" w:rsidRPr="00661595">
              <w:rPr>
                <w:rFonts w:ascii="Times New Roman" w:hAnsi="Times New Roman"/>
                <w:sz w:val="24"/>
                <w:szCs w:val="24"/>
                <w:lang w:val="en-GB"/>
              </w:rPr>
              <w:t xml:space="preserve"> </w:t>
            </w:r>
            <w:r w:rsidRPr="00661595">
              <w:rPr>
                <w:rFonts w:ascii="Times New Roman" w:hAnsi="Times New Roman"/>
                <w:sz w:val="24"/>
                <w:szCs w:val="24"/>
                <w:lang w:val="en-GB" w:eastAsia="de-DE"/>
              </w:rPr>
              <w:t>CRR, including the additional business line "Corporate items" as referred to in</w:t>
            </w:r>
            <w:r w:rsidRPr="00661595">
              <w:rPr>
                <w:rFonts w:ascii="Times New Roman" w:hAnsi="Times New Roman"/>
                <w:sz w:val="24"/>
                <w:szCs w:val="24"/>
                <w:lang w:val="en-GB"/>
              </w:rPr>
              <w:t xml:space="preserve"> </w:t>
            </w:r>
            <w:r w:rsidR="00705025" w:rsidRPr="00661595">
              <w:rPr>
                <w:rFonts w:ascii="Times New Roman" w:hAnsi="Times New Roman"/>
                <w:sz w:val="24"/>
                <w:szCs w:val="24"/>
                <w:lang w:val="en-GB"/>
              </w:rPr>
              <w:t xml:space="preserve">point (b) of </w:t>
            </w:r>
            <w:r w:rsidRPr="00661595">
              <w:rPr>
                <w:rFonts w:ascii="Times New Roman" w:hAnsi="Times New Roman"/>
                <w:sz w:val="24"/>
                <w:szCs w:val="24"/>
                <w:lang w:val="en-GB"/>
              </w:rPr>
              <w:t xml:space="preserve">Article 322(3) </w:t>
            </w:r>
            <w:r w:rsidRPr="00661595">
              <w:rPr>
                <w:rFonts w:ascii="Times New Roman" w:hAnsi="Times New Roman"/>
                <w:sz w:val="24"/>
                <w:szCs w:val="24"/>
                <w:lang w:val="en-GB" w:eastAsia="de-DE"/>
              </w:rPr>
              <w:t xml:space="preserve">CRR, and for each </w:t>
            </w:r>
            <w:r w:rsidR="00650B6C" w:rsidRPr="00661595">
              <w:rPr>
                <w:rFonts w:ascii="Times New Roman" w:hAnsi="Times New Roman"/>
                <w:sz w:val="24"/>
                <w:szCs w:val="24"/>
                <w:lang w:val="en-GB" w:eastAsia="de-DE"/>
              </w:rPr>
              <w:t xml:space="preserve">loss </w:t>
            </w:r>
            <w:r w:rsidRPr="00661595">
              <w:rPr>
                <w:rFonts w:ascii="Times New Roman" w:hAnsi="Times New Roman"/>
                <w:sz w:val="24"/>
                <w:szCs w:val="24"/>
                <w:lang w:val="en-GB" w:eastAsia="de-DE"/>
              </w:rPr>
              <w:t xml:space="preserve">event type, the institution shall report, </w:t>
            </w:r>
            <w:r w:rsidR="00BB22D4" w:rsidRPr="00661595">
              <w:rPr>
                <w:rFonts w:ascii="Times New Roman" w:hAnsi="Times New Roman"/>
                <w:sz w:val="24"/>
                <w:szCs w:val="24"/>
                <w:lang w:val="en-GB" w:eastAsia="de-DE"/>
              </w:rPr>
              <w:t>in accordance with</w:t>
            </w:r>
            <w:r w:rsidRPr="00661595">
              <w:rPr>
                <w:rFonts w:ascii="Times New Roman" w:hAnsi="Times New Roman"/>
                <w:sz w:val="24"/>
                <w:szCs w:val="24"/>
                <w:lang w:val="en-GB" w:eastAsia="de-DE"/>
              </w:rPr>
              <w:t xml:space="preserve"> the internal thresholds</w:t>
            </w:r>
            <w:r w:rsidR="001F6487" w:rsidRPr="00661595">
              <w:rPr>
                <w:rFonts w:ascii="Times New Roman" w:hAnsi="Times New Roman"/>
                <w:sz w:val="24"/>
                <w:szCs w:val="24"/>
                <w:lang w:val="en-GB" w:eastAsia="de-DE"/>
              </w:rPr>
              <w:t>,</w:t>
            </w:r>
            <w:r w:rsidRPr="00661595">
              <w:rPr>
                <w:rFonts w:ascii="Times New Roman" w:hAnsi="Times New Roman"/>
                <w:sz w:val="24"/>
                <w:szCs w:val="24"/>
                <w:lang w:val="en-GB" w:eastAsia="de-DE"/>
              </w:rPr>
              <w:t xml:space="preserve"> the following information: number of </w:t>
            </w:r>
            <w:r w:rsidR="00650B6C" w:rsidRPr="00661595">
              <w:rPr>
                <w:rFonts w:ascii="Times New Roman" w:hAnsi="Times New Roman"/>
                <w:sz w:val="24"/>
                <w:szCs w:val="24"/>
                <w:lang w:val="en-GB" w:eastAsia="de-DE"/>
              </w:rPr>
              <w:t xml:space="preserve">loss </w:t>
            </w:r>
            <w:r w:rsidRPr="00661595">
              <w:rPr>
                <w:rFonts w:ascii="Times New Roman" w:hAnsi="Times New Roman"/>
                <w:sz w:val="24"/>
                <w:szCs w:val="24"/>
                <w:lang w:val="en-GB" w:eastAsia="de-DE"/>
              </w:rPr>
              <w:t>events</w:t>
            </w:r>
            <w:r w:rsidR="00F52FC6" w:rsidRPr="00661595">
              <w:rPr>
                <w:rFonts w:ascii="Times New Roman" w:hAnsi="Times New Roman"/>
                <w:sz w:val="24"/>
                <w:szCs w:val="24"/>
                <w:lang w:val="en-GB" w:eastAsia="de-DE"/>
              </w:rPr>
              <w:t xml:space="preserve"> (new </w:t>
            </w:r>
            <w:r w:rsidR="00650B6C" w:rsidRPr="00661595">
              <w:rPr>
                <w:rFonts w:ascii="Times New Roman" w:hAnsi="Times New Roman"/>
                <w:sz w:val="24"/>
                <w:szCs w:val="24"/>
                <w:lang w:val="en-GB" w:eastAsia="de-DE"/>
              </w:rPr>
              <w:t>loss</w:t>
            </w:r>
            <w:r w:rsidR="001F6487" w:rsidRPr="00661595">
              <w:rPr>
                <w:rFonts w:ascii="Times New Roman" w:hAnsi="Times New Roman"/>
                <w:sz w:val="24"/>
                <w:szCs w:val="24"/>
                <w:lang w:val="en-GB" w:eastAsia="de-DE"/>
              </w:rPr>
              <w:t xml:space="preserve"> </w:t>
            </w:r>
            <w:r w:rsidR="00F52FC6" w:rsidRPr="00661595">
              <w:rPr>
                <w:rFonts w:ascii="Times New Roman" w:hAnsi="Times New Roman"/>
                <w:sz w:val="24"/>
                <w:szCs w:val="24"/>
                <w:lang w:val="en-GB" w:eastAsia="de-DE"/>
              </w:rPr>
              <w:t>events)</w:t>
            </w:r>
            <w:r w:rsidRPr="00661595">
              <w:rPr>
                <w:rFonts w:ascii="Times New Roman" w:hAnsi="Times New Roman"/>
                <w:sz w:val="24"/>
                <w:szCs w:val="24"/>
                <w:lang w:val="en-GB" w:eastAsia="de-DE"/>
              </w:rPr>
              <w:t>, gross loss amount</w:t>
            </w:r>
            <w:r w:rsidR="00F52FC6" w:rsidRPr="00661595">
              <w:rPr>
                <w:rFonts w:ascii="Times New Roman" w:hAnsi="Times New Roman"/>
                <w:sz w:val="24"/>
                <w:szCs w:val="24"/>
                <w:lang w:val="en-GB" w:eastAsia="de-DE"/>
              </w:rPr>
              <w:t xml:space="preserve"> (new </w:t>
            </w:r>
            <w:r w:rsidR="00650B6C" w:rsidRPr="00661595">
              <w:rPr>
                <w:rFonts w:ascii="Times New Roman" w:hAnsi="Times New Roman"/>
                <w:sz w:val="24"/>
                <w:szCs w:val="24"/>
                <w:lang w:val="en-GB" w:eastAsia="de-DE"/>
              </w:rPr>
              <w:t>loss</w:t>
            </w:r>
            <w:r w:rsidR="001F6487" w:rsidRPr="00661595">
              <w:rPr>
                <w:rFonts w:ascii="Times New Roman" w:hAnsi="Times New Roman"/>
                <w:sz w:val="24"/>
                <w:szCs w:val="24"/>
                <w:lang w:val="en-GB" w:eastAsia="de-DE"/>
              </w:rPr>
              <w:t xml:space="preserve"> </w:t>
            </w:r>
            <w:r w:rsidR="00F52FC6" w:rsidRPr="00661595">
              <w:rPr>
                <w:rFonts w:ascii="Times New Roman" w:hAnsi="Times New Roman"/>
                <w:sz w:val="24"/>
                <w:szCs w:val="24"/>
                <w:lang w:val="en-GB" w:eastAsia="de-DE"/>
              </w:rPr>
              <w:t>events)</w:t>
            </w:r>
            <w:r w:rsidRPr="00661595">
              <w:rPr>
                <w:rFonts w:ascii="Times New Roman" w:hAnsi="Times New Roman"/>
                <w:sz w:val="24"/>
                <w:szCs w:val="24"/>
                <w:lang w:val="en-GB" w:eastAsia="de-DE"/>
              </w:rPr>
              <w:t>, the number of</w:t>
            </w:r>
            <w:r w:rsidR="00650B6C" w:rsidRPr="00661595">
              <w:rPr>
                <w:rFonts w:ascii="Times New Roman" w:hAnsi="Times New Roman"/>
                <w:sz w:val="24"/>
                <w:szCs w:val="24"/>
                <w:lang w:val="en-GB" w:eastAsia="de-DE"/>
              </w:rPr>
              <w:t xml:space="preserve"> loss</w:t>
            </w:r>
            <w:r w:rsidRPr="00661595">
              <w:rPr>
                <w:rFonts w:ascii="Times New Roman" w:hAnsi="Times New Roman"/>
                <w:sz w:val="24"/>
                <w:szCs w:val="24"/>
                <w:lang w:val="en-GB" w:eastAsia="de-DE"/>
              </w:rPr>
              <w:t xml:space="preserve"> events subject to loss adjustments, loss adjustments relating to previous reporting periods, maximum single loss, sum of the five largest losses, total direct loss recovery and the total recovery from insurance and other risk transfer mechanisms.</w:t>
            </w:r>
          </w:p>
          <w:p w:rsidR="00FD54FC" w:rsidRPr="00661595" w:rsidRDefault="00FD54FC" w:rsidP="00FD54FC">
            <w:pPr>
              <w:rPr>
                <w:rFonts w:ascii="Times New Roman" w:hAnsi="Times New Roman"/>
                <w:sz w:val="24"/>
                <w:lang w:eastAsia="de-DE"/>
              </w:rPr>
            </w:pPr>
            <w:r w:rsidRPr="00661595">
              <w:rPr>
                <w:rFonts w:ascii="Times New Roman" w:hAnsi="Times New Roman"/>
                <w:sz w:val="24"/>
                <w:lang w:eastAsia="de-DE"/>
              </w:rPr>
              <w:t xml:space="preserve">For a loss event that affects more than one business line the “gross loss amount” </w:t>
            </w:r>
            <w:r w:rsidR="001F6487" w:rsidRPr="00661595">
              <w:rPr>
                <w:rFonts w:ascii="Times New Roman" w:hAnsi="Times New Roman"/>
                <w:sz w:val="24"/>
                <w:lang w:eastAsia="de-DE"/>
              </w:rPr>
              <w:t>shall be</w:t>
            </w:r>
            <w:r w:rsidRPr="00661595">
              <w:rPr>
                <w:rFonts w:ascii="Times New Roman" w:hAnsi="Times New Roman"/>
                <w:sz w:val="24"/>
                <w:lang w:eastAsia="de-DE"/>
              </w:rPr>
              <w:t xml:space="preserve"> distributed among</w:t>
            </w:r>
            <w:r w:rsidR="005A2C21" w:rsidRPr="00661595">
              <w:rPr>
                <w:rFonts w:ascii="Times New Roman" w:hAnsi="Times New Roman"/>
                <w:sz w:val="24"/>
                <w:lang w:eastAsia="de-DE"/>
              </w:rPr>
              <w:t>st</w:t>
            </w:r>
            <w:r w:rsidRPr="00661595">
              <w:rPr>
                <w:rFonts w:ascii="Times New Roman" w:hAnsi="Times New Roman"/>
                <w:sz w:val="24"/>
                <w:lang w:eastAsia="de-DE"/>
              </w:rPr>
              <w:t xml:space="preserve"> all the affected business lines.</w:t>
            </w:r>
          </w:p>
          <w:p w:rsidR="00FD54FC" w:rsidRPr="00661595" w:rsidRDefault="00FD54FC" w:rsidP="00FD54FC">
            <w:pPr>
              <w:rPr>
                <w:rFonts w:ascii="Times New Roman" w:hAnsi="Times New Roman"/>
                <w:bCs/>
                <w:sz w:val="24"/>
                <w:lang w:eastAsia="nl-BE"/>
              </w:rPr>
            </w:pPr>
            <w:r w:rsidRPr="00661595">
              <w:rPr>
                <w:rFonts w:ascii="Times New Roman" w:hAnsi="Times New Roman"/>
                <w:sz w:val="24"/>
                <w:lang w:eastAsia="de-DE"/>
              </w:rPr>
              <w:t xml:space="preserve">Institutions that calculate their own funds requirement </w:t>
            </w:r>
            <w:r w:rsidR="00BB22D4" w:rsidRPr="00661595">
              <w:rPr>
                <w:rFonts w:ascii="Times New Roman" w:hAnsi="Times New Roman"/>
                <w:sz w:val="24"/>
                <w:lang w:eastAsia="de-DE"/>
              </w:rPr>
              <w:t>in accordance with</w:t>
            </w:r>
            <w:r w:rsidRPr="00661595">
              <w:rPr>
                <w:rFonts w:ascii="Times New Roman" w:hAnsi="Times New Roman"/>
                <w:sz w:val="24"/>
                <w:lang w:eastAsia="de-DE"/>
              </w:rPr>
              <w:t xml:space="preserve"> </w:t>
            </w:r>
            <w:r w:rsidR="006D7512" w:rsidRPr="00661595">
              <w:rPr>
                <w:rFonts w:ascii="Times New Roman" w:hAnsi="Times New Roman"/>
                <w:sz w:val="24"/>
                <w:lang w:eastAsia="de-DE"/>
              </w:rPr>
              <w:t xml:space="preserve">the </w:t>
            </w:r>
            <w:r w:rsidRPr="00661595">
              <w:rPr>
                <w:rFonts w:ascii="Times New Roman" w:hAnsi="Times New Roman"/>
                <w:sz w:val="24"/>
                <w:lang w:eastAsia="de-DE"/>
              </w:rPr>
              <w:t xml:space="preserve">BIA can report those losses for which the business line is not identified in rows </w:t>
            </w:r>
            <w:r w:rsidR="00CB3146" w:rsidRPr="00661595">
              <w:rPr>
                <w:rFonts w:ascii="Times New Roman" w:hAnsi="Times New Roman"/>
                <w:sz w:val="24"/>
                <w:lang w:eastAsia="de-DE"/>
              </w:rPr>
              <w:t>0</w:t>
            </w:r>
            <w:r w:rsidRPr="00661595">
              <w:rPr>
                <w:rFonts w:ascii="Times New Roman" w:hAnsi="Times New Roman"/>
                <w:sz w:val="24"/>
                <w:lang w:eastAsia="de-DE"/>
              </w:rPr>
              <w:t>910-</w:t>
            </w:r>
            <w:r w:rsidR="00CB3146" w:rsidRPr="00661595">
              <w:rPr>
                <w:rFonts w:ascii="Times New Roman" w:hAnsi="Times New Roman"/>
                <w:sz w:val="24"/>
                <w:lang w:eastAsia="de-DE"/>
              </w:rPr>
              <w:t>0</w:t>
            </w:r>
            <w:r w:rsidRPr="00661595">
              <w:rPr>
                <w:rFonts w:ascii="Times New Roman" w:hAnsi="Times New Roman"/>
                <w:sz w:val="24"/>
                <w:lang w:eastAsia="de-DE"/>
              </w:rPr>
              <w:t>980 only.</w:t>
            </w:r>
          </w:p>
        </w:tc>
      </w:tr>
      <w:tr w:rsidR="00FD54FC" w:rsidRPr="00661595" w:rsidTr="00672D2A">
        <w:tc>
          <w:tcPr>
            <w:tcW w:w="1101" w:type="dxa"/>
          </w:tcPr>
          <w:p w:rsidR="00FD54FC" w:rsidRPr="00661595" w:rsidRDefault="00C93FC2" w:rsidP="00FD54FC">
            <w:pPr>
              <w:rPr>
                <w:rFonts w:ascii="Times New Roman" w:hAnsi="Times New Roman"/>
                <w:bCs/>
                <w:sz w:val="24"/>
                <w:lang w:eastAsia="nl-BE"/>
              </w:rPr>
            </w:pP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010, </w:t>
            </w: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110, </w:t>
            </w: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210, </w:t>
            </w: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310, </w:t>
            </w: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410, </w:t>
            </w: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510, </w:t>
            </w: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610, </w:t>
            </w: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710, </w:t>
            </w:r>
            <w:r w:rsidRPr="00661595">
              <w:rPr>
                <w:rFonts w:ascii="Times New Roman" w:hAnsi="Times New Roman"/>
                <w:bCs/>
                <w:sz w:val="24"/>
                <w:lang w:eastAsia="nl-BE"/>
              </w:rPr>
              <w:t>0</w:t>
            </w:r>
            <w:r w:rsidR="00FD54FC" w:rsidRPr="00661595">
              <w:rPr>
                <w:rFonts w:ascii="Times New Roman" w:hAnsi="Times New Roman"/>
                <w:bCs/>
                <w:sz w:val="24"/>
                <w:lang w:eastAsia="nl-BE"/>
              </w:rPr>
              <w:t>810</w:t>
            </w:r>
          </w:p>
        </w:tc>
        <w:tc>
          <w:tcPr>
            <w:tcW w:w="8079" w:type="dxa"/>
          </w:tcPr>
          <w:p w:rsidR="00FD54FC" w:rsidRPr="00661595" w:rsidRDefault="00FD54FC" w:rsidP="00FD54FC">
            <w:pPr>
              <w:rPr>
                <w:rStyle w:val="InstructionsTabelleberschrift"/>
                <w:rFonts w:ascii="Times New Roman" w:hAnsi="Times New Roman"/>
                <w:sz w:val="24"/>
              </w:rPr>
            </w:pPr>
            <w:r w:rsidRPr="00661595">
              <w:rPr>
                <w:rStyle w:val="InstructionsTabelleberschrift"/>
                <w:rFonts w:ascii="Times New Roman" w:hAnsi="Times New Roman"/>
                <w:sz w:val="24"/>
              </w:rPr>
              <w:t xml:space="preserve">Number of </w:t>
            </w:r>
            <w:r w:rsidR="00650B6C" w:rsidRPr="00661595">
              <w:rPr>
                <w:rStyle w:val="InstructionsTabelleberschrift"/>
                <w:rFonts w:ascii="Times New Roman" w:hAnsi="Times New Roman"/>
                <w:sz w:val="24"/>
              </w:rPr>
              <w:t xml:space="preserve">loss </w:t>
            </w:r>
            <w:r w:rsidRPr="00661595">
              <w:rPr>
                <w:rStyle w:val="InstructionsTabelleberschrift"/>
                <w:rFonts w:ascii="Times New Roman" w:hAnsi="Times New Roman"/>
                <w:sz w:val="24"/>
              </w:rPr>
              <w:t xml:space="preserve">events (new </w:t>
            </w:r>
            <w:r w:rsidR="00650B6C" w:rsidRPr="00661595">
              <w:rPr>
                <w:rStyle w:val="InstructionsTabelleberschrift"/>
                <w:rFonts w:ascii="Times New Roman" w:hAnsi="Times New Roman"/>
                <w:sz w:val="24"/>
              </w:rPr>
              <w:t xml:space="preserve">loss </w:t>
            </w:r>
            <w:r w:rsidRPr="00661595">
              <w:rPr>
                <w:rStyle w:val="InstructionsTabelleberschrift"/>
                <w:rFonts w:ascii="Times New Roman" w:hAnsi="Times New Roman"/>
                <w:sz w:val="24"/>
              </w:rPr>
              <w:t>events)</w:t>
            </w:r>
          </w:p>
          <w:p w:rsidR="00FD54FC" w:rsidRPr="00661595" w:rsidRDefault="00FD54FC" w:rsidP="00FD54FC">
            <w:pPr>
              <w:rPr>
                <w:rFonts w:ascii="Times New Roman" w:hAnsi="Times New Roman"/>
                <w:sz w:val="24"/>
                <w:lang w:eastAsia="de-DE"/>
              </w:rPr>
            </w:pPr>
            <w:r w:rsidRPr="00661595">
              <w:rPr>
                <w:rFonts w:ascii="Times New Roman" w:hAnsi="Times New Roman"/>
                <w:sz w:val="24"/>
                <w:lang w:eastAsia="de-DE"/>
              </w:rPr>
              <w:t xml:space="preserve">The number of </w:t>
            </w:r>
            <w:r w:rsidR="00650B6C" w:rsidRPr="00661595">
              <w:rPr>
                <w:rFonts w:ascii="Times New Roman" w:hAnsi="Times New Roman"/>
                <w:sz w:val="24"/>
                <w:lang w:eastAsia="de-DE"/>
              </w:rPr>
              <w:t xml:space="preserve">loss </w:t>
            </w:r>
            <w:r w:rsidRPr="00661595">
              <w:rPr>
                <w:rFonts w:ascii="Times New Roman" w:hAnsi="Times New Roman"/>
                <w:sz w:val="24"/>
                <w:lang w:eastAsia="de-DE"/>
              </w:rPr>
              <w:t xml:space="preserve">events is the number of </w:t>
            </w:r>
            <w:r w:rsidR="00650B6C" w:rsidRPr="00661595">
              <w:rPr>
                <w:rFonts w:ascii="Times New Roman" w:hAnsi="Times New Roman"/>
                <w:sz w:val="24"/>
                <w:lang w:eastAsia="de-DE"/>
              </w:rPr>
              <w:t>loss</w:t>
            </w:r>
            <w:r w:rsidRPr="00661595">
              <w:rPr>
                <w:rFonts w:ascii="Times New Roman" w:hAnsi="Times New Roman"/>
                <w:sz w:val="24"/>
                <w:lang w:eastAsia="de-DE"/>
              </w:rPr>
              <w:t xml:space="preserve"> events for which gross losses were accounted for within the reporting reference period.</w:t>
            </w:r>
          </w:p>
          <w:p w:rsidR="00FD54FC" w:rsidRPr="00661595" w:rsidRDefault="00FD54FC" w:rsidP="00FD54FC">
            <w:pPr>
              <w:rPr>
                <w:rFonts w:ascii="Times New Roman" w:hAnsi="Times New Roman"/>
                <w:sz w:val="24"/>
                <w:lang w:eastAsia="de-DE"/>
              </w:rPr>
            </w:pPr>
            <w:r w:rsidRPr="00661595">
              <w:rPr>
                <w:rFonts w:ascii="Times New Roman" w:hAnsi="Times New Roman"/>
                <w:sz w:val="24"/>
                <w:lang w:eastAsia="de-DE"/>
              </w:rPr>
              <w:t xml:space="preserve">The number of </w:t>
            </w:r>
            <w:r w:rsidR="00650B6C" w:rsidRPr="00661595">
              <w:rPr>
                <w:rFonts w:ascii="Times New Roman" w:hAnsi="Times New Roman"/>
                <w:sz w:val="24"/>
                <w:lang w:eastAsia="de-DE"/>
              </w:rPr>
              <w:t xml:space="preserve">loss </w:t>
            </w:r>
            <w:r w:rsidRPr="00661595">
              <w:rPr>
                <w:rFonts w:ascii="Times New Roman" w:hAnsi="Times New Roman"/>
                <w:sz w:val="24"/>
                <w:lang w:eastAsia="de-DE"/>
              </w:rPr>
              <w:t>events shall refer to “new events”, i.e. operational risk events</w:t>
            </w:r>
            <w:r w:rsidR="001F6487" w:rsidRPr="00661595">
              <w:rPr>
                <w:rFonts w:ascii="Times New Roman" w:hAnsi="Times New Roman"/>
                <w:sz w:val="24"/>
                <w:lang w:eastAsia="de-DE"/>
              </w:rPr>
              <w:t>:</w:t>
            </w:r>
          </w:p>
          <w:p w:rsidR="00FD54FC" w:rsidRPr="00661595" w:rsidRDefault="00FD54FC" w:rsidP="00FD54FC">
            <w:pPr>
              <w:tabs>
                <w:tab w:val="left" w:pos="459"/>
              </w:tabs>
              <w:ind w:left="459" w:hanging="459"/>
              <w:rPr>
                <w:rFonts w:ascii="Times New Roman" w:hAnsi="Times New Roman"/>
                <w:sz w:val="24"/>
                <w:lang w:eastAsia="de-DE"/>
              </w:rPr>
            </w:pPr>
            <w:r w:rsidRPr="00661595">
              <w:rPr>
                <w:rFonts w:ascii="Times New Roman" w:hAnsi="Times New Roman"/>
                <w:sz w:val="24"/>
                <w:lang w:eastAsia="de-DE"/>
              </w:rPr>
              <w:t>(i)</w:t>
            </w:r>
            <w:r w:rsidRPr="00661595">
              <w:rPr>
                <w:rFonts w:ascii="Times New Roman" w:hAnsi="Times New Roman"/>
                <w:sz w:val="24"/>
                <w:lang w:eastAsia="de-DE"/>
              </w:rPr>
              <w:tab/>
              <w:t>“accounted for the first time” within the reporting reference period</w:t>
            </w:r>
            <w:r w:rsidR="001F6487" w:rsidRPr="00661595">
              <w:rPr>
                <w:rFonts w:ascii="Times New Roman" w:hAnsi="Times New Roman"/>
                <w:sz w:val="24"/>
                <w:lang w:eastAsia="de-DE"/>
              </w:rPr>
              <w:t>;</w:t>
            </w:r>
            <w:r w:rsidRPr="00661595">
              <w:rPr>
                <w:rFonts w:ascii="Times New Roman" w:hAnsi="Times New Roman"/>
                <w:sz w:val="24"/>
                <w:lang w:eastAsia="de-DE"/>
              </w:rPr>
              <w:t xml:space="preserve"> or</w:t>
            </w:r>
          </w:p>
          <w:p w:rsidR="00FD54FC" w:rsidRPr="00661595" w:rsidRDefault="00FD54FC" w:rsidP="00FD54FC">
            <w:pPr>
              <w:tabs>
                <w:tab w:val="left" w:pos="459"/>
              </w:tabs>
              <w:ind w:left="459" w:hanging="459"/>
              <w:rPr>
                <w:rFonts w:ascii="Times New Roman" w:hAnsi="Times New Roman"/>
                <w:sz w:val="24"/>
                <w:lang w:eastAsia="de-DE"/>
              </w:rPr>
            </w:pPr>
            <w:r w:rsidRPr="00661595">
              <w:rPr>
                <w:rFonts w:ascii="Times New Roman" w:hAnsi="Times New Roman"/>
                <w:sz w:val="24"/>
                <w:lang w:eastAsia="de-DE"/>
              </w:rPr>
              <w:t>(ii)</w:t>
            </w:r>
            <w:r w:rsidRPr="00661595">
              <w:rPr>
                <w:rFonts w:ascii="Times New Roman" w:hAnsi="Times New Roman"/>
                <w:sz w:val="24"/>
                <w:lang w:eastAsia="de-DE"/>
              </w:rPr>
              <w:tab/>
              <w:t xml:space="preserve">“accounted for the first time” within a previous reporting reference period, </w:t>
            </w:r>
            <w:r w:rsidR="001F6487" w:rsidRPr="00661595">
              <w:rPr>
                <w:rFonts w:ascii="Times New Roman" w:hAnsi="Times New Roman"/>
                <w:sz w:val="24"/>
                <w:lang w:eastAsia="de-DE"/>
              </w:rPr>
              <w:t>where</w:t>
            </w:r>
            <w:r w:rsidRPr="00661595">
              <w:rPr>
                <w:rFonts w:ascii="Times New Roman" w:hAnsi="Times New Roman"/>
                <w:sz w:val="24"/>
                <w:lang w:eastAsia="de-DE"/>
              </w:rPr>
              <w:t xml:space="preserve"> the </w:t>
            </w:r>
            <w:r w:rsidR="00650B6C" w:rsidRPr="00661595">
              <w:rPr>
                <w:rFonts w:ascii="Times New Roman" w:hAnsi="Times New Roman"/>
                <w:sz w:val="24"/>
                <w:lang w:eastAsia="de-DE"/>
              </w:rPr>
              <w:t xml:space="preserve">loss </w:t>
            </w:r>
            <w:r w:rsidRPr="00661595">
              <w:rPr>
                <w:rFonts w:ascii="Times New Roman" w:hAnsi="Times New Roman"/>
                <w:sz w:val="24"/>
                <w:lang w:eastAsia="de-DE"/>
              </w:rPr>
              <w:t xml:space="preserve">event </w:t>
            </w:r>
            <w:r w:rsidR="001F6487" w:rsidRPr="00661595">
              <w:rPr>
                <w:rFonts w:ascii="Times New Roman" w:hAnsi="Times New Roman"/>
                <w:sz w:val="24"/>
                <w:lang w:eastAsia="de-DE"/>
              </w:rPr>
              <w:t>was</w:t>
            </w:r>
            <w:r w:rsidRPr="00661595">
              <w:rPr>
                <w:rFonts w:ascii="Times New Roman" w:hAnsi="Times New Roman"/>
                <w:sz w:val="24"/>
                <w:lang w:eastAsia="de-DE"/>
              </w:rPr>
              <w:t xml:space="preserve"> </w:t>
            </w:r>
            <w:r w:rsidR="00650B6C" w:rsidRPr="00661595">
              <w:rPr>
                <w:rFonts w:ascii="Times New Roman" w:hAnsi="Times New Roman"/>
                <w:sz w:val="24"/>
                <w:lang w:eastAsia="de-DE"/>
              </w:rPr>
              <w:t xml:space="preserve">not </w:t>
            </w:r>
            <w:r w:rsidRPr="00661595">
              <w:rPr>
                <w:rFonts w:ascii="Times New Roman" w:hAnsi="Times New Roman"/>
                <w:sz w:val="24"/>
                <w:lang w:eastAsia="de-DE"/>
              </w:rPr>
              <w:t>included</w:t>
            </w:r>
            <w:r w:rsidR="00650B6C" w:rsidRPr="00661595">
              <w:rPr>
                <w:rFonts w:ascii="Times New Roman" w:hAnsi="Times New Roman"/>
                <w:sz w:val="24"/>
                <w:lang w:eastAsia="de-DE"/>
              </w:rPr>
              <w:t xml:space="preserve"> </w:t>
            </w:r>
            <w:r w:rsidRPr="00661595">
              <w:rPr>
                <w:rFonts w:ascii="Times New Roman" w:hAnsi="Times New Roman"/>
                <w:sz w:val="24"/>
                <w:lang w:eastAsia="de-DE"/>
              </w:rPr>
              <w:t>in any previous supervisory report, e.g. because it was identified as operational risk</w:t>
            </w:r>
            <w:r w:rsidR="005F1EB8" w:rsidRPr="00661595">
              <w:rPr>
                <w:rFonts w:ascii="Times New Roman" w:hAnsi="Times New Roman"/>
                <w:sz w:val="24"/>
                <w:lang w:eastAsia="de-DE"/>
              </w:rPr>
              <w:t xml:space="preserve"> loss</w:t>
            </w:r>
            <w:r w:rsidRPr="00661595">
              <w:rPr>
                <w:rFonts w:ascii="Times New Roman" w:hAnsi="Times New Roman"/>
                <w:sz w:val="24"/>
                <w:lang w:eastAsia="de-DE"/>
              </w:rPr>
              <w:t xml:space="preserve"> event only in the current reporting reference period or because the accumulated loss attributable to that </w:t>
            </w:r>
            <w:r w:rsidR="005F1EB8" w:rsidRPr="00661595">
              <w:rPr>
                <w:rFonts w:ascii="Times New Roman" w:hAnsi="Times New Roman"/>
                <w:sz w:val="24"/>
                <w:lang w:eastAsia="de-DE"/>
              </w:rPr>
              <w:t xml:space="preserve">loss </w:t>
            </w:r>
            <w:r w:rsidRPr="00661595">
              <w:rPr>
                <w:rFonts w:ascii="Times New Roman" w:hAnsi="Times New Roman"/>
                <w:sz w:val="24"/>
                <w:lang w:eastAsia="de-DE"/>
              </w:rPr>
              <w:t>event (i.e. the original loss plus / minus all loss adjustments made in previous reporting reference periods) exceeded the internal data collection threshold only in the current reporting reference period.</w:t>
            </w:r>
          </w:p>
          <w:p w:rsidR="00FD54FC" w:rsidRPr="00661595" w:rsidRDefault="00FD54FC" w:rsidP="005F1EB8">
            <w:pPr>
              <w:rPr>
                <w:rStyle w:val="InstructionsTabelleberschrift"/>
                <w:rFonts w:ascii="Times New Roman" w:hAnsi="Times New Roman"/>
                <w:sz w:val="24"/>
              </w:rPr>
            </w:pPr>
            <w:r w:rsidRPr="00661595">
              <w:rPr>
                <w:rFonts w:ascii="Times New Roman" w:hAnsi="Times New Roman"/>
                <w:sz w:val="24"/>
                <w:lang w:eastAsia="de-DE"/>
              </w:rPr>
              <w:t xml:space="preserve">‘New </w:t>
            </w:r>
            <w:r w:rsidR="005F1EB8" w:rsidRPr="00661595">
              <w:rPr>
                <w:rFonts w:ascii="Times New Roman" w:hAnsi="Times New Roman"/>
                <w:sz w:val="24"/>
                <w:lang w:eastAsia="de-DE"/>
              </w:rPr>
              <w:t xml:space="preserve">loss </w:t>
            </w:r>
            <w:r w:rsidRPr="00661595">
              <w:rPr>
                <w:rFonts w:ascii="Times New Roman" w:hAnsi="Times New Roman"/>
                <w:sz w:val="24"/>
                <w:lang w:eastAsia="de-DE"/>
              </w:rPr>
              <w:t xml:space="preserve">events’ do not include </w:t>
            </w:r>
            <w:r w:rsidR="005F1EB8" w:rsidRPr="00661595">
              <w:rPr>
                <w:rFonts w:ascii="Times New Roman" w:hAnsi="Times New Roman"/>
                <w:sz w:val="24"/>
                <w:lang w:eastAsia="de-DE"/>
              </w:rPr>
              <w:t>loss</w:t>
            </w:r>
            <w:r w:rsidRPr="00661595">
              <w:rPr>
                <w:rFonts w:ascii="Times New Roman" w:hAnsi="Times New Roman"/>
                <w:sz w:val="24"/>
                <w:lang w:eastAsia="de-DE"/>
              </w:rPr>
              <w:t xml:space="preserve"> events “accounted for the first time” within a previous reporting reference period, which </w:t>
            </w:r>
            <w:r w:rsidR="001F6487" w:rsidRPr="00661595">
              <w:rPr>
                <w:rFonts w:ascii="Times New Roman" w:hAnsi="Times New Roman"/>
                <w:sz w:val="24"/>
                <w:lang w:eastAsia="de-DE"/>
              </w:rPr>
              <w:t>w</w:t>
            </w:r>
            <w:r w:rsidR="00F519A4" w:rsidRPr="00661595">
              <w:rPr>
                <w:rFonts w:ascii="Times New Roman" w:hAnsi="Times New Roman"/>
                <w:sz w:val="24"/>
                <w:lang w:eastAsia="de-DE"/>
              </w:rPr>
              <w:t>ere</w:t>
            </w:r>
            <w:r w:rsidR="001F6487" w:rsidRPr="00661595">
              <w:rPr>
                <w:rFonts w:ascii="Times New Roman" w:hAnsi="Times New Roman"/>
                <w:sz w:val="24"/>
                <w:lang w:eastAsia="de-DE"/>
              </w:rPr>
              <w:t xml:space="preserve"> already </w:t>
            </w:r>
            <w:r w:rsidRPr="00661595">
              <w:rPr>
                <w:rFonts w:ascii="Times New Roman" w:hAnsi="Times New Roman"/>
                <w:sz w:val="24"/>
                <w:lang w:eastAsia="de-DE"/>
              </w:rPr>
              <w:t>included in previous supervisory reports.</w:t>
            </w:r>
          </w:p>
        </w:tc>
      </w:tr>
      <w:tr w:rsidR="00FD54FC" w:rsidRPr="00661595" w:rsidTr="00672D2A">
        <w:tc>
          <w:tcPr>
            <w:tcW w:w="1101" w:type="dxa"/>
          </w:tcPr>
          <w:p w:rsidR="00FD54FC" w:rsidRPr="00661595" w:rsidRDefault="00C93FC2" w:rsidP="00FD54FC">
            <w:pPr>
              <w:rPr>
                <w:rFonts w:ascii="Times New Roman" w:hAnsi="Times New Roman"/>
                <w:bCs/>
                <w:sz w:val="24"/>
                <w:lang w:eastAsia="nl-BE"/>
              </w:rPr>
            </w:pP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020, </w:t>
            </w: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120, </w:t>
            </w: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220, </w:t>
            </w: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320, </w:t>
            </w: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420, </w:t>
            </w: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520, </w:t>
            </w: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620, </w:t>
            </w: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720, </w:t>
            </w:r>
            <w:r w:rsidRPr="00661595">
              <w:rPr>
                <w:rFonts w:ascii="Times New Roman" w:hAnsi="Times New Roman"/>
                <w:bCs/>
                <w:sz w:val="24"/>
                <w:lang w:eastAsia="nl-BE"/>
              </w:rPr>
              <w:t>0</w:t>
            </w:r>
            <w:r w:rsidR="00FD54FC" w:rsidRPr="00661595">
              <w:rPr>
                <w:rFonts w:ascii="Times New Roman" w:hAnsi="Times New Roman"/>
                <w:bCs/>
                <w:sz w:val="24"/>
                <w:lang w:eastAsia="nl-BE"/>
              </w:rPr>
              <w:t>820</w:t>
            </w:r>
          </w:p>
        </w:tc>
        <w:tc>
          <w:tcPr>
            <w:tcW w:w="8079" w:type="dxa"/>
          </w:tcPr>
          <w:p w:rsidR="00FD54FC" w:rsidRPr="00661595" w:rsidRDefault="00FD54FC" w:rsidP="00FD54FC">
            <w:pPr>
              <w:rPr>
                <w:rStyle w:val="InstructionsTabelleberschrift"/>
                <w:rFonts w:ascii="Times New Roman" w:hAnsi="Times New Roman"/>
                <w:sz w:val="24"/>
                <w:lang w:eastAsia="es-ES_tradnl"/>
              </w:rPr>
            </w:pPr>
            <w:r w:rsidRPr="00661595">
              <w:rPr>
                <w:rStyle w:val="InstructionsTabelleberschrift"/>
                <w:rFonts w:ascii="Times New Roman" w:hAnsi="Times New Roman"/>
                <w:sz w:val="24"/>
                <w:lang w:eastAsia="es-ES_tradnl"/>
              </w:rPr>
              <w:t xml:space="preserve">Gross loss </w:t>
            </w:r>
            <w:r w:rsidRPr="00661595">
              <w:rPr>
                <w:rStyle w:val="InstructionsTabelleberschrift"/>
                <w:rFonts w:ascii="Times New Roman" w:hAnsi="Times New Roman"/>
                <w:sz w:val="24"/>
              </w:rPr>
              <w:t>amount</w:t>
            </w:r>
            <w:r w:rsidRPr="00661595">
              <w:rPr>
                <w:rStyle w:val="InstructionsTabelleberschrift"/>
                <w:rFonts w:ascii="Times New Roman" w:hAnsi="Times New Roman"/>
                <w:sz w:val="24"/>
                <w:lang w:eastAsia="es-ES_tradnl"/>
              </w:rPr>
              <w:t xml:space="preserve"> (new </w:t>
            </w:r>
            <w:r w:rsidR="005F1EB8" w:rsidRPr="00661595">
              <w:rPr>
                <w:rStyle w:val="InstructionsTabelleberschrift"/>
                <w:rFonts w:ascii="Times New Roman" w:hAnsi="Times New Roman"/>
                <w:sz w:val="24"/>
                <w:lang w:eastAsia="es-ES_tradnl"/>
              </w:rPr>
              <w:t xml:space="preserve">loss </w:t>
            </w:r>
            <w:r w:rsidRPr="00661595">
              <w:rPr>
                <w:rStyle w:val="InstructionsTabelleberschrift"/>
                <w:rFonts w:ascii="Times New Roman" w:hAnsi="Times New Roman"/>
                <w:sz w:val="24"/>
                <w:lang w:eastAsia="es-ES_tradnl"/>
              </w:rPr>
              <w:t>events)</w:t>
            </w:r>
          </w:p>
          <w:p w:rsidR="00FD54FC" w:rsidRPr="00661595" w:rsidRDefault="00FD54FC" w:rsidP="00FD54FC">
            <w:pPr>
              <w:rPr>
                <w:rFonts w:ascii="Times New Roman" w:hAnsi="Times New Roman"/>
                <w:sz w:val="24"/>
                <w:lang w:eastAsia="de-DE"/>
              </w:rPr>
            </w:pPr>
            <w:r w:rsidRPr="00661595">
              <w:rPr>
                <w:rFonts w:ascii="Times New Roman" w:hAnsi="Times New Roman"/>
                <w:sz w:val="24"/>
                <w:lang w:eastAsia="de-DE"/>
              </w:rPr>
              <w:t xml:space="preserve">The gross loss amount </w:t>
            </w:r>
            <w:r w:rsidR="001F6487" w:rsidRPr="00661595">
              <w:rPr>
                <w:rFonts w:ascii="Times New Roman" w:hAnsi="Times New Roman"/>
                <w:sz w:val="24"/>
                <w:lang w:eastAsia="de-DE"/>
              </w:rPr>
              <w:t>shall</w:t>
            </w:r>
            <w:r w:rsidRPr="00661595">
              <w:rPr>
                <w:rFonts w:ascii="Times New Roman" w:hAnsi="Times New Roman"/>
                <w:sz w:val="24"/>
                <w:lang w:eastAsia="de-DE"/>
              </w:rPr>
              <w:t xml:space="preserve"> </w:t>
            </w:r>
            <w:r w:rsidR="00F519A4" w:rsidRPr="00661595">
              <w:rPr>
                <w:rFonts w:ascii="Times New Roman" w:hAnsi="Times New Roman"/>
                <w:sz w:val="24"/>
                <w:lang w:eastAsia="de-DE"/>
              </w:rPr>
              <w:t xml:space="preserve">be </w:t>
            </w:r>
            <w:r w:rsidRPr="00661595">
              <w:rPr>
                <w:rFonts w:ascii="Times New Roman" w:hAnsi="Times New Roman"/>
                <w:sz w:val="24"/>
                <w:lang w:eastAsia="de-DE"/>
              </w:rPr>
              <w:t xml:space="preserve">the gross loss amounts pertinent to operational risk </w:t>
            </w:r>
            <w:r w:rsidR="005F1EB8" w:rsidRPr="00661595">
              <w:rPr>
                <w:rFonts w:ascii="Times New Roman" w:hAnsi="Times New Roman"/>
                <w:sz w:val="24"/>
                <w:lang w:eastAsia="de-DE"/>
              </w:rPr>
              <w:t xml:space="preserve">loss </w:t>
            </w:r>
            <w:r w:rsidRPr="00661595">
              <w:rPr>
                <w:rFonts w:ascii="Times New Roman" w:hAnsi="Times New Roman"/>
                <w:sz w:val="24"/>
                <w:lang w:eastAsia="de-DE"/>
              </w:rPr>
              <w:t>events (e.g. direct charges, provisions, settlements). All losses related to a single</w:t>
            </w:r>
            <w:r w:rsidR="001F6487" w:rsidRPr="00661595">
              <w:rPr>
                <w:rFonts w:ascii="Times New Roman" w:hAnsi="Times New Roman"/>
                <w:sz w:val="24"/>
                <w:lang w:eastAsia="de-DE"/>
              </w:rPr>
              <w:t xml:space="preserve"> </w:t>
            </w:r>
            <w:r w:rsidR="005F1EB8" w:rsidRPr="00661595">
              <w:rPr>
                <w:rFonts w:ascii="Times New Roman" w:hAnsi="Times New Roman"/>
                <w:sz w:val="24"/>
                <w:lang w:eastAsia="de-DE"/>
              </w:rPr>
              <w:t>loss</w:t>
            </w:r>
            <w:r w:rsidRPr="00661595">
              <w:rPr>
                <w:rFonts w:ascii="Times New Roman" w:hAnsi="Times New Roman"/>
                <w:sz w:val="24"/>
                <w:lang w:eastAsia="de-DE"/>
              </w:rPr>
              <w:t xml:space="preserve"> event which are accounted for within the reporting reference period </w:t>
            </w:r>
            <w:r w:rsidR="001F6487" w:rsidRPr="00661595">
              <w:rPr>
                <w:rFonts w:ascii="Times New Roman" w:hAnsi="Times New Roman"/>
                <w:sz w:val="24"/>
                <w:lang w:eastAsia="de-DE"/>
              </w:rPr>
              <w:t>shall be</w:t>
            </w:r>
            <w:r w:rsidRPr="00661595">
              <w:rPr>
                <w:rFonts w:ascii="Times New Roman" w:hAnsi="Times New Roman"/>
                <w:sz w:val="24"/>
                <w:lang w:eastAsia="de-DE"/>
              </w:rPr>
              <w:t xml:space="preserve"> summed up and considered as the gross loss for that </w:t>
            </w:r>
            <w:r w:rsidR="005F1EB8" w:rsidRPr="00661595">
              <w:rPr>
                <w:rFonts w:ascii="Times New Roman" w:hAnsi="Times New Roman"/>
                <w:sz w:val="24"/>
                <w:lang w:eastAsia="de-DE"/>
              </w:rPr>
              <w:t xml:space="preserve">loss </w:t>
            </w:r>
            <w:r w:rsidRPr="00661595">
              <w:rPr>
                <w:rFonts w:ascii="Times New Roman" w:hAnsi="Times New Roman"/>
                <w:sz w:val="24"/>
                <w:lang w:eastAsia="de-DE"/>
              </w:rPr>
              <w:t>event for that reporting reference period.</w:t>
            </w:r>
          </w:p>
          <w:p w:rsidR="00FD54FC" w:rsidRPr="00661595" w:rsidRDefault="00FD54FC" w:rsidP="00FD54FC">
            <w:pPr>
              <w:rPr>
                <w:rFonts w:ascii="Times New Roman" w:hAnsi="Times New Roman"/>
                <w:sz w:val="24"/>
                <w:lang w:eastAsia="de-DE"/>
              </w:rPr>
            </w:pPr>
            <w:r w:rsidRPr="00661595">
              <w:rPr>
                <w:rFonts w:ascii="Times New Roman" w:hAnsi="Times New Roman"/>
                <w:sz w:val="24"/>
                <w:lang w:eastAsia="de-DE"/>
              </w:rPr>
              <w:t xml:space="preserve">The reported gross loss amount shall refer to “new </w:t>
            </w:r>
            <w:r w:rsidR="005F1EB8" w:rsidRPr="00661595">
              <w:rPr>
                <w:rFonts w:ascii="Times New Roman" w:hAnsi="Times New Roman"/>
                <w:sz w:val="24"/>
                <w:lang w:eastAsia="de-DE"/>
              </w:rPr>
              <w:t xml:space="preserve">loss </w:t>
            </w:r>
            <w:r w:rsidRPr="00661595">
              <w:rPr>
                <w:rFonts w:ascii="Times New Roman" w:hAnsi="Times New Roman"/>
                <w:sz w:val="24"/>
                <w:lang w:eastAsia="de-DE"/>
              </w:rPr>
              <w:t xml:space="preserve">events” as </w:t>
            </w:r>
            <w:r w:rsidR="001F6487" w:rsidRPr="00661595">
              <w:rPr>
                <w:rFonts w:ascii="Times New Roman" w:hAnsi="Times New Roman"/>
                <w:sz w:val="24"/>
                <w:lang w:eastAsia="de-DE"/>
              </w:rPr>
              <w:t xml:space="preserve">referred to </w:t>
            </w:r>
            <w:r w:rsidRPr="00661595">
              <w:rPr>
                <w:rFonts w:ascii="Times New Roman" w:hAnsi="Times New Roman"/>
                <w:sz w:val="24"/>
                <w:lang w:eastAsia="de-DE"/>
              </w:rPr>
              <w:t>in the row above</w:t>
            </w:r>
            <w:r w:rsidR="0023276A" w:rsidRPr="00661595">
              <w:rPr>
                <w:rFonts w:ascii="Times New Roman" w:hAnsi="Times New Roman"/>
                <w:sz w:val="24"/>
                <w:lang w:eastAsia="de-DE"/>
              </w:rPr>
              <w:t xml:space="preserve"> of this table</w:t>
            </w:r>
            <w:r w:rsidRPr="00661595">
              <w:rPr>
                <w:rFonts w:ascii="Times New Roman" w:hAnsi="Times New Roman"/>
                <w:sz w:val="24"/>
                <w:lang w:eastAsia="de-DE"/>
              </w:rPr>
              <w:t xml:space="preserve">. For </w:t>
            </w:r>
            <w:r w:rsidR="005F1EB8" w:rsidRPr="00661595">
              <w:rPr>
                <w:rFonts w:ascii="Times New Roman" w:hAnsi="Times New Roman"/>
                <w:sz w:val="24"/>
                <w:lang w:eastAsia="de-DE"/>
              </w:rPr>
              <w:t xml:space="preserve">loss </w:t>
            </w:r>
            <w:r w:rsidRPr="00661595">
              <w:rPr>
                <w:rFonts w:ascii="Times New Roman" w:hAnsi="Times New Roman"/>
                <w:sz w:val="24"/>
                <w:lang w:eastAsia="de-DE"/>
              </w:rPr>
              <w:t xml:space="preserve">events “accounted for the first time” within a previous reporting reference period which </w:t>
            </w:r>
            <w:r w:rsidR="001F6487" w:rsidRPr="00661595">
              <w:rPr>
                <w:rFonts w:ascii="Times New Roman" w:hAnsi="Times New Roman"/>
                <w:sz w:val="24"/>
                <w:lang w:eastAsia="de-DE"/>
              </w:rPr>
              <w:t>w</w:t>
            </w:r>
            <w:r w:rsidR="00F519A4" w:rsidRPr="00661595">
              <w:rPr>
                <w:rFonts w:ascii="Times New Roman" w:hAnsi="Times New Roman"/>
                <w:sz w:val="24"/>
                <w:lang w:eastAsia="de-DE"/>
              </w:rPr>
              <w:t>ere</w:t>
            </w:r>
            <w:r w:rsidR="001F6487" w:rsidRPr="00661595">
              <w:rPr>
                <w:rFonts w:ascii="Times New Roman" w:hAnsi="Times New Roman"/>
                <w:sz w:val="24"/>
                <w:lang w:eastAsia="de-DE"/>
              </w:rPr>
              <w:t xml:space="preserve"> not </w:t>
            </w:r>
            <w:r w:rsidRPr="00661595">
              <w:rPr>
                <w:rFonts w:ascii="Times New Roman" w:hAnsi="Times New Roman"/>
                <w:sz w:val="24"/>
                <w:lang w:eastAsia="de-DE"/>
              </w:rPr>
              <w:t>included in any previous supervisory report, the total loss accumulated until the reporting reference date (i.e. the original loss plus / minus all loss adjustments made in previous reporting reference periods) shall be reported as the gross loss at the reporting reference date.</w:t>
            </w:r>
          </w:p>
          <w:p w:rsidR="00FD54FC" w:rsidRPr="00661595" w:rsidRDefault="00FD54FC" w:rsidP="00F52FC6">
            <w:pPr>
              <w:rPr>
                <w:rStyle w:val="InstructionsTabelleberschrift"/>
                <w:rFonts w:ascii="Times New Roman" w:hAnsi="Times New Roman"/>
                <w:sz w:val="24"/>
              </w:rPr>
            </w:pPr>
            <w:r w:rsidRPr="00661595">
              <w:rPr>
                <w:rFonts w:ascii="Times New Roman" w:hAnsi="Times New Roman"/>
                <w:sz w:val="24"/>
                <w:lang w:eastAsia="de-DE"/>
              </w:rPr>
              <w:t xml:space="preserve">The amounts to be reported </w:t>
            </w:r>
            <w:r w:rsidR="001F6487" w:rsidRPr="00661595">
              <w:rPr>
                <w:rFonts w:ascii="Times New Roman" w:hAnsi="Times New Roman"/>
                <w:sz w:val="24"/>
                <w:lang w:eastAsia="de-DE"/>
              </w:rPr>
              <w:t>shall</w:t>
            </w:r>
            <w:r w:rsidRPr="00661595">
              <w:rPr>
                <w:rFonts w:ascii="Times New Roman" w:hAnsi="Times New Roman"/>
                <w:sz w:val="24"/>
                <w:lang w:eastAsia="de-DE"/>
              </w:rPr>
              <w:t xml:space="preserve"> not take into account obtained recoveries.</w:t>
            </w:r>
          </w:p>
        </w:tc>
      </w:tr>
      <w:tr w:rsidR="00FD54FC" w:rsidRPr="00661595" w:rsidTr="00672D2A">
        <w:tc>
          <w:tcPr>
            <w:tcW w:w="1101" w:type="dxa"/>
          </w:tcPr>
          <w:p w:rsidR="00FD54FC" w:rsidRPr="00661595" w:rsidRDefault="00C93FC2" w:rsidP="00FD54FC">
            <w:pPr>
              <w:rPr>
                <w:rFonts w:ascii="Times New Roman" w:hAnsi="Times New Roman"/>
                <w:bCs/>
                <w:sz w:val="24"/>
                <w:lang w:eastAsia="nl-BE"/>
              </w:rPr>
            </w:pP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030, </w:t>
            </w: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130, </w:t>
            </w: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230, </w:t>
            </w: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330, </w:t>
            </w: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430, </w:t>
            </w: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530, </w:t>
            </w: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630, </w:t>
            </w: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730, </w:t>
            </w:r>
            <w:r w:rsidRPr="00661595">
              <w:rPr>
                <w:rFonts w:ascii="Times New Roman" w:hAnsi="Times New Roman"/>
                <w:bCs/>
                <w:sz w:val="24"/>
                <w:lang w:eastAsia="nl-BE"/>
              </w:rPr>
              <w:t>0</w:t>
            </w:r>
            <w:r w:rsidR="00FD54FC" w:rsidRPr="00661595">
              <w:rPr>
                <w:rFonts w:ascii="Times New Roman" w:hAnsi="Times New Roman"/>
                <w:bCs/>
                <w:sz w:val="24"/>
                <w:lang w:eastAsia="nl-BE"/>
              </w:rPr>
              <w:t>830</w:t>
            </w:r>
          </w:p>
        </w:tc>
        <w:tc>
          <w:tcPr>
            <w:tcW w:w="8079" w:type="dxa"/>
          </w:tcPr>
          <w:p w:rsidR="00FD54FC" w:rsidRPr="00661595" w:rsidRDefault="00FD54FC" w:rsidP="00FD54FC">
            <w:pPr>
              <w:rPr>
                <w:rStyle w:val="InstructionsTabelleberschrift"/>
                <w:rFonts w:ascii="Times New Roman" w:hAnsi="Times New Roman"/>
                <w:sz w:val="24"/>
                <w:lang w:eastAsia="es-ES_tradnl"/>
              </w:rPr>
            </w:pPr>
            <w:r w:rsidRPr="00661595">
              <w:rPr>
                <w:rStyle w:val="InstructionsTabelleberschrift"/>
                <w:rFonts w:ascii="Times New Roman" w:hAnsi="Times New Roman"/>
                <w:sz w:val="24"/>
                <w:lang w:eastAsia="es-ES_tradnl"/>
              </w:rPr>
              <w:t xml:space="preserve">Number of </w:t>
            </w:r>
            <w:r w:rsidRPr="00661595">
              <w:rPr>
                <w:rStyle w:val="InstructionsTabelleberschrift"/>
                <w:rFonts w:ascii="Times New Roman" w:hAnsi="Times New Roman"/>
                <w:sz w:val="24"/>
              </w:rPr>
              <w:t>loss</w:t>
            </w:r>
            <w:r w:rsidRPr="00661595">
              <w:rPr>
                <w:rStyle w:val="InstructionsTabelleberschrift"/>
                <w:rFonts w:ascii="Times New Roman" w:hAnsi="Times New Roman"/>
                <w:sz w:val="24"/>
                <w:lang w:eastAsia="es-ES_tradnl"/>
              </w:rPr>
              <w:t xml:space="preserve"> events subject to loss adjustments</w:t>
            </w:r>
          </w:p>
          <w:p w:rsidR="00FD54FC" w:rsidRPr="00661595" w:rsidRDefault="00FD54FC" w:rsidP="00FD54FC">
            <w:pPr>
              <w:rPr>
                <w:rFonts w:ascii="Times New Roman" w:hAnsi="Times New Roman"/>
                <w:sz w:val="24"/>
                <w:lang w:eastAsia="de-DE"/>
              </w:rPr>
            </w:pPr>
            <w:r w:rsidRPr="00661595">
              <w:rPr>
                <w:rFonts w:ascii="Times New Roman" w:hAnsi="Times New Roman"/>
                <w:sz w:val="24"/>
                <w:lang w:eastAsia="de-DE"/>
              </w:rPr>
              <w:t>The number of loss events subject to loss adjustments</w:t>
            </w:r>
            <w:r w:rsidR="001F6487" w:rsidRPr="00661595">
              <w:rPr>
                <w:rFonts w:ascii="Times New Roman" w:hAnsi="Times New Roman"/>
                <w:sz w:val="24"/>
                <w:lang w:eastAsia="de-DE"/>
              </w:rPr>
              <w:t xml:space="preserve"> shall be</w:t>
            </w:r>
            <w:r w:rsidRPr="00661595">
              <w:rPr>
                <w:rFonts w:ascii="Times New Roman" w:hAnsi="Times New Roman"/>
                <w:sz w:val="24"/>
                <w:lang w:eastAsia="de-DE"/>
              </w:rPr>
              <w:t xml:space="preserve"> the number of operational risk </w:t>
            </w:r>
            <w:r w:rsidR="005F1EB8" w:rsidRPr="00661595">
              <w:rPr>
                <w:rFonts w:ascii="Times New Roman" w:hAnsi="Times New Roman"/>
                <w:sz w:val="24"/>
                <w:lang w:eastAsia="de-DE"/>
              </w:rPr>
              <w:t xml:space="preserve">loss </w:t>
            </w:r>
            <w:r w:rsidRPr="00661595">
              <w:rPr>
                <w:rFonts w:ascii="Times New Roman" w:hAnsi="Times New Roman"/>
                <w:sz w:val="24"/>
                <w:lang w:eastAsia="de-DE"/>
              </w:rPr>
              <w:t xml:space="preserve">events “accounted for the first time” in previous reporting reference periods and already included in previous reports, for which loss adjustments were made in the current reporting reference period. </w:t>
            </w:r>
          </w:p>
          <w:p w:rsidR="00FD54FC" w:rsidRPr="00661595" w:rsidRDefault="001F6487" w:rsidP="005F1EB8">
            <w:pPr>
              <w:rPr>
                <w:b/>
                <w:sz w:val="24"/>
                <w:lang w:eastAsia="nl-BE"/>
              </w:rPr>
            </w:pPr>
            <w:r w:rsidRPr="00661595">
              <w:rPr>
                <w:rFonts w:ascii="Times New Roman" w:hAnsi="Times New Roman"/>
                <w:sz w:val="24"/>
                <w:lang w:eastAsia="de-DE"/>
              </w:rPr>
              <w:t>Where</w:t>
            </w:r>
            <w:r w:rsidR="00FD54FC" w:rsidRPr="00661595">
              <w:rPr>
                <w:rFonts w:ascii="Times New Roman" w:hAnsi="Times New Roman"/>
                <w:sz w:val="24"/>
                <w:lang w:eastAsia="de-DE"/>
              </w:rPr>
              <w:t xml:space="preserve"> more than one loss adjustment was made for a</w:t>
            </w:r>
            <w:r w:rsidR="005F1EB8" w:rsidRPr="00661595">
              <w:rPr>
                <w:rFonts w:ascii="Times New Roman" w:hAnsi="Times New Roman"/>
                <w:sz w:val="24"/>
                <w:lang w:eastAsia="de-DE"/>
              </w:rPr>
              <w:t xml:space="preserve"> loss</w:t>
            </w:r>
            <w:r w:rsidR="00FD54FC" w:rsidRPr="00661595">
              <w:rPr>
                <w:rFonts w:ascii="Times New Roman" w:hAnsi="Times New Roman"/>
                <w:sz w:val="24"/>
                <w:lang w:eastAsia="de-DE"/>
              </w:rPr>
              <w:t xml:space="preserve"> event within the reporting reference period, the sum of those loss adjustments shall be counted as one adjustment in the period.</w:t>
            </w:r>
          </w:p>
        </w:tc>
      </w:tr>
      <w:tr w:rsidR="00FD54FC" w:rsidRPr="00661595" w:rsidTr="00672D2A">
        <w:tc>
          <w:tcPr>
            <w:tcW w:w="1101" w:type="dxa"/>
          </w:tcPr>
          <w:p w:rsidR="00FD54FC" w:rsidRPr="00661595" w:rsidRDefault="00C93FC2" w:rsidP="00FD54FC">
            <w:pPr>
              <w:rPr>
                <w:rFonts w:ascii="Times New Roman" w:hAnsi="Times New Roman"/>
                <w:bCs/>
                <w:sz w:val="24"/>
                <w:lang w:eastAsia="nl-BE"/>
              </w:rPr>
            </w:pP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040, </w:t>
            </w: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140, </w:t>
            </w: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240, </w:t>
            </w: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340, </w:t>
            </w: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440, </w:t>
            </w: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540, </w:t>
            </w: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640, </w:t>
            </w:r>
            <w:r w:rsidRPr="00661595">
              <w:rPr>
                <w:rFonts w:ascii="Times New Roman" w:hAnsi="Times New Roman"/>
                <w:bCs/>
                <w:sz w:val="24"/>
                <w:lang w:eastAsia="nl-BE"/>
              </w:rPr>
              <w:t>0</w:t>
            </w:r>
            <w:r w:rsidR="00FD54FC" w:rsidRPr="00661595">
              <w:rPr>
                <w:rFonts w:ascii="Times New Roman" w:hAnsi="Times New Roman"/>
                <w:sz w:val="24"/>
                <w:lang w:eastAsia="de-DE"/>
              </w:rPr>
              <w:t>740</w:t>
            </w:r>
            <w:r w:rsidR="00FD54FC" w:rsidRPr="00661595">
              <w:rPr>
                <w:rFonts w:ascii="Times New Roman" w:hAnsi="Times New Roman"/>
                <w:bCs/>
                <w:sz w:val="24"/>
                <w:lang w:eastAsia="nl-BE"/>
              </w:rPr>
              <w:t xml:space="preserve">, </w:t>
            </w:r>
            <w:r w:rsidRPr="00661595">
              <w:rPr>
                <w:rFonts w:ascii="Times New Roman" w:hAnsi="Times New Roman"/>
                <w:bCs/>
                <w:sz w:val="24"/>
                <w:lang w:eastAsia="nl-BE"/>
              </w:rPr>
              <w:t>0</w:t>
            </w:r>
            <w:r w:rsidR="00FD54FC" w:rsidRPr="00661595">
              <w:rPr>
                <w:rFonts w:ascii="Times New Roman" w:hAnsi="Times New Roman"/>
                <w:bCs/>
                <w:sz w:val="24"/>
                <w:lang w:eastAsia="nl-BE"/>
              </w:rPr>
              <w:t>840</w:t>
            </w:r>
          </w:p>
        </w:tc>
        <w:tc>
          <w:tcPr>
            <w:tcW w:w="8079" w:type="dxa"/>
          </w:tcPr>
          <w:p w:rsidR="00FD54FC" w:rsidRPr="00661595" w:rsidRDefault="00FD54FC" w:rsidP="00FD54FC">
            <w:pPr>
              <w:rPr>
                <w:rStyle w:val="InstructionsTabelleberschrift"/>
                <w:rFonts w:ascii="Times New Roman" w:hAnsi="Times New Roman"/>
                <w:sz w:val="24"/>
                <w:lang w:eastAsia="es-ES_tradnl"/>
              </w:rPr>
            </w:pPr>
            <w:r w:rsidRPr="00661595">
              <w:rPr>
                <w:rStyle w:val="InstructionsTabelleberschrift"/>
                <w:rFonts w:ascii="Times New Roman" w:hAnsi="Times New Roman"/>
                <w:sz w:val="24"/>
                <w:lang w:eastAsia="es-ES_tradnl"/>
              </w:rPr>
              <w:t xml:space="preserve">Loss </w:t>
            </w:r>
            <w:r w:rsidRPr="00661595">
              <w:rPr>
                <w:rStyle w:val="InstructionsTabelleberschrift"/>
                <w:rFonts w:ascii="Times New Roman" w:hAnsi="Times New Roman"/>
                <w:sz w:val="24"/>
              </w:rPr>
              <w:t>adjustments</w:t>
            </w:r>
            <w:r w:rsidRPr="00661595">
              <w:rPr>
                <w:rStyle w:val="InstructionsTabelleberschrift"/>
                <w:rFonts w:ascii="Times New Roman" w:hAnsi="Times New Roman"/>
                <w:sz w:val="24"/>
                <w:lang w:eastAsia="es-ES_tradnl"/>
              </w:rPr>
              <w:t xml:space="preserve"> relating to previous reporting periods</w:t>
            </w:r>
          </w:p>
          <w:p w:rsidR="00FD54FC" w:rsidRPr="00661595" w:rsidRDefault="00FD54FC" w:rsidP="00FD54FC">
            <w:pPr>
              <w:rPr>
                <w:rFonts w:ascii="Times New Roman" w:hAnsi="Times New Roman"/>
                <w:sz w:val="24"/>
                <w:lang w:eastAsia="de-DE"/>
              </w:rPr>
            </w:pPr>
            <w:r w:rsidRPr="00661595">
              <w:rPr>
                <w:rFonts w:ascii="Times New Roman" w:hAnsi="Times New Roman"/>
                <w:sz w:val="24"/>
                <w:lang w:eastAsia="de-DE"/>
              </w:rPr>
              <w:t xml:space="preserve">Loss adjustments relating to previous reporting reference periods </w:t>
            </w:r>
            <w:r w:rsidR="001F6487" w:rsidRPr="00661595">
              <w:rPr>
                <w:rFonts w:ascii="Times New Roman" w:hAnsi="Times New Roman"/>
                <w:sz w:val="24"/>
                <w:lang w:eastAsia="de-DE"/>
              </w:rPr>
              <w:t>shall</w:t>
            </w:r>
            <w:r w:rsidRPr="00661595">
              <w:rPr>
                <w:rFonts w:ascii="Times New Roman" w:hAnsi="Times New Roman"/>
                <w:sz w:val="24"/>
                <w:lang w:eastAsia="de-DE"/>
              </w:rPr>
              <w:t xml:space="preserve"> the sum of the following elements (positive or negative):</w:t>
            </w:r>
          </w:p>
          <w:p w:rsidR="00FD54FC" w:rsidRPr="00661595" w:rsidRDefault="00FD54FC" w:rsidP="00FD54FC">
            <w:pPr>
              <w:tabs>
                <w:tab w:val="left" w:pos="459"/>
              </w:tabs>
              <w:ind w:left="459" w:hanging="459"/>
              <w:rPr>
                <w:rFonts w:ascii="Times New Roman" w:hAnsi="Times New Roman"/>
                <w:sz w:val="24"/>
                <w:lang w:eastAsia="de-DE"/>
              </w:rPr>
            </w:pPr>
            <w:r w:rsidRPr="00661595">
              <w:rPr>
                <w:rFonts w:ascii="Times New Roman" w:hAnsi="Times New Roman"/>
                <w:sz w:val="24"/>
                <w:lang w:eastAsia="de-DE"/>
              </w:rPr>
              <w:t>(i)</w:t>
            </w:r>
            <w:r w:rsidRPr="00661595">
              <w:rPr>
                <w:rFonts w:ascii="Times New Roman" w:hAnsi="Times New Roman"/>
                <w:sz w:val="24"/>
                <w:lang w:eastAsia="de-DE"/>
              </w:rPr>
              <w:tab/>
              <w:t>the gross loss amounts pertinent to positive loss adjustments made within the reporting reference period (e.g. increase of provisions, linked loss events, additional settlements) of operational risk events “accounted for the first time” and reported in previous reporting reference periods;</w:t>
            </w:r>
          </w:p>
          <w:p w:rsidR="00FD54FC" w:rsidRPr="00661595" w:rsidRDefault="00FD54FC" w:rsidP="00FD54FC">
            <w:pPr>
              <w:tabs>
                <w:tab w:val="left" w:pos="459"/>
              </w:tabs>
              <w:ind w:left="459" w:hanging="459"/>
              <w:rPr>
                <w:rFonts w:ascii="Times New Roman" w:hAnsi="Times New Roman"/>
                <w:sz w:val="24"/>
                <w:lang w:eastAsia="de-DE"/>
              </w:rPr>
            </w:pPr>
            <w:r w:rsidRPr="00661595">
              <w:rPr>
                <w:rFonts w:ascii="Times New Roman" w:hAnsi="Times New Roman"/>
                <w:sz w:val="24"/>
                <w:lang w:eastAsia="de-DE"/>
              </w:rPr>
              <w:t>(ii)</w:t>
            </w:r>
            <w:r w:rsidRPr="00661595">
              <w:rPr>
                <w:rFonts w:ascii="Times New Roman" w:hAnsi="Times New Roman"/>
                <w:sz w:val="24"/>
                <w:lang w:eastAsia="de-DE"/>
              </w:rPr>
              <w:tab/>
              <w:t xml:space="preserve">the gross loss amounts pertinent to negative loss adjustments made within the reporting reference period </w:t>
            </w:r>
            <w:r w:rsidR="00F52FC6" w:rsidRPr="00661595">
              <w:rPr>
                <w:rFonts w:ascii="Times New Roman" w:hAnsi="Times New Roman"/>
                <w:sz w:val="24"/>
                <w:lang w:eastAsia="de-DE"/>
              </w:rPr>
              <w:t>(</w:t>
            </w:r>
            <w:r w:rsidRPr="00661595">
              <w:rPr>
                <w:rFonts w:ascii="Times New Roman" w:hAnsi="Times New Roman"/>
                <w:sz w:val="24"/>
                <w:lang w:eastAsia="de-DE"/>
              </w:rPr>
              <w:t>e.g. due to decrease of provisions</w:t>
            </w:r>
            <w:r w:rsidR="00F52FC6" w:rsidRPr="00661595">
              <w:rPr>
                <w:rFonts w:ascii="Times New Roman" w:hAnsi="Times New Roman"/>
                <w:sz w:val="24"/>
                <w:lang w:eastAsia="de-DE"/>
              </w:rPr>
              <w:t>)</w:t>
            </w:r>
            <w:r w:rsidRPr="00661595">
              <w:rPr>
                <w:rFonts w:ascii="Times New Roman" w:hAnsi="Times New Roman"/>
                <w:sz w:val="24"/>
                <w:lang w:eastAsia="de-DE"/>
              </w:rPr>
              <w:t xml:space="preserve"> of operational risk </w:t>
            </w:r>
            <w:r w:rsidR="005F1EB8" w:rsidRPr="00661595">
              <w:rPr>
                <w:rFonts w:ascii="Times New Roman" w:hAnsi="Times New Roman"/>
                <w:sz w:val="24"/>
                <w:lang w:eastAsia="de-DE"/>
              </w:rPr>
              <w:t xml:space="preserve">loss </w:t>
            </w:r>
            <w:r w:rsidRPr="00661595">
              <w:rPr>
                <w:rFonts w:ascii="Times New Roman" w:hAnsi="Times New Roman"/>
                <w:sz w:val="24"/>
                <w:lang w:eastAsia="de-DE"/>
              </w:rPr>
              <w:t xml:space="preserve">events “accounted for the first time” and reported in previous reporting reference periods. </w:t>
            </w:r>
          </w:p>
          <w:p w:rsidR="00FD54FC" w:rsidRPr="00661595" w:rsidRDefault="001F6487" w:rsidP="00FD54FC">
            <w:pPr>
              <w:rPr>
                <w:rFonts w:ascii="Times New Roman" w:hAnsi="Times New Roman"/>
                <w:sz w:val="24"/>
                <w:lang w:eastAsia="de-DE"/>
              </w:rPr>
            </w:pPr>
            <w:r w:rsidRPr="00661595">
              <w:rPr>
                <w:rFonts w:ascii="Times New Roman" w:hAnsi="Times New Roman"/>
                <w:sz w:val="24"/>
                <w:lang w:eastAsia="de-DE"/>
              </w:rPr>
              <w:t>Where</w:t>
            </w:r>
            <w:r w:rsidR="00FD54FC" w:rsidRPr="00661595">
              <w:rPr>
                <w:rFonts w:ascii="Times New Roman" w:hAnsi="Times New Roman"/>
                <w:sz w:val="24"/>
                <w:lang w:eastAsia="de-DE"/>
              </w:rPr>
              <w:t xml:space="preserve"> more than one loss adjustment was made for a</w:t>
            </w:r>
            <w:r w:rsidR="005F1EB8" w:rsidRPr="00661595">
              <w:rPr>
                <w:rFonts w:ascii="Times New Roman" w:hAnsi="Times New Roman"/>
                <w:sz w:val="24"/>
                <w:lang w:eastAsia="de-DE"/>
              </w:rPr>
              <w:t xml:space="preserve"> loss</w:t>
            </w:r>
            <w:r w:rsidR="00FD54FC" w:rsidRPr="00661595">
              <w:rPr>
                <w:rFonts w:ascii="Times New Roman" w:hAnsi="Times New Roman"/>
                <w:sz w:val="24"/>
                <w:lang w:eastAsia="de-DE"/>
              </w:rPr>
              <w:t xml:space="preserve"> event within the reporting reference period, the amounts of all those loss adjustments </w:t>
            </w:r>
            <w:r w:rsidRPr="00661595">
              <w:rPr>
                <w:rFonts w:ascii="Times New Roman" w:hAnsi="Times New Roman"/>
                <w:sz w:val="24"/>
                <w:lang w:eastAsia="de-DE"/>
              </w:rPr>
              <w:t>shall</w:t>
            </w:r>
            <w:r w:rsidR="005A2C21" w:rsidRPr="00661595">
              <w:rPr>
                <w:rFonts w:ascii="Times New Roman" w:hAnsi="Times New Roman"/>
                <w:sz w:val="24"/>
                <w:lang w:eastAsia="de-DE"/>
              </w:rPr>
              <w:t xml:space="preserve"> be</w:t>
            </w:r>
            <w:r w:rsidR="00FD54FC" w:rsidRPr="00661595">
              <w:rPr>
                <w:rFonts w:ascii="Times New Roman" w:hAnsi="Times New Roman"/>
                <w:sz w:val="24"/>
                <w:lang w:eastAsia="de-DE"/>
              </w:rPr>
              <w:t xml:space="preserve"> summed up, taking into account the sign of the adjustments (positive, negative). Th</w:t>
            </w:r>
            <w:r w:rsidRPr="00661595">
              <w:rPr>
                <w:rFonts w:ascii="Times New Roman" w:hAnsi="Times New Roman"/>
                <w:sz w:val="24"/>
                <w:lang w:eastAsia="de-DE"/>
              </w:rPr>
              <w:t>at</w:t>
            </w:r>
            <w:r w:rsidR="00FD54FC" w:rsidRPr="00661595">
              <w:rPr>
                <w:rFonts w:ascii="Times New Roman" w:hAnsi="Times New Roman"/>
                <w:sz w:val="24"/>
                <w:lang w:eastAsia="de-DE"/>
              </w:rPr>
              <w:t xml:space="preserve"> sum </w:t>
            </w:r>
            <w:r w:rsidRPr="00661595">
              <w:rPr>
                <w:rFonts w:ascii="Times New Roman" w:hAnsi="Times New Roman"/>
                <w:sz w:val="24"/>
                <w:lang w:eastAsia="de-DE"/>
              </w:rPr>
              <w:t>shall be</w:t>
            </w:r>
            <w:r w:rsidR="00FD54FC" w:rsidRPr="00661595">
              <w:rPr>
                <w:rFonts w:ascii="Times New Roman" w:hAnsi="Times New Roman"/>
                <w:sz w:val="24"/>
                <w:lang w:eastAsia="de-DE"/>
              </w:rPr>
              <w:t xml:space="preserve"> considered as the loss adjustment for that </w:t>
            </w:r>
            <w:r w:rsidR="005F1EB8" w:rsidRPr="00661595">
              <w:rPr>
                <w:rFonts w:ascii="Times New Roman" w:hAnsi="Times New Roman"/>
                <w:sz w:val="24"/>
                <w:lang w:eastAsia="de-DE"/>
              </w:rPr>
              <w:t xml:space="preserve">loss </w:t>
            </w:r>
            <w:r w:rsidR="00FD54FC" w:rsidRPr="00661595">
              <w:rPr>
                <w:rFonts w:ascii="Times New Roman" w:hAnsi="Times New Roman"/>
                <w:sz w:val="24"/>
                <w:lang w:eastAsia="de-DE"/>
              </w:rPr>
              <w:t>event for that reporting reference period.</w:t>
            </w:r>
          </w:p>
          <w:p w:rsidR="00FD54FC" w:rsidRPr="00661595" w:rsidRDefault="001F6487" w:rsidP="00FD54FC">
            <w:pPr>
              <w:rPr>
                <w:rFonts w:ascii="Times New Roman" w:hAnsi="Times New Roman"/>
                <w:sz w:val="24"/>
                <w:lang w:eastAsia="de-DE"/>
              </w:rPr>
            </w:pPr>
            <w:r w:rsidRPr="00661595">
              <w:rPr>
                <w:rFonts w:ascii="Times New Roman" w:hAnsi="Times New Roman"/>
                <w:sz w:val="24"/>
                <w:lang w:eastAsia="de-DE"/>
              </w:rPr>
              <w:t>Where</w:t>
            </w:r>
            <w:r w:rsidR="00FD54FC" w:rsidRPr="00661595">
              <w:rPr>
                <w:rFonts w:ascii="Times New Roman" w:hAnsi="Times New Roman"/>
                <w:sz w:val="24"/>
                <w:lang w:eastAsia="de-DE"/>
              </w:rPr>
              <w:t>, due to a negative loss adjustment, the adjusted loss amount attributable to a</w:t>
            </w:r>
            <w:r w:rsidR="005F1EB8" w:rsidRPr="00661595">
              <w:rPr>
                <w:rFonts w:ascii="Times New Roman" w:hAnsi="Times New Roman"/>
                <w:sz w:val="24"/>
                <w:lang w:eastAsia="de-DE"/>
              </w:rPr>
              <w:t xml:space="preserve"> loss</w:t>
            </w:r>
            <w:r w:rsidR="00FD54FC" w:rsidRPr="00661595">
              <w:rPr>
                <w:rFonts w:ascii="Times New Roman" w:hAnsi="Times New Roman"/>
                <w:sz w:val="24"/>
                <w:lang w:eastAsia="de-DE"/>
              </w:rPr>
              <w:t xml:space="preserve"> event falls below the internal data collection threshold of the institution, the institution shall report the total loss amount for that </w:t>
            </w:r>
            <w:r w:rsidR="005F1EB8" w:rsidRPr="00661595">
              <w:rPr>
                <w:rFonts w:ascii="Times New Roman" w:hAnsi="Times New Roman"/>
                <w:sz w:val="24"/>
                <w:lang w:eastAsia="de-DE"/>
              </w:rPr>
              <w:t xml:space="preserve">loss </w:t>
            </w:r>
            <w:r w:rsidR="00FD54FC" w:rsidRPr="00661595">
              <w:rPr>
                <w:rFonts w:ascii="Times New Roman" w:hAnsi="Times New Roman"/>
                <w:sz w:val="24"/>
                <w:lang w:eastAsia="de-DE"/>
              </w:rPr>
              <w:t xml:space="preserve">event accumulated until the last time when the event was reported </w:t>
            </w:r>
            <w:r w:rsidR="00070AF9" w:rsidRPr="00661595">
              <w:rPr>
                <w:rFonts w:ascii="Times New Roman" w:hAnsi="Times New Roman"/>
                <w:sz w:val="24"/>
                <w:lang w:eastAsia="de-DE"/>
              </w:rPr>
              <w:t>for</w:t>
            </w:r>
            <w:r w:rsidR="00FD54FC" w:rsidRPr="00661595">
              <w:rPr>
                <w:rFonts w:ascii="Times New Roman" w:hAnsi="Times New Roman"/>
                <w:sz w:val="24"/>
                <w:lang w:eastAsia="de-DE"/>
              </w:rPr>
              <w:t xml:space="preserve"> a December </w:t>
            </w:r>
            <w:r w:rsidR="00070AF9" w:rsidRPr="00661595">
              <w:rPr>
                <w:rFonts w:ascii="Times New Roman" w:hAnsi="Times New Roman"/>
                <w:sz w:val="24"/>
                <w:lang w:eastAsia="de-DE"/>
              </w:rPr>
              <w:t>reference date</w:t>
            </w:r>
            <w:r w:rsidR="00FD54FC" w:rsidRPr="00661595">
              <w:rPr>
                <w:rFonts w:ascii="Times New Roman" w:hAnsi="Times New Roman"/>
                <w:sz w:val="24"/>
                <w:lang w:eastAsia="de-DE"/>
              </w:rPr>
              <w:t xml:space="preserve"> (i.e. the original loss plus / minus all loss adjustments made in previous reporting reference periods) with a negative sign instead of the amount of the negative loss adjustment itself.</w:t>
            </w:r>
          </w:p>
          <w:p w:rsidR="00FD54FC" w:rsidRPr="00661595" w:rsidRDefault="00FD54FC" w:rsidP="00EB62C2">
            <w:pPr>
              <w:rPr>
                <w:b/>
                <w:sz w:val="24"/>
                <w:lang w:eastAsia="nl-BE"/>
              </w:rPr>
            </w:pPr>
            <w:r w:rsidRPr="00661595">
              <w:rPr>
                <w:rFonts w:ascii="Times New Roman" w:hAnsi="Times New Roman"/>
                <w:sz w:val="24"/>
                <w:lang w:eastAsia="de-DE"/>
              </w:rPr>
              <w:t xml:space="preserve">The amounts to be reported </w:t>
            </w:r>
            <w:r w:rsidR="001F6487" w:rsidRPr="00661595">
              <w:rPr>
                <w:rFonts w:ascii="Times New Roman" w:hAnsi="Times New Roman"/>
                <w:sz w:val="24"/>
                <w:lang w:eastAsia="de-DE"/>
              </w:rPr>
              <w:t>shall</w:t>
            </w:r>
            <w:r w:rsidRPr="00661595">
              <w:rPr>
                <w:rFonts w:ascii="Times New Roman" w:hAnsi="Times New Roman"/>
                <w:sz w:val="24"/>
                <w:lang w:eastAsia="de-DE"/>
              </w:rPr>
              <w:t xml:space="preserve"> not take into account obtained recoveries.</w:t>
            </w:r>
          </w:p>
        </w:tc>
      </w:tr>
      <w:tr w:rsidR="00FD54FC" w:rsidRPr="00661595" w:rsidTr="00672D2A">
        <w:tc>
          <w:tcPr>
            <w:tcW w:w="1101" w:type="dxa"/>
          </w:tcPr>
          <w:p w:rsidR="00FD54FC" w:rsidRPr="00661595" w:rsidRDefault="00C93FC2" w:rsidP="00FD54FC">
            <w:pPr>
              <w:rPr>
                <w:rFonts w:ascii="Times New Roman" w:hAnsi="Times New Roman"/>
                <w:bCs/>
                <w:sz w:val="24"/>
                <w:lang w:eastAsia="nl-BE"/>
              </w:rPr>
            </w:pP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050, </w:t>
            </w: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150, </w:t>
            </w: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250, </w:t>
            </w: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350, </w:t>
            </w: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450, </w:t>
            </w: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550, </w:t>
            </w: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650, </w:t>
            </w: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750, </w:t>
            </w:r>
            <w:r w:rsidRPr="00661595">
              <w:rPr>
                <w:rFonts w:ascii="Times New Roman" w:hAnsi="Times New Roman"/>
                <w:bCs/>
                <w:sz w:val="24"/>
                <w:lang w:eastAsia="nl-BE"/>
              </w:rPr>
              <w:t>0</w:t>
            </w:r>
            <w:r w:rsidR="00FD54FC" w:rsidRPr="00661595">
              <w:rPr>
                <w:rFonts w:ascii="Times New Roman" w:hAnsi="Times New Roman"/>
                <w:bCs/>
                <w:sz w:val="24"/>
                <w:lang w:eastAsia="nl-BE"/>
              </w:rPr>
              <w:t>850</w:t>
            </w:r>
          </w:p>
        </w:tc>
        <w:tc>
          <w:tcPr>
            <w:tcW w:w="8079" w:type="dxa"/>
          </w:tcPr>
          <w:p w:rsidR="00FD54FC" w:rsidRPr="00661595" w:rsidRDefault="00FD54FC" w:rsidP="00FD54FC">
            <w:pPr>
              <w:rPr>
                <w:rStyle w:val="InstructionsTabelleberschrift"/>
                <w:rFonts w:ascii="Times New Roman" w:hAnsi="Times New Roman"/>
                <w:sz w:val="24"/>
                <w:lang w:eastAsia="es-ES_tradnl"/>
              </w:rPr>
            </w:pPr>
            <w:r w:rsidRPr="00661595">
              <w:rPr>
                <w:rStyle w:val="InstructionsTabelleberschrift"/>
                <w:rFonts w:ascii="Times New Roman" w:hAnsi="Times New Roman"/>
                <w:sz w:val="24"/>
                <w:lang w:eastAsia="es-ES_tradnl"/>
              </w:rPr>
              <w:t xml:space="preserve">Maximum </w:t>
            </w:r>
            <w:r w:rsidRPr="00661595">
              <w:rPr>
                <w:rStyle w:val="InstructionsTabelleberschrift"/>
                <w:rFonts w:ascii="Times New Roman" w:hAnsi="Times New Roman"/>
                <w:sz w:val="24"/>
              </w:rPr>
              <w:t>single</w:t>
            </w:r>
            <w:r w:rsidRPr="00661595">
              <w:rPr>
                <w:rStyle w:val="InstructionsTabelleberschrift"/>
                <w:rFonts w:ascii="Times New Roman" w:hAnsi="Times New Roman"/>
                <w:sz w:val="24"/>
                <w:lang w:eastAsia="es-ES_tradnl"/>
              </w:rPr>
              <w:t xml:space="preserve"> loss</w:t>
            </w:r>
          </w:p>
          <w:p w:rsidR="00FD54FC" w:rsidRPr="00661595" w:rsidRDefault="00FD54FC" w:rsidP="00FD54FC">
            <w:pPr>
              <w:rPr>
                <w:rFonts w:ascii="Times New Roman" w:hAnsi="Times New Roman"/>
                <w:sz w:val="24"/>
                <w:lang w:eastAsia="de-DE"/>
              </w:rPr>
            </w:pPr>
            <w:r w:rsidRPr="00661595">
              <w:rPr>
                <w:rFonts w:ascii="Times New Roman" w:hAnsi="Times New Roman"/>
                <w:sz w:val="24"/>
                <w:lang w:eastAsia="de-DE"/>
              </w:rPr>
              <w:t xml:space="preserve">The </w:t>
            </w:r>
            <w:r w:rsidR="001F6487" w:rsidRPr="00661595">
              <w:rPr>
                <w:rFonts w:ascii="Times New Roman" w:hAnsi="Times New Roman"/>
                <w:sz w:val="24"/>
                <w:lang w:eastAsia="de-DE"/>
              </w:rPr>
              <w:t>m</w:t>
            </w:r>
            <w:r w:rsidRPr="00661595">
              <w:rPr>
                <w:rFonts w:ascii="Times New Roman" w:hAnsi="Times New Roman"/>
                <w:sz w:val="24"/>
                <w:lang w:eastAsia="de-DE"/>
              </w:rPr>
              <w:t>aximum single loss is the larger of</w:t>
            </w:r>
            <w:r w:rsidR="001F6487" w:rsidRPr="00661595">
              <w:rPr>
                <w:rFonts w:ascii="Times New Roman" w:hAnsi="Times New Roman"/>
                <w:sz w:val="24"/>
                <w:lang w:eastAsia="de-DE"/>
              </w:rPr>
              <w:t>:</w:t>
            </w:r>
          </w:p>
          <w:p w:rsidR="00FD54FC" w:rsidRPr="00661595" w:rsidRDefault="00FD54FC" w:rsidP="00FD54FC">
            <w:pPr>
              <w:tabs>
                <w:tab w:val="left" w:pos="459"/>
              </w:tabs>
              <w:ind w:left="459" w:hanging="459"/>
              <w:rPr>
                <w:rFonts w:ascii="Times New Roman" w:hAnsi="Times New Roman"/>
                <w:sz w:val="24"/>
                <w:lang w:eastAsia="de-DE"/>
              </w:rPr>
            </w:pPr>
            <w:r w:rsidRPr="00661595">
              <w:rPr>
                <w:rFonts w:ascii="Times New Roman" w:hAnsi="Times New Roman"/>
                <w:sz w:val="24"/>
                <w:lang w:eastAsia="de-DE"/>
              </w:rPr>
              <w:t>(i)</w:t>
            </w:r>
            <w:r w:rsidRPr="00661595">
              <w:rPr>
                <w:rFonts w:ascii="Times New Roman" w:hAnsi="Times New Roman"/>
                <w:sz w:val="24"/>
                <w:lang w:eastAsia="de-DE"/>
              </w:rPr>
              <w:tab/>
              <w:t>the largest gross loss amount related to a</w:t>
            </w:r>
            <w:r w:rsidR="005F1EB8" w:rsidRPr="00661595">
              <w:rPr>
                <w:rFonts w:ascii="Times New Roman" w:hAnsi="Times New Roman"/>
                <w:sz w:val="24"/>
                <w:lang w:eastAsia="de-DE"/>
              </w:rPr>
              <w:t xml:space="preserve"> loss</w:t>
            </w:r>
            <w:r w:rsidRPr="00661595">
              <w:rPr>
                <w:rFonts w:ascii="Times New Roman" w:hAnsi="Times New Roman"/>
                <w:sz w:val="24"/>
                <w:lang w:eastAsia="de-DE"/>
              </w:rPr>
              <w:t xml:space="preserve"> event reported for the first time within the reporting reference period</w:t>
            </w:r>
            <w:r w:rsidR="001F6487" w:rsidRPr="00661595">
              <w:rPr>
                <w:rFonts w:ascii="Times New Roman" w:hAnsi="Times New Roman"/>
                <w:sz w:val="24"/>
                <w:lang w:eastAsia="de-DE"/>
              </w:rPr>
              <w:t>;</w:t>
            </w:r>
            <w:r w:rsidRPr="00661595">
              <w:rPr>
                <w:rFonts w:ascii="Times New Roman" w:hAnsi="Times New Roman"/>
                <w:sz w:val="24"/>
                <w:lang w:eastAsia="de-DE"/>
              </w:rPr>
              <w:t xml:space="preserve"> and</w:t>
            </w:r>
          </w:p>
          <w:p w:rsidR="00FD54FC" w:rsidRPr="00661595" w:rsidRDefault="00FD54FC" w:rsidP="00FD54FC">
            <w:pPr>
              <w:tabs>
                <w:tab w:val="left" w:pos="459"/>
              </w:tabs>
              <w:ind w:left="459" w:hanging="459"/>
              <w:rPr>
                <w:rFonts w:ascii="Times New Roman" w:hAnsi="Times New Roman"/>
                <w:sz w:val="24"/>
                <w:lang w:eastAsia="de-DE"/>
              </w:rPr>
            </w:pPr>
            <w:r w:rsidRPr="00661595">
              <w:rPr>
                <w:rFonts w:ascii="Times New Roman" w:hAnsi="Times New Roman"/>
                <w:sz w:val="24"/>
                <w:lang w:eastAsia="de-DE"/>
              </w:rPr>
              <w:t>(ii)</w:t>
            </w:r>
            <w:r w:rsidRPr="00661595">
              <w:rPr>
                <w:rFonts w:ascii="Times New Roman" w:hAnsi="Times New Roman"/>
                <w:sz w:val="24"/>
                <w:lang w:eastAsia="de-DE"/>
              </w:rPr>
              <w:tab/>
              <w:t>the largest positive loss adjustment amount (</w:t>
            </w:r>
            <w:r w:rsidR="005A2C21" w:rsidRPr="00661595">
              <w:rPr>
                <w:rFonts w:ascii="Times New Roman" w:hAnsi="Times New Roman"/>
                <w:sz w:val="24"/>
                <w:lang w:eastAsia="de-DE"/>
              </w:rPr>
              <w:t>as referred to in rows 0040, 0140, …, 0840 above</w:t>
            </w:r>
            <w:r w:rsidRPr="00661595">
              <w:rPr>
                <w:rFonts w:ascii="Times New Roman" w:hAnsi="Times New Roman"/>
                <w:sz w:val="24"/>
                <w:lang w:eastAsia="de-DE"/>
              </w:rPr>
              <w:t>) related to a</w:t>
            </w:r>
            <w:r w:rsidR="005F1EB8" w:rsidRPr="00661595">
              <w:rPr>
                <w:rFonts w:ascii="Times New Roman" w:hAnsi="Times New Roman"/>
                <w:sz w:val="24"/>
                <w:lang w:eastAsia="de-DE"/>
              </w:rPr>
              <w:t xml:space="preserve"> loss</w:t>
            </w:r>
            <w:r w:rsidRPr="00661595">
              <w:rPr>
                <w:rFonts w:ascii="Times New Roman" w:hAnsi="Times New Roman"/>
                <w:sz w:val="24"/>
                <w:lang w:eastAsia="de-DE"/>
              </w:rPr>
              <w:t xml:space="preserve"> event reported for the first time within a previous reporting reference period.</w:t>
            </w:r>
          </w:p>
          <w:p w:rsidR="00FD54FC" w:rsidRPr="00661595" w:rsidRDefault="00FD54FC" w:rsidP="00F52FC6">
            <w:pPr>
              <w:rPr>
                <w:sz w:val="24"/>
                <w:lang w:eastAsia="nl-BE"/>
              </w:rPr>
            </w:pPr>
            <w:r w:rsidRPr="00661595">
              <w:rPr>
                <w:rFonts w:ascii="Times New Roman" w:hAnsi="Times New Roman"/>
                <w:sz w:val="24"/>
                <w:lang w:eastAsia="de-DE"/>
              </w:rPr>
              <w:t xml:space="preserve">The amounts to be reported </w:t>
            </w:r>
            <w:r w:rsidR="001F6487" w:rsidRPr="00661595">
              <w:rPr>
                <w:rFonts w:ascii="Times New Roman" w:hAnsi="Times New Roman"/>
                <w:sz w:val="24"/>
                <w:lang w:eastAsia="de-DE"/>
              </w:rPr>
              <w:t>shall</w:t>
            </w:r>
            <w:r w:rsidRPr="00661595">
              <w:rPr>
                <w:rFonts w:ascii="Times New Roman" w:hAnsi="Times New Roman"/>
                <w:sz w:val="24"/>
                <w:lang w:eastAsia="de-DE"/>
              </w:rPr>
              <w:t xml:space="preserve"> not take into account obtained recoveries.</w:t>
            </w:r>
          </w:p>
        </w:tc>
      </w:tr>
      <w:tr w:rsidR="00FD54FC" w:rsidRPr="00661595" w:rsidTr="00672D2A">
        <w:tc>
          <w:tcPr>
            <w:tcW w:w="1101" w:type="dxa"/>
          </w:tcPr>
          <w:p w:rsidR="00FD54FC" w:rsidRPr="00661595" w:rsidRDefault="00C93FC2" w:rsidP="00FD54FC">
            <w:pPr>
              <w:rPr>
                <w:rFonts w:ascii="Times New Roman" w:hAnsi="Times New Roman"/>
                <w:bCs/>
                <w:sz w:val="24"/>
                <w:lang w:eastAsia="nl-BE"/>
              </w:rPr>
            </w:pP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060, </w:t>
            </w: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160, </w:t>
            </w: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260, </w:t>
            </w: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360, </w:t>
            </w: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460, </w:t>
            </w: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560, </w:t>
            </w: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660, </w:t>
            </w: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760, </w:t>
            </w:r>
            <w:r w:rsidRPr="00661595">
              <w:rPr>
                <w:rFonts w:ascii="Times New Roman" w:hAnsi="Times New Roman"/>
                <w:bCs/>
                <w:sz w:val="24"/>
                <w:lang w:eastAsia="nl-BE"/>
              </w:rPr>
              <w:t>0</w:t>
            </w:r>
            <w:r w:rsidR="00FD54FC" w:rsidRPr="00661595">
              <w:rPr>
                <w:rFonts w:ascii="Times New Roman" w:hAnsi="Times New Roman"/>
                <w:bCs/>
                <w:sz w:val="24"/>
                <w:lang w:eastAsia="nl-BE"/>
              </w:rPr>
              <w:t>860</w:t>
            </w:r>
          </w:p>
        </w:tc>
        <w:tc>
          <w:tcPr>
            <w:tcW w:w="8079" w:type="dxa"/>
          </w:tcPr>
          <w:p w:rsidR="00FD54FC" w:rsidRPr="00661595" w:rsidRDefault="00FD54FC" w:rsidP="00FD54FC">
            <w:pPr>
              <w:rPr>
                <w:rStyle w:val="InstructionsTabelleberschrift"/>
                <w:rFonts w:ascii="Times New Roman" w:hAnsi="Times New Roman"/>
                <w:sz w:val="24"/>
                <w:lang w:eastAsia="es-ES_tradnl"/>
              </w:rPr>
            </w:pPr>
            <w:r w:rsidRPr="00661595">
              <w:rPr>
                <w:rStyle w:val="InstructionsTabelleberschrift"/>
                <w:rFonts w:ascii="Times New Roman" w:hAnsi="Times New Roman"/>
                <w:sz w:val="24"/>
                <w:lang w:eastAsia="es-ES_tradnl"/>
              </w:rPr>
              <w:t>Sum of the five largest losses</w:t>
            </w:r>
          </w:p>
          <w:p w:rsidR="00FD54FC" w:rsidRPr="00661595" w:rsidRDefault="00FD54FC" w:rsidP="00FD54FC">
            <w:pPr>
              <w:rPr>
                <w:rFonts w:ascii="Times New Roman" w:hAnsi="Times New Roman"/>
                <w:sz w:val="24"/>
                <w:lang w:eastAsia="de-DE"/>
              </w:rPr>
            </w:pPr>
            <w:r w:rsidRPr="00661595">
              <w:rPr>
                <w:rFonts w:ascii="Times New Roman" w:hAnsi="Times New Roman"/>
                <w:sz w:val="24"/>
                <w:lang w:eastAsia="de-DE"/>
              </w:rPr>
              <w:t xml:space="preserve">The sum of the five largest losses </w:t>
            </w:r>
            <w:r w:rsidR="001F6487" w:rsidRPr="00661595">
              <w:rPr>
                <w:rFonts w:ascii="Times New Roman" w:hAnsi="Times New Roman"/>
                <w:sz w:val="24"/>
                <w:lang w:eastAsia="de-DE"/>
              </w:rPr>
              <w:t>shall be</w:t>
            </w:r>
            <w:r w:rsidRPr="00661595">
              <w:rPr>
                <w:rFonts w:ascii="Times New Roman" w:hAnsi="Times New Roman"/>
                <w:sz w:val="24"/>
                <w:lang w:eastAsia="de-DE"/>
              </w:rPr>
              <w:t xml:space="preserve"> the sum of the five largest amounts among</w:t>
            </w:r>
            <w:r w:rsidR="001F6487" w:rsidRPr="00661595">
              <w:rPr>
                <w:rFonts w:ascii="Times New Roman" w:hAnsi="Times New Roman"/>
                <w:sz w:val="24"/>
                <w:lang w:eastAsia="de-DE"/>
              </w:rPr>
              <w:t>st:</w:t>
            </w:r>
          </w:p>
          <w:p w:rsidR="00FD54FC" w:rsidRPr="00661595" w:rsidRDefault="00FD54FC" w:rsidP="00FD54FC">
            <w:pPr>
              <w:tabs>
                <w:tab w:val="left" w:pos="459"/>
              </w:tabs>
              <w:ind w:left="459" w:hanging="459"/>
              <w:rPr>
                <w:rFonts w:ascii="Times New Roman" w:hAnsi="Times New Roman"/>
                <w:sz w:val="24"/>
                <w:lang w:eastAsia="de-DE"/>
              </w:rPr>
            </w:pPr>
            <w:r w:rsidRPr="00661595">
              <w:rPr>
                <w:rFonts w:ascii="Times New Roman" w:hAnsi="Times New Roman"/>
                <w:sz w:val="24"/>
                <w:lang w:eastAsia="de-DE"/>
              </w:rPr>
              <w:t>(i)</w:t>
            </w:r>
            <w:r w:rsidRPr="00661595">
              <w:rPr>
                <w:rFonts w:ascii="Times New Roman" w:hAnsi="Times New Roman"/>
                <w:sz w:val="24"/>
                <w:lang w:eastAsia="de-DE"/>
              </w:rPr>
              <w:tab/>
              <w:t xml:space="preserve">the gross loss amounts for </w:t>
            </w:r>
            <w:r w:rsidR="005F1EB8" w:rsidRPr="00661595">
              <w:rPr>
                <w:rFonts w:ascii="Times New Roman" w:hAnsi="Times New Roman"/>
                <w:sz w:val="24"/>
                <w:lang w:eastAsia="de-DE"/>
              </w:rPr>
              <w:t xml:space="preserve">loss </w:t>
            </w:r>
            <w:r w:rsidRPr="00661595">
              <w:rPr>
                <w:rFonts w:ascii="Times New Roman" w:hAnsi="Times New Roman"/>
                <w:sz w:val="24"/>
                <w:lang w:eastAsia="de-DE"/>
              </w:rPr>
              <w:t>events reported for the first time within the reporting reference period</w:t>
            </w:r>
            <w:r w:rsidR="001F6487" w:rsidRPr="00661595">
              <w:rPr>
                <w:rFonts w:ascii="Times New Roman" w:hAnsi="Times New Roman"/>
                <w:sz w:val="24"/>
                <w:lang w:eastAsia="de-DE"/>
              </w:rPr>
              <w:t>;</w:t>
            </w:r>
            <w:r w:rsidRPr="00661595">
              <w:rPr>
                <w:rFonts w:ascii="Times New Roman" w:hAnsi="Times New Roman"/>
                <w:sz w:val="24"/>
                <w:lang w:eastAsia="de-DE"/>
              </w:rPr>
              <w:t xml:space="preserve"> and</w:t>
            </w:r>
          </w:p>
          <w:p w:rsidR="00FD54FC" w:rsidRPr="00661595" w:rsidRDefault="00FD54FC" w:rsidP="00FD54FC">
            <w:pPr>
              <w:tabs>
                <w:tab w:val="left" w:pos="459"/>
              </w:tabs>
              <w:ind w:left="459" w:hanging="459"/>
              <w:rPr>
                <w:rFonts w:ascii="Times New Roman" w:hAnsi="Times New Roman"/>
                <w:sz w:val="24"/>
                <w:lang w:eastAsia="de-DE"/>
              </w:rPr>
            </w:pPr>
            <w:r w:rsidRPr="00661595">
              <w:rPr>
                <w:rFonts w:ascii="Times New Roman" w:hAnsi="Times New Roman"/>
                <w:sz w:val="24"/>
                <w:lang w:eastAsia="de-DE"/>
              </w:rPr>
              <w:t>(ii)</w:t>
            </w:r>
            <w:r w:rsidRPr="00661595">
              <w:rPr>
                <w:rFonts w:ascii="Times New Roman" w:hAnsi="Times New Roman"/>
                <w:sz w:val="24"/>
                <w:lang w:eastAsia="de-DE"/>
              </w:rPr>
              <w:tab/>
              <w:t xml:space="preserve">the positive loss adjustment amounts </w:t>
            </w:r>
            <w:r w:rsidR="00F52FC6" w:rsidRPr="00661595">
              <w:rPr>
                <w:rFonts w:ascii="Times New Roman" w:hAnsi="Times New Roman"/>
                <w:sz w:val="24"/>
                <w:lang w:eastAsia="de-DE"/>
              </w:rPr>
              <w:t xml:space="preserve">(as defined for rows </w:t>
            </w:r>
            <w:r w:rsidR="005A2C21" w:rsidRPr="00661595">
              <w:rPr>
                <w:rFonts w:ascii="Times New Roman" w:hAnsi="Times New Roman"/>
                <w:sz w:val="24"/>
                <w:lang w:eastAsia="de-DE"/>
              </w:rPr>
              <w:t>0</w:t>
            </w:r>
            <w:r w:rsidR="00F52FC6" w:rsidRPr="00661595">
              <w:rPr>
                <w:rFonts w:ascii="Times New Roman" w:hAnsi="Times New Roman"/>
                <w:sz w:val="24"/>
                <w:lang w:eastAsia="de-DE"/>
              </w:rPr>
              <w:t xml:space="preserve">040, </w:t>
            </w:r>
            <w:r w:rsidR="005A2C21" w:rsidRPr="00661595">
              <w:rPr>
                <w:rFonts w:ascii="Times New Roman" w:hAnsi="Times New Roman"/>
                <w:sz w:val="24"/>
                <w:lang w:eastAsia="de-DE"/>
              </w:rPr>
              <w:t>0</w:t>
            </w:r>
            <w:r w:rsidR="00F52FC6" w:rsidRPr="00661595">
              <w:rPr>
                <w:rFonts w:ascii="Times New Roman" w:hAnsi="Times New Roman"/>
                <w:sz w:val="24"/>
                <w:lang w:eastAsia="de-DE"/>
              </w:rPr>
              <w:t xml:space="preserve">140, …, </w:t>
            </w:r>
            <w:r w:rsidR="005A2C21" w:rsidRPr="00661595">
              <w:rPr>
                <w:rFonts w:ascii="Times New Roman" w:hAnsi="Times New Roman"/>
                <w:sz w:val="24"/>
                <w:lang w:eastAsia="de-DE"/>
              </w:rPr>
              <w:t>0</w:t>
            </w:r>
            <w:r w:rsidR="00F52FC6" w:rsidRPr="00661595">
              <w:rPr>
                <w:rFonts w:ascii="Times New Roman" w:hAnsi="Times New Roman"/>
                <w:sz w:val="24"/>
                <w:lang w:eastAsia="de-DE"/>
              </w:rPr>
              <w:t xml:space="preserve">840 above) relating to </w:t>
            </w:r>
            <w:r w:rsidR="005F1EB8" w:rsidRPr="00661595">
              <w:rPr>
                <w:rFonts w:ascii="Times New Roman" w:hAnsi="Times New Roman"/>
                <w:sz w:val="24"/>
                <w:lang w:eastAsia="de-DE"/>
              </w:rPr>
              <w:t xml:space="preserve">loss </w:t>
            </w:r>
            <w:r w:rsidRPr="00661595">
              <w:rPr>
                <w:rFonts w:ascii="Times New Roman" w:hAnsi="Times New Roman"/>
                <w:sz w:val="24"/>
                <w:lang w:eastAsia="de-DE"/>
              </w:rPr>
              <w:t xml:space="preserve">events reported for the first time within a previous reporting reference period. The amount which can qualify as one of the five largest ones </w:t>
            </w:r>
            <w:r w:rsidR="001F6487" w:rsidRPr="00661595">
              <w:rPr>
                <w:rFonts w:ascii="Times New Roman" w:hAnsi="Times New Roman"/>
                <w:sz w:val="24"/>
                <w:lang w:eastAsia="de-DE"/>
              </w:rPr>
              <w:t>shall be</w:t>
            </w:r>
            <w:r w:rsidRPr="00661595">
              <w:rPr>
                <w:rFonts w:ascii="Times New Roman" w:hAnsi="Times New Roman"/>
                <w:sz w:val="24"/>
                <w:lang w:eastAsia="de-DE"/>
              </w:rPr>
              <w:t xml:space="preserve"> the amount of the loss adjustment itself, not the total loss associated with the respective </w:t>
            </w:r>
            <w:r w:rsidR="005F1EB8" w:rsidRPr="00661595">
              <w:rPr>
                <w:rFonts w:ascii="Times New Roman" w:hAnsi="Times New Roman"/>
                <w:sz w:val="24"/>
                <w:lang w:eastAsia="de-DE"/>
              </w:rPr>
              <w:t xml:space="preserve">loss </w:t>
            </w:r>
            <w:r w:rsidRPr="00661595">
              <w:rPr>
                <w:rFonts w:ascii="Times New Roman" w:hAnsi="Times New Roman"/>
                <w:sz w:val="24"/>
                <w:lang w:eastAsia="de-DE"/>
              </w:rPr>
              <w:t>event before or after the loss adjustment.</w:t>
            </w:r>
          </w:p>
          <w:p w:rsidR="00FD54FC" w:rsidRPr="00661595" w:rsidRDefault="00FD54FC" w:rsidP="00F52FC6">
            <w:pPr>
              <w:rPr>
                <w:sz w:val="24"/>
                <w:lang w:eastAsia="nl-BE"/>
              </w:rPr>
            </w:pPr>
            <w:r w:rsidRPr="00661595">
              <w:rPr>
                <w:rFonts w:ascii="Times New Roman" w:hAnsi="Times New Roman"/>
                <w:sz w:val="24"/>
                <w:lang w:eastAsia="de-DE"/>
              </w:rPr>
              <w:t xml:space="preserve">The amounts to be reported </w:t>
            </w:r>
            <w:r w:rsidR="001F6487" w:rsidRPr="00661595">
              <w:rPr>
                <w:rFonts w:ascii="Times New Roman" w:hAnsi="Times New Roman"/>
                <w:sz w:val="24"/>
                <w:lang w:eastAsia="de-DE"/>
              </w:rPr>
              <w:t>shall</w:t>
            </w:r>
            <w:r w:rsidRPr="00661595">
              <w:rPr>
                <w:rFonts w:ascii="Times New Roman" w:hAnsi="Times New Roman"/>
                <w:sz w:val="24"/>
                <w:lang w:eastAsia="de-DE"/>
              </w:rPr>
              <w:t xml:space="preserve"> not take into account obtained recoveries.</w:t>
            </w:r>
          </w:p>
        </w:tc>
      </w:tr>
      <w:tr w:rsidR="00FD54FC" w:rsidRPr="00661595" w:rsidTr="00672D2A">
        <w:tc>
          <w:tcPr>
            <w:tcW w:w="1101" w:type="dxa"/>
          </w:tcPr>
          <w:p w:rsidR="00FD54FC" w:rsidRPr="00661595" w:rsidRDefault="00C93FC2" w:rsidP="00FD54FC">
            <w:pPr>
              <w:rPr>
                <w:rFonts w:ascii="Times New Roman" w:hAnsi="Times New Roman"/>
                <w:bCs/>
                <w:sz w:val="24"/>
                <w:lang w:eastAsia="nl-BE"/>
              </w:rPr>
            </w:pP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070, </w:t>
            </w: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170, </w:t>
            </w: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270, </w:t>
            </w: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370, </w:t>
            </w: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470, </w:t>
            </w: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570, </w:t>
            </w: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670, </w:t>
            </w: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770, </w:t>
            </w:r>
            <w:r w:rsidRPr="00661595">
              <w:rPr>
                <w:rFonts w:ascii="Times New Roman" w:hAnsi="Times New Roman"/>
                <w:bCs/>
                <w:sz w:val="24"/>
                <w:lang w:eastAsia="nl-BE"/>
              </w:rPr>
              <w:t>0</w:t>
            </w:r>
            <w:r w:rsidR="00FD54FC" w:rsidRPr="00661595">
              <w:rPr>
                <w:rFonts w:ascii="Times New Roman" w:hAnsi="Times New Roman"/>
                <w:bCs/>
                <w:sz w:val="24"/>
                <w:lang w:eastAsia="nl-BE"/>
              </w:rPr>
              <w:t>870</w:t>
            </w:r>
          </w:p>
        </w:tc>
        <w:tc>
          <w:tcPr>
            <w:tcW w:w="8079" w:type="dxa"/>
          </w:tcPr>
          <w:p w:rsidR="00FD54FC" w:rsidRPr="00661595" w:rsidRDefault="00B34B0B" w:rsidP="00FD54FC">
            <w:pPr>
              <w:rPr>
                <w:sz w:val="24"/>
                <w:lang w:eastAsia="de-DE"/>
              </w:rPr>
            </w:pPr>
            <w:r w:rsidRPr="00661595">
              <w:rPr>
                <w:rStyle w:val="InstructionsTabelleberschrift"/>
                <w:rFonts w:ascii="Times New Roman" w:hAnsi="Times New Roman"/>
                <w:sz w:val="24"/>
                <w:lang w:eastAsia="es-ES_tradnl"/>
              </w:rPr>
              <w:t>Total d</w:t>
            </w:r>
            <w:r w:rsidR="00FD54FC" w:rsidRPr="00661595">
              <w:rPr>
                <w:rStyle w:val="InstructionsTabelleberschrift"/>
                <w:rFonts w:ascii="Times New Roman" w:hAnsi="Times New Roman"/>
                <w:sz w:val="24"/>
                <w:lang w:eastAsia="es-ES_tradnl"/>
              </w:rPr>
              <w:t>irect</w:t>
            </w:r>
            <w:r w:rsidRPr="00661595">
              <w:rPr>
                <w:rStyle w:val="InstructionsTabelleberschrift"/>
                <w:rFonts w:ascii="Times New Roman" w:hAnsi="Times New Roman"/>
                <w:sz w:val="24"/>
                <w:lang w:eastAsia="es-ES_tradnl"/>
              </w:rPr>
              <w:t xml:space="preserve"> loss </w:t>
            </w:r>
            <w:r w:rsidRPr="00661595">
              <w:rPr>
                <w:rStyle w:val="InstructionsTabelleberschrift"/>
                <w:rFonts w:ascii="Times New Roman" w:hAnsi="Times New Roman"/>
                <w:sz w:val="24"/>
              </w:rPr>
              <w:t>r</w:t>
            </w:r>
            <w:r w:rsidR="00FD54FC" w:rsidRPr="00661595">
              <w:rPr>
                <w:rStyle w:val="InstructionsTabelleberschrift"/>
                <w:rFonts w:ascii="Times New Roman" w:hAnsi="Times New Roman"/>
                <w:sz w:val="24"/>
              </w:rPr>
              <w:t>ecover</w:t>
            </w:r>
            <w:r w:rsidRPr="00661595">
              <w:rPr>
                <w:rStyle w:val="InstructionsTabelleberschrift"/>
                <w:rFonts w:ascii="Times New Roman" w:hAnsi="Times New Roman"/>
                <w:sz w:val="24"/>
              </w:rPr>
              <w:t>y</w:t>
            </w:r>
          </w:p>
          <w:p w:rsidR="00FD54FC" w:rsidRPr="00661595" w:rsidRDefault="00FD54FC" w:rsidP="00FD54FC">
            <w:pPr>
              <w:rPr>
                <w:rFonts w:ascii="Times New Roman" w:hAnsi="Times New Roman"/>
                <w:sz w:val="24"/>
                <w:lang w:eastAsia="de-DE"/>
              </w:rPr>
            </w:pPr>
            <w:r w:rsidRPr="00661595">
              <w:rPr>
                <w:rFonts w:ascii="Times New Roman" w:hAnsi="Times New Roman"/>
                <w:sz w:val="24"/>
                <w:lang w:eastAsia="de-DE"/>
              </w:rPr>
              <w:t xml:space="preserve">Direct </w:t>
            </w:r>
            <w:r w:rsidR="001F6487" w:rsidRPr="00661595">
              <w:rPr>
                <w:rFonts w:ascii="Times New Roman" w:hAnsi="Times New Roman"/>
                <w:sz w:val="24"/>
                <w:lang w:eastAsia="de-DE"/>
              </w:rPr>
              <w:t xml:space="preserve">loss </w:t>
            </w:r>
            <w:r w:rsidRPr="00661595">
              <w:rPr>
                <w:rFonts w:ascii="Times New Roman" w:hAnsi="Times New Roman"/>
                <w:sz w:val="24"/>
                <w:lang w:eastAsia="de-DE"/>
              </w:rPr>
              <w:t xml:space="preserve">recoveries </w:t>
            </w:r>
            <w:r w:rsidR="001F6487" w:rsidRPr="00661595">
              <w:rPr>
                <w:rFonts w:ascii="Times New Roman" w:hAnsi="Times New Roman"/>
                <w:sz w:val="24"/>
                <w:lang w:eastAsia="de-DE"/>
              </w:rPr>
              <w:t>shall be</w:t>
            </w:r>
            <w:r w:rsidRPr="00661595">
              <w:rPr>
                <w:rFonts w:ascii="Times New Roman" w:hAnsi="Times New Roman"/>
                <w:sz w:val="24"/>
                <w:lang w:eastAsia="de-DE"/>
              </w:rPr>
              <w:t xml:space="preserve"> </w:t>
            </w:r>
            <w:r w:rsidR="005A020C" w:rsidRPr="00661595">
              <w:rPr>
                <w:rFonts w:ascii="Times New Roman" w:hAnsi="Times New Roman"/>
                <w:sz w:val="24"/>
                <w:lang w:eastAsia="de-DE"/>
              </w:rPr>
              <w:t xml:space="preserve">all </w:t>
            </w:r>
            <w:r w:rsidR="001F6487" w:rsidRPr="00661595">
              <w:rPr>
                <w:rFonts w:ascii="Times New Roman" w:hAnsi="Times New Roman"/>
                <w:sz w:val="24"/>
                <w:lang w:eastAsia="de-DE"/>
              </w:rPr>
              <w:t xml:space="preserve">loss </w:t>
            </w:r>
            <w:r w:rsidRPr="00661595">
              <w:rPr>
                <w:rFonts w:ascii="Times New Roman" w:hAnsi="Times New Roman"/>
                <w:sz w:val="24"/>
                <w:lang w:eastAsia="de-DE"/>
              </w:rPr>
              <w:t>recoveries obtained</w:t>
            </w:r>
            <w:r w:rsidR="001F6487" w:rsidRPr="00661595">
              <w:rPr>
                <w:rFonts w:ascii="Times New Roman" w:hAnsi="Times New Roman"/>
                <w:sz w:val="24"/>
                <w:lang w:eastAsia="de-DE"/>
              </w:rPr>
              <w:t>,</w:t>
            </w:r>
            <w:r w:rsidRPr="00661595">
              <w:rPr>
                <w:rFonts w:ascii="Times New Roman" w:hAnsi="Times New Roman"/>
                <w:sz w:val="24"/>
                <w:lang w:eastAsia="de-DE"/>
              </w:rPr>
              <w:t xml:space="preserve"> </w:t>
            </w:r>
            <w:r w:rsidR="005A020C" w:rsidRPr="00661595">
              <w:rPr>
                <w:rFonts w:ascii="Times New Roman" w:hAnsi="Times New Roman"/>
                <w:sz w:val="24"/>
                <w:lang w:eastAsia="de-DE"/>
              </w:rPr>
              <w:t>except those which</w:t>
            </w:r>
            <w:r w:rsidR="00070AF9" w:rsidRPr="00661595">
              <w:rPr>
                <w:rFonts w:ascii="Times New Roman" w:hAnsi="Times New Roman"/>
                <w:sz w:val="24"/>
                <w:lang w:eastAsia="de-DE"/>
              </w:rPr>
              <w:t xml:space="preserve"> are subject to </w:t>
            </w:r>
            <w:r w:rsidR="005A020C" w:rsidRPr="00661595">
              <w:rPr>
                <w:rFonts w:ascii="Times New Roman" w:hAnsi="Times New Roman"/>
                <w:sz w:val="24"/>
                <w:lang w:eastAsia="de-DE"/>
              </w:rPr>
              <w:t>Article 323 CRR</w:t>
            </w:r>
            <w:r w:rsidR="00F52FC6" w:rsidRPr="00661595">
              <w:rPr>
                <w:rFonts w:ascii="Times New Roman" w:hAnsi="Times New Roman"/>
                <w:sz w:val="24"/>
                <w:lang w:eastAsia="de-DE"/>
              </w:rPr>
              <w:t xml:space="preserve"> as </w:t>
            </w:r>
            <w:r w:rsidR="005F1EB8" w:rsidRPr="00661595">
              <w:rPr>
                <w:rFonts w:ascii="Times New Roman" w:hAnsi="Times New Roman"/>
                <w:sz w:val="24"/>
                <w:lang w:eastAsia="de-DE"/>
              </w:rPr>
              <w:t xml:space="preserve">referred to </w:t>
            </w:r>
            <w:r w:rsidR="00F52FC6" w:rsidRPr="00661595">
              <w:rPr>
                <w:rFonts w:ascii="Times New Roman" w:hAnsi="Times New Roman"/>
                <w:sz w:val="24"/>
                <w:lang w:eastAsia="de-DE"/>
              </w:rPr>
              <w:t xml:space="preserve">in the row </w:t>
            </w:r>
            <w:r w:rsidR="0023276A" w:rsidRPr="00661595">
              <w:rPr>
                <w:rFonts w:ascii="Times New Roman" w:hAnsi="Times New Roman"/>
                <w:sz w:val="24"/>
                <w:lang w:eastAsia="de-DE"/>
              </w:rPr>
              <w:t xml:space="preserve">of this table </w:t>
            </w:r>
            <w:r w:rsidR="00F52FC6" w:rsidRPr="00661595">
              <w:rPr>
                <w:rFonts w:ascii="Times New Roman" w:hAnsi="Times New Roman"/>
                <w:sz w:val="24"/>
                <w:lang w:eastAsia="de-DE"/>
              </w:rPr>
              <w:t>below</w:t>
            </w:r>
            <w:r w:rsidRPr="00661595">
              <w:rPr>
                <w:rFonts w:ascii="Times New Roman" w:hAnsi="Times New Roman"/>
                <w:sz w:val="24"/>
                <w:lang w:eastAsia="de-DE"/>
              </w:rPr>
              <w:t xml:space="preserve">. </w:t>
            </w:r>
          </w:p>
          <w:p w:rsidR="00FD54FC" w:rsidRPr="00661595" w:rsidRDefault="00FD54FC" w:rsidP="00FD54FC">
            <w:pPr>
              <w:rPr>
                <w:b/>
                <w:sz w:val="24"/>
                <w:lang w:eastAsia="nl-BE"/>
              </w:rPr>
            </w:pPr>
            <w:r w:rsidRPr="00661595">
              <w:rPr>
                <w:rFonts w:ascii="Times New Roman" w:hAnsi="Times New Roman"/>
                <w:sz w:val="24"/>
                <w:lang w:eastAsia="de-DE"/>
              </w:rPr>
              <w:t xml:space="preserve">The </w:t>
            </w:r>
            <w:r w:rsidR="00F52FC6" w:rsidRPr="00661595">
              <w:rPr>
                <w:rFonts w:ascii="Times New Roman" w:hAnsi="Times New Roman"/>
                <w:sz w:val="24"/>
                <w:lang w:eastAsia="de-DE"/>
              </w:rPr>
              <w:t>t</w:t>
            </w:r>
            <w:r w:rsidRPr="00661595">
              <w:rPr>
                <w:rFonts w:ascii="Times New Roman" w:hAnsi="Times New Roman"/>
                <w:sz w:val="24"/>
                <w:lang w:eastAsia="de-DE"/>
              </w:rPr>
              <w:t xml:space="preserve">otal direct loss recovery </w:t>
            </w:r>
            <w:r w:rsidR="001F6487" w:rsidRPr="00661595">
              <w:rPr>
                <w:rFonts w:ascii="Times New Roman" w:hAnsi="Times New Roman"/>
                <w:sz w:val="24"/>
                <w:lang w:eastAsia="de-DE"/>
              </w:rPr>
              <w:t>shall be</w:t>
            </w:r>
            <w:r w:rsidRPr="00661595">
              <w:rPr>
                <w:rFonts w:ascii="Times New Roman" w:hAnsi="Times New Roman"/>
                <w:sz w:val="24"/>
                <w:lang w:eastAsia="de-DE"/>
              </w:rPr>
              <w:t xml:space="preserve"> the sum of all the direct recoveries and adjustments to direct recoveries accounted for within the reporting period and pertinent to operational risk </w:t>
            </w:r>
            <w:r w:rsidR="005F1EB8" w:rsidRPr="00661595">
              <w:rPr>
                <w:rFonts w:ascii="Times New Roman" w:hAnsi="Times New Roman"/>
                <w:sz w:val="24"/>
                <w:lang w:eastAsia="de-DE"/>
              </w:rPr>
              <w:t xml:space="preserve">loss </w:t>
            </w:r>
            <w:r w:rsidRPr="00661595">
              <w:rPr>
                <w:rFonts w:ascii="Times New Roman" w:hAnsi="Times New Roman"/>
                <w:sz w:val="24"/>
                <w:lang w:eastAsia="de-DE"/>
              </w:rPr>
              <w:t>events accounted for the first time within the reporting reference period or in previous reporting reference periods.</w:t>
            </w:r>
          </w:p>
        </w:tc>
      </w:tr>
      <w:tr w:rsidR="00FD54FC" w:rsidRPr="00661595" w:rsidTr="00672D2A">
        <w:tc>
          <w:tcPr>
            <w:tcW w:w="1101" w:type="dxa"/>
          </w:tcPr>
          <w:p w:rsidR="00FD54FC" w:rsidRPr="00661595" w:rsidRDefault="00C93FC2" w:rsidP="00FD54FC">
            <w:pPr>
              <w:rPr>
                <w:rFonts w:ascii="Times New Roman" w:hAnsi="Times New Roman"/>
                <w:bCs/>
                <w:sz w:val="24"/>
                <w:lang w:eastAsia="nl-BE"/>
              </w:rPr>
            </w:pP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080, </w:t>
            </w: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180, </w:t>
            </w:r>
            <w:r w:rsidRPr="00661595">
              <w:rPr>
                <w:rFonts w:ascii="Times New Roman" w:hAnsi="Times New Roman"/>
                <w:bCs/>
                <w:sz w:val="24"/>
                <w:lang w:eastAsia="nl-BE"/>
              </w:rPr>
              <w:t>0</w:t>
            </w:r>
            <w:r w:rsidR="00FD54FC" w:rsidRPr="00661595">
              <w:rPr>
                <w:rFonts w:ascii="Times New Roman" w:hAnsi="Times New Roman"/>
                <w:sz w:val="24"/>
                <w:lang w:eastAsia="de-DE"/>
              </w:rPr>
              <w:t>280</w:t>
            </w:r>
            <w:r w:rsidR="00FD54FC" w:rsidRPr="00661595">
              <w:rPr>
                <w:rFonts w:ascii="Times New Roman" w:hAnsi="Times New Roman"/>
                <w:bCs/>
                <w:sz w:val="24"/>
                <w:lang w:eastAsia="nl-BE"/>
              </w:rPr>
              <w:t xml:space="preserve">, </w:t>
            </w: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380, </w:t>
            </w: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480, </w:t>
            </w: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580, </w:t>
            </w: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680, </w:t>
            </w:r>
            <w:r w:rsidRPr="00661595">
              <w:rPr>
                <w:rFonts w:ascii="Times New Roman" w:hAnsi="Times New Roman"/>
                <w:bCs/>
                <w:sz w:val="24"/>
                <w:lang w:eastAsia="nl-BE"/>
              </w:rPr>
              <w:t>0</w:t>
            </w:r>
            <w:r w:rsidR="00FD54FC" w:rsidRPr="00661595">
              <w:rPr>
                <w:rFonts w:ascii="Times New Roman" w:hAnsi="Times New Roman"/>
                <w:bCs/>
                <w:sz w:val="24"/>
                <w:lang w:eastAsia="nl-BE"/>
              </w:rPr>
              <w:t xml:space="preserve">780, </w:t>
            </w:r>
            <w:r w:rsidRPr="00661595">
              <w:rPr>
                <w:rFonts w:ascii="Times New Roman" w:hAnsi="Times New Roman"/>
                <w:bCs/>
                <w:sz w:val="24"/>
                <w:lang w:eastAsia="nl-BE"/>
              </w:rPr>
              <w:t>0</w:t>
            </w:r>
            <w:r w:rsidR="00FD54FC" w:rsidRPr="00661595">
              <w:rPr>
                <w:rFonts w:ascii="Times New Roman" w:hAnsi="Times New Roman"/>
                <w:bCs/>
                <w:sz w:val="24"/>
                <w:lang w:eastAsia="nl-BE"/>
              </w:rPr>
              <w:t>880</w:t>
            </w:r>
          </w:p>
        </w:tc>
        <w:tc>
          <w:tcPr>
            <w:tcW w:w="8079" w:type="dxa"/>
          </w:tcPr>
          <w:p w:rsidR="00FD54FC" w:rsidRPr="00661595" w:rsidRDefault="00FD54FC" w:rsidP="00FD54FC">
            <w:pPr>
              <w:rPr>
                <w:rStyle w:val="InstructionsTabelleberschrift"/>
                <w:rFonts w:ascii="Times New Roman" w:hAnsi="Times New Roman"/>
                <w:sz w:val="24"/>
                <w:lang w:eastAsia="es-ES_tradnl"/>
              </w:rPr>
            </w:pPr>
            <w:r w:rsidRPr="00661595">
              <w:rPr>
                <w:rStyle w:val="InstructionsTabelleberschrift"/>
                <w:rFonts w:ascii="Times New Roman" w:hAnsi="Times New Roman"/>
                <w:sz w:val="24"/>
                <w:lang w:eastAsia="es-ES_tradnl"/>
              </w:rPr>
              <w:t xml:space="preserve">Total </w:t>
            </w:r>
            <w:r w:rsidRPr="00661595">
              <w:rPr>
                <w:rStyle w:val="InstructionsTabelleberschrift"/>
                <w:rFonts w:ascii="Times New Roman" w:hAnsi="Times New Roman"/>
                <w:sz w:val="24"/>
              </w:rPr>
              <w:t>recovery</w:t>
            </w:r>
            <w:r w:rsidRPr="00661595">
              <w:rPr>
                <w:rStyle w:val="InstructionsTabelleberschrift"/>
                <w:rFonts w:ascii="Times New Roman" w:hAnsi="Times New Roman"/>
                <w:sz w:val="24"/>
                <w:lang w:eastAsia="es-ES_tradnl"/>
              </w:rPr>
              <w:t xml:space="preserve"> from insurance and other risk transfer mechanisms</w:t>
            </w:r>
          </w:p>
          <w:p w:rsidR="00FD54FC" w:rsidRPr="00661595" w:rsidRDefault="00FD54FC" w:rsidP="00FD54FC">
            <w:pPr>
              <w:rPr>
                <w:rFonts w:ascii="Times New Roman" w:hAnsi="Times New Roman"/>
                <w:sz w:val="24"/>
                <w:lang w:eastAsia="de-DE"/>
              </w:rPr>
            </w:pPr>
            <w:r w:rsidRPr="00661595">
              <w:rPr>
                <w:rFonts w:ascii="Times New Roman" w:hAnsi="Times New Roman"/>
                <w:sz w:val="24"/>
                <w:lang w:eastAsia="de-DE"/>
              </w:rPr>
              <w:t xml:space="preserve">Recoveries from insurance and other risk transfer mechanisms </w:t>
            </w:r>
            <w:r w:rsidR="001F6487" w:rsidRPr="00661595">
              <w:rPr>
                <w:rFonts w:ascii="Times New Roman" w:hAnsi="Times New Roman"/>
                <w:sz w:val="24"/>
                <w:lang w:eastAsia="de-DE"/>
              </w:rPr>
              <w:t>shall be</w:t>
            </w:r>
            <w:r w:rsidRPr="00661595">
              <w:rPr>
                <w:rFonts w:ascii="Times New Roman" w:hAnsi="Times New Roman"/>
                <w:sz w:val="24"/>
                <w:lang w:eastAsia="de-DE"/>
              </w:rPr>
              <w:t xml:space="preserve"> those recoveries which </w:t>
            </w:r>
            <w:r w:rsidR="00070AF9" w:rsidRPr="00661595">
              <w:rPr>
                <w:rFonts w:ascii="Times New Roman" w:hAnsi="Times New Roman"/>
                <w:sz w:val="24"/>
                <w:lang w:eastAsia="de-DE"/>
              </w:rPr>
              <w:t xml:space="preserve">are subject to </w:t>
            </w:r>
            <w:r w:rsidRPr="00661595">
              <w:rPr>
                <w:rFonts w:ascii="Times New Roman" w:hAnsi="Times New Roman"/>
                <w:sz w:val="24"/>
                <w:lang w:eastAsia="de-DE"/>
              </w:rPr>
              <w:t xml:space="preserve">Article 323 CRR. </w:t>
            </w:r>
          </w:p>
          <w:p w:rsidR="00FD54FC" w:rsidRPr="00661595" w:rsidRDefault="00FD54FC" w:rsidP="00070AF9">
            <w:pPr>
              <w:rPr>
                <w:sz w:val="24"/>
                <w:lang w:eastAsia="nl-BE"/>
              </w:rPr>
            </w:pPr>
            <w:r w:rsidRPr="00661595">
              <w:rPr>
                <w:rFonts w:ascii="Times New Roman" w:hAnsi="Times New Roman"/>
                <w:sz w:val="24"/>
                <w:lang w:eastAsia="de-DE"/>
              </w:rPr>
              <w:t xml:space="preserve">The </w:t>
            </w:r>
            <w:r w:rsidR="00070AF9" w:rsidRPr="00661595">
              <w:rPr>
                <w:rFonts w:ascii="Times New Roman" w:hAnsi="Times New Roman"/>
                <w:sz w:val="24"/>
                <w:lang w:eastAsia="de-DE"/>
              </w:rPr>
              <w:t>t</w:t>
            </w:r>
            <w:r w:rsidRPr="00661595">
              <w:rPr>
                <w:rFonts w:ascii="Times New Roman" w:hAnsi="Times New Roman"/>
                <w:sz w:val="24"/>
                <w:lang w:eastAsia="de-DE"/>
              </w:rPr>
              <w:t xml:space="preserve">otal recovery from insurance and other risk transfer mechanisms </w:t>
            </w:r>
            <w:r w:rsidR="001F6487" w:rsidRPr="00661595">
              <w:rPr>
                <w:rFonts w:ascii="Times New Roman" w:hAnsi="Times New Roman"/>
                <w:sz w:val="24"/>
                <w:lang w:eastAsia="de-DE"/>
              </w:rPr>
              <w:t>shall be</w:t>
            </w:r>
            <w:r w:rsidRPr="00661595">
              <w:rPr>
                <w:rFonts w:ascii="Times New Roman" w:hAnsi="Times New Roman"/>
                <w:sz w:val="24"/>
                <w:lang w:eastAsia="de-DE"/>
              </w:rPr>
              <w:t xml:space="preserve"> the sum of all recoveries from insurance and other risk transfer mechanisms and adjustments to such recoveries accounted </w:t>
            </w:r>
            <w:r w:rsidR="001F6487" w:rsidRPr="00661595">
              <w:rPr>
                <w:rFonts w:ascii="Times New Roman" w:hAnsi="Times New Roman"/>
                <w:sz w:val="24"/>
                <w:lang w:eastAsia="de-DE"/>
              </w:rPr>
              <w:t xml:space="preserve">for </w:t>
            </w:r>
            <w:r w:rsidRPr="00661595">
              <w:rPr>
                <w:rFonts w:ascii="Times New Roman" w:hAnsi="Times New Roman"/>
                <w:sz w:val="24"/>
                <w:lang w:eastAsia="de-DE"/>
              </w:rPr>
              <w:t xml:space="preserve">within the reporting reference period and pertinent to operational risk </w:t>
            </w:r>
            <w:r w:rsidR="005F1EB8" w:rsidRPr="00661595">
              <w:rPr>
                <w:rFonts w:ascii="Times New Roman" w:hAnsi="Times New Roman"/>
                <w:sz w:val="24"/>
                <w:lang w:eastAsia="de-DE"/>
              </w:rPr>
              <w:t xml:space="preserve">loss </w:t>
            </w:r>
            <w:r w:rsidRPr="00661595">
              <w:rPr>
                <w:rFonts w:ascii="Times New Roman" w:hAnsi="Times New Roman"/>
                <w:sz w:val="24"/>
                <w:lang w:eastAsia="de-DE"/>
              </w:rPr>
              <w:t>events accounted for the first time within the reporting reference period or in previous reporting reference periods.</w:t>
            </w:r>
          </w:p>
        </w:tc>
      </w:tr>
      <w:tr w:rsidR="00FD54FC" w:rsidRPr="00661595" w:rsidTr="00672D2A">
        <w:tc>
          <w:tcPr>
            <w:tcW w:w="1101" w:type="dxa"/>
          </w:tcPr>
          <w:p w:rsidR="00FD54FC" w:rsidRPr="00661595" w:rsidRDefault="00C93FC2" w:rsidP="000F70EC">
            <w:pPr>
              <w:rPr>
                <w:rFonts w:ascii="Times New Roman" w:hAnsi="Times New Roman"/>
                <w:bCs/>
                <w:sz w:val="24"/>
                <w:lang w:eastAsia="nl-BE"/>
              </w:rPr>
            </w:pPr>
            <w:r w:rsidRPr="00661595">
              <w:rPr>
                <w:rFonts w:ascii="Times New Roman" w:hAnsi="Times New Roman"/>
                <w:sz w:val="24"/>
                <w:lang w:eastAsia="de-DE"/>
              </w:rPr>
              <w:t>0</w:t>
            </w:r>
            <w:r w:rsidR="00FD54FC" w:rsidRPr="00661595">
              <w:rPr>
                <w:rFonts w:ascii="Times New Roman" w:hAnsi="Times New Roman"/>
                <w:sz w:val="24"/>
                <w:lang w:eastAsia="de-DE"/>
              </w:rPr>
              <w:t>910</w:t>
            </w:r>
            <w:r w:rsidR="00FD54FC" w:rsidRPr="00661595">
              <w:rPr>
                <w:rFonts w:ascii="Times New Roman" w:hAnsi="Times New Roman"/>
                <w:bCs/>
                <w:sz w:val="24"/>
                <w:lang w:eastAsia="nl-BE"/>
              </w:rPr>
              <w:t>-</w:t>
            </w:r>
            <w:r w:rsidRPr="00661595">
              <w:rPr>
                <w:rFonts w:ascii="Times New Roman" w:hAnsi="Times New Roman"/>
                <w:bCs/>
                <w:sz w:val="24"/>
                <w:lang w:eastAsia="nl-BE"/>
              </w:rPr>
              <w:t>0</w:t>
            </w:r>
            <w:r w:rsidR="00FD54FC" w:rsidRPr="00661595">
              <w:rPr>
                <w:rFonts w:ascii="Times New Roman" w:hAnsi="Times New Roman"/>
                <w:bCs/>
                <w:sz w:val="24"/>
                <w:lang w:eastAsia="nl-BE"/>
              </w:rPr>
              <w:t>980</w:t>
            </w:r>
          </w:p>
        </w:tc>
        <w:tc>
          <w:tcPr>
            <w:tcW w:w="8079" w:type="dxa"/>
          </w:tcPr>
          <w:p w:rsidR="00FD54FC" w:rsidRPr="00661595" w:rsidRDefault="00FD54FC" w:rsidP="00FD54FC">
            <w:pPr>
              <w:rPr>
                <w:rStyle w:val="InstructionsTabelleberschrift"/>
                <w:rFonts w:ascii="Times New Roman" w:hAnsi="Times New Roman"/>
                <w:sz w:val="24"/>
              </w:rPr>
            </w:pPr>
            <w:r w:rsidRPr="00661595">
              <w:rPr>
                <w:rStyle w:val="InstructionsTabelleberschrift"/>
                <w:rFonts w:ascii="Times New Roman" w:hAnsi="Times New Roman"/>
                <w:sz w:val="24"/>
              </w:rPr>
              <w:t>TOTAL BUSINESS LINES</w:t>
            </w:r>
          </w:p>
          <w:p w:rsidR="00FD54FC" w:rsidRPr="00661595" w:rsidRDefault="00FD54FC" w:rsidP="00F114E6">
            <w:pPr>
              <w:rPr>
                <w:rFonts w:ascii="Times New Roman" w:hAnsi="Times New Roman"/>
                <w:sz w:val="24"/>
                <w:lang w:eastAsia="de-DE"/>
              </w:rPr>
            </w:pPr>
            <w:r w:rsidRPr="00661595">
              <w:rPr>
                <w:rFonts w:ascii="Times New Roman" w:hAnsi="Times New Roman"/>
                <w:sz w:val="24"/>
                <w:lang w:eastAsia="de-DE"/>
              </w:rPr>
              <w:t xml:space="preserve">For each </w:t>
            </w:r>
            <w:r w:rsidR="005F1EB8" w:rsidRPr="00661595">
              <w:rPr>
                <w:rFonts w:ascii="Times New Roman" w:hAnsi="Times New Roman"/>
                <w:sz w:val="24"/>
                <w:lang w:eastAsia="de-DE"/>
              </w:rPr>
              <w:t xml:space="preserve">loss </w:t>
            </w:r>
            <w:r w:rsidRPr="00661595">
              <w:rPr>
                <w:rFonts w:ascii="Times New Roman" w:hAnsi="Times New Roman"/>
                <w:sz w:val="24"/>
                <w:lang w:eastAsia="de-DE"/>
              </w:rPr>
              <w:t xml:space="preserve">event type (column </w:t>
            </w:r>
            <w:r w:rsidR="005A2C21" w:rsidRPr="00661595">
              <w:rPr>
                <w:rFonts w:ascii="Times New Roman" w:hAnsi="Times New Roman"/>
                <w:sz w:val="24"/>
                <w:lang w:eastAsia="de-DE"/>
              </w:rPr>
              <w:t>0</w:t>
            </w:r>
            <w:r w:rsidRPr="00661595">
              <w:rPr>
                <w:rFonts w:ascii="Times New Roman" w:hAnsi="Times New Roman"/>
                <w:sz w:val="24"/>
                <w:lang w:eastAsia="de-DE"/>
              </w:rPr>
              <w:t xml:space="preserve">010 to </w:t>
            </w:r>
            <w:r w:rsidR="005A2C21" w:rsidRPr="00661595">
              <w:rPr>
                <w:rFonts w:ascii="Times New Roman" w:hAnsi="Times New Roman"/>
                <w:sz w:val="24"/>
                <w:lang w:eastAsia="de-DE"/>
              </w:rPr>
              <w:t>0</w:t>
            </w:r>
            <w:r w:rsidRPr="00661595">
              <w:rPr>
                <w:rFonts w:ascii="Times New Roman" w:hAnsi="Times New Roman"/>
                <w:sz w:val="24"/>
                <w:lang w:eastAsia="de-DE"/>
              </w:rPr>
              <w:t>080), the information</w:t>
            </w:r>
            <w:r w:rsidR="00F114E6" w:rsidRPr="00661595">
              <w:rPr>
                <w:rFonts w:ascii="Times New Roman" w:hAnsi="Times New Roman"/>
                <w:sz w:val="24"/>
                <w:lang w:eastAsia="de-DE"/>
              </w:rPr>
              <w:t xml:space="preserve"> </w:t>
            </w:r>
            <w:r w:rsidRPr="00661595">
              <w:rPr>
                <w:rFonts w:ascii="Times New Roman" w:hAnsi="Times New Roman"/>
                <w:sz w:val="24"/>
                <w:lang w:eastAsia="de-DE"/>
              </w:rPr>
              <w:t>on total business lines has to be reported.</w:t>
            </w:r>
          </w:p>
        </w:tc>
      </w:tr>
      <w:tr w:rsidR="00FD54FC" w:rsidRPr="00661595" w:rsidTr="00672D2A">
        <w:tc>
          <w:tcPr>
            <w:tcW w:w="1101" w:type="dxa"/>
          </w:tcPr>
          <w:p w:rsidR="00FD54FC" w:rsidRPr="00661595" w:rsidRDefault="00C93FC2" w:rsidP="000F70EC">
            <w:pPr>
              <w:rPr>
                <w:rFonts w:ascii="Times New Roman" w:hAnsi="Times New Roman"/>
                <w:bCs/>
                <w:sz w:val="24"/>
                <w:lang w:eastAsia="nl-BE"/>
              </w:rPr>
            </w:pPr>
            <w:r w:rsidRPr="00661595">
              <w:rPr>
                <w:rFonts w:ascii="Times New Roman" w:hAnsi="Times New Roman"/>
                <w:bCs/>
                <w:sz w:val="24"/>
                <w:lang w:eastAsia="nl-BE"/>
              </w:rPr>
              <w:t>0</w:t>
            </w:r>
            <w:r w:rsidR="00FD54FC" w:rsidRPr="00661595">
              <w:rPr>
                <w:rFonts w:ascii="Times New Roman" w:hAnsi="Times New Roman"/>
                <w:bCs/>
                <w:sz w:val="24"/>
                <w:lang w:eastAsia="nl-BE"/>
              </w:rPr>
              <w:t>910-</w:t>
            </w:r>
            <w:r w:rsidRPr="00661595">
              <w:rPr>
                <w:rFonts w:ascii="Times New Roman" w:hAnsi="Times New Roman"/>
                <w:bCs/>
                <w:sz w:val="24"/>
                <w:lang w:eastAsia="nl-BE"/>
              </w:rPr>
              <w:t>0</w:t>
            </w:r>
            <w:r w:rsidR="00FD54FC" w:rsidRPr="00661595">
              <w:rPr>
                <w:rFonts w:ascii="Times New Roman" w:hAnsi="Times New Roman"/>
                <w:bCs/>
                <w:sz w:val="24"/>
                <w:lang w:eastAsia="nl-BE"/>
              </w:rPr>
              <w:t>914</w:t>
            </w:r>
          </w:p>
        </w:tc>
        <w:tc>
          <w:tcPr>
            <w:tcW w:w="8079" w:type="dxa"/>
          </w:tcPr>
          <w:p w:rsidR="00FD54FC" w:rsidRPr="00661595" w:rsidRDefault="00FD54FC" w:rsidP="00FD54FC">
            <w:pPr>
              <w:rPr>
                <w:rStyle w:val="InstructionsTabelleberschrift"/>
                <w:rFonts w:ascii="Times New Roman" w:hAnsi="Times New Roman"/>
                <w:sz w:val="24"/>
              </w:rPr>
            </w:pPr>
            <w:r w:rsidRPr="00661595">
              <w:rPr>
                <w:rStyle w:val="InstructionsTabelleberschrift"/>
                <w:rFonts w:ascii="Times New Roman" w:hAnsi="Times New Roman"/>
                <w:sz w:val="24"/>
              </w:rPr>
              <w:t xml:space="preserve">Number of </w:t>
            </w:r>
            <w:r w:rsidR="005F1EB8" w:rsidRPr="00661595">
              <w:rPr>
                <w:rStyle w:val="InstructionsTabelleberschrift"/>
                <w:rFonts w:ascii="Times New Roman" w:hAnsi="Times New Roman"/>
                <w:sz w:val="24"/>
              </w:rPr>
              <w:t>loss e</w:t>
            </w:r>
            <w:r w:rsidRPr="00661595">
              <w:rPr>
                <w:rStyle w:val="InstructionsTabelleberschrift"/>
                <w:rFonts w:ascii="Times New Roman" w:hAnsi="Times New Roman"/>
                <w:sz w:val="24"/>
              </w:rPr>
              <w:t>vents</w:t>
            </w:r>
          </w:p>
          <w:p w:rsidR="00FD54FC" w:rsidRPr="00661595" w:rsidRDefault="00FD54FC" w:rsidP="00FD54FC">
            <w:pPr>
              <w:rPr>
                <w:rFonts w:ascii="Times New Roman" w:hAnsi="Times New Roman"/>
                <w:sz w:val="24"/>
                <w:lang w:eastAsia="de-DE"/>
              </w:rPr>
            </w:pPr>
            <w:r w:rsidRPr="00661595">
              <w:rPr>
                <w:rFonts w:ascii="Times New Roman" w:hAnsi="Times New Roman"/>
                <w:sz w:val="24"/>
                <w:lang w:eastAsia="de-DE"/>
              </w:rPr>
              <w:t xml:space="preserve">In row </w:t>
            </w:r>
            <w:r w:rsidR="005A2C21" w:rsidRPr="00661595">
              <w:rPr>
                <w:rFonts w:ascii="Times New Roman" w:hAnsi="Times New Roman"/>
                <w:sz w:val="24"/>
                <w:lang w:eastAsia="de-DE"/>
              </w:rPr>
              <w:t>0</w:t>
            </w:r>
            <w:r w:rsidRPr="00661595">
              <w:rPr>
                <w:rFonts w:ascii="Times New Roman" w:hAnsi="Times New Roman"/>
                <w:sz w:val="24"/>
                <w:lang w:eastAsia="de-DE"/>
              </w:rPr>
              <w:t xml:space="preserve">910, the number of </w:t>
            </w:r>
            <w:r w:rsidR="005F1EB8" w:rsidRPr="00661595">
              <w:rPr>
                <w:rFonts w:ascii="Times New Roman" w:hAnsi="Times New Roman"/>
                <w:sz w:val="24"/>
                <w:lang w:eastAsia="de-DE"/>
              </w:rPr>
              <w:t xml:space="preserve">loss </w:t>
            </w:r>
            <w:r w:rsidRPr="00661595">
              <w:rPr>
                <w:rFonts w:ascii="Times New Roman" w:hAnsi="Times New Roman"/>
                <w:sz w:val="24"/>
                <w:lang w:eastAsia="de-DE"/>
              </w:rPr>
              <w:t xml:space="preserve">events above the internal threshold by </w:t>
            </w:r>
            <w:r w:rsidR="005F1EB8" w:rsidRPr="00661595">
              <w:rPr>
                <w:rFonts w:ascii="Times New Roman" w:hAnsi="Times New Roman"/>
                <w:sz w:val="24"/>
                <w:lang w:eastAsia="de-DE"/>
              </w:rPr>
              <w:t xml:space="preserve">loss </w:t>
            </w:r>
            <w:r w:rsidRPr="00661595">
              <w:rPr>
                <w:rFonts w:ascii="Times New Roman" w:hAnsi="Times New Roman"/>
                <w:sz w:val="24"/>
                <w:lang w:eastAsia="de-DE"/>
              </w:rPr>
              <w:t xml:space="preserve">event types for the total business lines shall be reported. This figure may be lower than the aggregation of the number of </w:t>
            </w:r>
            <w:r w:rsidR="005F1EB8" w:rsidRPr="00661595">
              <w:rPr>
                <w:rFonts w:ascii="Times New Roman" w:hAnsi="Times New Roman"/>
                <w:sz w:val="24"/>
                <w:lang w:eastAsia="de-DE"/>
              </w:rPr>
              <w:t xml:space="preserve">loss </w:t>
            </w:r>
            <w:r w:rsidRPr="00661595">
              <w:rPr>
                <w:rFonts w:ascii="Times New Roman" w:hAnsi="Times New Roman"/>
                <w:sz w:val="24"/>
                <w:lang w:eastAsia="de-DE"/>
              </w:rPr>
              <w:t xml:space="preserve">events by business lines since the </w:t>
            </w:r>
            <w:r w:rsidR="005F1EB8" w:rsidRPr="00661595">
              <w:rPr>
                <w:rFonts w:ascii="Times New Roman" w:hAnsi="Times New Roman"/>
                <w:sz w:val="24"/>
                <w:lang w:eastAsia="de-DE"/>
              </w:rPr>
              <w:t xml:space="preserve">loss </w:t>
            </w:r>
            <w:r w:rsidRPr="00661595">
              <w:rPr>
                <w:rFonts w:ascii="Times New Roman" w:hAnsi="Times New Roman"/>
                <w:sz w:val="24"/>
                <w:lang w:eastAsia="de-DE"/>
              </w:rPr>
              <w:t>events with multiple impacts (impacts in different business lines) shall be considered as one. It may be higher,</w:t>
            </w:r>
            <w:r w:rsidR="001F6487" w:rsidRPr="00661595">
              <w:rPr>
                <w:rFonts w:ascii="Times New Roman" w:hAnsi="Times New Roman"/>
                <w:sz w:val="24"/>
                <w:lang w:eastAsia="de-DE"/>
              </w:rPr>
              <w:t xml:space="preserve"> where</w:t>
            </w:r>
            <w:r w:rsidRPr="00661595">
              <w:rPr>
                <w:rFonts w:ascii="Times New Roman" w:hAnsi="Times New Roman"/>
                <w:sz w:val="24"/>
                <w:lang w:eastAsia="de-DE"/>
              </w:rPr>
              <w:t xml:space="preserve"> an institution calculating its own funds requirements </w:t>
            </w:r>
            <w:r w:rsidR="00BB22D4" w:rsidRPr="00661595">
              <w:rPr>
                <w:rFonts w:ascii="Times New Roman" w:hAnsi="Times New Roman"/>
                <w:sz w:val="24"/>
                <w:lang w:eastAsia="de-DE"/>
              </w:rPr>
              <w:t>in accordance with</w:t>
            </w:r>
            <w:r w:rsidRPr="00661595">
              <w:rPr>
                <w:rFonts w:ascii="Times New Roman" w:hAnsi="Times New Roman"/>
                <w:sz w:val="24"/>
                <w:lang w:eastAsia="de-DE"/>
              </w:rPr>
              <w:t xml:space="preserve"> </w:t>
            </w:r>
            <w:r w:rsidR="00F114E6" w:rsidRPr="00661595">
              <w:rPr>
                <w:rFonts w:ascii="Times New Roman" w:hAnsi="Times New Roman"/>
                <w:sz w:val="24"/>
                <w:lang w:eastAsia="de-DE"/>
              </w:rPr>
              <w:t xml:space="preserve">the </w:t>
            </w:r>
            <w:r w:rsidRPr="00661595">
              <w:rPr>
                <w:rFonts w:ascii="Times New Roman" w:hAnsi="Times New Roman"/>
                <w:sz w:val="24"/>
                <w:lang w:eastAsia="de-DE"/>
              </w:rPr>
              <w:t>BIA cannot identify the business line(s) affected by the loss in every case.</w:t>
            </w:r>
          </w:p>
          <w:p w:rsidR="00FD54FC" w:rsidRPr="00661595" w:rsidRDefault="00FD54FC" w:rsidP="00FD54FC">
            <w:pPr>
              <w:rPr>
                <w:rFonts w:ascii="Times New Roman" w:hAnsi="Times New Roman"/>
                <w:sz w:val="24"/>
                <w:lang w:eastAsia="de-DE"/>
              </w:rPr>
            </w:pPr>
            <w:r w:rsidRPr="00661595">
              <w:rPr>
                <w:rFonts w:ascii="Times New Roman" w:hAnsi="Times New Roman"/>
                <w:sz w:val="24"/>
                <w:lang w:eastAsia="de-DE"/>
              </w:rPr>
              <w:t xml:space="preserve">In rows </w:t>
            </w:r>
            <w:r w:rsidR="00F114E6" w:rsidRPr="00661595">
              <w:rPr>
                <w:rFonts w:ascii="Times New Roman" w:hAnsi="Times New Roman"/>
                <w:sz w:val="24"/>
                <w:lang w:eastAsia="de-DE"/>
              </w:rPr>
              <w:t>0</w:t>
            </w:r>
            <w:r w:rsidRPr="00661595">
              <w:rPr>
                <w:rFonts w:ascii="Times New Roman" w:hAnsi="Times New Roman"/>
                <w:sz w:val="24"/>
                <w:lang w:eastAsia="de-DE"/>
              </w:rPr>
              <w:t xml:space="preserve">911 – </w:t>
            </w:r>
            <w:r w:rsidR="00F114E6" w:rsidRPr="00661595">
              <w:rPr>
                <w:rFonts w:ascii="Times New Roman" w:hAnsi="Times New Roman"/>
                <w:sz w:val="24"/>
                <w:lang w:eastAsia="de-DE"/>
              </w:rPr>
              <w:t>0</w:t>
            </w:r>
            <w:r w:rsidRPr="00661595">
              <w:rPr>
                <w:rFonts w:ascii="Times New Roman" w:hAnsi="Times New Roman"/>
                <w:sz w:val="24"/>
                <w:lang w:eastAsia="de-DE"/>
              </w:rPr>
              <w:t xml:space="preserve">914, the number of </w:t>
            </w:r>
            <w:r w:rsidR="005F1EB8" w:rsidRPr="00661595">
              <w:rPr>
                <w:rFonts w:ascii="Times New Roman" w:hAnsi="Times New Roman"/>
                <w:sz w:val="24"/>
                <w:lang w:eastAsia="de-DE"/>
              </w:rPr>
              <w:t xml:space="preserve">loss </w:t>
            </w:r>
            <w:r w:rsidRPr="00661595">
              <w:rPr>
                <w:rFonts w:ascii="Times New Roman" w:hAnsi="Times New Roman"/>
                <w:sz w:val="24"/>
                <w:lang w:eastAsia="de-DE"/>
              </w:rPr>
              <w:t xml:space="preserve">events with a gross loss amount within the ranges defined in the pertinent rows </w:t>
            </w:r>
            <w:r w:rsidR="0023276A" w:rsidRPr="00661595">
              <w:rPr>
                <w:rFonts w:ascii="Times New Roman" w:hAnsi="Times New Roman"/>
                <w:sz w:val="24"/>
                <w:lang w:eastAsia="de-DE"/>
              </w:rPr>
              <w:t xml:space="preserve">of the template </w:t>
            </w:r>
            <w:r w:rsidRPr="00661595">
              <w:rPr>
                <w:rFonts w:ascii="Times New Roman" w:hAnsi="Times New Roman"/>
                <w:sz w:val="24"/>
                <w:lang w:eastAsia="de-DE"/>
              </w:rPr>
              <w:t>shall be reported.</w:t>
            </w:r>
          </w:p>
          <w:p w:rsidR="00FD54FC" w:rsidRPr="00661595" w:rsidRDefault="00FD54FC" w:rsidP="00FD54FC">
            <w:pPr>
              <w:rPr>
                <w:rFonts w:ascii="Times New Roman" w:hAnsi="Times New Roman"/>
                <w:sz w:val="24"/>
                <w:lang w:eastAsia="de-DE"/>
              </w:rPr>
            </w:pPr>
            <w:r w:rsidRPr="00661595">
              <w:rPr>
                <w:rFonts w:ascii="Times New Roman" w:hAnsi="Times New Roman"/>
                <w:sz w:val="24"/>
                <w:lang w:eastAsia="de-DE"/>
              </w:rPr>
              <w:t xml:space="preserve">Provided that the institution has assigned all its losses to a business line listed in </w:t>
            </w:r>
            <w:r w:rsidR="00133396" w:rsidRPr="00661595">
              <w:rPr>
                <w:rFonts w:ascii="Times New Roman" w:hAnsi="Times New Roman"/>
                <w:sz w:val="24"/>
                <w:lang w:eastAsia="de-DE"/>
              </w:rPr>
              <w:t xml:space="preserve">Table 2 of </w:t>
            </w:r>
            <w:r w:rsidRPr="00661595">
              <w:rPr>
                <w:rFonts w:ascii="Times New Roman" w:hAnsi="Times New Roman"/>
                <w:sz w:val="24"/>
                <w:lang w:eastAsia="de-DE"/>
              </w:rPr>
              <w:t>Article 317(4) CRR or the business line "</w:t>
            </w:r>
            <w:r w:rsidR="001F6487" w:rsidRPr="00661595">
              <w:rPr>
                <w:rFonts w:ascii="Times New Roman" w:hAnsi="Times New Roman"/>
                <w:sz w:val="24"/>
                <w:lang w:eastAsia="de-DE"/>
              </w:rPr>
              <w:t>c</w:t>
            </w:r>
            <w:r w:rsidRPr="00661595">
              <w:rPr>
                <w:rFonts w:ascii="Times New Roman" w:hAnsi="Times New Roman"/>
                <w:sz w:val="24"/>
                <w:lang w:eastAsia="de-DE"/>
              </w:rPr>
              <w:t xml:space="preserve">orporate items" as referred to in </w:t>
            </w:r>
            <w:r w:rsidR="00705025" w:rsidRPr="00661595">
              <w:rPr>
                <w:rFonts w:ascii="Times New Roman" w:hAnsi="Times New Roman"/>
                <w:sz w:val="24"/>
                <w:lang w:eastAsia="de-DE"/>
              </w:rPr>
              <w:t xml:space="preserve">point (b) of </w:t>
            </w:r>
            <w:r w:rsidRPr="00661595">
              <w:rPr>
                <w:rFonts w:ascii="Times New Roman" w:hAnsi="Times New Roman"/>
                <w:sz w:val="24"/>
                <w:lang w:eastAsia="de-DE"/>
              </w:rPr>
              <w:t>Article 322(3) CRR</w:t>
            </w:r>
            <w:r w:rsidR="00E52782" w:rsidRPr="00661595">
              <w:rPr>
                <w:rFonts w:ascii="Times New Roman" w:hAnsi="Times New Roman"/>
                <w:sz w:val="24"/>
                <w:lang w:eastAsia="de-DE"/>
              </w:rPr>
              <w:t xml:space="preserve"> or</w:t>
            </w:r>
            <w:r w:rsidRPr="00661595">
              <w:rPr>
                <w:rFonts w:ascii="Times New Roman" w:hAnsi="Times New Roman"/>
                <w:sz w:val="24"/>
                <w:lang w:eastAsia="de-DE"/>
              </w:rPr>
              <w:t xml:space="preserve">  that it has identified the </w:t>
            </w:r>
            <w:r w:rsidR="005F1EB8" w:rsidRPr="00661595">
              <w:rPr>
                <w:rFonts w:ascii="Times New Roman" w:hAnsi="Times New Roman"/>
                <w:sz w:val="24"/>
                <w:lang w:eastAsia="de-DE"/>
              </w:rPr>
              <w:t xml:space="preserve">loss </w:t>
            </w:r>
            <w:r w:rsidRPr="00661595">
              <w:rPr>
                <w:rFonts w:ascii="Times New Roman" w:hAnsi="Times New Roman"/>
                <w:sz w:val="24"/>
                <w:lang w:eastAsia="de-DE"/>
              </w:rPr>
              <w:t xml:space="preserve">event types for all losses, the following shall apply for column </w:t>
            </w:r>
            <w:r w:rsidR="00CB3146" w:rsidRPr="00661595">
              <w:rPr>
                <w:rFonts w:ascii="Times New Roman" w:hAnsi="Times New Roman"/>
                <w:sz w:val="24"/>
                <w:lang w:eastAsia="de-DE"/>
              </w:rPr>
              <w:t>0</w:t>
            </w:r>
            <w:r w:rsidRPr="00661595">
              <w:rPr>
                <w:rFonts w:ascii="Times New Roman" w:hAnsi="Times New Roman"/>
                <w:sz w:val="24"/>
                <w:lang w:eastAsia="de-DE"/>
              </w:rPr>
              <w:t>080</w:t>
            </w:r>
            <w:r w:rsidR="00E52782" w:rsidRPr="00661595">
              <w:rPr>
                <w:rFonts w:ascii="Times New Roman" w:hAnsi="Times New Roman"/>
                <w:sz w:val="24"/>
                <w:lang w:eastAsia="de-DE"/>
              </w:rPr>
              <w:t>, as appropriate</w:t>
            </w:r>
            <w:r w:rsidRPr="00661595">
              <w:rPr>
                <w:rFonts w:ascii="Times New Roman" w:hAnsi="Times New Roman"/>
                <w:sz w:val="24"/>
                <w:lang w:eastAsia="de-DE"/>
              </w:rPr>
              <w:t>:</w:t>
            </w:r>
          </w:p>
          <w:p w:rsidR="00FD54FC" w:rsidRPr="00661595" w:rsidRDefault="00125707" w:rsidP="0023700C">
            <w:pPr>
              <w:ind w:left="360" w:hanging="360"/>
              <w:rPr>
                <w:rFonts w:ascii="Times New Roman" w:hAnsi="Times New Roman"/>
                <w:sz w:val="24"/>
                <w:lang w:eastAsia="de-DE"/>
              </w:rPr>
            </w:pPr>
            <w:r w:rsidRPr="00661595">
              <w:rPr>
                <w:rFonts w:ascii="Times New Roman" w:hAnsi="Times New Roman"/>
                <w:sz w:val="24"/>
                <w:lang w:eastAsia="de-DE"/>
              </w:rPr>
              <w:t>-</w:t>
            </w:r>
            <w:r w:rsidRPr="00661595">
              <w:rPr>
                <w:rFonts w:ascii="Times New Roman" w:hAnsi="Times New Roman"/>
                <w:sz w:val="24"/>
                <w:lang w:eastAsia="de-DE"/>
              </w:rPr>
              <w:tab/>
            </w:r>
            <w:r w:rsidR="00FD54FC" w:rsidRPr="00661595">
              <w:rPr>
                <w:rFonts w:ascii="Times New Roman" w:hAnsi="Times New Roman"/>
                <w:sz w:val="24"/>
                <w:lang w:eastAsia="de-DE"/>
              </w:rPr>
              <w:t xml:space="preserve">The total number of </w:t>
            </w:r>
            <w:r w:rsidR="005F1EB8" w:rsidRPr="00661595">
              <w:rPr>
                <w:rFonts w:ascii="Times New Roman" w:hAnsi="Times New Roman"/>
                <w:sz w:val="24"/>
                <w:lang w:eastAsia="de-DE"/>
              </w:rPr>
              <w:t xml:space="preserve">loss </w:t>
            </w:r>
            <w:r w:rsidR="00FD54FC" w:rsidRPr="00661595">
              <w:rPr>
                <w:rFonts w:ascii="Times New Roman" w:hAnsi="Times New Roman"/>
                <w:sz w:val="24"/>
                <w:lang w:eastAsia="de-DE"/>
              </w:rPr>
              <w:t xml:space="preserve">events reported in rows </w:t>
            </w:r>
            <w:r w:rsidR="00F114E6" w:rsidRPr="00661595">
              <w:rPr>
                <w:rFonts w:ascii="Times New Roman" w:hAnsi="Times New Roman"/>
                <w:sz w:val="24"/>
                <w:lang w:eastAsia="de-DE"/>
              </w:rPr>
              <w:t>0</w:t>
            </w:r>
            <w:r w:rsidR="00FD54FC" w:rsidRPr="00661595">
              <w:rPr>
                <w:rFonts w:ascii="Times New Roman" w:hAnsi="Times New Roman"/>
                <w:sz w:val="24"/>
                <w:lang w:eastAsia="de-DE"/>
              </w:rPr>
              <w:t xml:space="preserve">910 to </w:t>
            </w:r>
            <w:r w:rsidR="00F114E6" w:rsidRPr="00661595">
              <w:rPr>
                <w:rFonts w:ascii="Times New Roman" w:hAnsi="Times New Roman"/>
                <w:sz w:val="24"/>
                <w:lang w:eastAsia="de-DE"/>
              </w:rPr>
              <w:t>0</w:t>
            </w:r>
            <w:r w:rsidR="00FD54FC" w:rsidRPr="00661595">
              <w:rPr>
                <w:rFonts w:ascii="Times New Roman" w:hAnsi="Times New Roman"/>
                <w:sz w:val="24"/>
                <w:lang w:eastAsia="de-DE"/>
              </w:rPr>
              <w:t xml:space="preserve">914 </w:t>
            </w:r>
            <w:r w:rsidR="0029520F" w:rsidRPr="00661595">
              <w:rPr>
                <w:rFonts w:ascii="Times New Roman" w:hAnsi="Times New Roman"/>
                <w:sz w:val="24"/>
                <w:lang w:eastAsia="de-DE"/>
              </w:rPr>
              <w:t>shall be</w:t>
            </w:r>
            <w:r w:rsidR="00FD54FC" w:rsidRPr="00661595">
              <w:rPr>
                <w:rFonts w:ascii="Times New Roman" w:hAnsi="Times New Roman"/>
                <w:sz w:val="24"/>
                <w:lang w:eastAsia="de-DE"/>
              </w:rPr>
              <w:t xml:space="preserve"> equal to the horizontal aggregation of the number of </w:t>
            </w:r>
            <w:r w:rsidR="005F1EB8" w:rsidRPr="00661595">
              <w:rPr>
                <w:rFonts w:ascii="Times New Roman" w:hAnsi="Times New Roman"/>
                <w:sz w:val="24"/>
                <w:lang w:eastAsia="de-DE"/>
              </w:rPr>
              <w:t xml:space="preserve">loss </w:t>
            </w:r>
            <w:r w:rsidR="00FD54FC" w:rsidRPr="00661595">
              <w:rPr>
                <w:rFonts w:ascii="Times New Roman" w:hAnsi="Times New Roman"/>
                <w:sz w:val="24"/>
                <w:lang w:eastAsia="de-DE"/>
              </w:rPr>
              <w:t xml:space="preserve">events in the corresponding row, </w:t>
            </w:r>
            <w:r w:rsidR="00F41508" w:rsidRPr="00661595">
              <w:rPr>
                <w:rFonts w:ascii="Times New Roman" w:hAnsi="Times New Roman"/>
                <w:sz w:val="24"/>
                <w:lang w:eastAsia="de-DE"/>
              </w:rPr>
              <w:t>because</w:t>
            </w:r>
            <w:r w:rsidR="00FD54FC" w:rsidRPr="00661595">
              <w:rPr>
                <w:rFonts w:ascii="Times New Roman" w:hAnsi="Times New Roman"/>
                <w:sz w:val="24"/>
                <w:lang w:eastAsia="de-DE"/>
              </w:rPr>
              <w:t xml:space="preserve"> in those figures the </w:t>
            </w:r>
            <w:r w:rsidR="005F1EB8" w:rsidRPr="00661595">
              <w:rPr>
                <w:rFonts w:ascii="Times New Roman" w:hAnsi="Times New Roman"/>
                <w:sz w:val="24"/>
                <w:lang w:eastAsia="de-DE"/>
              </w:rPr>
              <w:t xml:space="preserve">loss </w:t>
            </w:r>
            <w:r w:rsidR="00FD54FC" w:rsidRPr="00661595">
              <w:rPr>
                <w:rFonts w:ascii="Times New Roman" w:hAnsi="Times New Roman"/>
                <w:sz w:val="24"/>
                <w:lang w:eastAsia="de-DE"/>
              </w:rPr>
              <w:t xml:space="preserve">events with impacts in different business lines shall </w:t>
            </w:r>
            <w:r w:rsidR="00F41508" w:rsidRPr="00661595">
              <w:rPr>
                <w:rFonts w:ascii="Times New Roman" w:hAnsi="Times New Roman"/>
                <w:sz w:val="24"/>
                <w:lang w:eastAsia="de-DE"/>
              </w:rPr>
              <w:t xml:space="preserve">already </w:t>
            </w:r>
            <w:r w:rsidR="00FD54FC" w:rsidRPr="00661595">
              <w:rPr>
                <w:rFonts w:ascii="Times New Roman" w:hAnsi="Times New Roman"/>
                <w:sz w:val="24"/>
                <w:lang w:eastAsia="de-DE"/>
              </w:rPr>
              <w:t xml:space="preserve">have been considered as one </w:t>
            </w:r>
            <w:r w:rsidR="005F1EB8" w:rsidRPr="00661595">
              <w:rPr>
                <w:rFonts w:ascii="Times New Roman" w:hAnsi="Times New Roman"/>
                <w:sz w:val="24"/>
                <w:lang w:eastAsia="de-DE"/>
              </w:rPr>
              <w:t xml:space="preserve">loss </w:t>
            </w:r>
            <w:r w:rsidR="00FD54FC" w:rsidRPr="00661595">
              <w:rPr>
                <w:rFonts w:ascii="Times New Roman" w:hAnsi="Times New Roman"/>
                <w:sz w:val="24"/>
                <w:lang w:eastAsia="de-DE"/>
              </w:rPr>
              <w:t>event.</w:t>
            </w:r>
          </w:p>
          <w:p w:rsidR="00FD54FC" w:rsidRPr="00661595" w:rsidRDefault="00125707" w:rsidP="00F41508">
            <w:pPr>
              <w:ind w:left="360" w:hanging="360"/>
              <w:rPr>
                <w:rStyle w:val="InstructionsTabelleberschrift"/>
                <w:rFonts w:ascii="Times New Roman" w:hAnsi="Times New Roman"/>
                <w:b w:val="0"/>
                <w:bCs w:val="0"/>
                <w:sz w:val="24"/>
                <w:u w:val="none"/>
                <w:lang w:eastAsia="de-DE"/>
              </w:rPr>
            </w:pPr>
            <w:r w:rsidRPr="00661595">
              <w:rPr>
                <w:rStyle w:val="InstructionsTabelleberschrift"/>
                <w:rFonts w:ascii="Times New Roman" w:hAnsi="Times New Roman"/>
                <w:b w:val="0"/>
                <w:bCs w:val="0"/>
                <w:sz w:val="24"/>
                <w:u w:val="none"/>
                <w:lang w:eastAsia="de-DE"/>
              </w:rPr>
              <w:t>-</w:t>
            </w:r>
            <w:r w:rsidRPr="00661595">
              <w:rPr>
                <w:rStyle w:val="InstructionsTabelleberschrift"/>
                <w:rFonts w:ascii="Times New Roman" w:hAnsi="Times New Roman"/>
                <w:b w:val="0"/>
                <w:bCs w:val="0"/>
                <w:sz w:val="24"/>
                <w:u w:val="none"/>
                <w:lang w:eastAsia="de-DE"/>
              </w:rPr>
              <w:tab/>
            </w:r>
            <w:r w:rsidR="00FD54FC" w:rsidRPr="00661595">
              <w:rPr>
                <w:rFonts w:ascii="Times New Roman" w:hAnsi="Times New Roman"/>
                <w:sz w:val="24"/>
                <w:lang w:eastAsia="de-DE"/>
              </w:rPr>
              <w:t xml:space="preserve">The figure reported in column </w:t>
            </w:r>
            <w:r w:rsidR="00F114E6" w:rsidRPr="00661595">
              <w:rPr>
                <w:rFonts w:ascii="Times New Roman" w:hAnsi="Times New Roman"/>
                <w:sz w:val="24"/>
                <w:lang w:eastAsia="de-DE"/>
              </w:rPr>
              <w:t>0</w:t>
            </w:r>
            <w:r w:rsidR="00FD54FC" w:rsidRPr="00661595">
              <w:rPr>
                <w:rFonts w:ascii="Times New Roman" w:hAnsi="Times New Roman"/>
                <w:sz w:val="24"/>
                <w:lang w:eastAsia="de-DE"/>
              </w:rPr>
              <w:t xml:space="preserve">080, row </w:t>
            </w:r>
            <w:r w:rsidR="00F114E6" w:rsidRPr="00661595">
              <w:rPr>
                <w:rFonts w:ascii="Times New Roman" w:hAnsi="Times New Roman"/>
                <w:sz w:val="24"/>
                <w:lang w:eastAsia="de-DE"/>
              </w:rPr>
              <w:t>0</w:t>
            </w:r>
            <w:r w:rsidR="00FD54FC" w:rsidRPr="00661595">
              <w:rPr>
                <w:rFonts w:ascii="Times New Roman" w:hAnsi="Times New Roman"/>
                <w:sz w:val="24"/>
                <w:lang w:eastAsia="de-DE"/>
              </w:rPr>
              <w:t xml:space="preserve">910 shall not necessarily be equal to the vertical aggregation of the number of </w:t>
            </w:r>
            <w:r w:rsidR="005F1EB8" w:rsidRPr="00661595">
              <w:rPr>
                <w:rFonts w:ascii="Times New Roman" w:hAnsi="Times New Roman"/>
                <w:sz w:val="24"/>
                <w:lang w:eastAsia="de-DE"/>
              </w:rPr>
              <w:t xml:space="preserve">loss </w:t>
            </w:r>
            <w:r w:rsidR="00FD54FC" w:rsidRPr="00661595">
              <w:rPr>
                <w:rFonts w:ascii="Times New Roman" w:hAnsi="Times New Roman"/>
                <w:sz w:val="24"/>
                <w:lang w:eastAsia="de-DE"/>
              </w:rPr>
              <w:t xml:space="preserve">events which are included in column </w:t>
            </w:r>
            <w:r w:rsidR="00CB3146" w:rsidRPr="00661595">
              <w:rPr>
                <w:rFonts w:ascii="Times New Roman" w:hAnsi="Times New Roman"/>
                <w:sz w:val="24"/>
                <w:lang w:eastAsia="de-DE"/>
              </w:rPr>
              <w:t>0</w:t>
            </w:r>
            <w:r w:rsidR="00FD54FC" w:rsidRPr="00661595">
              <w:rPr>
                <w:rFonts w:ascii="Times New Roman" w:hAnsi="Times New Roman"/>
                <w:sz w:val="24"/>
                <w:lang w:eastAsia="de-DE"/>
              </w:rPr>
              <w:t xml:space="preserve">080, </w:t>
            </w:r>
            <w:r w:rsidR="00F41508" w:rsidRPr="00661595">
              <w:rPr>
                <w:rFonts w:ascii="Times New Roman" w:hAnsi="Times New Roman"/>
                <w:sz w:val="24"/>
                <w:lang w:eastAsia="de-DE"/>
              </w:rPr>
              <w:t>because</w:t>
            </w:r>
            <w:r w:rsidR="00FD54FC" w:rsidRPr="00661595">
              <w:rPr>
                <w:rFonts w:ascii="Times New Roman" w:hAnsi="Times New Roman"/>
                <w:sz w:val="24"/>
                <w:lang w:eastAsia="de-DE"/>
              </w:rPr>
              <w:t xml:space="preserve"> one </w:t>
            </w:r>
            <w:r w:rsidR="005F1EB8" w:rsidRPr="00661595">
              <w:rPr>
                <w:rFonts w:ascii="Times New Roman" w:hAnsi="Times New Roman"/>
                <w:sz w:val="24"/>
                <w:lang w:eastAsia="de-DE"/>
              </w:rPr>
              <w:t xml:space="preserve">loss </w:t>
            </w:r>
            <w:r w:rsidR="00FD54FC" w:rsidRPr="00661595">
              <w:rPr>
                <w:rFonts w:ascii="Times New Roman" w:hAnsi="Times New Roman"/>
                <w:sz w:val="24"/>
                <w:lang w:eastAsia="de-DE"/>
              </w:rPr>
              <w:t>event can have an impact in different business lines simultaneously.</w:t>
            </w:r>
          </w:p>
        </w:tc>
      </w:tr>
      <w:tr w:rsidR="00FD54FC" w:rsidRPr="00661595" w:rsidTr="00672D2A">
        <w:tc>
          <w:tcPr>
            <w:tcW w:w="1101" w:type="dxa"/>
          </w:tcPr>
          <w:p w:rsidR="00FD54FC" w:rsidRPr="00661595" w:rsidRDefault="00C93FC2" w:rsidP="000F70EC">
            <w:pPr>
              <w:rPr>
                <w:rFonts w:ascii="Times New Roman" w:hAnsi="Times New Roman"/>
                <w:bCs/>
                <w:sz w:val="24"/>
                <w:lang w:eastAsia="nl-BE"/>
              </w:rPr>
            </w:pPr>
            <w:r w:rsidRPr="00661595">
              <w:rPr>
                <w:rFonts w:ascii="Times New Roman" w:hAnsi="Times New Roman"/>
                <w:bCs/>
                <w:sz w:val="24"/>
                <w:lang w:eastAsia="nl-BE"/>
              </w:rPr>
              <w:t>0</w:t>
            </w:r>
            <w:r w:rsidR="00FD54FC" w:rsidRPr="00661595">
              <w:rPr>
                <w:rFonts w:ascii="Times New Roman" w:hAnsi="Times New Roman"/>
                <w:bCs/>
                <w:sz w:val="24"/>
                <w:lang w:eastAsia="nl-BE"/>
              </w:rPr>
              <w:t>920-</w:t>
            </w:r>
            <w:r w:rsidRPr="00661595">
              <w:rPr>
                <w:rFonts w:ascii="Times New Roman" w:hAnsi="Times New Roman"/>
                <w:bCs/>
                <w:sz w:val="24"/>
                <w:lang w:eastAsia="nl-BE"/>
              </w:rPr>
              <w:t>0</w:t>
            </w:r>
            <w:r w:rsidR="00FD54FC" w:rsidRPr="00661595">
              <w:rPr>
                <w:rFonts w:ascii="Times New Roman" w:hAnsi="Times New Roman"/>
                <w:bCs/>
                <w:sz w:val="24"/>
                <w:lang w:eastAsia="nl-BE"/>
              </w:rPr>
              <w:t>924</w:t>
            </w:r>
          </w:p>
        </w:tc>
        <w:tc>
          <w:tcPr>
            <w:tcW w:w="8079" w:type="dxa"/>
          </w:tcPr>
          <w:p w:rsidR="00FD54FC" w:rsidRPr="00661595" w:rsidRDefault="00FD54FC" w:rsidP="00FD54FC">
            <w:pPr>
              <w:rPr>
                <w:rStyle w:val="InstructionsTabelleberschrift"/>
                <w:rFonts w:ascii="Times New Roman" w:hAnsi="Times New Roman"/>
                <w:sz w:val="24"/>
              </w:rPr>
            </w:pPr>
            <w:r w:rsidRPr="00661595">
              <w:rPr>
                <w:rStyle w:val="InstructionsTabelleberschrift"/>
                <w:rFonts w:ascii="Times New Roman" w:hAnsi="Times New Roman"/>
                <w:sz w:val="24"/>
              </w:rPr>
              <w:t xml:space="preserve">Gross loss amount (new </w:t>
            </w:r>
            <w:r w:rsidR="005F1EB8" w:rsidRPr="00661595">
              <w:rPr>
                <w:rStyle w:val="InstructionsTabelleberschrift"/>
                <w:rFonts w:ascii="Times New Roman" w:hAnsi="Times New Roman"/>
                <w:sz w:val="24"/>
              </w:rPr>
              <w:t xml:space="preserve">loss </w:t>
            </w:r>
            <w:r w:rsidRPr="00661595">
              <w:rPr>
                <w:rStyle w:val="InstructionsTabelleberschrift"/>
                <w:rFonts w:ascii="Times New Roman" w:hAnsi="Times New Roman"/>
                <w:sz w:val="24"/>
              </w:rPr>
              <w:t>events)</w:t>
            </w:r>
          </w:p>
          <w:p w:rsidR="00FD54FC" w:rsidRPr="00661595" w:rsidRDefault="00FD54FC" w:rsidP="00FD54FC">
            <w:pPr>
              <w:rPr>
                <w:rFonts w:ascii="Times New Roman" w:hAnsi="Times New Roman"/>
                <w:sz w:val="24"/>
                <w:lang w:eastAsia="de-DE"/>
              </w:rPr>
            </w:pPr>
            <w:r w:rsidRPr="00661595">
              <w:rPr>
                <w:rFonts w:ascii="Times New Roman" w:hAnsi="Times New Roman"/>
                <w:sz w:val="24"/>
                <w:lang w:eastAsia="de-DE"/>
              </w:rPr>
              <w:t xml:space="preserve">Provided that the institution has assigned all its losses either to a business line listed in </w:t>
            </w:r>
            <w:r w:rsidR="00133396" w:rsidRPr="00661595">
              <w:rPr>
                <w:rFonts w:ascii="Times New Roman" w:hAnsi="Times New Roman"/>
                <w:sz w:val="24"/>
                <w:lang w:eastAsia="de-DE"/>
              </w:rPr>
              <w:t>T</w:t>
            </w:r>
            <w:r w:rsidR="001E0C80" w:rsidRPr="00661595">
              <w:rPr>
                <w:rFonts w:ascii="Times New Roman" w:hAnsi="Times New Roman"/>
                <w:sz w:val="24"/>
                <w:lang w:eastAsia="de-DE"/>
              </w:rPr>
              <w:t xml:space="preserve">able 2 of </w:t>
            </w:r>
            <w:r w:rsidRPr="00661595">
              <w:rPr>
                <w:rFonts w:ascii="Times New Roman" w:hAnsi="Times New Roman"/>
                <w:sz w:val="24"/>
                <w:lang w:eastAsia="de-DE"/>
              </w:rPr>
              <w:t>Article 317(4) CRR or the business line "</w:t>
            </w:r>
            <w:r w:rsidR="00F41508" w:rsidRPr="00661595">
              <w:rPr>
                <w:rFonts w:ascii="Times New Roman" w:hAnsi="Times New Roman"/>
                <w:sz w:val="24"/>
                <w:lang w:eastAsia="de-DE"/>
              </w:rPr>
              <w:t>c</w:t>
            </w:r>
            <w:r w:rsidRPr="00661595">
              <w:rPr>
                <w:rFonts w:ascii="Times New Roman" w:hAnsi="Times New Roman"/>
                <w:sz w:val="24"/>
                <w:lang w:eastAsia="de-DE"/>
              </w:rPr>
              <w:t xml:space="preserve">orporate items" referred to in </w:t>
            </w:r>
            <w:r w:rsidR="00705025" w:rsidRPr="00661595">
              <w:rPr>
                <w:rFonts w:ascii="Times New Roman" w:hAnsi="Times New Roman"/>
                <w:sz w:val="24"/>
                <w:lang w:eastAsia="de-DE"/>
              </w:rPr>
              <w:t xml:space="preserve">point (b) of </w:t>
            </w:r>
            <w:r w:rsidRPr="00661595">
              <w:rPr>
                <w:rFonts w:ascii="Times New Roman" w:hAnsi="Times New Roman"/>
                <w:sz w:val="24"/>
                <w:lang w:eastAsia="de-DE"/>
              </w:rPr>
              <w:t xml:space="preserve">Article 322(3) CRR, the gross loss amount (new </w:t>
            </w:r>
            <w:r w:rsidR="00EB6FC2" w:rsidRPr="00661595">
              <w:rPr>
                <w:rFonts w:ascii="Times New Roman" w:hAnsi="Times New Roman"/>
                <w:sz w:val="24"/>
                <w:lang w:eastAsia="de-DE"/>
              </w:rPr>
              <w:t xml:space="preserve">loss </w:t>
            </w:r>
            <w:r w:rsidRPr="00661595">
              <w:rPr>
                <w:rFonts w:ascii="Times New Roman" w:hAnsi="Times New Roman"/>
                <w:sz w:val="24"/>
                <w:lang w:eastAsia="de-DE"/>
              </w:rPr>
              <w:t xml:space="preserve">events) reported in row </w:t>
            </w:r>
            <w:r w:rsidR="00F114E6" w:rsidRPr="00661595">
              <w:rPr>
                <w:rFonts w:ascii="Times New Roman" w:hAnsi="Times New Roman"/>
                <w:sz w:val="24"/>
                <w:lang w:eastAsia="de-DE"/>
              </w:rPr>
              <w:t>0</w:t>
            </w:r>
            <w:r w:rsidRPr="00661595">
              <w:rPr>
                <w:rFonts w:ascii="Times New Roman" w:hAnsi="Times New Roman"/>
                <w:sz w:val="24"/>
                <w:lang w:eastAsia="de-DE"/>
              </w:rPr>
              <w:t xml:space="preserve">920 </w:t>
            </w:r>
            <w:r w:rsidR="00F41508" w:rsidRPr="00661595">
              <w:rPr>
                <w:rFonts w:ascii="Times New Roman" w:hAnsi="Times New Roman"/>
                <w:sz w:val="24"/>
                <w:lang w:eastAsia="de-DE"/>
              </w:rPr>
              <w:t>shall be</w:t>
            </w:r>
            <w:r w:rsidRPr="00661595">
              <w:rPr>
                <w:rFonts w:ascii="Times New Roman" w:hAnsi="Times New Roman"/>
                <w:sz w:val="24"/>
                <w:lang w:eastAsia="de-DE"/>
              </w:rPr>
              <w:t xml:space="preserve"> the simple aggregation of the gross loss amounts of new </w:t>
            </w:r>
            <w:r w:rsidR="005F1EB8" w:rsidRPr="00661595">
              <w:rPr>
                <w:rFonts w:ascii="Times New Roman" w:hAnsi="Times New Roman"/>
                <w:sz w:val="24"/>
                <w:lang w:eastAsia="de-DE"/>
              </w:rPr>
              <w:t xml:space="preserve">loss </w:t>
            </w:r>
            <w:r w:rsidRPr="00661595">
              <w:rPr>
                <w:rFonts w:ascii="Times New Roman" w:hAnsi="Times New Roman"/>
                <w:sz w:val="24"/>
                <w:lang w:eastAsia="de-DE"/>
              </w:rPr>
              <w:t xml:space="preserve">events for each business line. </w:t>
            </w:r>
          </w:p>
          <w:p w:rsidR="00FD54FC" w:rsidRPr="00661595" w:rsidRDefault="00FD54FC" w:rsidP="00FD54FC">
            <w:pPr>
              <w:rPr>
                <w:rStyle w:val="InstructionsTabelleberschrift"/>
                <w:rFonts w:ascii="Times New Roman" w:hAnsi="Times New Roman"/>
                <w:sz w:val="24"/>
              </w:rPr>
            </w:pPr>
            <w:r w:rsidRPr="00661595">
              <w:rPr>
                <w:rFonts w:ascii="Times New Roman" w:hAnsi="Times New Roman"/>
                <w:sz w:val="24"/>
                <w:lang w:eastAsia="de-DE"/>
              </w:rPr>
              <w:t xml:space="preserve">In rows </w:t>
            </w:r>
            <w:r w:rsidR="00F114E6" w:rsidRPr="00661595">
              <w:rPr>
                <w:rFonts w:ascii="Times New Roman" w:hAnsi="Times New Roman"/>
                <w:sz w:val="24"/>
                <w:lang w:eastAsia="de-DE"/>
              </w:rPr>
              <w:t>0</w:t>
            </w:r>
            <w:r w:rsidRPr="00661595">
              <w:rPr>
                <w:rFonts w:ascii="Times New Roman" w:hAnsi="Times New Roman"/>
                <w:sz w:val="24"/>
                <w:lang w:eastAsia="de-DE"/>
              </w:rPr>
              <w:t xml:space="preserve">921 – </w:t>
            </w:r>
            <w:r w:rsidR="00F114E6" w:rsidRPr="00661595">
              <w:rPr>
                <w:rFonts w:ascii="Times New Roman" w:hAnsi="Times New Roman"/>
                <w:sz w:val="24"/>
                <w:lang w:eastAsia="de-DE"/>
              </w:rPr>
              <w:t>0</w:t>
            </w:r>
            <w:r w:rsidRPr="00661595">
              <w:rPr>
                <w:rFonts w:ascii="Times New Roman" w:hAnsi="Times New Roman"/>
                <w:sz w:val="24"/>
                <w:lang w:eastAsia="de-DE"/>
              </w:rPr>
              <w:t xml:space="preserve">924, the gross loss amount for </w:t>
            </w:r>
            <w:r w:rsidR="005F1EB8" w:rsidRPr="00661595">
              <w:rPr>
                <w:rFonts w:ascii="Times New Roman" w:hAnsi="Times New Roman"/>
                <w:sz w:val="24"/>
                <w:lang w:eastAsia="de-DE"/>
              </w:rPr>
              <w:t xml:space="preserve">loss </w:t>
            </w:r>
            <w:r w:rsidRPr="00661595">
              <w:rPr>
                <w:rFonts w:ascii="Times New Roman" w:hAnsi="Times New Roman"/>
                <w:sz w:val="24"/>
                <w:lang w:eastAsia="de-DE"/>
              </w:rPr>
              <w:t>events with a gross loss amount within the ranges defined in the pertinent rows shall be reported.</w:t>
            </w:r>
          </w:p>
        </w:tc>
      </w:tr>
      <w:tr w:rsidR="00FD54FC" w:rsidRPr="00661595" w:rsidTr="00672D2A">
        <w:tc>
          <w:tcPr>
            <w:tcW w:w="1101" w:type="dxa"/>
          </w:tcPr>
          <w:p w:rsidR="00FD54FC" w:rsidRPr="00661595" w:rsidRDefault="00C93FC2" w:rsidP="00FD54FC">
            <w:pPr>
              <w:rPr>
                <w:rFonts w:ascii="Times New Roman" w:hAnsi="Times New Roman"/>
                <w:bCs/>
                <w:sz w:val="24"/>
                <w:lang w:eastAsia="nl-BE"/>
              </w:rPr>
            </w:pPr>
            <w:r w:rsidRPr="00661595">
              <w:rPr>
                <w:rFonts w:ascii="Times New Roman" w:hAnsi="Times New Roman"/>
                <w:sz w:val="24"/>
                <w:lang w:eastAsia="de-DE"/>
              </w:rPr>
              <w:t>0</w:t>
            </w:r>
            <w:r w:rsidR="00FD54FC" w:rsidRPr="00661595">
              <w:rPr>
                <w:rFonts w:ascii="Times New Roman" w:hAnsi="Times New Roman"/>
                <w:sz w:val="24"/>
                <w:lang w:eastAsia="de-DE"/>
              </w:rPr>
              <w:t xml:space="preserve">930, </w:t>
            </w:r>
            <w:r w:rsidRPr="00661595">
              <w:rPr>
                <w:rFonts w:ascii="Times New Roman" w:hAnsi="Times New Roman"/>
                <w:sz w:val="24"/>
                <w:lang w:eastAsia="de-DE"/>
              </w:rPr>
              <w:t>0</w:t>
            </w:r>
            <w:r w:rsidR="00FD54FC" w:rsidRPr="00661595">
              <w:rPr>
                <w:rFonts w:ascii="Times New Roman" w:hAnsi="Times New Roman"/>
                <w:bCs/>
                <w:sz w:val="24"/>
                <w:lang w:eastAsia="nl-BE"/>
              </w:rPr>
              <w:t xml:space="preserve">935, </w:t>
            </w:r>
            <w:r w:rsidRPr="00661595">
              <w:rPr>
                <w:rFonts w:ascii="Times New Roman" w:hAnsi="Times New Roman"/>
                <w:bCs/>
                <w:sz w:val="24"/>
                <w:lang w:eastAsia="nl-BE"/>
              </w:rPr>
              <w:t>0</w:t>
            </w:r>
            <w:r w:rsidR="00FD54FC" w:rsidRPr="00661595">
              <w:rPr>
                <w:rFonts w:ascii="Times New Roman" w:hAnsi="Times New Roman"/>
                <w:bCs/>
                <w:sz w:val="24"/>
                <w:lang w:eastAsia="nl-BE"/>
              </w:rPr>
              <w:t>936</w:t>
            </w:r>
          </w:p>
        </w:tc>
        <w:tc>
          <w:tcPr>
            <w:tcW w:w="8079" w:type="dxa"/>
          </w:tcPr>
          <w:p w:rsidR="00FD54FC" w:rsidRPr="00661595" w:rsidRDefault="00FD54FC" w:rsidP="00FD54FC">
            <w:pPr>
              <w:rPr>
                <w:rFonts w:ascii="Times New Roman" w:hAnsi="Times New Roman"/>
                <w:sz w:val="24"/>
                <w:lang w:eastAsia="de-DE"/>
              </w:rPr>
            </w:pPr>
            <w:r w:rsidRPr="00661595">
              <w:rPr>
                <w:rStyle w:val="InstructionsTabelleberschrift"/>
                <w:rFonts w:ascii="Times New Roman" w:hAnsi="Times New Roman"/>
                <w:sz w:val="24"/>
              </w:rPr>
              <w:t>Number of loss events subject to loss adjustments</w:t>
            </w:r>
          </w:p>
          <w:p w:rsidR="00FD54FC" w:rsidRPr="00661595" w:rsidRDefault="00FD54FC" w:rsidP="00FD54FC">
            <w:pPr>
              <w:rPr>
                <w:rFonts w:ascii="Times New Roman" w:hAnsi="Times New Roman"/>
                <w:sz w:val="24"/>
                <w:lang w:eastAsia="de-DE"/>
              </w:rPr>
            </w:pPr>
            <w:r w:rsidRPr="00661595">
              <w:rPr>
                <w:rFonts w:ascii="Times New Roman" w:hAnsi="Times New Roman"/>
                <w:sz w:val="24"/>
                <w:lang w:eastAsia="de-DE"/>
              </w:rPr>
              <w:t xml:space="preserve">In row </w:t>
            </w:r>
            <w:r w:rsidR="00F114E6" w:rsidRPr="00661595">
              <w:rPr>
                <w:rFonts w:ascii="Times New Roman" w:hAnsi="Times New Roman"/>
                <w:sz w:val="24"/>
                <w:lang w:eastAsia="de-DE"/>
              </w:rPr>
              <w:t>0</w:t>
            </w:r>
            <w:r w:rsidRPr="00661595">
              <w:rPr>
                <w:rFonts w:ascii="Times New Roman" w:hAnsi="Times New Roman"/>
                <w:sz w:val="24"/>
                <w:lang w:eastAsia="de-DE"/>
              </w:rPr>
              <w:t xml:space="preserve">930, the total of the numbers of </w:t>
            </w:r>
            <w:r w:rsidR="00EB6FC2" w:rsidRPr="00661595">
              <w:rPr>
                <w:rFonts w:ascii="Times New Roman" w:hAnsi="Times New Roman"/>
                <w:sz w:val="24"/>
                <w:lang w:eastAsia="de-DE"/>
              </w:rPr>
              <w:t xml:space="preserve">loss </w:t>
            </w:r>
            <w:r w:rsidRPr="00661595">
              <w:rPr>
                <w:rFonts w:ascii="Times New Roman" w:hAnsi="Times New Roman"/>
                <w:sz w:val="24"/>
                <w:lang w:eastAsia="de-DE"/>
              </w:rPr>
              <w:t xml:space="preserve">events subject to loss adjustments </w:t>
            </w:r>
            <w:r w:rsidR="0023276A" w:rsidRPr="00661595">
              <w:rPr>
                <w:rFonts w:ascii="Times New Roman" w:hAnsi="Times New Roman"/>
                <w:sz w:val="24"/>
                <w:lang w:eastAsia="de-DE"/>
              </w:rPr>
              <w:t>as reported in</w:t>
            </w:r>
            <w:r w:rsidRPr="00661595">
              <w:rPr>
                <w:rFonts w:ascii="Times New Roman" w:hAnsi="Times New Roman"/>
                <w:sz w:val="24"/>
                <w:lang w:eastAsia="de-DE"/>
              </w:rPr>
              <w:t xml:space="preserve"> rows </w:t>
            </w:r>
            <w:r w:rsidR="00F114E6" w:rsidRPr="00661595">
              <w:rPr>
                <w:rFonts w:ascii="Times New Roman" w:hAnsi="Times New Roman"/>
                <w:sz w:val="24"/>
                <w:lang w:eastAsia="de-DE"/>
              </w:rPr>
              <w:t>0</w:t>
            </w:r>
            <w:r w:rsidRPr="00661595">
              <w:rPr>
                <w:rFonts w:ascii="Times New Roman" w:hAnsi="Times New Roman"/>
                <w:sz w:val="24"/>
                <w:lang w:eastAsia="de-DE"/>
              </w:rPr>
              <w:t xml:space="preserve">030, </w:t>
            </w:r>
            <w:r w:rsidR="00F114E6" w:rsidRPr="00661595">
              <w:rPr>
                <w:rFonts w:ascii="Times New Roman" w:hAnsi="Times New Roman"/>
                <w:sz w:val="24"/>
                <w:lang w:eastAsia="de-DE"/>
              </w:rPr>
              <w:t>0</w:t>
            </w:r>
            <w:r w:rsidRPr="00661595">
              <w:rPr>
                <w:rFonts w:ascii="Times New Roman" w:hAnsi="Times New Roman"/>
                <w:sz w:val="24"/>
                <w:lang w:eastAsia="de-DE"/>
              </w:rPr>
              <w:t xml:space="preserve">130, …, </w:t>
            </w:r>
            <w:r w:rsidR="00F114E6" w:rsidRPr="00661595">
              <w:rPr>
                <w:rFonts w:ascii="Times New Roman" w:hAnsi="Times New Roman"/>
                <w:sz w:val="24"/>
                <w:lang w:eastAsia="de-DE"/>
              </w:rPr>
              <w:t>0</w:t>
            </w:r>
            <w:r w:rsidRPr="00661595">
              <w:rPr>
                <w:rFonts w:ascii="Times New Roman" w:hAnsi="Times New Roman"/>
                <w:sz w:val="24"/>
                <w:lang w:eastAsia="de-DE"/>
              </w:rPr>
              <w:t>830 shall be reported. Th</w:t>
            </w:r>
            <w:r w:rsidR="00F41508" w:rsidRPr="00661595">
              <w:rPr>
                <w:rFonts w:ascii="Times New Roman" w:hAnsi="Times New Roman"/>
                <w:sz w:val="24"/>
                <w:lang w:eastAsia="de-DE"/>
              </w:rPr>
              <w:t>at</w:t>
            </w:r>
            <w:r w:rsidRPr="00661595">
              <w:rPr>
                <w:rFonts w:ascii="Times New Roman" w:hAnsi="Times New Roman"/>
                <w:sz w:val="24"/>
                <w:lang w:eastAsia="de-DE"/>
              </w:rPr>
              <w:t xml:space="preserve"> figure may be lower than the aggregation of the number of </w:t>
            </w:r>
            <w:r w:rsidR="00EB6FC2" w:rsidRPr="00661595">
              <w:rPr>
                <w:rFonts w:ascii="Times New Roman" w:hAnsi="Times New Roman"/>
                <w:sz w:val="24"/>
                <w:lang w:eastAsia="de-DE"/>
              </w:rPr>
              <w:t xml:space="preserve">loss </w:t>
            </w:r>
            <w:r w:rsidRPr="00661595">
              <w:rPr>
                <w:rFonts w:ascii="Times New Roman" w:hAnsi="Times New Roman"/>
                <w:sz w:val="24"/>
                <w:lang w:eastAsia="de-DE"/>
              </w:rPr>
              <w:t xml:space="preserve">events subject to loss adjustments by business lines since </w:t>
            </w:r>
            <w:r w:rsidR="00F114E6" w:rsidRPr="00661595">
              <w:rPr>
                <w:rFonts w:ascii="Times New Roman" w:hAnsi="Times New Roman"/>
                <w:sz w:val="24"/>
                <w:lang w:eastAsia="de-DE"/>
              </w:rPr>
              <w:t xml:space="preserve">loss </w:t>
            </w:r>
            <w:r w:rsidRPr="00661595">
              <w:rPr>
                <w:rFonts w:ascii="Times New Roman" w:hAnsi="Times New Roman"/>
                <w:sz w:val="24"/>
                <w:lang w:eastAsia="de-DE"/>
              </w:rPr>
              <w:t xml:space="preserve">events with multiple impacts (impacts in different business lines) shall be considered as one. It may be higher, </w:t>
            </w:r>
            <w:r w:rsidR="00F41508" w:rsidRPr="00661595">
              <w:rPr>
                <w:rFonts w:ascii="Times New Roman" w:hAnsi="Times New Roman"/>
                <w:sz w:val="24"/>
                <w:lang w:eastAsia="de-DE"/>
              </w:rPr>
              <w:t>where</w:t>
            </w:r>
            <w:r w:rsidRPr="00661595">
              <w:rPr>
                <w:rFonts w:ascii="Times New Roman" w:hAnsi="Times New Roman"/>
                <w:sz w:val="24"/>
                <w:lang w:eastAsia="de-DE"/>
              </w:rPr>
              <w:t xml:space="preserve"> an institution calculating its own funds requirements </w:t>
            </w:r>
            <w:r w:rsidR="00BB22D4" w:rsidRPr="00661595">
              <w:rPr>
                <w:rFonts w:ascii="Times New Roman" w:hAnsi="Times New Roman"/>
                <w:sz w:val="24"/>
                <w:lang w:eastAsia="de-DE"/>
              </w:rPr>
              <w:t>in accordance with</w:t>
            </w:r>
            <w:r w:rsidRPr="00661595">
              <w:rPr>
                <w:rFonts w:ascii="Times New Roman" w:hAnsi="Times New Roman"/>
                <w:sz w:val="24"/>
                <w:lang w:eastAsia="de-DE"/>
              </w:rPr>
              <w:t xml:space="preserve"> </w:t>
            </w:r>
            <w:r w:rsidR="00F114E6" w:rsidRPr="00661595">
              <w:rPr>
                <w:rFonts w:ascii="Times New Roman" w:hAnsi="Times New Roman"/>
                <w:sz w:val="24"/>
                <w:lang w:eastAsia="de-DE"/>
              </w:rPr>
              <w:t xml:space="preserve">the </w:t>
            </w:r>
            <w:r w:rsidRPr="00661595">
              <w:rPr>
                <w:rFonts w:ascii="Times New Roman" w:hAnsi="Times New Roman"/>
                <w:sz w:val="24"/>
                <w:lang w:eastAsia="de-DE"/>
              </w:rPr>
              <w:t>BIA cannot identify the business line(s) affected by the loss in every case.</w:t>
            </w:r>
          </w:p>
          <w:p w:rsidR="00FD54FC" w:rsidRPr="00661595" w:rsidRDefault="00FD54FC" w:rsidP="00FD54FC">
            <w:pPr>
              <w:rPr>
                <w:rStyle w:val="InstructionsTabelleberschrift"/>
                <w:rFonts w:ascii="Times New Roman" w:hAnsi="Times New Roman"/>
                <w:sz w:val="24"/>
              </w:rPr>
            </w:pPr>
            <w:r w:rsidRPr="00661595">
              <w:rPr>
                <w:rFonts w:ascii="Times New Roman" w:hAnsi="Times New Roman"/>
                <w:sz w:val="24"/>
                <w:lang w:eastAsia="de-DE"/>
              </w:rPr>
              <w:t xml:space="preserve">The number of loss events subject to loss adjustments shall be broken down into the number of </w:t>
            </w:r>
            <w:r w:rsidR="00EB6FC2" w:rsidRPr="00661595">
              <w:rPr>
                <w:rFonts w:ascii="Times New Roman" w:hAnsi="Times New Roman"/>
                <w:sz w:val="24"/>
                <w:lang w:eastAsia="de-DE"/>
              </w:rPr>
              <w:t xml:space="preserve">loss </w:t>
            </w:r>
            <w:r w:rsidRPr="00661595">
              <w:rPr>
                <w:rFonts w:ascii="Times New Roman" w:hAnsi="Times New Roman"/>
                <w:sz w:val="24"/>
                <w:lang w:eastAsia="de-DE"/>
              </w:rPr>
              <w:t xml:space="preserve">events for which a positive loss adjustment was made within the reporting reference period and the number of </w:t>
            </w:r>
            <w:r w:rsidR="00F114E6" w:rsidRPr="00661595">
              <w:rPr>
                <w:rFonts w:ascii="Times New Roman" w:hAnsi="Times New Roman"/>
                <w:sz w:val="24"/>
                <w:lang w:eastAsia="de-DE"/>
              </w:rPr>
              <w:t xml:space="preserve">loss </w:t>
            </w:r>
            <w:r w:rsidRPr="00661595">
              <w:rPr>
                <w:rFonts w:ascii="Times New Roman" w:hAnsi="Times New Roman"/>
                <w:sz w:val="24"/>
                <w:lang w:eastAsia="de-DE"/>
              </w:rPr>
              <w:t>events for which a negative loss adjustment was made within the reporting period (all reported with a positive sign).</w:t>
            </w:r>
          </w:p>
        </w:tc>
      </w:tr>
      <w:tr w:rsidR="00FD54FC" w:rsidRPr="00661595" w:rsidTr="00672D2A">
        <w:tc>
          <w:tcPr>
            <w:tcW w:w="1101" w:type="dxa"/>
          </w:tcPr>
          <w:p w:rsidR="00FD54FC" w:rsidRPr="00661595" w:rsidRDefault="00C93FC2" w:rsidP="00FD54FC">
            <w:pPr>
              <w:rPr>
                <w:rFonts w:ascii="Times New Roman" w:hAnsi="Times New Roman"/>
                <w:sz w:val="24"/>
                <w:lang w:eastAsia="de-DE"/>
              </w:rPr>
            </w:pPr>
            <w:r w:rsidRPr="00661595">
              <w:rPr>
                <w:rFonts w:ascii="Times New Roman" w:hAnsi="Times New Roman"/>
                <w:sz w:val="24"/>
                <w:lang w:eastAsia="de-DE"/>
              </w:rPr>
              <w:t>0</w:t>
            </w:r>
            <w:r w:rsidR="00FD54FC" w:rsidRPr="00661595">
              <w:rPr>
                <w:rFonts w:ascii="Times New Roman" w:hAnsi="Times New Roman"/>
                <w:sz w:val="24"/>
                <w:lang w:eastAsia="de-DE"/>
              </w:rPr>
              <w:t xml:space="preserve">940, </w:t>
            </w:r>
            <w:r w:rsidRPr="00661595">
              <w:rPr>
                <w:rFonts w:ascii="Times New Roman" w:hAnsi="Times New Roman"/>
                <w:sz w:val="24"/>
                <w:lang w:eastAsia="de-DE"/>
              </w:rPr>
              <w:t>0</w:t>
            </w:r>
            <w:r w:rsidR="00FD54FC" w:rsidRPr="00661595">
              <w:rPr>
                <w:rFonts w:ascii="Times New Roman" w:hAnsi="Times New Roman"/>
                <w:sz w:val="24"/>
                <w:lang w:eastAsia="de-DE"/>
              </w:rPr>
              <w:t xml:space="preserve">945, </w:t>
            </w:r>
            <w:r w:rsidRPr="00661595">
              <w:rPr>
                <w:rFonts w:ascii="Times New Roman" w:hAnsi="Times New Roman"/>
                <w:sz w:val="24"/>
                <w:lang w:eastAsia="de-DE"/>
              </w:rPr>
              <w:t>0</w:t>
            </w:r>
            <w:r w:rsidR="00FD54FC" w:rsidRPr="00661595">
              <w:rPr>
                <w:rFonts w:ascii="Times New Roman" w:hAnsi="Times New Roman"/>
                <w:sz w:val="24"/>
                <w:lang w:eastAsia="de-DE"/>
              </w:rPr>
              <w:t>946</w:t>
            </w:r>
          </w:p>
        </w:tc>
        <w:tc>
          <w:tcPr>
            <w:tcW w:w="8079" w:type="dxa"/>
          </w:tcPr>
          <w:p w:rsidR="00FD54FC" w:rsidRPr="00661595" w:rsidRDefault="00FD54FC" w:rsidP="00FD54FC">
            <w:pPr>
              <w:rPr>
                <w:rFonts w:ascii="Times New Roman" w:hAnsi="Times New Roman"/>
                <w:sz w:val="24"/>
                <w:lang w:eastAsia="de-DE"/>
              </w:rPr>
            </w:pPr>
            <w:r w:rsidRPr="00661595">
              <w:rPr>
                <w:rStyle w:val="InstructionsTabelleberschrift"/>
                <w:rFonts w:ascii="Times New Roman" w:hAnsi="Times New Roman"/>
                <w:sz w:val="24"/>
              </w:rPr>
              <w:t>Loss adjustments relating to previous reporting periods</w:t>
            </w:r>
          </w:p>
          <w:p w:rsidR="00FD54FC" w:rsidRPr="00661595" w:rsidRDefault="00FD54FC" w:rsidP="00FD54FC">
            <w:pPr>
              <w:rPr>
                <w:rFonts w:ascii="Times New Roman" w:hAnsi="Times New Roman"/>
                <w:sz w:val="24"/>
                <w:lang w:eastAsia="de-DE"/>
              </w:rPr>
            </w:pPr>
            <w:r w:rsidRPr="00661595">
              <w:rPr>
                <w:rFonts w:ascii="Times New Roman" w:hAnsi="Times New Roman"/>
                <w:sz w:val="24"/>
                <w:lang w:eastAsia="de-DE"/>
              </w:rPr>
              <w:t xml:space="preserve">In row </w:t>
            </w:r>
            <w:r w:rsidR="00F114E6" w:rsidRPr="00661595">
              <w:rPr>
                <w:rFonts w:ascii="Times New Roman" w:hAnsi="Times New Roman"/>
                <w:sz w:val="24"/>
                <w:lang w:eastAsia="de-DE"/>
              </w:rPr>
              <w:t>0</w:t>
            </w:r>
            <w:r w:rsidRPr="00661595">
              <w:rPr>
                <w:rFonts w:ascii="Times New Roman" w:hAnsi="Times New Roman"/>
                <w:sz w:val="24"/>
                <w:lang w:eastAsia="de-DE"/>
              </w:rPr>
              <w:t xml:space="preserve">940, the total of the loss adjustment amounts relating to previous reporting periods per business lines (as </w:t>
            </w:r>
            <w:r w:rsidR="0023276A" w:rsidRPr="00661595">
              <w:rPr>
                <w:rFonts w:ascii="Times New Roman" w:hAnsi="Times New Roman"/>
                <w:sz w:val="24"/>
                <w:lang w:eastAsia="de-DE"/>
              </w:rPr>
              <w:t>reported in</w:t>
            </w:r>
            <w:r w:rsidRPr="00661595">
              <w:rPr>
                <w:rFonts w:ascii="Times New Roman" w:hAnsi="Times New Roman"/>
                <w:sz w:val="24"/>
                <w:lang w:eastAsia="de-DE"/>
              </w:rPr>
              <w:t xml:space="preserve"> rows </w:t>
            </w:r>
            <w:r w:rsidR="00F114E6" w:rsidRPr="00661595">
              <w:rPr>
                <w:rFonts w:ascii="Times New Roman" w:hAnsi="Times New Roman"/>
                <w:sz w:val="24"/>
                <w:lang w:eastAsia="de-DE"/>
              </w:rPr>
              <w:t>0</w:t>
            </w:r>
            <w:r w:rsidRPr="00661595">
              <w:rPr>
                <w:rFonts w:ascii="Times New Roman" w:hAnsi="Times New Roman"/>
                <w:sz w:val="24"/>
                <w:lang w:eastAsia="de-DE"/>
              </w:rPr>
              <w:t xml:space="preserve">040, </w:t>
            </w:r>
            <w:r w:rsidR="00F114E6" w:rsidRPr="00661595">
              <w:rPr>
                <w:rFonts w:ascii="Times New Roman" w:hAnsi="Times New Roman"/>
                <w:sz w:val="24"/>
                <w:lang w:eastAsia="de-DE"/>
              </w:rPr>
              <w:t>0</w:t>
            </w:r>
            <w:r w:rsidRPr="00661595">
              <w:rPr>
                <w:rFonts w:ascii="Times New Roman" w:hAnsi="Times New Roman"/>
                <w:sz w:val="24"/>
                <w:lang w:eastAsia="de-DE"/>
              </w:rPr>
              <w:t xml:space="preserve">140, …, </w:t>
            </w:r>
            <w:r w:rsidR="00F114E6" w:rsidRPr="00661595">
              <w:rPr>
                <w:rFonts w:ascii="Times New Roman" w:hAnsi="Times New Roman"/>
                <w:sz w:val="24"/>
                <w:lang w:eastAsia="de-DE"/>
              </w:rPr>
              <w:t>0</w:t>
            </w:r>
            <w:r w:rsidRPr="00661595">
              <w:rPr>
                <w:rFonts w:ascii="Times New Roman" w:hAnsi="Times New Roman"/>
                <w:sz w:val="24"/>
                <w:lang w:eastAsia="de-DE"/>
              </w:rPr>
              <w:t xml:space="preserve">840) shall be reported. Provided that the institution has assigned all its losses either to a business line listed in </w:t>
            </w:r>
            <w:r w:rsidR="00133396" w:rsidRPr="00661595">
              <w:rPr>
                <w:rFonts w:ascii="Times New Roman" w:hAnsi="Times New Roman"/>
                <w:sz w:val="24"/>
                <w:lang w:eastAsia="de-DE"/>
              </w:rPr>
              <w:t>T</w:t>
            </w:r>
            <w:r w:rsidR="001E0C80" w:rsidRPr="00661595">
              <w:rPr>
                <w:rFonts w:ascii="Times New Roman" w:hAnsi="Times New Roman"/>
                <w:sz w:val="24"/>
                <w:lang w:eastAsia="de-DE"/>
              </w:rPr>
              <w:t xml:space="preserve">able 2 of </w:t>
            </w:r>
            <w:r w:rsidRPr="00661595">
              <w:rPr>
                <w:rFonts w:ascii="Times New Roman" w:hAnsi="Times New Roman"/>
                <w:sz w:val="24"/>
                <w:lang w:eastAsia="de-DE"/>
              </w:rPr>
              <w:t xml:space="preserve">Article 317(4) </w:t>
            </w:r>
            <w:r w:rsidR="00C7103D" w:rsidRPr="00661595">
              <w:rPr>
                <w:rFonts w:ascii="Times New Roman" w:hAnsi="Times New Roman"/>
                <w:sz w:val="24"/>
                <w:lang w:eastAsia="de-DE"/>
              </w:rPr>
              <w:t>CRR</w:t>
            </w:r>
            <w:r w:rsidRPr="00661595">
              <w:rPr>
                <w:rFonts w:ascii="Times New Roman" w:hAnsi="Times New Roman"/>
                <w:sz w:val="24"/>
                <w:lang w:eastAsia="de-DE"/>
              </w:rPr>
              <w:t xml:space="preserve"> or the business line "</w:t>
            </w:r>
            <w:r w:rsidR="00F41508" w:rsidRPr="00661595">
              <w:rPr>
                <w:rFonts w:ascii="Times New Roman" w:hAnsi="Times New Roman"/>
                <w:sz w:val="24"/>
                <w:lang w:eastAsia="de-DE"/>
              </w:rPr>
              <w:t>c</w:t>
            </w:r>
            <w:r w:rsidRPr="00661595">
              <w:rPr>
                <w:rFonts w:ascii="Times New Roman" w:hAnsi="Times New Roman"/>
                <w:sz w:val="24"/>
                <w:lang w:eastAsia="de-DE"/>
              </w:rPr>
              <w:t xml:space="preserve">orporate items" referred to in </w:t>
            </w:r>
            <w:r w:rsidR="00705025" w:rsidRPr="00661595">
              <w:rPr>
                <w:rFonts w:ascii="Times New Roman" w:hAnsi="Times New Roman"/>
                <w:sz w:val="24"/>
                <w:lang w:eastAsia="de-DE"/>
              </w:rPr>
              <w:t xml:space="preserve">point (b) of </w:t>
            </w:r>
            <w:r w:rsidRPr="00661595">
              <w:rPr>
                <w:rFonts w:ascii="Times New Roman" w:hAnsi="Times New Roman"/>
                <w:sz w:val="24"/>
                <w:lang w:eastAsia="de-DE"/>
              </w:rPr>
              <w:t xml:space="preserve">Article 322(3) </w:t>
            </w:r>
            <w:r w:rsidR="00C7103D" w:rsidRPr="00661595">
              <w:rPr>
                <w:rFonts w:ascii="Times New Roman" w:hAnsi="Times New Roman"/>
                <w:sz w:val="24"/>
                <w:lang w:eastAsia="de-DE"/>
              </w:rPr>
              <w:t>CRR</w:t>
            </w:r>
            <w:r w:rsidRPr="00661595">
              <w:rPr>
                <w:rFonts w:ascii="Times New Roman" w:hAnsi="Times New Roman"/>
                <w:sz w:val="24"/>
                <w:lang w:eastAsia="de-DE"/>
              </w:rPr>
              <w:t xml:space="preserve">, the amount reported in row </w:t>
            </w:r>
            <w:r w:rsidR="00F114E6" w:rsidRPr="00661595">
              <w:rPr>
                <w:rFonts w:ascii="Times New Roman" w:hAnsi="Times New Roman"/>
                <w:sz w:val="24"/>
                <w:lang w:eastAsia="de-DE"/>
              </w:rPr>
              <w:t>0</w:t>
            </w:r>
            <w:r w:rsidRPr="00661595">
              <w:rPr>
                <w:rFonts w:ascii="Times New Roman" w:hAnsi="Times New Roman"/>
                <w:sz w:val="24"/>
                <w:lang w:eastAsia="de-DE"/>
              </w:rPr>
              <w:t xml:space="preserve">940 </w:t>
            </w:r>
            <w:r w:rsidR="00F41508" w:rsidRPr="00661595">
              <w:rPr>
                <w:rFonts w:ascii="Times New Roman" w:hAnsi="Times New Roman"/>
                <w:sz w:val="24"/>
                <w:lang w:eastAsia="de-DE"/>
              </w:rPr>
              <w:t>shall be</w:t>
            </w:r>
            <w:r w:rsidRPr="00661595">
              <w:rPr>
                <w:rFonts w:ascii="Times New Roman" w:hAnsi="Times New Roman"/>
                <w:sz w:val="24"/>
                <w:lang w:eastAsia="de-DE"/>
              </w:rPr>
              <w:t xml:space="preserve"> the simple aggregation of the loss adjustments relating to previous reporting periods reported for the different business lines.</w:t>
            </w:r>
          </w:p>
          <w:p w:rsidR="00FD54FC" w:rsidRPr="00661595" w:rsidRDefault="00FD54FC" w:rsidP="00EB6FC2">
            <w:pPr>
              <w:rPr>
                <w:rFonts w:ascii="Times New Roman" w:hAnsi="Times New Roman"/>
                <w:sz w:val="24"/>
                <w:lang w:eastAsia="de-DE"/>
              </w:rPr>
            </w:pPr>
            <w:r w:rsidRPr="00661595">
              <w:rPr>
                <w:rFonts w:ascii="Times New Roman" w:hAnsi="Times New Roman"/>
                <w:sz w:val="24"/>
                <w:lang w:eastAsia="de-DE"/>
              </w:rPr>
              <w:t xml:space="preserve">The amount of loss adjustments shall be broken down into the amount related to </w:t>
            </w:r>
            <w:r w:rsidR="00EB6FC2" w:rsidRPr="00661595">
              <w:rPr>
                <w:rFonts w:ascii="Times New Roman" w:hAnsi="Times New Roman"/>
                <w:sz w:val="24"/>
                <w:lang w:eastAsia="de-DE"/>
              </w:rPr>
              <w:t xml:space="preserve">loss </w:t>
            </w:r>
            <w:r w:rsidRPr="00661595">
              <w:rPr>
                <w:rFonts w:ascii="Times New Roman" w:hAnsi="Times New Roman"/>
                <w:sz w:val="24"/>
                <w:lang w:eastAsia="de-DE"/>
              </w:rPr>
              <w:t xml:space="preserve">events for which a positive loss adjustment was made in the reporting reference period (row </w:t>
            </w:r>
            <w:r w:rsidR="00F114E6" w:rsidRPr="00661595">
              <w:rPr>
                <w:rFonts w:ascii="Times New Roman" w:hAnsi="Times New Roman"/>
                <w:sz w:val="24"/>
                <w:lang w:eastAsia="de-DE"/>
              </w:rPr>
              <w:t>0</w:t>
            </w:r>
            <w:r w:rsidRPr="00661595">
              <w:rPr>
                <w:rFonts w:ascii="Times New Roman" w:hAnsi="Times New Roman"/>
                <w:sz w:val="24"/>
                <w:lang w:eastAsia="de-DE"/>
              </w:rPr>
              <w:t>945, reported with a</w:t>
            </w:r>
            <w:r w:rsidR="00070AF9" w:rsidRPr="00661595">
              <w:rPr>
                <w:rFonts w:ascii="Times New Roman" w:hAnsi="Times New Roman"/>
                <w:sz w:val="24"/>
                <w:lang w:eastAsia="de-DE"/>
              </w:rPr>
              <w:t>s</w:t>
            </w:r>
            <w:r w:rsidRPr="00661595">
              <w:rPr>
                <w:rFonts w:ascii="Times New Roman" w:hAnsi="Times New Roman"/>
                <w:sz w:val="24"/>
                <w:lang w:eastAsia="de-DE"/>
              </w:rPr>
              <w:t xml:space="preserve"> positive </w:t>
            </w:r>
            <w:r w:rsidR="00070AF9" w:rsidRPr="00661595">
              <w:rPr>
                <w:rFonts w:ascii="Times New Roman" w:hAnsi="Times New Roman"/>
                <w:sz w:val="24"/>
                <w:lang w:eastAsia="de-DE"/>
              </w:rPr>
              <w:t>figure</w:t>
            </w:r>
            <w:r w:rsidRPr="00661595">
              <w:rPr>
                <w:rFonts w:ascii="Times New Roman" w:hAnsi="Times New Roman"/>
                <w:sz w:val="24"/>
                <w:lang w:eastAsia="de-DE"/>
              </w:rPr>
              <w:t xml:space="preserve">) and the amount related to </w:t>
            </w:r>
            <w:r w:rsidR="00EB6FC2" w:rsidRPr="00661595">
              <w:rPr>
                <w:rFonts w:ascii="Times New Roman" w:hAnsi="Times New Roman"/>
                <w:sz w:val="24"/>
                <w:lang w:eastAsia="de-DE"/>
              </w:rPr>
              <w:t xml:space="preserve">loss </w:t>
            </w:r>
            <w:r w:rsidRPr="00661595">
              <w:rPr>
                <w:rFonts w:ascii="Times New Roman" w:hAnsi="Times New Roman"/>
                <w:sz w:val="24"/>
                <w:lang w:eastAsia="de-DE"/>
              </w:rPr>
              <w:t xml:space="preserve">events for which a negative loss adjustment was made within the reporting period (row </w:t>
            </w:r>
            <w:r w:rsidR="00F114E6" w:rsidRPr="00661595">
              <w:rPr>
                <w:rFonts w:ascii="Times New Roman" w:hAnsi="Times New Roman"/>
                <w:sz w:val="24"/>
                <w:lang w:eastAsia="de-DE"/>
              </w:rPr>
              <w:t>0</w:t>
            </w:r>
            <w:r w:rsidRPr="00661595">
              <w:rPr>
                <w:rFonts w:ascii="Times New Roman" w:hAnsi="Times New Roman"/>
                <w:sz w:val="24"/>
                <w:lang w:eastAsia="de-DE"/>
              </w:rPr>
              <w:t>946, reported a</w:t>
            </w:r>
            <w:r w:rsidR="00070AF9" w:rsidRPr="00661595">
              <w:rPr>
                <w:rFonts w:ascii="Times New Roman" w:hAnsi="Times New Roman"/>
                <w:sz w:val="24"/>
                <w:lang w:eastAsia="de-DE"/>
              </w:rPr>
              <w:t>s</w:t>
            </w:r>
            <w:r w:rsidRPr="00661595">
              <w:rPr>
                <w:rFonts w:ascii="Times New Roman" w:hAnsi="Times New Roman"/>
                <w:sz w:val="24"/>
                <w:lang w:eastAsia="de-DE"/>
              </w:rPr>
              <w:t xml:space="preserve"> negative </w:t>
            </w:r>
            <w:r w:rsidR="00070AF9" w:rsidRPr="00661595">
              <w:rPr>
                <w:rFonts w:ascii="Times New Roman" w:hAnsi="Times New Roman"/>
                <w:sz w:val="24"/>
                <w:lang w:eastAsia="de-DE"/>
              </w:rPr>
              <w:t>figure</w:t>
            </w:r>
            <w:r w:rsidRPr="00661595">
              <w:rPr>
                <w:rFonts w:ascii="Times New Roman" w:hAnsi="Times New Roman"/>
                <w:sz w:val="24"/>
                <w:lang w:eastAsia="de-DE"/>
              </w:rPr>
              <w:t xml:space="preserve">). </w:t>
            </w:r>
            <w:r w:rsidR="00F41508" w:rsidRPr="00661595">
              <w:rPr>
                <w:rFonts w:ascii="Times New Roman" w:hAnsi="Times New Roman"/>
                <w:sz w:val="24"/>
                <w:lang w:eastAsia="de-DE"/>
              </w:rPr>
              <w:t>Where</w:t>
            </w:r>
            <w:r w:rsidRPr="00661595">
              <w:rPr>
                <w:rFonts w:ascii="Times New Roman" w:hAnsi="Times New Roman"/>
                <w:sz w:val="24"/>
                <w:lang w:eastAsia="de-DE"/>
              </w:rPr>
              <w:t>, due to a negative loss adjustment, the adjusted loss amount attributable to a</w:t>
            </w:r>
            <w:r w:rsidR="00EB6FC2" w:rsidRPr="00661595">
              <w:rPr>
                <w:rFonts w:ascii="Times New Roman" w:hAnsi="Times New Roman"/>
                <w:sz w:val="24"/>
                <w:lang w:eastAsia="de-DE"/>
              </w:rPr>
              <w:t xml:space="preserve"> loss</w:t>
            </w:r>
            <w:r w:rsidRPr="00661595">
              <w:rPr>
                <w:rFonts w:ascii="Times New Roman" w:hAnsi="Times New Roman"/>
                <w:sz w:val="24"/>
                <w:lang w:eastAsia="de-DE"/>
              </w:rPr>
              <w:t xml:space="preserve"> event falls below the internal data collection threshold of the institution, the institution shall report the total loss amount for that </w:t>
            </w:r>
            <w:r w:rsidR="00EB6FC2" w:rsidRPr="00661595">
              <w:rPr>
                <w:rFonts w:ascii="Times New Roman" w:hAnsi="Times New Roman"/>
                <w:sz w:val="24"/>
                <w:lang w:eastAsia="de-DE"/>
              </w:rPr>
              <w:t xml:space="preserve">loss </w:t>
            </w:r>
            <w:r w:rsidRPr="00661595">
              <w:rPr>
                <w:rFonts w:ascii="Times New Roman" w:hAnsi="Times New Roman"/>
                <w:sz w:val="24"/>
                <w:lang w:eastAsia="de-DE"/>
              </w:rPr>
              <w:t>event accumulated until the last time when the</w:t>
            </w:r>
            <w:r w:rsidR="00EB6FC2" w:rsidRPr="00661595">
              <w:rPr>
                <w:rFonts w:ascii="Times New Roman" w:hAnsi="Times New Roman"/>
                <w:sz w:val="24"/>
                <w:lang w:eastAsia="de-DE"/>
              </w:rPr>
              <w:t xml:space="preserve"> loss</w:t>
            </w:r>
            <w:r w:rsidRPr="00661595">
              <w:rPr>
                <w:rFonts w:ascii="Times New Roman" w:hAnsi="Times New Roman"/>
                <w:sz w:val="24"/>
                <w:lang w:eastAsia="de-DE"/>
              </w:rPr>
              <w:t xml:space="preserve"> event was reported </w:t>
            </w:r>
            <w:r w:rsidR="00070AF9" w:rsidRPr="00661595">
              <w:rPr>
                <w:rFonts w:ascii="Times New Roman" w:hAnsi="Times New Roman"/>
                <w:sz w:val="24"/>
                <w:lang w:eastAsia="de-DE"/>
              </w:rPr>
              <w:t xml:space="preserve">for </w:t>
            </w:r>
            <w:r w:rsidRPr="00661595">
              <w:rPr>
                <w:rFonts w:ascii="Times New Roman" w:hAnsi="Times New Roman"/>
                <w:sz w:val="24"/>
                <w:lang w:eastAsia="de-DE"/>
              </w:rPr>
              <w:t xml:space="preserve">a December </w:t>
            </w:r>
            <w:r w:rsidR="00070AF9" w:rsidRPr="00661595">
              <w:rPr>
                <w:rFonts w:ascii="Times New Roman" w:hAnsi="Times New Roman"/>
                <w:sz w:val="24"/>
                <w:lang w:eastAsia="de-DE"/>
              </w:rPr>
              <w:t>reference date</w:t>
            </w:r>
            <w:r w:rsidRPr="00661595">
              <w:rPr>
                <w:rFonts w:ascii="Times New Roman" w:hAnsi="Times New Roman"/>
                <w:sz w:val="24"/>
                <w:lang w:eastAsia="de-DE"/>
              </w:rPr>
              <w:t xml:space="preserve"> (i.e. the original loss plus / minus all loss adjustments made in previous reporting reference periods) with a negative sign in row </w:t>
            </w:r>
            <w:r w:rsidR="00CB3146" w:rsidRPr="00661595">
              <w:rPr>
                <w:rFonts w:ascii="Times New Roman" w:hAnsi="Times New Roman"/>
                <w:sz w:val="24"/>
                <w:lang w:eastAsia="de-DE"/>
              </w:rPr>
              <w:t>0</w:t>
            </w:r>
            <w:r w:rsidRPr="00661595">
              <w:rPr>
                <w:rFonts w:ascii="Times New Roman" w:hAnsi="Times New Roman"/>
                <w:sz w:val="24"/>
                <w:lang w:eastAsia="de-DE"/>
              </w:rPr>
              <w:t>946 instead of the amount of the negative loss adjustment itself.</w:t>
            </w:r>
          </w:p>
        </w:tc>
      </w:tr>
      <w:tr w:rsidR="00FD54FC" w:rsidRPr="00661595" w:rsidTr="00672D2A">
        <w:tc>
          <w:tcPr>
            <w:tcW w:w="1101" w:type="dxa"/>
            <w:tcBorders>
              <w:top w:val="single" w:sz="4" w:space="0" w:color="auto"/>
              <w:left w:val="single" w:sz="4" w:space="0" w:color="auto"/>
              <w:bottom w:val="single" w:sz="4" w:space="0" w:color="auto"/>
              <w:right w:val="single" w:sz="4" w:space="0" w:color="auto"/>
            </w:tcBorders>
          </w:tcPr>
          <w:p w:rsidR="00FD54FC" w:rsidRPr="00661595" w:rsidRDefault="00C93FC2" w:rsidP="00FD54FC">
            <w:pPr>
              <w:rPr>
                <w:rFonts w:ascii="Times New Roman" w:hAnsi="Times New Roman"/>
                <w:sz w:val="24"/>
                <w:lang w:eastAsia="de-DE"/>
              </w:rPr>
            </w:pPr>
            <w:r w:rsidRPr="00661595">
              <w:rPr>
                <w:rFonts w:ascii="Times New Roman" w:hAnsi="Times New Roman"/>
                <w:sz w:val="24"/>
                <w:lang w:eastAsia="de-DE"/>
              </w:rPr>
              <w:t>0</w:t>
            </w:r>
            <w:r w:rsidR="00FD54FC" w:rsidRPr="00661595">
              <w:rPr>
                <w:rFonts w:ascii="Times New Roman" w:hAnsi="Times New Roman"/>
                <w:sz w:val="24"/>
                <w:lang w:eastAsia="de-DE"/>
              </w:rPr>
              <w:t>950</w:t>
            </w:r>
          </w:p>
        </w:tc>
        <w:tc>
          <w:tcPr>
            <w:tcW w:w="8079" w:type="dxa"/>
            <w:tcBorders>
              <w:top w:val="single" w:sz="4" w:space="0" w:color="auto"/>
              <w:left w:val="single" w:sz="4" w:space="0" w:color="auto"/>
              <w:bottom w:val="single" w:sz="4" w:space="0" w:color="auto"/>
              <w:right w:val="single" w:sz="4" w:space="0" w:color="auto"/>
            </w:tcBorders>
          </w:tcPr>
          <w:p w:rsidR="00FD54FC" w:rsidRPr="00661595" w:rsidRDefault="00FD54FC" w:rsidP="00FD54FC">
            <w:pPr>
              <w:rPr>
                <w:rStyle w:val="InstructionsTabelleberschrift"/>
                <w:rFonts w:ascii="Times New Roman" w:hAnsi="Times New Roman"/>
                <w:sz w:val="24"/>
              </w:rPr>
            </w:pPr>
            <w:r w:rsidRPr="00661595">
              <w:rPr>
                <w:rStyle w:val="InstructionsTabelleberschrift"/>
                <w:rFonts w:ascii="Times New Roman" w:hAnsi="Times New Roman"/>
                <w:sz w:val="24"/>
              </w:rPr>
              <w:t>Maximum single loss</w:t>
            </w:r>
          </w:p>
          <w:p w:rsidR="00FD54FC" w:rsidRPr="00661595" w:rsidRDefault="00FD54FC" w:rsidP="00FD54FC">
            <w:pPr>
              <w:rPr>
                <w:rFonts w:ascii="Times New Roman" w:hAnsi="Times New Roman"/>
                <w:sz w:val="24"/>
                <w:lang w:eastAsia="de-DE"/>
              </w:rPr>
            </w:pPr>
            <w:r w:rsidRPr="00661595">
              <w:rPr>
                <w:rFonts w:ascii="Times New Roman" w:hAnsi="Times New Roman"/>
                <w:sz w:val="24"/>
                <w:lang w:eastAsia="de-DE"/>
              </w:rPr>
              <w:t xml:space="preserve">Provided that the institution has assigned all its losses either to a business line listed in </w:t>
            </w:r>
            <w:r w:rsidR="00133396" w:rsidRPr="00661595">
              <w:rPr>
                <w:rFonts w:ascii="Times New Roman" w:hAnsi="Times New Roman"/>
                <w:sz w:val="24"/>
                <w:lang w:eastAsia="de-DE"/>
              </w:rPr>
              <w:t>T</w:t>
            </w:r>
            <w:r w:rsidR="001E0C80" w:rsidRPr="00661595">
              <w:rPr>
                <w:rFonts w:ascii="Times New Roman" w:hAnsi="Times New Roman"/>
                <w:sz w:val="24"/>
                <w:lang w:eastAsia="de-DE"/>
              </w:rPr>
              <w:t xml:space="preserve">able 2 of </w:t>
            </w:r>
            <w:r w:rsidRPr="00661595">
              <w:rPr>
                <w:rFonts w:ascii="Times New Roman" w:hAnsi="Times New Roman"/>
                <w:sz w:val="24"/>
                <w:lang w:eastAsia="de-DE"/>
              </w:rPr>
              <w:t>Article 317(4) CRR or the business line "</w:t>
            </w:r>
            <w:r w:rsidR="00F41508" w:rsidRPr="00661595">
              <w:rPr>
                <w:rFonts w:ascii="Times New Roman" w:hAnsi="Times New Roman"/>
                <w:sz w:val="24"/>
                <w:lang w:eastAsia="de-DE"/>
              </w:rPr>
              <w:t>c</w:t>
            </w:r>
            <w:r w:rsidRPr="00661595">
              <w:rPr>
                <w:rFonts w:ascii="Times New Roman" w:hAnsi="Times New Roman"/>
                <w:sz w:val="24"/>
                <w:lang w:eastAsia="de-DE"/>
              </w:rPr>
              <w:t xml:space="preserve">orporate items" referred to in </w:t>
            </w:r>
            <w:r w:rsidR="00705025" w:rsidRPr="00661595">
              <w:rPr>
                <w:rFonts w:ascii="Times New Roman" w:hAnsi="Times New Roman"/>
                <w:sz w:val="24"/>
                <w:lang w:eastAsia="de-DE"/>
              </w:rPr>
              <w:t xml:space="preserve">point (b) of Article 322(3) </w:t>
            </w:r>
            <w:r w:rsidRPr="00661595">
              <w:rPr>
                <w:rFonts w:ascii="Times New Roman" w:hAnsi="Times New Roman"/>
                <w:sz w:val="24"/>
                <w:lang w:eastAsia="de-DE"/>
              </w:rPr>
              <w:t xml:space="preserve">CRR, the maximum single loss </w:t>
            </w:r>
            <w:r w:rsidR="00F41508" w:rsidRPr="00661595">
              <w:rPr>
                <w:rFonts w:ascii="Times New Roman" w:hAnsi="Times New Roman"/>
                <w:sz w:val="24"/>
                <w:lang w:eastAsia="de-DE"/>
              </w:rPr>
              <w:t>shall be</w:t>
            </w:r>
            <w:r w:rsidRPr="00661595">
              <w:rPr>
                <w:rFonts w:ascii="Times New Roman" w:hAnsi="Times New Roman"/>
                <w:sz w:val="24"/>
                <w:lang w:eastAsia="de-DE"/>
              </w:rPr>
              <w:t xml:space="preserve"> the maximum loss over the internal threshold for each </w:t>
            </w:r>
            <w:r w:rsidR="00EB6FC2" w:rsidRPr="00661595">
              <w:rPr>
                <w:rFonts w:ascii="Times New Roman" w:hAnsi="Times New Roman"/>
                <w:sz w:val="24"/>
                <w:lang w:eastAsia="de-DE"/>
              </w:rPr>
              <w:t xml:space="preserve">loss </w:t>
            </w:r>
            <w:r w:rsidRPr="00661595">
              <w:rPr>
                <w:rFonts w:ascii="Times New Roman" w:hAnsi="Times New Roman"/>
                <w:sz w:val="24"/>
                <w:lang w:eastAsia="de-DE"/>
              </w:rPr>
              <w:t>event type and amongst all business lines. Th</w:t>
            </w:r>
            <w:r w:rsidR="00F41508" w:rsidRPr="00661595">
              <w:rPr>
                <w:rFonts w:ascii="Times New Roman" w:hAnsi="Times New Roman"/>
                <w:sz w:val="24"/>
                <w:lang w:eastAsia="de-DE"/>
              </w:rPr>
              <w:t>o</w:t>
            </w:r>
            <w:r w:rsidRPr="00661595">
              <w:rPr>
                <w:rFonts w:ascii="Times New Roman" w:hAnsi="Times New Roman"/>
                <w:sz w:val="24"/>
                <w:lang w:eastAsia="de-DE"/>
              </w:rPr>
              <w:t xml:space="preserve">se figures may be higher than the highest single loss recorded in each business line </w:t>
            </w:r>
            <w:r w:rsidR="00F41508" w:rsidRPr="00661595">
              <w:rPr>
                <w:rFonts w:ascii="Times New Roman" w:hAnsi="Times New Roman"/>
                <w:sz w:val="24"/>
                <w:lang w:eastAsia="de-DE"/>
              </w:rPr>
              <w:t>where</w:t>
            </w:r>
            <w:r w:rsidRPr="00661595">
              <w:rPr>
                <w:rFonts w:ascii="Times New Roman" w:hAnsi="Times New Roman"/>
                <w:sz w:val="24"/>
                <w:lang w:eastAsia="de-DE"/>
              </w:rPr>
              <w:t xml:space="preserve"> a</w:t>
            </w:r>
            <w:r w:rsidR="00EB6FC2" w:rsidRPr="00661595">
              <w:rPr>
                <w:rFonts w:ascii="Times New Roman" w:hAnsi="Times New Roman"/>
                <w:sz w:val="24"/>
                <w:lang w:eastAsia="de-DE"/>
              </w:rPr>
              <w:t xml:space="preserve"> loss</w:t>
            </w:r>
            <w:r w:rsidRPr="00661595">
              <w:rPr>
                <w:rFonts w:ascii="Times New Roman" w:hAnsi="Times New Roman"/>
                <w:sz w:val="24"/>
                <w:lang w:eastAsia="de-DE"/>
              </w:rPr>
              <w:t xml:space="preserve"> event impacts different business lines.</w:t>
            </w:r>
          </w:p>
          <w:p w:rsidR="00FD54FC" w:rsidRPr="00661595" w:rsidRDefault="00FD54FC" w:rsidP="00FD54FC">
            <w:pPr>
              <w:rPr>
                <w:rFonts w:ascii="Times New Roman" w:hAnsi="Times New Roman"/>
                <w:sz w:val="24"/>
                <w:lang w:eastAsia="de-DE"/>
              </w:rPr>
            </w:pPr>
            <w:r w:rsidRPr="00661595">
              <w:rPr>
                <w:rFonts w:ascii="Times New Roman" w:hAnsi="Times New Roman"/>
                <w:sz w:val="24"/>
                <w:lang w:eastAsia="de-DE"/>
              </w:rPr>
              <w:t xml:space="preserve">Provided that the institution has assigned all its losses either to a business line listed in </w:t>
            </w:r>
            <w:r w:rsidR="00133396" w:rsidRPr="00661595">
              <w:rPr>
                <w:rFonts w:ascii="Times New Roman" w:hAnsi="Times New Roman"/>
                <w:sz w:val="24"/>
                <w:lang w:eastAsia="de-DE"/>
              </w:rPr>
              <w:t>T</w:t>
            </w:r>
            <w:r w:rsidR="001E0C80" w:rsidRPr="00661595">
              <w:rPr>
                <w:rFonts w:ascii="Times New Roman" w:hAnsi="Times New Roman"/>
                <w:sz w:val="24"/>
                <w:lang w:eastAsia="de-DE"/>
              </w:rPr>
              <w:t xml:space="preserve">able 2 of </w:t>
            </w:r>
            <w:r w:rsidRPr="00661595">
              <w:rPr>
                <w:rFonts w:ascii="Times New Roman" w:hAnsi="Times New Roman"/>
                <w:sz w:val="24"/>
                <w:lang w:eastAsia="de-DE"/>
              </w:rPr>
              <w:t>Article 317(4) CRR or the business line "</w:t>
            </w:r>
            <w:r w:rsidR="00F41508" w:rsidRPr="00661595">
              <w:rPr>
                <w:rFonts w:ascii="Times New Roman" w:hAnsi="Times New Roman"/>
                <w:sz w:val="24"/>
                <w:lang w:eastAsia="de-DE"/>
              </w:rPr>
              <w:t>c</w:t>
            </w:r>
            <w:r w:rsidRPr="00661595">
              <w:rPr>
                <w:rFonts w:ascii="Times New Roman" w:hAnsi="Times New Roman"/>
                <w:sz w:val="24"/>
                <w:lang w:eastAsia="de-DE"/>
              </w:rPr>
              <w:t xml:space="preserve">orporate items" referred to in </w:t>
            </w:r>
            <w:r w:rsidR="00705025" w:rsidRPr="00661595">
              <w:rPr>
                <w:rFonts w:ascii="Times New Roman" w:hAnsi="Times New Roman"/>
                <w:sz w:val="24"/>
                <w:lang w:eastAsia="de-DE"/>
              </w:rPr>
              <w:t xml:space="preserve">point (b) of Article 322(3) </w:t>
            </w:r>
            <w:r w:rsidRPr="00661595">
              <w:rPr>
                <w:rFonts w:ascii="Times New Roman" w:hAnsi="Times New Roman"/>
                <w:sz w:val="24"/>
                <w:lang w:eastAsia="de-DE"/>
              </w:rPr>
              <w:t>CRR respectively that it has identified the</w:t>
            </w:r>
            <w:r w:rsidR="00EB6FC2" w:rsidRPr="00661595">
              <w:rPr>
                <w:rFonts w:ascii="Times New Roman" w:hAnsi="Times New Roman"/>
                <w:sz w:val="24"/>
                <w:lang w:eastAsia="de-DE"/>
              </w:rPr>
              <w:t xml:space="preserve"> loss</w:t>
            </w:r>
            <w:r w:rsidRPr="00661595">
              <w:rPr>
                <w:rFonts w:ascii="Times New Roman" w:hAnsi="Times New Roman"/>
                <w:sz w:val="24"/>
                <w:lang w:eastAsia="de-DE"/>
              </w:rPr>
              <w:t xml:space="preserve"> event types for all losses, the following shall apply for column </w:t>
            </w:r>
            <w:r w:rsidR="00F114E6" w:rsidRPr="00661595">
              <w:rPr>
                <w:rFonts w:ascii="Times New Roman" w:hAnsi="Times New Roman"/>
                <w:sz w:val="24"/>
                <w:lang w:eastAsia="de-DE"/>
              </w:rPr>
              <w:t>0</w:t>
            </w:r>
            <w:r w:rsidRPr="00661595">
              <w:rPr>
                <w:rFonts w:ascii="Times New Roman" w:hAnsi="Times New Roman"/>
                <w:sz w:val="24"/>
                <w:lang w:eastAsia="de-DE"/>
              </w:rPr>
              <w:t>080:</w:t>
            </w:r>
          </w:p>
          <w:p w:rsidR="00FD54FC" w:rsidRPr="00661595" w:rsidRDefault="00125707" w:rsidP="0023700C">
            <w:pPr>
              <w:ind w:left="360" w:hanging="360"/>
              <w:rPr>
                <w:rFonts w:ascii="Times New Roman" w:hAnsi="Times New Roman"/>
                <w:b/>
                <w:bCs/>
                <w:sz w:val="24"/>
                <w:u w:val="single"/>
              </w:rPr>
            </w:pPr>
            <w:r w:rsidRPr="00661595">
              <w:rPr>
                <w:rFonts w:ascii="Times New Roman" w:hAnsi="Times New Roman"/>
                <w:bCs/>
                <w:sz w:val="24"/>
              </w:rPr>
              <w:t>-</w:t>
            </w:r>
            <w:r w:rsidRPr="00661595">
              <w:rPr>
                <w:rFonts w:ascii="Times New Roman" w:hAnsi="Times New Roman"/>
                <w:bCs/>
                <w:sz w:val="24"/>
              </w:rPr>
              <w:tab/>
            </w:r>
            <w:r w:rsidR="00FD54FC" w:rsidRPr="00661595">
              <w:rPr>
                <w:rFonts w:ascii="Times New Roman" w:hAnsi="Times New Roman"/>
                <w:sz w:val="24"/>
                <w:lang w:eastAsia="de-DE"/>
              </w:rPr>
              <w:t xml:space="preserve">The maximum single loss reported shall be equal to the highest of the values reported in columns </w:t>
            </w:r>
            <w:r w:rsidR="00F114E6" w:rsidRPr="00661595">
              <w:rPr>
                <w:rFonts w:ascii="Times New Roman" w:hAnsi="Times New Roman"/>
                <w:sz w:val="24"/>
                <w:lang w:eastAsia="de-DE"/>
              </w:rPr>
              <w:t>0</w:t>
            </w:r>
            <w:r w:rsidR="00FD54FC" w:rsidRPr="00661595">
              <w:rPr>
                <w:rFonts w:ascii="Times New Roman" w:hAnsi="Times New Roman"/>
                <w:sz w:val="24"/>
                <w:lang w:eastAsia="de-DE"/>
              </w:rPr>
              <w:t xml:space="preserve">010 – </w:t>
            </w:r>
            <w:r w:rsidR="00F114E6" w:rsidRPr="00661595">
              <w:rPr>
                <w:rFonts w:ascii="Times New Roman" w:hAnsi="Times New Roman"/>
                <w:sz w:val="24"/>
                <w:lang w:eastAsia="de-DE"/>
              </w:rPr>
              <w:t>0</w:t>
            </w:r>
            <w:r w:rsidR="00FD54FC" w:rsidRPr="00661595">
              <w:rPr>
                <w:rFonts w:ascii="Times New Roman" w:hAnsi="Times New Roman"/>
                <w:sz w:val="24"/>
                <w:lang w:eastAsia="de-DE"/>
              </w:rPr>
              <w:t>070 of this row.</w:t>
            </w:r>
          </w:p>
          <w:p w:rsidR="00FD54FC" w:rsidRPr="00661595" w:rsidRDefault="00125707" w:rsidP="0023700C">
            <w:pPr>
              <w:ind w:left="360" w:hanging="360"/>
              <w:rPr>
                <w:rStyle w:val="InstructionsTabelleberschrift"/>
                <w:rFonts w:ascii="Times New Roman" w:hAnsi="Times New Roman"/>
                <w:bCs w:val="0"/>
                <w:sz w:val="24"/>
                <w:lang w:eastAsia="de-DE"/>
              </w:rPr>
            </w:pPr>
            <w:r w:rsidRPr="00661595">
              <w:rPr>
                <w:rStyle w:val="InstructionsTabelleberschrift"/>
                <w:rFonts w:ascii="Times New Roman" w:hAnsi="Times New Roman"/>
                <w:b w:val="0"/>
                <w:bCs w:val="0"/>
                <w:sz w:val="24"/>
                <w:u w:val="none"/>
                <w:lang w:eastAsia="de-DE"/>
              </w:rPr>
              <w:t>-</w:t>
            </w:r>
            <w:r w:rsidRPr="00661595">
              <w:rPr>
                <w:rStyle w:val="InstructionsTabelleberschrift"/>
                <w:rFonts w:ascii="Times New Roman" w:hAnsi="Times New Roman"/>
                <w:b w:val="0"/>
                <w:bCs w:val="0"/>
                <w:sz w:val="24"/>
                <w:u w:val="none"/>
                <w:lang w:eastAsia="de-DE"/>
              </w:rPr>
              <w:tab/>
            </w:r>
            <w:r w:rsidR="00F41508" w:rsidRPr="00661595">
              <w:rPr>
                <w:rFonts w:ascii="Times New Roman" w:eastAsia="Yu Gothic Light" w:hAnsi="Times New Roman"/>
                <w:sz w:val="24"/>
              </w:rPr>
              <w:t>Where</w:t>
            </w:r>
            <w:r w:rsidR="00FD54FC" w:rsidRPr="00661595">
              <w:rPr>
                <w:rFonts w:ascii="Times New Roman" w:hAnsi="Times New Roman"/>
                <w:sz w:val="24"/>
                <w:lang w:eastAsia="de-DE"/>
              </w:rPr>
              <w:t xml:space="preserve"> there are </w:t>
            </w:r>
            <w:r w:rsidR="00EB6FC2" w:rsidRPr="00661595">
              <w:rPr>
                <w:rFonts w:ascii="Times New Roman" w:hAnsi="Times New Roman"/>
                <w:sz w:val="24"/>
                <w:lang w:eastAsia="de-DE"/>
              </w:rPr>
              <w:t xml:space="preserve">loss </w:t>
            </w:r>
            <w:r w:rsidR="00FD54FC" w:rsidRPr="00661595">
              <w:rPr>
                <w:rFonts w:ascii="Times New Roman" w:hAnsi="Times New Roman"/>
                <w:sz w:val="24"/>
                <w:lang w:eastAsia="de-DE"/>
              </w:rPr>
              <w:t>events having an impact in different business lines, the amount reported in {r</w:t>
            </w:r>
            <w:r w:rsidR="00CB3146" w:rsidRPr="00661595">
              <w:rPr>
                <w:rFonts w:ascii="Times New Roman" w:hAnsi="Times New Roman"/>
                <w:sz w:val="24"/>
                <w:lang w:eastAsia="de-DE"/>
              </w:rPr>
              <w:t>0</w:t>
            </w:r>
            <w:r w:rsidR="00FD54FC" w:rsidRPr="00661595">
              <w:rPr>
                <w:rFonts w:ascii="Times New Roman" w:hAnsi="Times New Roman"/>
                <w:sz w:val="24"/>
                <w:lang w:eastAsia="de-DE"/>
              </w:rPr>
              <w:t>950, c</w:t>
            </w:r>
            <w:r w:rsidR="005E7FAD" w:rsidRPr="00661595">
              <w:rPr>
                <w:rFonts w:ascii="Times New Roman" w:hAnsi="Times New Roman"/>
                <w:sz w:val="24"/>
                <w:lang w:eastAsia="de-DE"/>
              </w:rPr>
              <w:t>0</w:t>
            </w:r>
            <w:r w:rsidR="00FD54FC" w:rsidRPr="00661595">
              <w:rPr>
                <w:rFonts w:ascii="Times New Roman" w:hAnsi="Times New Roman"/>
                <w:sz w:val="24"/>
                <w:lang w:eastAsia="de-DE"/>
              </w:rPr>
              <w:t xml:space="preserve">080} may be higher than the amounts of “Maximum single loss” per business line reported in other rows of column </w:t>
            </w:r>
            <w:r w:rsidR="005E7FAD" w:rsidRPr="00661595">
              <w:rPr>
                <w:rFonts w:ascii="Times New Roman" w:hAnsi="Times New Roman"/>
                <w:sz w:val="24"/>
                <w:lang w:eastAsia="de-DE"/>
              </w:rPr>
              <w:t>0</w:t>
            </w:r>
            <w:r w:rsidR="00FD54FC" w:rsidRPr="00661595">
              <w:rPr>
                <w:rFonts w:ascii="Times New Roman" w:hAnsi="Times New Roman"/>
                <w:sz w:val="24"/>
                <w:lang w:eastAsia="de-DE"/>
              </w:rPr>
              <w:t xml:space="preserve">080. </w:t>
            </w:r>
          </w:p>
        </w:tc>
      </w:tr>
      <w:tr w:rsidR="00FD54FC" w:rsidRPr="00661595" w:rsidTr="00672D2A">
        <w:tc>
          <w:tcPr>
            <w:tcW w:w="1101" w:type="dxa"/>
            <w:tcBorders>
              <w:top w:val="single" w:sz="4" w:space="0" w:color="auto"/>
              <w:left w:val="single" w:sz="4" w:space="0" w:color="auto"/>
              <w:bottom w:val="single" w:sz="4" w:space="0" w:color="auto"/>
              <w:right w:val="single" w:sz="4" w:space="0" w:color="auto"/>
            </w:tcBorders>
          </w:tcPr>
          <w:p w:rsidR="00FD54FC" w:rsidRPr="00661595" w:rsidRDefault="00C93FC2" w:rsidP="00FD54FC">
            <w:pPr>
              <w:rPr>
                <w:rFonts w:ascii="Times New Roman" w:hAnsi="Times New Roman"/>
                <w:sz w:val="24"/>
                <w:lang w:eastAsia="de-DE"/>
              </w:rPr>
            </w:pPr>
            <w:r w:rsidRPr="00661595">
              <w:rPr>
                <w:rFonts w:ascii="Times New Roman" w:hAnsi="Times New Roman"/>
                <w:sz w:val="24"/>
                <w:lang w:eastAsia="de-DE"/>
              </w:rPr>
              <w:t>0</w:t>
            </w:r>
            <w:r w:rsidR="00FD54FC" w:rsidRPr="00661595">
              <w:rPr>
                <w:rFonts w:ascii="Times New Roman" w:hAnsi="Times New Roman"/>
                <w:sz w:val="24"/>
                <w:lang w:eastAsia="de-DE"/>
              </w:rPr>
              <w:t>960</w:t>
            </w:r>
          </w:p>
        </w:tc>
        <w:tc>
          <w:tcPr>
            <w:tcW w:w="8079" w:type="dxa"/>
            <w:tcBorders>
              <w:top w:val="single" w:sz="4" w:space="0" w:color="auto"/>
              <w:left w:val="single" w:sz="4" w:space="0" w:color="auto"/>
              <w:bottom w:val="single" w:sz="4" w:space="0" w:color="auto"/>
              <w:right w:val="single" w:sz="4" w:space="0" w:color="auto"/>
            </w:tcBorders>
          </w:tcPr>
          <w:p w:rsidR="00FD54FC" w:rsidRPr="00661595" w:rsidRDefault="00FD54FC" w:rsidP="00FD54FC">
            <w:pPr>
              <w:rPr>
                <w:rStyle w:val="InstructionsTabelleberschrift"/>
                <w:rFonts w:ascii="Times New Roman" w:hAnsi="Times New Roman"/>
                <w:sz w:val="24"/>
              </w:rPr>
            </w:pPr>
            <w:r w:rsidRPr="00661595">
              <w:rPr>
                <w:rStyle w:val="InstructionsTabelleberschrift"/>
                <w:rFonts w:ascii="Times New Roman" w:hAnsi="Times New Roman"/>
                <w:sz w:val="24"/>
              </w:rPr>
              <w:t>Sum of the five largest losses</w:t>
            </w:r>
          </w:p>
          <w:p w:rsidR="00FD54FC" w:rsidRPr="00661595" w:rsidRDefault="00FD54FC" w:rsidP="00FD54FC">
            <w:pPr>
              <w:rPr>
                <w:rFonts w:ascii="Times New Roman" w:hAnsi="Times New Roman"/>
                <w:sz w:val="24"/>
                <w:lang w:eastAsia="de-DE"/>
              </w:rPr>
            </w:pPr>
            <w:r w:rsidRPr="00661595">
              <w:rPr>
                <w:rFonts w:ascii="Times New Roman" w:hAnsi="Times New Roman"/>
                <w:sz w:val="24"/>
                <w:lang w:eastAsia="de-DE"/>
              </w:rPr>
              <w:t xml:space="preserve">The sum of the five largest gross losses for each </w:t>
            </w:r>
            <w:r w:rsidR="00EB6FC2" w:rsidRPr="00661595">
              <w:rPr>
                <w:rFonts w:ascii="Times New Roman" w:hAnsi="Times New Roman"/>
                <w:sz w:val="24"/>
                <w:lang w:eastAsia="de-DE"/>
              </w:rPr>
              <w:t xml:space="preserve">loss </w:t>
            </w:r>
            <w:r w:rsidRPr="00661595">
              <w:rPr>
                <w:rFonts w:ascii="Times New Roman" w:hAnsi="Times New Roman"/>
                <w:sz w:val="24"/>
                <w:lang w:eastAsia="de-DE"/>
              </w:rPr>
              <w:t xml:space="preserve">event type and amongst all business lines </w:t>
            </w:r>
            <w:r w:rsidR="00F41508" w:rsidRPr="00661595">
              <w:rPr>
                <w:rFonts w:ascii="Times New Roman" w:hAnsi="Times New Roman"/>
                <w:sz w:val="24"/>
                <w:lang w:eastAsia="de-DE"/>
              </w:rPr>
              <w:t>shall be</w:t>
            </w:r>
            <w:r w:rsidRPr="00661595">
              <w:rPr>
                <w:rFonts w:ascii="Times New Roman" w:hAnsi="Times New Roman"/>
                <w:sz w:val="24"/>
                <w:lang w:eastAsia="de-DE"/>
              </w:rPr>
              <w:t xml:space="preserve"> reported. Th</w:t>
            </w:r>
            <w:r w:rsidR="00F41508" w:rsidRPr="00661595">
              <w:rPr>
                <w:rFonts w:ascii="Times New Roman" w:hAnsi="Times New Roman"/>
                <w:sz w:val="24"/>
                <w:lang w:eastAsia="de-DE"/>
              </w:rPr>
              <w:t>at</w:t>
            </w:r>
            <w:r w:rsidRPr="00661595">
              <w:rPr>
                <w:rFonts w:ascii="Times New Roman" w:hAnsi="Times New Roman"/>
                <w:sz w:val="24"/>
                <w:lang w:eastAsia="de-DE"/>
              </w:rPr>
              <w:t xml:space="preserve"> sum may be higher than the highest sum of the five largest losses recorded in each business line. Th</w:t>
            </w:r>
            <w:r w:rsidR="00F41508" w:rsidRPr="00661595">
              <w:rPr>
                <w:rFonts w:ascii="Times New Roman" w:hAnsi="Times New Roman"/>
                <w:sz w:val="24"/>
                <w:lang w:eastAsia="de-DE"/>
              </w:rPr>
              <w:t>at</w:t>
            </w:r>
            <w:r w:rsidRPr="00661595">
              <w:rPr>
                <w:rFonts w:ascii="Times New Roman" w:hAnsi="Times New Roman"/>
                <w:sz w:val="24"/>
                <w:lang w:eastAsia="de-DE"/>
              </w:rPr>
              <w:t xml:space="preserve"> sum has to be reported regardless of the number of losses. </w:t>
            </w:r>
          </w:p>
          <w:p w:rsidR="00FD54FC" w:rsidRPr="00661595" w:rsidRDefault="00FD54FC" w:rsidP="00AB6610">
            <w:pPr>
              <w:rPr>
                <w:rStyle w:val="InstructionsTabelleberschrift"/>
                <w:rFonts w:ascii="Times New Roman" w:hAnsi="Times New Roman"/>
                <w:sz w:val="24"/>
              </w:rPr>
            </w:pPr>
            <w:r w:rsidRPr="00661595">
              <w:rPr>
                <w:rFonts w:ascii="Times New Roman" w:hAnsi="Times New Roman"/>
                <w:sz w:val="24"/>
                <w:lang w:eastAsia="de-DE"/>
              </w:rPr>
              <w:t xml:space="preserve">Provided that the institution has assigned all its losses either to a business line listed in </w:t>
            </w:r>
            <w:r w:rsidR="00133396" w:rsidRPr="00661595">
              <w:rPr>
                <w:rFonts w:ascii="Times New Roman" w:hAnsi="Times New Roman"/>
                <w:sz w:val="24"/>
                <w:lang w:eastAsia="de-DE"/>
              </w:rPr>
              <w:t>T</w:t>
            </w:r>
            <w:r w:rsidR="001E0C80" w:rsidRPr="00661595">
              <w:rPr>
                <w:rFonts w:ascii="Times New Roman" w:hAnsi="Times New Roman"/>
                <w:sz w:val="24"/>
                <w:lang w:eastAsia="de-DE"/>
              </w:rPr>
              <w:t xml:space="preserve">able 2 of </w:t>
            </w:r>
            <w:r w:rsidRPr="00661595">
              <w:rPr>
                <w:rFonts w:ascii="Times New Roman" w:hAnsi="Times New Roman"/>
                <w:sz w:val="24"/>
                <w:lang w:eastAsia="de-DE"/>
              </w:rPr>
              <w:t>Article 317(4) CRR or the business line "</w:t>
            </w:r>
            <w:r w:rsidR="00F41508" w:rsidRPr="00661595">
              <w:rPr>
                <w:rFonts w:ascii="Times New Roman" w:hAnsi="Times New Roman"/>
                <w:sz w:val="24"/>
                <w:lang w:eastAsia="de-DE"/>
              </w:rPr>
              <w:t>c</w:t>
            </w:r>
            <w:r w:rsidRPr="00661595">
              <w:rPr>
                <w:rFonts w:ascii="Times New Roman" w:hAnsi="Times New Roman"/>
                <w:sz w:val="24"/>
                <w:lang w:eastAsia="de-DE"/>
              </w:rPr>
              <w:t xml:space="preserve">orporate items" referred to in </w:t>
            </w:r>
            <w:r w:rsidR="00705025" w:rsidRPr="00661595">
              <w:rPr>
                <w:rFonts w:ascii="Times New Roman" w:hAnsi="Times New Roman"/>
                <w:sz w:val="24"/>
                <w:lang w:eastAsia="de-DE"/>
              </w:rPr>
              <w:t xml:space="preserve">point (b) of Article 322(3) </w:t>
            </w:r>
            <w:r w:rsidRPr="00661595">
              <w:rPr>
                <w:rFonts w:ascii="Times New Roman" w:hAnsi="Times New Roman"/>
                <w:sz w:val="24"/>
                <w:lang w:eastAsia="de-DE"/>
              </w:rPr>
              <w:t>CRR</w:t>
            </w:r>
            <w:r w:rsidR="00AB6610" w:rsidRPr="00661595">
              <w:rPr>
                <w:rFonts w:ascii="Times New Roman" w:hAnsi="Times New Roman"/>
                <w:sz w:val="24"/>
                <w:lang w:eastAsia="de-DE"/>
              </w:rPr>
              <w:t xml:space="preserve"> and</w:t>
            </w:r>
            <w:r w:rsidRPr="00661595">
              <w:rPr>
                <w:rFonts w:ascii="Times New Roman" w:hAnsi="Times New Roman"/>
                <w:sz w:val="24"/>
                <w:lang w:eastAsia="de-DE"/>
              </w:rPr>
              <w:t xml:space="preserve"> that it has identified the </w:t>
            </w:r>
            <w:r w:rsidR="00EB6FC2" w:rsidRPr="00661595">
              <w:rPr>
                <w:rFonts w:ascii="Times New Roman" w:hAnsi="Times New Roman"/>
                <w:sz w:val="24"/>
                <w:lang w:eastAsia="de-DE"/>
              </w:rPr>
              <w:t xml:space="preserve">loss </w:t>
            </w:r>
            <w:r w:rsidRPr="00661595">
              <w:rPr>
                <w:rFonts w:ascii="Times New Roman" w:hAnsi="Times New Roman"/>
                <w:sz w:val="24"/>
                <w:lang w:eastAsia="de-DE"/>
              </w:rPr>
              <w:t xml:space="preserve">event types for all losses, for column </w:t>
            </w:r>
            <w:r w:rsidR="00AB6610" w:rsidRPr="00661595">
              <w:rPr>
                <w:rFonts w:ascii="Times New Roman" w:hAnsi="Times New Roman"/>
                <w:sz w:val="24"/>
                <w:lang w:eastAsia="de-DE"/>
              </w:rPr>
              <w:t>0</w:t>
            </w:r>
            <w:r w:rsidRPr="00661595">
              <w:rPr>
                <w:rFonts w:ascii="Times New Roman" w:hAnsi="Times New Roman"/>
                <w:sz w:val="24"/>
                <w:lang w:eastAsia="de-DE"/>
              </w:rPr>
              <w:t xml:space="preserve">080, the sum of the five largest losses shall be the sum of the five largest losses in the whole matrix, which means that it </w:t>
            </w:r>
            <w:r w:rsidR="00F41508" w:rsidRPr="00661595">
              <w:rPr>
                <w:rFonts w:ascii="Times New Roman" w:hAnsi="Times New Roman"/>
                <w:sz w:val="24"/>
                <w:lang w:eastAsia="de-DE"/>
              </w:rPr>
              <w:t xml:space="preserve">is </w:t>
            </w:r>
            <w:r w:rsidRPr="00661595">
              <w:rPr>
                <w:rFonts w:ascii="Times New Roman" w:hAnsi="Times New Roman"/>
                <w:sz w:val="24"/>
                <w:lang w:eastAsia="de-DE"/>
              </w:rPr>
              <w:t xml:space="preserve">not necessarily equal to either the maximum value of “sum of the five largest losses” in row </w:t>
            </w:r>
            <w:r w:rsidR="00AB6610" w:rsidRPr="00661595">
              <w:rPr>
                <w:rFonts w:ascii="Times New Roman" w:hAnsi="Times New Roman"/>
                <w:sz w:val="24"/>
                <w:lang w:eastAsia="de-DE"/>
              </w:rPr>
              <w:t>0</w:t>
            </w:r>
            <w:r w:rsidRPr="00661595">
              <w:rPr>
                <w:rFonts w:ascii="Times New Roman" w:hAnsi="Times New Roman"/>
                <w:sz w:val="24"/>
                <w:lang w:eastAsia="de-DE"/>
              </w:rPr>
              <w:t xml:space="preserve">960 or the maximum value of “sum of the five largest losses” in column </w:t>
            </w:r>
            <w:r w:rsidR="00AB6610" w:rsidRPr="00661595">
              <w:rPr>
                <w:rFonts w:ascii="Times New Roman" w:hAnsi="Times New Roman"/>
                <w:sz w:val="24"/>
                <w:lang w:eastAsia="de-DE"/>
              </w:rPr>
              <w:t>0</w:t>
            </w:r>
            <w:r w:rsidRPr="00661595">
              <w:rPr>
                <w:rFonts w:ascii="Times New Roman" w:hAnsi="Times New Roman"/>
                <w:sz w:val="24"/>
                <w:lang w:eastAsia="de-DE"/>
              </w:rPr>
              <w:t>080.</w:t>
            </w:r>
          </w:p>
        </w:tc>
      </w:tr>
      <w:tr w:rsidR="00FD54FC" w:rsidRPr="00661595" w:rsidTr="00672D2A">
        <w:tc>
          <w:tcPr>
            <w:tcW w:w="1101" w:type="dxa"/>
            <w:tcBorders>
              <w:top w:val="single" w:sz="4" w:space="0" w:color="auto"/>
              <w:left w:val="single" w:sz="4" w:space="0" w:color="auto"/>
              <w:bottom w:val="single" w:sz="4" w:space="0" w:color="auto"/>
              <w:right w:val="single" w:sz="4" w:space="0" w:color="auto"/>
            </w:tcBorders>
          </w:tcPr>
          <w:p w:rsidR="00FD54FC" w:rsidRPr="00661595" w:rsidRDefault="00C93FC2" w:rsidP="00FD54FC">
            <w:pPr>
              <w:rPr>
                <w:rFonts w:ascii="Times New Roman" w:hAnsi="Times New Roman"/>
                <w:sz w:val="24"/>
                <w:lang w:eastAsia="de-DE"/>
              </w:rPr>
            </w:pPr>
            <w:r w:rsidRPr="00661595">
              <w:rPr>
                <w:rFonts w:ascii="Times New Roman" w:hAnsi="Times New Roman"/>
                <w:sz w:val="24"/>
                <w:lang w:eastAsia="de-DE"/>
              </w:rPr>
              <w:t>0</w:t>
            </w:r>
            <w:r w:rsidR="00FD54FC" w:rsidRPr="00661595">
              <w:rPr>
                <w:rFonts w:ascii="Times New Roman" w:hAnsi="Times New Roman"/>
                <w:sz w:val="24"/>
                <w:lang w:eastAsia="de-DE"/>
              </w:rPr>
              <w:t>970</w:t>
            </w:r>
          </w:p>
        </w:tc>
        <w:tc>
          <w:tcPr>
            <w:tcW w:w="8079" w:type="dxa"/>
            <w:tcBorders>
              <w:top w:val="single" w:sz="4" w:space="0" w:color="auto"/>
              <w:left w:val="single" w:sz="4" w:space="0" w:color="auto"/>
              <w:bottom w:val="single" w:sz="4" w:space="0" w:color="auto"/>
              <w:right w:val="single" w:sz="4" w:space="0" w:color="auto"/>
            </w:tcBorders>
          </w:tcPr>
          <w:p w:rsidR="00FD54FC" w:rsidRPr="00661595" w:rsidRDefault="00FD54FC" w:rsidP="00FD54FC">
            <w:pPr>
              <w:rPr>
                <w:rStyle w:val="InstructionsTabelleberschrift"/>
                <w:rFonts w:ascii="Times New Roman" w:hAnsi="Times New Roman"/>
                <w:sz w:val="24"/>
              </w:rPr>
            </w:pPr>
            <w:r w:rsidRPr="00661595">
              <w:rPr>
                <w:rStyle w:val="InstructionsTabelleberschrift"/>
                <w:rFonts w:ascii="Times New Roman" w:hAnsi="Times New Roman"/>
                <w:sz w:val="24"/>
              </w:rPr>
              <w:t>Total direct loss recovery</w:t>
            </w:r>
          </w:p>
          <w:p w:rsidR="00FD54FC" w:rsidRPr="00661595" w:rsidRDefault="00FD54FC" w:rsidP="00705025">
            <w:pPr>
              <w:rPr>
                <w:rStyle w:val="InstructionsTabelleberschrift"/>
                <w:rFonts w:ascii="Times New Roman" w:hAnsi="Times New Roman"/>
                <w:sz w:val="24"/>
              </w:rPr>
            </w:pPr>
            <w:r w:rsidRPr="00661595">
              <w:rPr>
                <w:rFonts w:ascii="Times New Roman" w:hAnsi="Times New Roman"/>
                <w:sz w:val="24"/>
                <w:lang w:eastAsia="de-DE"/>
              </w:rPr>
              <w:t xml:space="preserve">Provided that the institution has assigned all its losses either to a business line listed in </w:t>
            </w:r>
            <w:r w:rsidR="00133396" w:rsidRPr="00661595">
              <w:rPr>
                <w:rFonts w:ascii="Times New Roman" w:hAnsi="Times New Roman"/>
                <w:sz w:val="24"/>
                <w:lang w:eastAsia="de-DE"/>
              </w:rPr>
              <w:t>T</w:t>
            </w:r>
            <w:r w:rsidR="00705025" w:rsidRPr="00661595">
              <w:rPr>
                <w:rFonts w:ascii="Times New Roman" w:hAnsi="Times New Roman"/>
                <w:sz w:val="24"/>
                <w:lang w:eastAsia="de-DE"/>
              </w:rPr>
              <w:t xml:space="preserve">able 2 of </w:t>
            </w:r>
            <w:r w:rsidRPr="00661595">
              <w:rPr>
                <w:rFonts w:ascii="Times New Roman" w:hAnsi="Times New Roman"/>
                <w:sz w:val="24"/>
                <w:lang w:eastAsia="de-DE"/>
              </w:rPr>
              <w:t>Article 317(4) CRR or the business line "</w:t>
            </w:r>
            <w:r w:rsidR="00F41508" w:rsidRPr="00661595">
              <w:rPr>
                <w:rFonts w:ascii="Times New Roman" w:hAnsi="Times New Roman"/>
                <w:sz w:val="24"/>
                <w:lang w:eastAsia="de-DE"/>
              </w:rPr>
              <w:t>c</w:t>
            </w:r>
            <w:r w:rsidRPr="00661595">
              <w:rPr>
                <w:rFonts w:ascii="Times New Roman" w:hAnsi="Times New Roman"/>
                <w:sz w:val="24"/>
                <w:lang w:eastAsia="de-DE"/>
              </w:rPr>
              <w:t xml:space="preserve">orporate items" referred to in </w:t>
            </w:r>
            <w:r w:rsidR="00705025" w:rsidRPr="00661595">
              <w:rPr>
                <w:rFonts w:ascii="Times New Roman" w:hAnsi="Times New Roman"/>
                <w:sz w:val="24"/>
                <w:lang w:eastAsia="de-DE"/>
              </w:rPr>
              <w:t xml:space="preserve">point (b) of Article 322(3) </w:t>
            </w:r>
            <w:r w:rsidRPr="00661595">
              <w:rPr>
                <w:rFonts w:ascii="Times New Roman" w:hAnsi="Times New Roman"/>
                <w:sz w:val="24"/>
                <w:lang w:eastAsia="de-DE"/>
              </w:rPr>
              <w:t xml:space="preserve">CRR, the total direct loss recovery </w:t>
            </w:r>
            <w:r w:rsidR="00F41508" w:rsidRPr="00661595">
              <w:rPr>
                <w:rFonts w:ascii="Times New Roman" w:hAnsi="Times New Roman"/>
                <w:sz w:val="24"/>
                <w:lang w:eastAsia="de-DE"/>
              </w:rPr>
              <w:t>shall be</w:t>
            </w:r>
            <w:r w:rsidRPr="00661595">
              <w:rPr>
                <w:rFonts w:ascii="Times New Roman" w:hAnsi="Times New Roman"/>
                <w:sz w:val="24"/>
                <w:lang w:eastAsia="de-DE"/>
              </w:rPr>
              <w:t xml:space="preserve"> the simple aggregation of the total direct loss recovery for each business line.</w:t>
            </w:r>
          </w:p>
        </w:tc>
      </w:tr>
      <w:tr w:rsidR="00FD54FC" w:rsidRPr="00661595" w:rsidTr="00672D2A">
        <w:tc>
          <w:tcPr>
            <w:tcW w:w="1101" w:type="dxa"/>
            <w:tcBorders>
              <w:top w:val="single" w:sz="4" w:space="0" w:color="auto"/>
              <w:left w:val="single" w:sz="4" w:space="0" w:color="auto"/>
              <w:bottom w:val="single" w:sz="4" w:space="0" w:color="auto"/>
              <w:right w:val="single" w:sz="4" w:space="0" w:color="auto"/>
            </w:tcBorders>
          </w:tcPr>
          <w:p w:rsidR="00FD54FC" w:rsidRPr="00661595" w:rsidRDefault="00C93FC2" w:rsidP="00FD54FC">
            <w:pPr>
              <w:rPr>
                <w:rFonts w:ascii="Times New Roman" w:hAnsi="Times New Roman"/>
                <w:sz w:val="24"/>
                <w:lang w:eastAsia="de-DE"/>
              </w:rPr>
            </w:pPr>
            <w:r w:rsidRPr="00661595">
              <w:rPr>
                <w:rFonts w:ascii="Times New Roman" w:hAnsi="Times New Roman"/>
                <w:sz w:val="24"/>
                <w:lang w:eastAsia="de-DE"/>
              </w:rPr>
              <w:t>0</w:t>
            </w:r>
            <w:r w:rsidR="00FD54FC" w:rsidRPr="00661595">
              <w:rPr>
                <w:rFonts w:ascii="Times New Roman" w:hAnsi="Times New Roman"/>
                <w:sz w:val="24"/>
                <w:lang w:eastAsia="de-DE"/>
              </w:rPr>
              <w:t>980</w:t>
            </w:r>
          </w:p>
        </w:tc>
        <w:tc>
          <w:tcPr>
            <w:tcW w:w="8079" w:type="dxa"/>
            <w:tcBorders>
              <w:top w:val="single" w:sz="4" w:space="0" w:color="auto"/>
              <w:left w:val="single" w:sz="4" w:space="0" w:color="auto"/>
              <w:bottom w:val="single" w:sz="4" w:space="0" w:color="auto"/>
              <w:right w:val="single" w:sz="4" w:space="0" w:color="auto"/>
            </w:tcBorders>
          </w:tcPr>
          <w:p w:rsidR="00FD54FC" w:rsidRPr="00661595" w:rsidRDefault="00FD54FC" w:rsidP="00FD54FC">
            <w:pPr>
              <w:rPr>
                <w:rStyle w:val="InstructionsTabelleberschrift"/>
                <w:rFonts w:ascii="Times New Roman" w:hAnsi="Times New Roman"/>
                <w:sz w:val="24"/>
              </w:rPr>
            </w:pPr>
            <w:r w:rsidRPr="00661595">
              <w:rPr>
                <w:rStyle w:val="InstructionsTabelleberschrift"/>
                <w:rFonts w:ascii="Times New Roman" w:hAnsi="Times New Roman"/>
                <w:sz w:val="24"/>
              </w:rPr>
              <w:t>Total recovery from insurance and other risk transfer mechanisms</w:t>
            </w:r>
          </w:p>
          <w:p w:rsidR="00FD54FC" w:rsidRPr="00661595" w:rsidRDefault="00FD54FC" w:rsidP="00133396">
            <w:pPr>
              <w:rPr>
                <w:rFonts w:ascii="Times New Roman" w:hAnsi="Times New Roman"/>
                <w:b/>
                <w:bCs/>
                <w:sz w:val="24"/>
                <w:u w:val="single"/>
              </w:rPr>
            </w:pPr>
            <w:r w:rsidRPr="00661595">
              <w:rPr>
                <w:rFonts w:ascii="Times New Roman" w:hAnsi="Times New Roman"/>
                <w:sz w:val="24"/>
                <w:lang w:eastAsia="de-DE"/>
              </w:rPr>
              <w:t xml:space="preserve">Provided that the institution has assigned all its losses either to a business line listed in </w:t>
            </w:r>
            <w:r w:rsidR="00133396" w:rsidRPr="00661595">
              <w:rPr>
                <w:rFonts w:ascii="Times New Roman" w:hAnsi="Times New Roman"/>
                <w:sz w:val="24"/>
                <w:lang w:eastAsia="de-DE"/>
              </w:rPr>
              <w:t>T</w:t>
            </w:r>
            <w:r w:rsidR="001E0C80" w:rsidRPr="00661595">
              <w:rPr>
                <w:rFonts w:ascii="Times New Roman" w:hAnsi="Times New Roman"/>
                <w:sz w:val="24"/>
                <w:lang w:eastAsia="de-DE"/>
              </w:rPr>
              <w:t xml:space="preserve">able </w:t>
            </w:r>
            <w:r w:rsidR="00133396" w:rsidRPr="00661595">
              <w:rPr>
                <w:rFonts w:ascii="Times New Roman" w:hAnsi="Times New Roman"/>
                <w:sz w:val="24"/>
                <w:lang w:eastAsia="de-DE"/>
              </w:rPr>
              <w:t xml:space="preserve">2 </w:t>
            </w:r>
            <w:r w:rsidR="001E0C80" w:rsidRPr="00661595">
              <w:rPr>
                <w:rFonts w:ascii="Times New Roman" w:hAnsi="Times New Roman"/>
                <w:sz w:val="24"/>
                <w:lang w:eastAsia="de-DE"/>
              </w:rPr>
              <w:t xml:space="preserve">of </w:t>
            </w:r>
            <w:r w:rsidRPr="00661595">
              <w:rPr>
                <w:rFonts w:ascii="Times New Roman" w:hAnsi="Times New Roman"/>
                <w:sz w:val="24"/>
                <w:lang w:eastAsia="de-DE"/>
              </w:rPr>
              <w:t>Article 317(4) CRR or the business line "</w:t>
            </w:r>
            <w:r w:rsidR="00F41508" w:rsidRPr="00661595">
              <w:rPr>
                <w:rFonts w:ascii="Times New Roman" w:hAnsi="Times New Roman"/>
                <w:sz w:val="24"/>
                <w:lang w:eastAsia="de-DE"/>
              </w:rPr>
              <w:t>c</w:t>
            </w:r>
            <w:r w:rsidRPr="00661595">
              <w:rPr>
                <w:rFonts w:ascii="Times New Roman" w:hAnsi="Times New Roman"/>
                <w:sz w:val="24"/>
                <w:lang w:eastAsia="de-DE"/>
              </w:rPr>
              <w:t xml:space="preserve">orporate items" referred to in </w:t>
            </w:r>
            <w:r w:rsidR="00705025" w:rsidRPr="00661595">
              <w:rPr>
                <w:rFonts w:ascii="Times New Roman" w:hAnsi="Times New Roman"/>
                <w:sz w:val="24"/>
                <w:lang w:eastAsia="de-DE"/>
              </w:rPr>
              <w:t xml:space="preserve">point (b) of Article 322(3) </w:t>
            </w:r>
            <w:r w:rsidRPr="00661595">
              <w:rPr>
                <w:rFonts w:ascii="Times New Roman" w:hAnsi="Times New Roman"/>
                <w:sz w:val="24"/>
                <w:lang w:eastAsia="de-DE"/>
              </w:rPr>
              <w:t xml:space="preserve">CRR, the total recovery from insurance and other risk transfer mechanisms </w:t>
            </w:r>
            <w:r w:rsidR="00F41508" w:rsidRPr="00661595">
              <w:rPr>
                <w:rFonts w:ascii="Times New Roman" w:hAnsi="Times New Roman"/>
                <w:sz w:val="24"/>
                <w:lang w:eastAsia="de-DE"/>
              </w:rPr>
              <w:t>shall be</w:t>
            </w:r>
            <w:r w:rsidRPr="00661595">
              <w:rPr>
                <w:rFonts w:ascii="Times New Roman" w:hAnsi="Times New Roman"/>
                <w:sz w:val="24"/>
                <w:lang w:eastAsia="de-DE"/>
              </w:rPr>
              <w:t xml:space="preserve"> the simple aggregation of the total loss recovery from insurance and other risk transfer mechanisms for each business line.</w:t>
            </w:r>
          </w:p>
        </w:tc>
      </w:tr>
    </w:tbl>
    <w:p w:rsidR="00FD54FC" w:rsidRPr="00661595" w:rsidRDefault="00FD54FC" w:rsidP="00FD54FC">
      <w:pPr>
        <w:spacing w:before="0" w:after="0"/>
        <w:jc w:val="left"/>
        <w:rPr>
          <w:rStyle w:val="InstructionsTabelleText"/>
          <w:rFonts w:ascii="Times New Roman" w:hAnsi="Times New Roman"/>
          <w:sz w:val="24"/>
        </w:rPr>
      </w:pPr>
    </w:p>
    <w:p w:rsidR="00FD54FC"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585" w:name="_Toc473561028"/>
      <w:bookmarkStart w:id="586" w:name="_Toc57831632"/>
      <w:r w:rsidRPr="00661595">
        <w:rPr>
          <w:rFonts w:ascii="Times New Roman" w:hAnsi="Times New Roman" w:cs="Times New Roman"/>
          <w:sz w:val="24"/>
          <w:u w:val="none"/>
          <w:lang w:val="en-GB"/>
        </w:rPr>
        <w:t>4.2.3.</w:t>
      </w:r>
      <w:r w:rsidRPr="00661595">
        <w:rPr>
          <w:rFonts w:ascii="Times New Roman" w:hAnsi="Times New Roman" w:cs="Times New Roman"/>
          <w:sz w:val="24"/>
          <w:u w:val="none"/>
          <w:lang w:val="en-GB"/>
        </w:rPr>
        <w:tab/>
      </w:r>
      <w:r w:rsidR="00FD54FC" w:rsidRPr="00661595">
        <w:rPr>
          <w:rFonts w:ascii="Times New Roman" w:hAnsi="Times New Roman" w:cs="Times New Roman"/>
          <w:sz w:val="24"/>
          <w:lang w:val="en-GB"/>
        </w:rPr>
        <w:t>C 17.02: Operational risk: Detailed information on the largest loss events in the last year (OPR DETAILS 2)</w:t>
      </w:r>
      <w:bookmarkEnd w:id="585"/>
      <w:bookmarkEnd w:id="586"/>
    </w:p>
    <w:p w:rsidR="00FD54FC"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587" w:name="_Toc473561029"/>
      <w:bookmarkStart w:id="588" w:name="_Toc57831633"/>
      <w:r w:rsidRPr="00661595">
        <w:rPr>
          <w:rFonts w:ascii="Times New Roman" w:hAnsi="Times New Roman" w:cs="Times New Roman"/>
          <w:sz w:val="24"/>
          <w:u w:val="none"/>
          <w:lang w:val="en-GB"/>
        </w:rPr>
        <w:t>4.2.3.1.</w:t>
      </w:r>
      <w:r w:rsidRPr="00661595">
        <w:rPr>
          <w:rFonts w:ascii="Times New Roman" w:hAnsi="Times New Roman" w:cs="Times New Roman"/>
          <w:sz w:val="24"/>
          <w:u w:val="none"/>
          <w:lang w:val="en-GB"/>
        </w:rPr>
        <w:tab/>
      </w:r>
      <w:r w:rsidR="00FD54FC" w:rsidRPr="00661595">
        <w:rPr>
          <w:rFonts w:ascii="Times New Roman" w:hAnsi="Times New Roman" w:cs="Times New Roman"/>
          <w:sz w:val="24"/>
          <w:lang w:val="en-GB"/>
        </w:rPr>
        <w:t>General Remarks</w:t>
      </w:r>
      <w:bookmarkEnd w:id="587"/>
      <w:bookmarkEnd w:id="588"/>
    </w:p>
    <w:p w:rsidR="00FD54FC" w:rsidRPr="00661595" w:rsidRDefault="00D11E4C" w:rsidP="00487A02">
      <w:pPr>
        <w:pStyle w:val="InstructionsText2"/>
        <w:numPr>
          <w:ilvl w:val="0"/>
          <w:numId w:val="0"/>
        </w:numPr>
        <w:ind w:left="1353" w:hanging="360"/>
      </w:pPr>
      <w:fldSimple w:instr=" seq paragraphs ">
        <w:r w:rsidR="00771068">
          <w:rPr>
            <w:noProof/>
          </w:rPr>
          <w:t>155</w:t>
        </w:r>
      </w:fldSimple>
      <w:r w:rsidR="00125707" w:rsidRPr="00661595">
        <w:t>.</w:t>
      </w:r>
      <w:r w:rsidR="005C14B0" w:rsidRPr="00661595">
        <w:t xml:space="preserve"> </w:t>
      </w:r>
      <w:r w:rsidR="00FD54FC" w:rsidRPr="00661595">
        <w:t xml:space="preserve">In template C 17.02, information on individual loss events shall be provided (one row per </w:t>
      </w:r>
      <w:r w:rsidR="00EB6FC2" w:rsidRPr="00661595">
        <w:t xml:space="preserve">loss </w:t>
      </w:r>
      <w:r w:rsidR="00FD54FC" w:rsidRPr="00661595">
        <w:t>event).</w:t>
      </w:r>
    </w:p>
    <w:p w:rsidR="00FD54FC" w:rsidRPr="00661595" w:rsidRDefault="00D11E4C" w:rsidP="00487A02">
      <w:pPr>
        <w:pStyle w:val="InstructionsText2"/>
        <w:numPr>
          <w:ilvl w:val="0"/>
          <w:numId w:val="0"/>
        </w:numPr>
        <w:ind w:left="1353" w:hanging="360"/>
      </w:pPr>
      <w:fldSimple w:instr=" seq paragraphs ">
        <w:r w:rsidR="00771068">
          <w:rPr>
            <w:noProof/>
          </w:rPr>
          <w:t>156</w:t>
        </w:r>
      </w:fldSimple>
      <w:r w:rsidR="00125707" w:rsidRPr="00661595">
        <w:t>.</w:t>
      </w:r>
      <w:r w:rsidR="00125707" w:rsidRPr="00661595">
        <w:tab/>
      </w:r>
      <w:r w:rsidR="005C14B0" w:rsidRPr="00661595">
        <w:t xml:space="preserve"> </w:t>
      </w:r>
      <w:r w:rsidR="00FD54FC" w:rsidRPr="00661595">
        <w:t xml:space="preserve">The information reported in this template shall refer to “new </w:t>
      </w:r>
      <w:r w:rsidR="00EB6FC2" w:rsidRPr="00661595">
        <w:t xml:space="preserve">loss </w:t>
      </w:r>
      <w:r w:rsidR="00FD54FC" w:rsidRPr="00661595">
        <w:t>events”, i.e. operational risk events</w:t>
      </w:r>
      <w:r w:rsidR="00F41508" w:rsidRPr="00661595">
        <w:t>:</w:t>
      </w:r>
    </w:p>
    <w:p w:rsidR="00FD54FC" w:rsidRPr="00661595" w:rsidRDefault="00125707" w:rsidP="00487A02">
      <w:pPr>
        <w:pStyle w:val="InstructionsText2"/>
        <w:numPr>
          <w:ilvl w:val="0"/>
          <w:numId w:val="0"/>
        </w:numPr>
        <w:ind w:left="1353" w:hanging="360"/>
      </w:pPr>
      <w:r w:rsidRPr="00661595">
        <w:t>(a)</w:t>
      </w:r>
      <w:r w:rsidRPr="00661595">
        <w:tab/>
      </w:r>
      <w:r w:rsidR="00FD54FC" w:rsidRPr="00661595">
        <w:t>“accounted for the first time” within the reporting reference period</w:t>
      </w:r>
      <w:r w:rsidR="00F41508" w:rsidRPr="00661595">
        <w:t>;</w:t>
      </w:r>
      <w:r w:rsidR="00FD54FC" w:rsidRPr="00661595">
        <w:t xml:space="preserve"> or</w:t>
      </w:r>
    </w:p>
    <w:p w:rsidR="00FD54FC" w:rsidRPr="00661595" w:rsidRDefault="00125707" w:rsidP="00487A02">
      <w:pPr>
        <w:pStyle w:val="InstructionsText2"/>
        <w:numPr>
          <w:ilvl w:val="0"/>
          <w:numId w:val="0"/>
        </w:numPr>
        <w:ind w:left="1353" w:hanging="360"/>
      </w:pPr>
      <w:r w:rsidRPr="00661595">
        <w:t>(b)</w:t>
      </w:r>
      <w:r w:rsidRPr="00661595">
        <w:tab/>
      </w:r>
      <w:r w:rsidR="00FD54FC" w:rsidRPr="00661595">
        <w:t xml:space="preserve">“accounted for the first time” within a previous reporting reference period, </w:t>
      </w:r>
      <w:r w:rsidR="00F41508" w:rsidRPr="00661595">
        <w:t>where</w:t>
      </w:r>
      <w:r w:rsidR="00FD54FC" w:rsidRPr="00661595">
        <w:t xml:space="preserve"> the </w:t>
      </w:r>
      <w:r w:rsidR="00EB6FC2" w:rsidRPr="00661595">
        <w:t xml:space="preserve">loss </w:t>
      </w:r>
      <w:r w:rsidR="00FD54FC" w:rsidRPr="00661595">
        <w:t xml:space="preserve">event </w:t>
      </w:r>
      <w:r w:rsidR="00F41508" w:rsidRPr="00661595">
        <w:t xml:space="preserve">was </w:t>
      </w:r>
      <w:r w:rsidR="00FD54FC" w:rsidRPr="00661595">
        <w:t xml:space="preserve">not included in any previous supervisory report, e.g. because it was identified as operational risk </w:t>
      </w:r>
      <w:r w:rsidR="00EB6FC2" w:rsidRPr="00661595">
        <w:t xml:space="preserve">loss </w:t>
      </w:r>
      <w:r w:rsidR="00FD54FC" w:rsidRPr="00661595">
        <w:t xml:space="preserve">event only in the current reporting reference period or because the accumulated loss attributable to that </w:t>
      </w:r>
      <w:r w:rsidR="00EB6FC2" w:rsidRPr="00661595">
        <w:t xml:space="preserve">loss </w:t>
      </w:r>
      <w:r w:rsidR="00FD54FC" w:rsidRPr="00661595">
        <w:t>event (i.e. the original loss plus / minus all loss adjustments made in previous reporting reference periods) exceeded the internal data collection threshold only in the current reporting reference period.</w:t>
      </w:r>
    </w:p>
    <w:p w:rsidR="00F41508" w:rsidRPr="00661595" w:rsidRDefault="00D11E4C" w:rsidP="00487A02">
      <w:pPr>
        <w:pStyle w:val="InstructionsText2"/>
        <w:numPr>
          <w:ilvl w:val="0"/>
          <w:numId w:val="0"/>
        </w:numPr>
        <w:ind w:left="1353" w:hanging="360"/>
      </w:pPr>
      <w:fldSimple w:instr=" seq paragraphs ">
        <w:r w:rsidR="00771068">
          <w:rPr>
            <w:noProof/>
          </w:rPr>
          <w:t>157</w:t>
        </w:r>
      </w:fldSimple>
      <w:r w:rsidR="00125707" w:rsidRPr="00661595">
        <w:t>.</w:t>
      </w:r>
      <w:r w:rsidR="005C14B0" w:rsidRPr="00661595">
        <w:t xml:space="preserve"> </w:t>
      </w:r>
      <w:r w:rsidR="00FD54FC" w:rsidRPr="00661595">
        <w:t xml:space="preserve">Only </w:t>
      </w:r>
      <w:r w:rsidR="00EB6FC2" w:rsidRPr="00661595">
        <w:t xml:space="preserve">loss </w:t>
      </w:r>
      <w:r w:rsidR="00FD54FC" w:rsidRPr="00661595">
        <w:t xml:space="preserve">events entailing a gross loss amount of 100,000 € or more </w:t>
      </w:r>
      <w:r w:rsidR="00AA6A66" w:rsidRPr="00661595">
        <w:t>shall be</w:t>
      </w:r>
      <w:r w:rsidR="00FD54FC" w:rsidRPr="00661595">
        <w:t xml:space="preserve"> reported.</w:t>
      </w:r>
    </w:p>
    <w:p w:rsidR="00FD54FC" w:rsidRPr="00661595" w:rsidRDefault="00FD54FC" w:rsidP="00487A02">
      <w:pPr>
        <w:pStyle w:val="InstructionsText2"/>
        <w:numPr>
          <w:ilvl w:val="0"/>
          <w:numId w:val="0"/>
        </w:numPr>
        <w:ind w:left="1353" w:hanging="360"/>
      </w:pPr>
      <w:r w:rsidRPr="00661595">
        <w:t>Subject to that threshold</w:t>
      </w:r>
      <w:r w:rsidR="00F41508" w:rsidRPr="00661595">
        <w:t>:</w:t>
      </w:r>
    </w:p>
    <w:p w:rsidR="00FD54FC" w:rsidRPr="00661595" w:rsidRDefault="00125707" w:rsidP="00487A02">
      <w:pPr>
        <w:pStyle w:val="InstructionsText2"/>
        <w:numPr>
          <w:ilvl w:val="0"/>
          <w:numId w:val="0"/>
        </w:numPr>
        <w:ind w:left="1353" w:hanging="360"/>
      </w:pPr>
      <w:r w:rsidRPr="00661595">
        <w:t>(a)</w:t>
      </w:r>
      <w:r w:rsidRPr="00661595">
        <w:tab/>
      </w:r>
      <w:r w:rsidR="00FD54FC" w:rsidRPr="00661595">
        <w:t>the largest event for each event type, provided that the institution has identified the event types for losses</w:t>
      </w:r>
      <w:r w:rsidR="00F41508" w:rsidRPr="00661595">
        <w:t>;</w:t>
      </w:r>
      <w:r w:rsidR="00FD54FC" w:rsidRPr="00661595">
        <w:t xml:space="preserve"> and</w:t>
      </w:r>
    </w:p>
    <w:p w:rsidR="00FD54FC" w:rsidRPr="00661595" w:rsidRDefault="00125707" w:rsidP="00487A02">
      <w:pPr>
        <w:pStyle w:val="InstructionsText2"/>
        <w:numPr>
          <w:ilvl w:val="0"/>
          <w:numId w:val="0"/>
        </w:numPr>
        <w:ind w:left="1353" w:hanging="360"/>
      </w:pPr>
      <w:r w:rsidRPr="00661595">
        <w:t>(b)</w:t>
      </w:r>
      <w:r w:rsidRPr="00661595">
        <w:tab/>
      </w:r>
      <w:r w:rsidR="00AA6A66" w:rsidRPr="00661595">
        <w:t xml:space="preserve">at least </w:t>
      </w:r>
      <w:r w:rsidR="00FD54FC" w:rsidRPr="00661595">
        <w:t>the ten largest of the remaining events with or without identified event type by gross loss amount shall be included in the template.</w:t>
      </w:r>
    </w:p>
    <w:p w:rsidR="00FD54FC" w:rsidRPr="00661595" w:rsidRDefault="00125707" w:rsidP="00487A02">
      <w:pPr>
        <w:pStyle w:val="InstructionsText2"/>
        <w:numPr>
          <w:ilvl w:val="0"/>
          <w:numId w:val="0"/>
        </w:numPr>
        <w:ind w:left="1353" w:hanging="360"/>
      </w:pPr>
      <w:r w:rsidRPr="00661595">
        <w:t>(c)</w:t>
      </w:r>
      <w:r w:rsidRPr="00661595">
        <w:tab/>
      </w:r>
      <w:r w:rsidR="00EB6FC2" w:rsidRPr="00661595">
        <w:t>Loss e</w:t>
      </w:r>
      <w:r w:rsidR="00FD54FC" w:rsidRPr="00661595">
        <w:t xml:space="preserve">vents </w:t>
      </w:r>
      <w:r w:rsidR="00F41508" w:rsidRPr="00661595">
        <w:t>shall be</w:t>
      </w:r>
      <w:r w:rsidR="00FD54FC" w:rsidRPr="00661595">
        <w:t xml:space="preserve"> ranked based on the gross loss attributed to them.</w:t>
      </w:r>
    </w:p>
    <w:p w:rsidR="00FD54FC" w:rsidRPr="00661595" w:rsidRDefault="00125707" w:rsidP="00487A02">
      <w:pPr>
        <w:pStyle w:val="InstructionsText2"/>
        <w:numPr>
          <w:ilvl w:val="0"/>
          <w:numId w:val="0"/>
        </w:numPr>
        <w:ind w:left="1353" w:hanging="360"/>
      </w:pPr>
      <w:r w:rsidRPr="00661595">
        <w:t>(d)</w:t>
      </w:r>
      <w:r w:rsidRPr="00661595">
        <w:tab/>
      </w:r>
      <w:r w:rsidR="00FD54FC" w:rsidRPr="00661595">
        <w:t>A</w:t>
      </w:r>
      <w:r w:rsidR="00EB6FC2" w:rsidRPr="00661595">
        <w:t xml:space="preserve"> loss</w:t>
      </w:r>
      <w:r w:rsidR="00FD54FC" w:rsidRPr="00661595">
        <w:t xml:space="preserve"> event shall only be considered once.</w:t>
      </w:r>
    </w:p>
    <w:p w:rsidR="00FD54FC"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589" w:name="_Toc473561030"/>
      <w:bookmarkStart w:id="590" w:name="_Toc57831634"/>
      <w:r w:rsidRPr="00661595">
        <w:rPr>
          <w:rFonts w:ascii="Times New Roman" w:hAnsi="Times New Roman" w:cs="Times New Roman"/>
          <w:sz w:val="24"/>
          <w:u w:val="none"/>
          <w:lang w:val="en-GB"/>
        </w:rPr>
        <w:t>4.2.3.2.</w:t>
      </w:r>
      <w:r w:rsidRPr="00661595">
        <w:rPr>
          <w:rFonts w:ascii="Times New Roman" w:hAnsi="Times New Roman" w:cs="Times New Roman"/>
          <w:sz w:val="24"/>
          <w:u w:val="none"/>
          <w:lang w:val="en-GB"/>
        </w:rPr>
        <w:tab/>
      </w:r>
      <w:r w:rsidR="00FD54FC" w:rsidRPr="00661595">
        <w:rPr>
          <w:rFonts w:ascii="Times New Roman" w:hAnsi="Times New Roman" w:cs="Times New Roman"/>
          <w:sz w:val="24"/>
          <w:lang w:val="en-GB"/>
        </w:rPr>
        <w:t>Instructions concerning specific positions</w:t>
      </w:r>
      <w:bookmarkEnd w:id="589"/>
      <w:bookmarkEnd w:id="590"/>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1"/>
        <w:gridCol w:w="8111"/>
      </w:tblGrid>
      <w:tr w:rsidR="00FD54FC" w:rsidRPr="00661595" w:rsidTr="006418A0">
        <w:tc>
          <w:tcPr>
            <w:tcW w:w="9062" w:type="dxa"/>
            <w:gridSpan w:val="2"/>
            <w:shd w:val="clear" w:color="auto" w:fill="BFBFBF"/>
          </w:tcPr>
          <w:p w:rsidR="00FD54FC" w:rsidRPr="00661595" w:rsidRDefault="00FD54FC" w:rsidP="00FD54FC">
            <w:pPr>
              <w:rPr>
                <w:rFonts w:ascii="Times New Roman" w:hAnsi="Times New Roman"/>
                <w:sz w:val="24"/>
              </w:rPr>
            </w:pPr>
            <w:r w:rsidRPr="00661595">
              <w:rPr>
                <w:rFonts w:ascii="Times New Roman" w:hAnsi="Times New Roman"/>
                <w:b/>
                <w:bCs/>
                <w:sz w:val="24"/>
                <w:lang w:eastAsia="nl-BE"/>
              </w:rPr>
              <w:t>Columns</w:t>
            </w:r>
          </w:p>
        </w:tc>
      </w:tr>
      <w:tr w:rsidR="00FD54FC" w:rsidRPr="00661595" w:rsidTr="006418A0">
        <w:tc>
          <w:tcPr>
            <w:tcW w:w="951" w:type="dxa"/>
            <w:shd w:val="clear" w:color="auto" w:fill="auto"/>
          </w:tcPr>
          <w:p w:rsidR="00FD54FC" w:rsidRPr="00661595" w:rsidRDefault="00C93FC2" w:rsidP="00FD54FC">
            <w:pPr>
              <w:rPr>
                <w:rFonts w:ascii="Times New Roman" w:hAnsi="Times New Roman"/>
                <w:sz w:val="24"/>
                <w:lang w:eastAsia="de-DE"/>
              </w:rPr>
            </w:pPr>
            <w:r w:rsidRPr="00661595">
              <w:rPr>
                <w:rFonts w:ascii="Times New Roman" w:hAnsi="Times New Roman"/>
                <w:sz w:val="24"/>
                <w:lang w:eastAsia="de-DE"/>
              </w:rPr>
              <w:t>0</w:t>
            </w:r>
            <w:r w:rsidR="00FD54FC" w:rsidRPr="00661595">
              <w:rPr>
                <w:rFonts w:ascii="Times New Roman" w:hAnsi="Times New Roman"/>
                <w:sz w:val="24"/>
                <w:lang w:eastAsia="de-DE"/>
              </w:rPr>
              <w:t>010</w:t>
            </w:r>
          </w:p>
        </w:tc>
        <w:tc>
          <w:tcPr>
            <w:tcW w:w="8111" w:type="dxa"/>
            <w:shd w:val="clear" w:color="auto" w:fill="auto"/>
          </w:tcPr>
          <w:p w:rsidR="00FD54FC" w:rsidRPr="00661595" w:rsidRDefault="00FD54FC" w:rsidP="00FD54FC">
            <w:pPr>
              <w:rPr>
                <w:rFonts w:ascii="Times New Roman" w:hAnsi="Times New Roman"/>
                <w:sz w:val="24"/>
                <w:lang w:eastAsia="de-DE"/>
              </w:rPr>
            </w:pPr>
            <w:r w:rsidRPr="00661595">
              <w:rPr>
                <w:rStyle w:val="InstructionsTabelleberschrift"/>
                <w:rFonts w:ascii="Times New Roman" w:hAnsi="Times New Roman"/>
                <w:sz w:val="24"/>
              </w:rPr>
              <w:t>Event ID</w:t>
            </w:r>
          </w:p>
          <w:p w:rsidR="00FD54FC" w:rsidRPr="00661595" w:rsidRDefault="00FD54FC" w:rsidP="00FD54FC">
            <w:pPr>
              <w:rPr>
                <w:rFonts w:ascii="Times New Roman" w:hAnsi="Times New Roman"/>
                <w:sz w:val="24"/>
                <w:lang w:eastAsia="de-DE"/>
              </w:rPr>
            </w:pPr>
            <w:r w:rsidRPr="00661595">
              <w:rPr>
                <w:rFonts w:ascii="Times New Roman" w:hAnsi="Times New Roman"/>
                <w:sz w:val="24"/>
                <w:lang w:eastAsia="de-DE"/>
              </w:rPr>
              <w:t xml:space="preserve">The event ID is a row identifier and shall be unique for each row in the </w:t>
            </w:r>
            <w:r w:rsidR="00133396" w:rsidRPr="00661595">
              <w:rPr>
                <w:rFonts w:ascii="Times New Roman" w:hAnsi="Times New Roman"/>
                <w:sz w:val="24"/>
                <w:lang w:eastAsia="de-DE"/>
              </w:rPr>
              <w:t>template</w:t>
            </w:r>
            <w:r w:rsidRPr="00661595">
              <w:rPr>
                <w:rFonts w:ascii="Times New Roman" w:hAnsi="Times New Roman"/>
                <w:sz w:val="24"/>
                <w:lang w:eastAsia="de-DE"/>
              </w:rPr>
              <w:t xml:space="preserve">. </w:t>
            </w:r>
          </w:p>
          <w:p w:rsidR="00FD54FC" w:rsidRPr="00661595" w:rsidRDefault="00FD54FC" w:rsidP="00FD54FC">
            <w:pPr>
              <w:rPr>
                <w:rFonts w:ascii="Times New Roman" w:hAnsi="Times New Roman"/>
                <w:sz w:val="24"/>
                <w:lang w:eastAsia="de-DE"/>
              </w:rPr>
            </w:pPr>
            <w:r w:rsidRPr="00661595">
              <w:rPr>
                <w:rFonts w:ascii="Times New Roman" w:hAnsi="Times New Roman"/>
                <w:sz w:val="24"/>
                <w:lang w:eastAsia="de-DE"/>
              </w:rPr>
              <w:t>Where an internal ID is available, institutions shall provide the internal ID. Otherwise, the reported ID shall follow the numerical order 1, 2, 3, etc.</w:t>
            </w:r>
          </w:p>
        </w:tc>
      </w:tr>
      <w:tr w:rsidR="00FD54FC" w:rsidRPr="00661595" w:rsidTr="006418A0">
        <w:tc>
          <w:tcPr>
            <w:tcW w:w="951" w:type="dxa"/>
            <w:shd w:val="clear" w:color="auto" w:fill="auto"/>
          </w:tcPr>
          <w:p w:rsidR="00FD54FC" w:rsidRPr="00661595" w:rsidRDefault="00C93FC2" w:rsidP="00FD54FC">
            <w:pPr>
              <w:rPr>
                <w:rFonts w:ascii="Times New Roman" w:hAnsi="Times New Roman"/>
                <w:sz w:val="24"/>
                <w:lang w:eastAsia="de-DE"/>
              </w:rPr>
            </w:pPr>
            <w:r w:rsidRPr="00661595">
              <w:rPr>
                <w:rFonts w:ascii="Times New Roman" w:hAnsi="Times New Roman"/>
                <w:sz w:val="24"/>
                <w:lang w:eastAsia="de-DE"/>
              </w:rPr>
              <w:t>0</w:t>
            </w:r>
            <w:r w:rsidR="00FD54FC" w:rsidRPr="00661595">
              <w:rPr>
                <w:rFonts w:ascii="Times New Roman" w:hAnsi="Times New Roman"/>
                <w:sz w:val="24"/>
                <w:lang w:eastAsia="de-DE"/>
              </w:rPr>
              <w:t>020</w:t>
            </w:r>
          </w:p>
        </w:tc>
        <w:tc>
          <w:tcPr>
            <w:tcW w:w="8111" w:type="dxa"/>
            <w:shd w:val="clear" w:color="auto" w:fill="auto"/>
          </w:tcPr>
          <w:p w:rsidR="00FD54FC" w:rsidRPr="00661595" w:rsidRDefault="00FD54FC" w:rsidP="00FD54FC">
            <w:pPr>
              <w:rPr>
                <w:rStyle w:val="InstructionsTabelleberschrift"/>
                <w:rFonts w:ascii="Times New Roman" w:hAnsi="Times New Roman"/>
                <w:sz w:val="24"/>
              </w:rPr>
            </w:pPr>
            <w:r w:rsidRPr="00661595">
              <w:rPr>
                <w:rStyle w:val="InstructionsTabelleberschrift"/>
                <w:rFonts w:ascii="Times New Roman" w:hAnsi="Times New Roman"/>
                <w:sz w:val="24"/>
              </w:rPr>
              <w:t>Date of Accounting</w:t>
            </w:r>
          </w:p>
          <w:p w:rsidR="00FD54FC" w:rsidRPr="00661595" w:rsidRDefault="00FD54FC" w:rsidP="00C7103D">
            <w:pPr>
              <w:rPr>
                <w:rFonts w:ascii="Times New Roman" w:hAnsi="Times New Roman"/>
                <w:sz w:val="24"/>
                <w:lang w:eastAsia="de-DE"/>
              </w:rPr>
            </w:pPr>
            <w:r w:rsidRPr="00661595">
              <w:rPr>
                <w:rFonts w:ascii="Times New Roman" w:hAnsi="Times New Roman"/>
                <w:sz w:val="24"/>
                <w:lang w:eastAsia="de-DE"/>
              </w:rPr>
              <w:t>Date of accounting means the date whe</w:t>
            </w:r>
            <w:r w:rsidR="00F41508" w:rsidRPr="00661595">
              <w:rPr>
                <w:rFonts w:ascii="Times New Roman" w:hAnsi="Times New Roman"/>
                <w:sz w:val="24"/>
                <w:lang w:eastAsia="de-DE"/>
              </w:rPr>
              <w:t>re</w:t>
            </w:r>
            <w:r w:rsidRPr="00661595">
              <w:rPr>
                <w:rFonts w:ascii="Times New Roman" w:hAnsi="Times New Roman"/>
                <w:sz w:val="24"/>
                <w:lang w:eastAsia="de-DE"/>
              </w:rPr>
              <w:t xml:space="preserve"> a loss or reserve / provision against an operational risk loss was first recogni</w:t>
            </w:r>
            <w:r w:rsidR="00C7103D" w:rsidRPr="00661595">
              <w:rPr>
                <w:rFonts w:ascii="Times New Roman" w:hAnsi="Times New Roman"/>
                <w:sz w:val="24"/>
                <w:lang w:eastAsia="de-DE"/>
              </w:rPr>
              <w:t>s</w:t>
            </w:r>
            <w:r w:rsidRPr="00661595">
              <w:rPr>
                <w:rFonts w:ascii="Times New Roman" w:hAnsi="Times New Roman"/>
                <w:sz w:val="24"/>
                <w:lang w:eastAsia="de-DE"/>
              </w:rPr>
              <w:t xml:space="preserve">ed in the Profit and Loss statement. </w:t>
            </w:r>
          </w:p>
        </w:tc>
      </w:tr>
      <w:tr w:rsidR="00FD54FC" w:rsidRPr="00661595" w:rsidTr="006418A0">
        <w:tc>
          <w:tcPr>
            <w:tcW w:w="951" w:type="dxa"/>
            <w:shd w:val="clear" w:color="auto" w:fill="auto"/>
          </w:tcPr>
          <w:p w:rsidR="00FD54FC" w:rsidRPr="00661595" w:rsidRDefault="00C93FC2" w:rsidP="00FD54FC">
            <w:pPr>
              <w:rPr>
                <w:rFonts w:ascii="Times New Roman" w:hAnsi="Times New Roman"/>
                <w:sz w:val="24"/>
                <w:lang w:eastAsia="de-DE"/>
              </w:rPr>
            </w:pPr>
            <w:r w:rsidRPr="00661595">
              <w:rPr>
                <w:rFonts w:ascii="Times New Roman" w:hAnsi="Times New Roman"/>
                <w:sz w:val="24"/>
                <w:lang w:eastAsia="de-DE"/>
              </w:rPr>
              <w:t>0</w:t>
            </w:r>
            <w:r w:rsidR="00FD54FC" w:rsidRPr="00661595">
              <w:rPr>
                <w:rFonts w:ascii="Times New Roman" w:hAnsi="Times New Roman"/>
                <w:sz w:val="24"/>
                <w:lang w:eastAsia="de-DE"/>
              </w:rPr>
              <w:t>030</w:t>
            </w:r>
          </w:p>
        </w:tc>
        <w:tc>
          <w:tcPr>
            <w:tcW w:w="8111" w:type="dxa"/>
            <w:shd w:val="clear" w:color="auto" w:fill="auto"/>
          </w:tcPr>
          <w:p w:rsidR="00FD54FC" w:rsidRPr="00661595" w:rsidRDefault="00FD54FC" w:rsidP="00FD54FC">
            <w:pPr>
              <w:rPr>
                <w:rStyle w:val="InstructionsTabelleberschrift"/>
                <w:rFonts w:ascii="Times New Roman" w:hAnsi="Times New Roman"/>
                <w:sz w:val="24"/>
              </w:rPr>
            </w:pPr>
            <w:r w:rsidRPr="00661595">
              <w:rPr>
                <w:rStyle w:val="InstructionsTabelleberschrift"/>
                <w:rFonts w:ascii="Times New Roman" w:hAnsi="Times New Roman"/>
                <w:sz w:val="24"/>
              </w:rPr>
              <w:t>Date of occurrence</w:t>
            </w:r>
          </w:p>
          <w:p w:rsidR="00FD54FC" w:rsidRPr="00661595" w:rsidRDefault="00FD54FC" w:rsidP="00871877">
            <w:pPr>
              <w:rPr>
                <w:rFonts w:ascii="Times New Roman" w:hAnsi="Times New Roman"/>
                <w:sz w:val="24"/>
                <w:lang w:eastAsia="de-DE"/>
              </w:rPr>
            </w:pPr>
            <w:r w:rsidRPr="00661595">
              <w:rPr>
                <w:rFonts w:ascii="Times New Roman" w:hAnsi="Times New Roman"/>
                <w:sz w:val="24"/>
                <w:lang w:eastAsia="de-DE"/>
              </w:rPr>
              <w:t xml:space="preserve">Date of occurrence </w:t>
            </w:r>
            <w:r w:rsidR="00F41508" w:rsidRPr="00661595">
              <w:rPr>
                <w:rFonts w:ascii="Times New Roman" w:hAnsi="Times New Roman"/>
                <w:sz w:val="24"/>
                <w:lang w:eastAsia="de-DE"/>
              </w:rPr>
              <w:t>shall be</w:t>
            </w:r>
            <w:r w:rsidRPr="00661595">
              <w:rPr>
                <w:rFonts w:ascii="Times New Roman" w:hAnsi="Times New Roman"/>
                <w:sz w:val="24"/>
                <w:lang w:eastAsia="de-DE"/>
              </w:rPr>
              <w:t xml:space="preserve"> the date when the operational risk </w:t>
            </w:r>
            <w:r w:rsidR="00EB6FC2" w:rsidRPr="00661595">
              <w:rPr>
                <w:rFonts w:ascii="Times New Roman" w:hAnsi="Times New Roman"/>
                <w:sz w:val="24"/>
                <w:lang w:eastAsia="de-DE"/>
              </w:rPr>
              <w:t xml:space="preserve">loss </w:t>
            </w:r>
            <w:r w:rsidRPr="00661595">
              <w:rPr>
                <w:rFonts w:ascii="Times New Roman" w:hAnsi="Times New Roman"/>
                <w:sz w:val="24"/>
                <w:lang w:eastAsia="de-DE"/>
              </w:rPr>
              <w:t>event happened or first began.</w:t>
            </w:r>
          </w:p>
        </w:tc>
      </w:tr>
      <w:tr w:rsidR="00FD54FC" w:rsidRPr="00661595" w:rsidTr="006418A0">
        <w:tc>
          <w:tcPr>
            <w:tcW w:w="951" w:type="dxa"/>
            <w:shd w:val="clear" w:color="auto" w:fill="auto"/>
          </w:tcPr>
          <w:p w:rsidR="00FD54FC" w:rsidRPr="00661595" w:rsidRDefault="00C93FC2" w:rsidP="00FD54FC">
            <w:pPr>
              <w:rPr>
                <w:rFonts w:ascii="Times New Roman" w:hAnsi="Times New Roman"/>
                <w:sz w:val="24"/>
                <w:lang w:eastAsia="de-DE"/>
              </w:rPr>
            </w:pPr>
            <w:r w:rsidRPr="00661595">
              <w:rPr>
                <w:rFonts w:ascii="Times New Roman" w:hAnsi="Times New Roman"/>
                <w:sz w:val="24"/>
                <w:lang w:eastAsia="de-DE"/>
              </w:rPr>
              <w:t>0</w:t>
            </w:r>
            <w:r w:rsidR="00FD54FC" w:rsidRPr="00661595">
              <w:rPr>
                <w:rFonts w:ascii="Times New Roman" w:hAnsi="Times New Roman"/>
                <w:sz w:val="24"/>
                <w:lang w:eastAsia="de-DE"/>
              </w:rPr>
              <w:t>040</w:t>
            </w:r>
          </w:p>
        </w:tc>
        <w:tc>
          <w:tcPr>
            <w:tcW w:w="8111" w:type="dxa"/>
            <w:shd w:val="clear" w:color="auto" w:fill="auto"/>
          </w:tcPr>
          <w:p w:rsidR="00FD54FC" w:rsidRPr="00661595" w:rsidRDefault="00FD54FC" w:rsidP="00FD54FC">
            <w:pPr>
              <w:rPr>
                <w:rStyle w:val="InstructionsTabelleberschrift"/>
                <w:rFonts w:ascii="Times New Roman" w:hAnsi="Times New Roman"/>
                <w:sz w:val="24"/>
              </w:rPr>
            </w:pPr>
            <w:r w:rsidRPr="00661595">
              <w:rPr>
                <w:rStyle w:val="InstructionsTabelleberschrift"/>
                <w:rFonts w:ascii="Times New Roman" w:hAnsi="Times New Roman"/>
                <w:sz w:val="24"/>
              </w:rPr>
              <w:t>Date of discovery</w:t>
            </w:r>
          </w:p>
          <w:p w:rsidR="00FD54FC" w:rsidRPr="00661595" w:rsidRDefault="00FD54FC" w:rsidP="00FD54FC">
            <w:pPr>
              <w:rPr>
                <w:rFonts w:ascii="Times New Roman" w:hAnsi="Times New Roman"/>
                <w:sz w:val="24"/>
                <w:lang w:eastAsia="de-DE"/>
              </w:rPr>
            </w:pPr>
            <w:r w:rsidRPr="00661595">
              <w:rPr>
                <w:rFonts w:ascii="Times New Roman" w:hAnsi="Times New Roman"/>
                <w:sz w:val="24"/>
                <w:lang w:eastAsia="de-DE"/>
              </w:rPr>
              <w:t xml:space="preserve">Date of discovery </w:t>
            </w:r>
            <w:r w:rsidR="00F41508" w:rsidRPr="00661595">
              <w:rPr>
                <w:rFonts w:ascii="Times New Roman" w:hAnsi="Times New Roman"/>
                <w:sz w:val="24"/>
                <w:lang w:eastAsia="de-DE"/>
              </w:rPr>
              <w:t>shall be</w:t>
            </w:r>
            <w:r w:rsidRPr="00661595">
              <w:rPr>
                <w:rFonts w:ascii="Times New Roman" w:hAnsi="Times New Roman"/>
                <w:sz w:val="24"/>
                <w:lang w:eastAsia="de-DE"/>
              </w:rPr>
              <w:t xml:space="preserve"> the date on which the institution became aware of the operational risk</w:t>
            </w:r>
            <w:r w:rsidR="00EB6FC2" w:rsidRPr="00661595">
              <w:rPr>
                <w:rFonts w:ascii="Times New Roman" w:hAnsi="Times New Roman"/>
                <w:sz w:val="24"/>
                <w:lang w:eastAsia="de-DE"/>
              </w:rPr>
              <w:t xml:space="preserve"> loss</w:t>
            </w:r>
            <w:r w:rsidRPr="00661595">
              <w:rPr>
                <w:rFonts w:ascii="Times New Roman" w:hAnsi="Times New Roman"/>
                <w:sz w:val="24"/>
                <w:lang w:eastAsia="de-DE"/>
              </w:rPr>
              <w:t xml:space="preserve"> event.</w:t>
            </w:r>
          </w:p>
        </w:tc>
      </w:tr>
      <w:tr w:rsidR="00FD54FC" w:rsidRPr="00661595" w:rsidTr="006418A0">
        <w:tc>
          <w:tcPr>
            <w:tcW w:w="951" w:type="dxa"/>
            <w:shd w:val="clear" w:color="auto" w:fill="auto"/>
          </w:tcPr>
          <w:p w:rsidR="00FD54FC" w:rsidRPr="00661595" w:rsidRDefault="00C93FC2" w:rsidP="00FD54FC">
            <w:pPr>
              <w:rPr>
                <w:rFonts w:ascii="Times New Roman" w:hAnsi="Times New Roman"/>
                <w:sz w:val="24"/>
                <w:lang w:eastAsia="de-DE"/>
              </w:rPr>
            </w:pPr>
            <w:r w:rsidRPr="00661595">
              <w:rPr>
                <w:rFonts w:ascii="Times New Roman" w:hAnsi="Times New Roman"/>
                <w:sz w:val="24"/>
                <w:lang w:eastAsia="de-DE"/>
              </w:rPr>
              <w:t>0</w:t>
            </w:r>
            <w:r w:rsidR="00FD54FC" w:rsidRPr="00661595">
              <w:rPr>
                <w:rFonts w:ascii="Times New Roman" w:hAnsi="Times New Roman"/>
                <w:sz w:val="24"/>
                <w:lang w:eastAsia="de-DE"/>
              </w:rPr>
              <w:t>050</w:t>
            </w:r>
          </w:p>
        </w:tc>
        <w:tc>
          <w:tcPr>
            <w:tcW w:w="8111" w:type="dxa"/>
            <w:shd w:val="clear" w:color="auto" w:fill="auto"/>
          </w:tcPr>
          <w:p w:rsidR="00FD54FC" w:rsidRPr="00661595" w:rsidRDefault="00F41508" w:rsidP="00FD54FC">
            <w:pPr>
              <w:rPr>
                <w:rStyle w:val="InstructionsTabelleberschrift"/>
                <w:rFonts w:ascii="Times New Roman" w:hAnsi="Times New Roman"/>
                <w:sz w:val="24"/>
              </w:rPr>
            </w:pPr>
            <w:r w:rsidRPr="00661595">
              <w:rPr>
                <w:rStyle w:val="InstructionsTabelleberschrift"/>
                <w:rFonts w:ascii="Times New Roman" w:hAnsi="Times New Roman"/>
                <w:sz w:val="24"/>
              </w:rPr>
              <w:t xml:space="preserve">Loss </w:t>
            </w:r>
            <w:r w:rsidR="00EB6FC2" w:rsidRPr="00661595">
              <w:rPr>
                <w:rStyle w:val="InstructionsTabelleberschrift"/>
                <w:rFonts w:ascii="Times New Roman" w:hAnsi="Times New Roman"/>
                <w:sz w:val="24"/>
              </w:rPr>
              <w:t>e</w:t>
            </w:r>
            <w:r w:rsidR="00FD54FC" w:rsidRPr="00661595">
              <w:rPr>
                <w:rStyle w:val="InstructionsTabelleberschrift"/>
                <w:rFonts w:ascii="Times New Roman" w:hAnsi="Times New Roman"/>
                <w:sz w:val="24"/>
              </w:rPr>
              <w:t xml:space="preserve">vent </w:t>
            </w:r>
            <w:r w:rsidR="00AB6610" w:rsidRPr="00661595">
              <w:rPr>
                <w:rStyle w:val="InstructionsTabelleberschrift"/>
                <w:rFonts w:ascii="Times New Roman" w:hAnsi="Times New Roman"/>
                <w:sz w:val="24"/>
              </w:rPr>
              <w:t>t</w:t>
            </w:r>
            <w:r w:rsidR="00FD54FC" w:rsidRPr="00661595">
              <w:rPr>
                <w:rStyle w:val="InstructionsTabelleberschrift"/>
                <w:rFonts w:ascii="Times New Roman" w:hAnsi="Times New Roman"/>
                <w:sz w:val="24"/>
              </w:rPr>
              <w:t>ype</w:t>
            </w:r>
          </w:p>
          <w:p w:rsidR="00FD54FC" w:rsidRPr="00661595" w:rsidRDefault="00F41508" w:rsidP="00EB6FC2">
            <w:pPr>
              <w:rPr>
                <w:rFonts w:ascii="Times New Roman" w:hAnsi="Times New Roman"/>
                <w:sz w:val="24"/>
                <w:lang w:eastAsia="de-DE"/>
              </w:rPr>
            </w:pPr>
            <w:r w:rsidRPr="00661595">
              <w:rPr>
                <w:rFonts w:ascii="Times New Roman" w:hAnsi="Times New Roman"/>
                <w:sz w:val="24"/>
                <w:lang w:eastAsia="de-DE"/>
              </w:rPr>
              <w:t xml:space="preserve">Loss </w:t>
            </w:r>
            <w:r w:rsidR="00EB6FC2" w:rsidRPr="00661595">
              <w:rPr>
                <w:rFonts w:ascii="Times New Roman" w:hAnsi="Times New Roman"/>
                <w:sz w:val="24"/>
                <w:lang w:eastAsia="de-DE"/>
              </w:rPr>
              <w:t>e</w:t>
            </w:r>
            <w:r w:rsidR="00FD54FC" w:rsidRPr="00661595">
              <w:rPr>
                <w:rFonts w:ascii="Times New Roman" w:hAnsi="Times New Roman"/>
                <w:sz w:val="24"/>
                <w:lang w:eastAsia="de-DE"/>
              </w:rPr>
              <w:t xml:space="preserve">vent types as </w:t>
            </w:r>
            <w:r w:rsidRPr="00661595">
              <w:rPr>
                <w:rFonts w:ascii="Times New Roman" w:hAnsi="Times New Roman"/>
                <w:sz w:val="24"/>
                <w:lang w:eastAsia="de-DE"/>
              </w:rPr>
              <w:t>referred to</w:t>
            </w:r>
            <w:r w:rsidR="00FD54FC" w:rsidRPr="00661595">
              <w:rPr>
                <w:rFonts w:ascii="Times New Roman" w:hAnsi="Times New Roman"/>
                <w:sz w:val="24"/>
                <w:lang w:eastAsia="de-DE"/>
              </w:rPr>
              <w:t xml:space="preserve"> in Article 324 CRR</w:t>
            </w:r>
            <w:r w:rsidRPr="00661595">
              <w:rPr>
                <w:rFonts w:ascii="Times New Roman" w:hAnsi="Times New Roman"/>
                <w:sz w:val="24"/>
                <w:lang w:eastAsia="de-DE"/>
              </w:rPr>
              <w:t>.</w:t>
            </w:r>
          </w:p>
        </w:tc>
      </w:tr>
      <w:tr w:rsidR="00FD54FC" w:rsidRPr="00661595" w:rsidTr="006418A0">
        <w:tc>
          <w:tcPr>
            <w:tcW w:w="951" w:type="dxa"/>
            <w:shd w:val="clear" w:color="auto" w:fill="auto"/>
          </w:tcPr>
          <w:p w:rsidR="00FD54FC" w:rsidRPr="00661595" w:rsidRDefault="00C93FC2" w:rsidP="00FD54FC">
            <w:pPr>
              <w:rPr>
                <w:rFonts w:ascii="Times New Roman" w:hAnsi="Times New Roman"/>
                <w:sz w:val="24"/>
                <w:lang w:eastAsia="de-DE"/>
              </w:rPr>
            </w:pPr>
            <w:r w:rsidRPr="00661595">
              <w:rPr>
                <w:rFonts w:ascii="Times New Roman" w:hAnsi="Times New Roman"/>
                <w:sz w:val="24"/>
                <w:lang w:eastAsia="de-DE"/>
              </w:rPr>
              <w:t>0</w:t>
            </w:r>
            <w:r w:rsidR="00FD54FC" w:rsidRPr="00661595">
              <w:rPr>
                <w:rFonts w:ascii="Times New Roman" w:hAnsi="Times New Roman"/>
                <w:sz w:val="24"/>
                <w:lang w:eastAsia="de-DE"/>
              </w:rPr>
              <w:t>060</w:t>
            </w:r>
          </w:p>
        </w:tc>
        <w:tc>
          <w:tcPr>
            <w:tcW w:w="8111" w:type="dxa"/>
            <w:shd w:val="clear" w:color="auto" w:fill="auto"/>
          </w:tcPr>
          <w:p w:rsidR="00FD54FC" w:rsidRPr="00661595" w:rsidRDefault="00FD54FC" w:rsidP="00FD54FC">
            <w:pPr>
              <w:rPr>
                <w:rStyle w:val="InstructionsTabelleberschrift"/>
                <w:rFonts w:ascii="Times New Roman" w:hAnsi="Times New Roman"/>
                <w:sz w:val="24"/>
              </w:rPr>
            </w:pPr>
            <w:r w:rsidRPr="00661595">
              <w:rPr>
                <w:rStyle w:val="InstructionsTabelleberschrift"/>
                <w:rFonts w:ascii="Times New Roman" w:hAnsi="Times New Roman"/>
                <w:sz w:val="24"/>
              </w:rPr>
              <w:t>Gross loss</w:t>
            </w:r>
          </w:p>
          <w:p w:rsidR="00FD54FC" w:rsidRPr="00661595" w:rsidRDefault="00FD54FC" w:rsidP="0023276A">
            <w:pPr>
              <w:rPr>
                <w:rFonts w:ascii="Times New Roman" w:hAnsi="Times New Roman"/>
                <w:sz w:val="24"/>
                <w:lang w:eastAsia="de-DE"/>
              </w:rPr>
            </w:pPr>
            <w:r w:rsidRPr="00661595">
              <w:rPr>
                <w:rFonts w:ascii="Times New Roman" w:hAnsi="Times New Roman"/>
                <w:sz w:val="24"/>
                <w:lang w:eastAsia="de-DE"/>
              </w:rPr>
              <w:t xml:space="preserve">Gross loss related to the </w:t>
            </w:r>
            <w:r w:rsidR="00EB6FC2" w:rsidRPr="00661595">
              <w:rPr>
                <w:rFonts w:ascii="Times New Roman" w:hAnsi="Times New Roman"/>
                <w:sz w:val="24"/>
                <w:lang w:eastAsia="de-DE"/>
              </w:rPr>
              <w:t xml:space="preserve">loss </w:t>
            </w:r>
            <w:r w:rsidRPr="00661595">
              <w:rPr>
                <w:rFonts w:ascii="Times New Roman" w:hAnsi="Times New Roman"/>
                <w:sz w:val="24"/>
                <w:lang w:eastAsia="de-DE"/>
              </w:rPr>
              <w:t xml:space="preserve">event </w:t>
            </w:r>
            <w:r w:rsidR="0023276A" w:rsidRPr="00661595">
              <w:rPr>
                <w:rFonts w:ascii="Times New Roman" w:hAnsi="Times New Roman"/>
                <w:sz w:val="24"/>
                <w:lang w:eastAsia="de-DE"/>
              </w:rPr>
              <w:t>reported in</w:t>
            </w:r>
            <w:r w:rsidRPr="00661595">
              <w:rPr>
                <w:rFonts w:ascii="Times New Roman" w:hAnsi="Times New Roman"/>
                <w:sz w:val="24"/>
                <w:lang w:eastAsia="de-DE"/>
              </w:rPr>
              <w:t xml:space="preserve"> rows </w:t>
            </w:r>
            <w:r w:rsidR="00AB6610" w:rsidRPr="00661595">
              <w:rPr>
                <w:rFonts w:ascii="Times New Roman" w:hAnsi="Times New Roman"/>
                <w:sz w:val="24"/>
                <w:lang w:eastAsia="de-DE"/>
              </w:rPr>
              <w:t>0</w:t>
            </w:r>
            <w:r w:rsidRPr="00661595">
              <w:rPr>
                <w:rFonts w:ascii="Times New Roman" w:hAnsi="Times New Roman"/>
                <w:sz w:val="24"/>
                <w:lang w:eastAsia="de-DE"/>
              </w:rPr>
              <w:t xml:space="preserve">020, </w:t>
            </w:r>
            <w:r w:rsidR="00AB6610" w:rsidRPr="00661595">
              <w:rPr>
                <w:rFonts w:ascii="Times New Roman" w:hAnsi="Times New Roman"/>
                <w:sz w:val="24"/>
                <w:lang w:eastAsia="de-DE"/>
              </w:rPr>
              <w:t>0</w:t>
            </w:r>
            <w:r w:rsidRPr="00661595">
              <w:rPr>
                <w:rFonts w:ascii="Times New Roman" w:hAnsi="Times New Roman"/>
                <w:sz w:val="24"/>
                <w:lang w:eastAsia="de-DE"/>
              </w:rPr>
              <w:t>120 etc. of template C 17.01</w:t>
            </w:r>
          </w:p>
        </w:tc>
      </w:tr>
      <w:tr w:rsidR="00FD54FC" w:rsidRPr="00661595" w:rsidTr="006418A0">
        <w:tc>
          <w:tcPr>
            <w:tcW w:w="951" w:type="dxa"/>
            <w:shd w:val="clear" w:color="auto" w:fill="auto"/>
          </w:tcPr>
          <w:p w:rsidR="00FD54FC" w:rsidRPr="00661595" w:rsidRDefault="00C93FC2" w:rsidP="00FD54FC">
            <w:pPr>
              <w:rPr>
                <w:rFonts w:ascii="Times New Roman" w:hAnsi="Times New Roman"/>
                <w:sz w:val="24"/>
                <w:lang w:eastAsia="de-DE"/>
              </w:rPr>
            </w:pPr>
            <w:r w:rsidRPr="00661595">
              <w:rPr>
                <w:rFonts w:ascii="Times New Roman" w:hAnsi="Times New Roman"/>
                <w:sz w:val="24"/>
                <w:lang w:eastAsia="de-DE"/>
              </w:rPr>
              <w:t>0</w:t>
            </w:r>
            <w:r w:rsidR="00FD54FC" w:rsidRPr="00661595">
              <w:rPr>
                <w:rFonts w:ascii="Times New Roman" w:hAnsi="Times New Roman"/>
                <w:sz w:val="24"/>
                <w:lang w:eastAsia="de-DE"/>
              </w:rPr>
              <w:t>070</w:t>
            </w:r>
          </w:p>
        </w:tc>
        <w:tc>
          <w:tcPr>
            <w:tcW w:w="8111" w:type="dxa"/>
            <w:shd w:val="clear" w:color="auto" w:fill="auto"/>
          </w:tcPr>
          <w:p w:rsidR="00FD54FC" w:rsidRPr="00661595" w:rsidRDefault="00FD54FC" w:rsidP="00FD54FC">
            <w:pPr>
              <w:rPr>
                <w:rStyle w:val="InstructionsTabelleberschrift"/>
                <w:rFonts w:ascii="Times New Roman" w:hAnsi="Times New Roman"/>
                <w:sz w:val="24"/>
              </w:rPr>
            </w:pPr>
            <w:r w:rsidRPr="00661595">
              <w:rPr>
                <w:rStyle w:val="InstructionsTabelleberschrift"/>
                <w:rFonts w:ascii="Times New Roman" w:hAnsi="Times New Roman"/>
                <w:sz w:val="24"/>
              </w:rPr>
              <w:t>Gross loss net of direct recoveries</w:t>
            </w:r>
          </w:p>
          <w:p w:rsidR="00FD54FC" w:rsidRPr="00661595" w:rsidRDefault="00FD54FC" w:rsidP="0023276A">
            <w:pPr>
              <w:rPr>
                <w:rFonts w:ascii="Times New Roman" w:hAnsi="Times New Roman"/>
                <w:sz w:val="24"/>
                <w:lang w:eastAsia="de-DE"/>
              </w:rPr>
            </w:pPr>
            <w:r w:rsidRPr="00661595">
              <w:rPr>
                <w:rFonts w:ascii="Times New Roman" w:hAnsi="Times New Roman"/>
                <w:sz w:val="24"/>
                <w:lang w:eastAsia="de-DE"/>
              </w:rPr>
              <w:t xml:space="preserve">Gross loss related to the </w:t>
            </w:r>
            <w:r w:rsidR="00EB6FC2" w:rsidRPr="00661595">
              <w:rPr>
                <w:rFonts w:ascii="Times New Roman" w:hAnsi="Times New Roman"/>
                <w:sz w:val="24"/>
                <w:lang w:eastAsia="de-DE"/>
              </w:rPr>
              <w:t xml:space="preserve">loss </w:t>
            </w:r>
            <w:r w:rsidRPr="00661595">
              <w:rPr>
                <w:rFonts w:ascii="Times New Roman" w:hAnsi="Times New Roman"/>
                <w:sz w:val="24"/>
                <w:lang w:eastAsia="de-DE"/>
              </w:rPr>
              <w:t xml:space="preserve">event </w:t>
            </w:r>
            <w:r w:rsidR="0023276A" w:rsidRPr="00661595">
              <w:rPr>
                <w:rFonts w:ascii="Times New Roman" w:hAnsi="Times New Roman"/>
                <w:sz w:val="24"/>
                <w:lang w:eastAsia="de-DE"/>
              </w:rPr>
              <w:t>reported in</w:t>
            </w:r>
            <w:r w:rsidRPr="00661595">
              <w:rPr>
                <w:rFonts w:ascii="Times New Roman" w:hAnsi="Times New Roman"/>
                <w:sz w:val="24"/>
                <w:lang w:eastAsia="de-DE"/>
              </w:rPr>
              <w:t xml:space="preserve"> rows </w:t>
            </w:r>
            <w:r w:rsidR="00AB6610" w:rsidRPr="00661595">
              <w:rPr>
                <w:rFonts w:ascii="Times New Roman" w:hAnsi="Times New Roman"/>
                <w:sz w:val="24"/>
                <w:lang w:eastAsia="de-DE"/>
              </w:rPr>
              <w:t>0</w:t>
            </w:r>
            <w:r w:rsidRPr="00661595">
              <w:rPr>
                <w:rFonts w:ascii="Times New Roman" w:hAnsi="Times New Roman"/>
                <w:sz w:val="24"/>
                <w:lang w:eastAsia="de-DE"/>
              </w:rPr>
              <w:t xml:space="preserve">020, </w:t>
            </w:r>
            <w:r w:rsidR="00AB6610" w:rsidRPr="00661595">
              <w:rPr>
                <w:rFonts w:ascii="Times New Roman" w:hAnsi="Times New Roman"/>
                <w:sz w:val="24"/>
                <w:lang w:eastAsia="de-DE"/>
              </w:rPr>
              <w:t>0</w:t>
            </w:r>
            <w:r w:rsidRPr="00661595">
              <w:rPr>
                <w:rFonts w:ascii="Times New Roman" w:hAnsi="Times New Roman"/>
                <w:sz w:val="24"/>
                <w:lang w:eastAsia="de-DE"/>
              </w:rPr>
              <w:t>120 etc. of template C 17.01</w:t>
            </w:r>
            <w:r w:rsidR="00F41508" w:rsidRPr="00661595">
              <w:rPr>
                <w:rFonts w:ascii="Times New Roman" w:hAnsi="Times New Roman"/>
                <w:sz w:val="24"/>
                <w:lang w:eastAsia="de-DE"/>
              </w:rPr>
              <w:t>,</w:t>
            </w:r>
            <w:r w:rsidRPr="00661595">
              <w:rPr>
                <w:rFonts w:ascii="Times New Roman" w:hAnsi="Times New Roman"/>
                <w:sz w:val="24"/>
                <w:lang w:eastAsia="de-DE"/>
              </w:rPr>
              <w:t xml:space="preserve"> net of direct recoveries pertinent to that loss event</w:t>
            </w:r>
          </w:p>
        </w:tc>
      </w:tr>
      <w:tr w:rsidR="00FD54FC" w:rsidRPr="00661595" w:rsidTr="006418A0">
        <w:tc>
          <w:tcPr>
            <w:tcW w:w="951" w:type="dxa"/>
            <w:shd w:val="clear" w:color="auto" w:fill="auto"/>
          </w:tcPr>
          <w:p w:rsidR="00FD54FC" w:rsidRPr="00661595" w:rsidRDefault="00C93FC2" w:rsidP="00FD54FC">
            <w:pPr>
              <w:rPr>
                <w:rFonts w:ascii="Times New Roman" w:hAnsi="Times New Roman"/>
                <w:sz w:val="24"/>
                <w:lang w:eastAsia="de-DE"/>
              </w:rPr>
            </w:pPr>
            <w:r w:rsidRPr="00661595">
              <w:rPr>
                <w:rFonts w:ascii="Times New Roman" w:hAnsi="Times New Roman"/>
                <w:sz w:val="24"/>
                <w:lang w:eastAsia="de-DE"/>
              </w:rPr>
              <w:t>0</w:t>
            </w:r>
            <w:r w:rsidR="00FD54FC" w:rsidRPr="00661595">
              <w:rPr>
                <w:rFonts w:ascii="Times New Roman" w:hAnsi="Times New Roman"/>
                <w:sz w:val="24"/>
                <w:lang w:eastAsia="de-DE"/>
              </w:rPr>
              <w:t xml:space="preserve">080 - </w:t>
            </w:r>
            <w:r w:rsidRPr="00661595">
              <w:rPr>
                <w:rFonts w:ascii="Times New Roman" w:hAnsi="Times New Roman"/>
                <w:sz w:val="24"/>
                <w:lang w:eastAsia="de-DE"/>
              </w:rPr>
              <w:t>0</w:t>
            </w:r>
            <w:r w:rsidR="00FD54FC" w:rsidRPr="00661595">
              <w:rPr>
                <w:rFonts w:ascii="Times New Roman" w:hAnsi="Times New Roman"/>
                <w:sz w:val="24"/>
                <w:lang w:eastAsia="de-DE"/>
              </w:rPr>
              <w:t>160</w:t>
            </w:r>
          </w:p>
        </w:tc>
        <w:tc>
          <w:tcPr>
            <w:tcW w:w="8111" w:type="dxa"/>
            <w:shd w:val="clear" w:color="auto" w:fill="auto"/>
          </w:tcPr>
          <w:p w:rsidR="00FD54FC" w:rsidRPr="00661595" w:rsidRDefault="00FD54FC" w:rsidP="00FD54FC">
            <w:pPr>
              <w:rPr>
                <w:rStyle w:val="InstructionsTabelleberschrift"/>
                <w:rFonts w:ascii="Times New Roman" w:hAnsi="Times New Roman"/>
                <w:sz w:val="24"/>
              </w:rPr>
            </w:pPr>
            <w:r w:rsidRPr="00661595">
              <w:rPr>
                <w:rStyle w:val="InstructionsTabelleberschrift"/>
                <w:rFonts w:ascii="Times New Roman" w:hAnsi="Times New Roman"/>
                <w:sz w:val="24"/>
              </w:rPr>
              <w:t>Gross loss by business line</w:t>
            </w:r>
          </w:p>
          <w:p w:rsidR="00FD54FC" w:rsidRPr="00661595" w:rsidRDefault="00FD54FC" w:rsidP="00AB6610">
            <w:pPr>
              <w:rPr>
                <w:rFonts w:ascii="Times New Roman" w:hAnsi="Times New Roman"/>
                <w:sz w:val="24"/>
                <w:lang w:eastAsia="de-DE"/>
              </w:rPr>
            </w:pPr>
            <w:r w:rsidRPr="00661595">
              <w:rPr>
                <w:rFonts w:ascii="Times New Roman" w:hAnsi="Times New Roman"/>
                <w:sz w:val="24"/>
                <w:lang w:eastAsia="de-DE"/>
              </w:rPr>
              <w:t xml:space="preserve">The gross loss as reported in column </w:t>
            </w:r>
            <w:r w:rsidR="00AB6610" w:rsidRPr="00661595">
              <w:rPr>
                <w:rFonts w:ascii="Times New Roman" w:hAnsi="Times New Roman"/>
                <w:sz w:val="24"/>
                <w:lang w:eastAsia="de-DE"/>
              </w:rPr>
              <w:t>0</w:t>
            </w:r>
            <w:r w:rsidRPr="00661595">
              <w:rPr>
                <w:rFonts w:ascii="Times New Roman" w:hAnsi="Times New Roman"/>
                <w:sz w:val="24"/>
                <w:lang w:eastAsia="de-DE"/>
              </w:rPr>
              <w:t xml:space="preserve">060 shall be allocated to the relevant business lines as </w:t>
            </w:r>
            <w:r w:rsidR="00F41508" w:rsidRPr="00661595">
              <w:rPr>
                <w:rFonts w:ascii="Times New Roman" w:hAnsi="Times New Roman"/>
                <w:sz w:val="24"/>
                <w:lang w:eastAsia="de-DE"/>
              </w:rPr>
              <w:t xml:space="preserve">referred to </w:t>
            </w:r>
            <w:r w:rsidRPr="00661595">
              <w:rPr>
                <w:rFonts w:ascii="Times New Roman" w:hAnsi="Times New Roman"/>
                <w:sz w:val="24"/>
                <w:lang w:eastAsia="de-DE"/>
              </w:rPr>
              <w:t>in</w:t>
            </w:r>
            <w:r w:rsidR="00F41508" w:rsidRPr="00661595">
              <w:rPr>
                <w:rFonts w:ascii="Times New Roman" w:hAnsi="Times New Roman"/>
                <w:sz w:val="24"/>
                <w:lang w:eastAsia="de-DE"/>
              </w:rPr>
              <w:t xml:space="preserve"> Table 2 of</w:t>
            </w:r>
            <w:r w:rsidRPr="00661595">
              <w:rPr>
                <w:rFonts w:ascii="Times New Roman" w:hAnsi="Times New Roman"/>
                <w:sz w:val="24"/>
                <w:lang w:eastAsia="de-DE"/>
              </w:rPr>
              <w:t xml:space="preserve"> Article 317</w:t>
            </w:r>
            <w:r w:rsidR="00F41508" w:rsidRPr="00661595">
              <w:rPr>
                <w:rFonts w:ascii="Times New Roman" w:hAnsi="Times New Roman"/>
                <w:sz w:val="24"/>
                <w:lang w:eastAsia="de-DE"/>
              </w:rPr>
              <w:t>(4)</w:t>
            </w:r>
            <w:r w:rsidR="00AB6610" w:rsidRPr="00661595">
              <w:rPr>
                <w:rFonts w:ascii="Times New Roman" w:hAnsi="Times New Roman"/>
                <w:sz w:val="24"/>
                <w:lang w:eastAsia="de-DE"/>
              </w:rPr>
              <w:t xml:space="preserve"> CRR</w:t>
            </w:r>
            <w:r w:rsidRPr="00661595">
              <w:rPr>
                <w:rFonts w:ascii="Times New Roman" w:hAnsi="Times New Roman"/>
                <w:sz w:val="24"/>
                <w:lang w:eastAsia="de-DE"/>
              </w:rPr>
              <w:t xml:space="preserve"> </w:t>
            </w:r>
            <w:r w:rsidR="00AB6610" w:rsidRPr="00661595">
              <w:rPr>
                <w:rFonts w:ascii="Times New Roman" w:hAnsi="Times New Roman"/>
                <w:sz w:val="24"/>
                <w:lang w:eastAsia="de-DE"/>
              </w:rPr>
              <w:t>and</w:t>
            </w:r>
            <w:r w:rsidR="0023276A" w:rsidRPr="00661595">
              <w:rPr>
                <w:rFonts w:ascii="Times New Roman" w:hAnsi="Times New Roman"/>
                <w:sz w:val="24"/>
                <w:lang w:eastAsia="de-DE"/>
              </w:rPr>
              <w:t xml:space="preserve"> </w:t>
            </w:r>
            <w:r w:rsidR="00705025" w:rsidRPr="00661595">
              <w:rPr>
                <w:rFonts w:ascii="Times New Roman" w:hAnsi="Times New Roman"/>
                <w:sz w:val="24"/>
                <w:lang w:eastAsia="de-DE"/>
              </w:rPr>
              <w:t xml:space="preserve">point (b) of Article 322(3) </w:t>
            </w:r>
            <w:r w:rsidRPr="00661595">
              <w:rPr>
                <w:rFonts w:ascii="Times New Roman" w:hAnsi="Times New Roman"/>
                <w:sz w:val="24"/>
                <w:lang w:eastAsia="de-DE"/>
              </w:rPr>
              <w:t>CRR.</w:t>
            </w:r>
          </w:p>
        </w:tc>
      </w:tr>
      <w:tr w:rsidR="00FD54FC" w:rsidRPr="00661595" w:rsidTr="006418A0">
        <w:tc>
          <w:tcPr>
            <w:tcW w:w="951" w:type="dxa"/>
            <w:shd w:val="clear" w:color="auto" w:fill="auto"/>
          </w:tcPr>
          <w:p w:rsidR="00FD54FC" w:rsidRPr="00661595" w:rsidRDefault="00C93FC2" w:rsidP="00FD54FC">
            <w:pPr>
              <w:rPr>
                <w:rFonts w:ascii="Times New Roman" w:hAnsi="Times New Roman"/>
                <w:sz w:val="24"/>
                <w:lang w:eastAsia="de-DE"/>
              </w:rPr>
            </w:pPr>
            <w:r w:rsidRPr="00661595">
              <w:rPr>
                <w:rFonts w:ascii="Times New Roman" w:hAnsi="Times New Roman"/>
                <w:sz w:val="24"/>
                <w:lang w:eastAsia="de-DE"/>
              </w:rPr>
              <w:t>0</w:t>
            </w:r>
            <w:r w:rsidR="00FD54FC" w:rsidRPr="00661595">
              <w:rPr>
                <w:rFonts w:ascii="Times New Roman" w:hAnsi="Times New Roman"/>
                <w:sz w:val="24"/>
                <w:lang w:eastAsia="de-DE"/>
              </w:rPr>
              <w:t>170</w:t>
            </w:r>
          </w:p>
        </w:tc>
        <w:tc>
          <w:tcPr>
            <w:tcW w:w="8111" w:type="dxa"/>
            <w:shd w:val="clear" w:color="auto" w:fill="auto"/>
          </w:tcPr>
          <w:p w:rsidR="00FD54FC" w:rsidRPr="00661595" w:rsidRDefault="00FD54FC" w:rsidP="00FD54FC">
            <w:pPr>
              <w:rPr>
                <w:rStyle w:val="InstructionsTabelleberschrift"/>
                <w:rFonts w:ascii="Times New Roman" w:hAnsi="Times New Roman"/>
                <w:sz w:val="24"/>
              </w:rPr>
            </w:pPr>
            <w:r w:rsidRPr="00661595">
              <w:rPr>
                <w:rStyle w:val="InstructionsTabelleberschrift"/>
                <w:rFonts w:ascii="Times New Roman" w:hAnsi="Times New Roman"/>
                <w:sz w:val="24"/>
              </w:rPr>
              <w:t>Legal Entity name</w:t>
            </w:r>
          </w:p>
          <w:p w:rsidR="00FD54FC" w:rsidRPr="00661595" w:rsidRDefault="00FD54FC" w:rsidP="00FD54FC">
            <w:pPr>
              <w:rPr>
                <w:rFonts w:ascii="Times New Roman" w:hAnsi="Times New Roman"/>
                <w:sz w:val="24"/>
                <w:lang w:eastAsia="de-DE"/>
              </w:rPr>
            </w:pPr>
            <w:r w:rsidRPr="00661595">
              <w:rPr>
                <w:rFonts w:ascii="Times New Roman" w:hAnsi="Times New Roman"/>
                <w:sz w:val="24"/>
                <w:lang w:eastAsia="de-DE"/>
              </w:rPr>
              <w:t xml:space="preserve">Name of the legal entity as reported in column </w:t>
            </w:r>
            <w:r w:rsidR="00CB3146" w:rsidRPr="00661595">
              <w:rPr>
                <w:rFonts w:ascii="Times New Roman" w:hAnsi="Times New Roman"/>
                <w:sz w:val="24"/>
                <w:lang w:eastAsia="de-DE"/>
              </w:rPr>
              <w:t>0</w:t>
            </w:r>
            <w:r w:rsidRPr="00661595">
              <w:rPr>
                <w:rFonts w:ascii="Times New Roman" w:hAnsi="Times New Roman"/>
                <w:sz w:val="24"/>
                <w:lang w:eastAsia="de-DE"/>
              </w:rPr>
              <w:t>010 of C 06.02 where the loss – or the greatest share of the loss, if several entities were affected – occurred.</w:t>
            </w:r>
          </w:p>
        </w:tc>
      </w:tr>
      <w:tr w:rsidR="00FD54FC" w:rsidRPr="00661595" w:rsidTr="006418A0">
        <w:tc>
          <w:tcPr>
            <w:tcW w:w="951" w:type="dxa"/>
            <w:shd w:val="clear" w:color="auto" w:fill="auto"/>
          </w:tcPr>
          <w:p w:rsidR="00FD54FC" w:rsidRPr="00661595" w:rsidRDefault="00C93FC2" w:rsidP="00FD54FC">
            <w:pPr>
              <w:rPr>
                <w:rFonts w:ascii="Times New Roman" w:hAnsi="Times New Roman"/>
                <w:sz w:val="24"/>
                <w:lang w:eastAsia="de-DE"/>
              </w:rPr>
            </w:pPr>
            <w:r w:rsidRPr="00661595">
              <w:rPr>
                <w:rFonts w:ascii="Times New Roman" w:hAnsi="Times New Roman"/>
                <w:sz w:val="24"/>
                <w:lang w:eastAsia="de-DE"/>
              </w:rPr>
              <w:t>0</w:t>
            </w:r>
            <w:r w:rsidR="00FD54FC" w:rsidRPr="00661595">
              <w:rPr>
                <w:rFonts w:ascii="Times New Roman" w:hAnsi="Times New Roman"/>
                <w:sz w:val="24"/>
                <w:lang w:eastAsia="de-DE"/>
              </w:rPr>
              <w:t>18</w:t>
            </w:r>
            <w:r w:rsidR="006B5308">
              <w:rPr>
                <w:rFonts w:ascii="Times New Roman" w:hAnsi="Times New Roman"/>
                <w:sz w:val="24"/>
                <w:lang w:eastAsia="de-DE"/>
              </w:rPr>
              <w:t>0</w:t>
            </w:r>
          </w:p>
        </w:tc>
        <w:tc>
          <w:tcPr>
            <w:tcW w:w="8111" w:type="dxa"/>
            <w:shd w:val="clear" w:color="auto" w:fill="auto"/>
          </w:tcPr>
          <w:p w:rsidR="00FD54FC" w:rsidRPr="00661595" w:rsidRDefault="00105A75" w:rsidP="00FD54FC">
            <w:pPr>
              <w:rPr>
                <w:rStyle w:val="InstructionsTabelleberschrift"/>
                <w:rFonts w:ascii="Times New Roman" w:hAnsi="Times New Roman"/>
                <w:sz w:val="24"/>
              </w:rPr>
            </w:pPr>
            <w:r>
              <w:rPr>
                <w:rStyle w:val="InstructionsTabelleberschrift"/>
                <w:rFonts w:ascii="Times New Roman" w:hAnsi="Times New Roman"/>
                <w:sz w:val="24"/>
              </w:rPr>
              <w:t>Code</w:t>
            </w:r>
          </w:p>
          <w:p w:rsidR="000D0A23" w:rsidRPr="00661595" w:rsidRDefault="009B627A" w:rsidP="009B627A">
            <w:pPr>
              <w:rPr>
                <w:rFonts w:ascii="Times New Roman" w:hAnsi="Times New Roman"/>
                <w:sz w:val="24"/>
                <w:lang w:eastAsia="de-DE"/>
              </w:rPr>
            </w:pPr>
            <w:r>
              <w:rPr>
                <w:rFonts w:ascii="Times New Roman" w:hAnsi="Times New Roman"/>
                <w:sz w:val="24"/>
                <w:lang w:eastAsia="de-DE"/>
              </w:rPr>
              <w:t>LEI c</w:t>
            </w:r>
            <w:r w:rsidR="00FD54FC" w:rsidRPr="00661595">
              <w:rPr>
                <w:rFonts w:ascii="Times New Roman" w:hAnsi="Times New Roman"/>
                <w:sz w:val="24"/>
                <w:lang w:eastAsia="de-DE"/>
              </w:rPr>
              <w:t xml:space="preserve">ode of the legal entity as reported in column </w:t>
            </w:r>
            <w:r w:rsidR="00CB3146" w:rsidRPr="00661595">
              <w:rPr>
                <w:rFonts w:ascii="Times New Roman" w:hAnsi="Times New Roman"/>
                <w:sz w:val="24"/>
                <w:lang w:eastAsia="de-DE"/>
              </w:rPr>
              <w:t>0</w:t>
            </w:r>
            <w:r w:rsidR="00FD54FC" w:rsidRPr="00661595">
              <w:rPr>
                <w:rFonts w:ascii="Times New Roman" w:hAnsi="Times New Roman"/>
                <w:sz w:val="24"/>
                <w:lang w:eastAsia="de-DE"/>
              </w:rPr>
              <w:t>02</w:t>
            </w:r>
            <w:r w:rsidR="000D0A23">
              <w:rPr>
                <w:rFonts w:ascii="Times New Roman" w:hAnsi="Times New Roman"/>
                <w:sz w:val="24"/>
                <w:lang w:eastAsia="de-DE"/>
              </w:rPr>
              <w:t>1</w:t>
            </w:r>
            <w:r w:rsidR="00FD54FC" w:rsidRPr="00661595">
              <w:rPr>
                <w:rFonts w:ascii="Times New Roman" w:hAnsi="Times New Roman"/>
                <w:sz w:val="24"/>
                <w:lang w:eastAsia="de-DE"/>
              </w:rPr>
              <w:t xml:space="preserve"> of C 06.02 where the loss – or the greatest share of the loss, if several entities were affected – occurred.</w:t>
            </w:r>
          </w:p>
        </w:tc>
      </w:tr>
      <w:tr w:rsidR="000D0A23" w:rsidRPr="00661595" w:rsidTr="00127FEA">
        <w:tc>
          <w:tcPr>
            <w:tcW w:w="951" w:type="dxa"/>
            <w:shd w:val="clear" w:color="auto" w:fill="auto"/>
          </w:tcPr>
          <w:p w:rsidR="000D0A23" w:rsidRPr="00661595" w:rsidRDefault="000D0A23" w:rsidP="00071D95">
            <w:pPr>
              <w:rPr>
                <w:rStyle w:val="InstructionsTabelleText"/>
                <w:rFonts w:ascii="Times New Roman" w:hAnsi="Times New Roman"/>
                <w:sz w:val="24"/>
              </w:rPr>
            </w:pPr>
            <w:r w:rsidRPr="00661595">
              <w:rPr>
                <w:rStyle w:val="InstructionsTabelleText"/>
                <w:rFonts w:ascii="Times New Roman" w:hAnsi="Times New Roman"/>
                <w:sz w:val="24"/>
              </w:rPr>
              <w:t>0</w:t>
            </w:r>
            <w:r>
              <w:rPr>
                <w:rStyle w:val="InstructionsTabelleText"/>
                <w:rFonts w:ascii="Times New Roman" w:hAnsi="Times New Roman"/>
                <w:sz w:val="24"/>
              </w:rPr>
              <w:t>1</w:t>
            </w:r>
            <w:r w:rsidR="00071D95">
              <w:rPr>
                <w:rStyle w:val="InstructionsTabelleText"/>
                <w:rFonts w:ascii="Times New Roman" w:hAnsi="Times New Roman"/>
                <w:sz w:val="24"/>
              </w:rPr>
              <w:t>85</w:t>
            </w:r>
          </w:p>
        </w:tc>
        <w:tc>
          <w:tcPr>
            <w:tcW w:w="8111" w:type="dxa"/>
            <w:shd w:val="clear" w:color="auto" w:fill="auto"/>
          </w:tcPr>
          <w:p w:rsidR="000D0A23" w:rsidRPr="00661595" w:rsidRDefault="000D0A23" w:rsidP="00127FEA">
            <w:pPr>
              <w:rPr>
                <w:rStyle w:val="InstructionsTabelleberschrift"/>
                <w:rFonts w:ascii="Times New Roman" w:hAnsi="Times New Roman"/>
                <w:sz w:val="24"/>
              </w:rPr>
            </w:pPr>
            <w:r w:rsidRPr="00661595">
              <w:rPr>
                <w:rStyle w:val="InstructionsTabelleberschrift"/>
                <w:rFonts w:ascii="Times New Roman" w:hAnsi="Times New Roman"/>
                <w:sz w:val="24"/>
              </w:rPr>
              <w:t>TYPE OF CODE</w:t>
            </w:r>
          </w:p>
          <w:p w:rsidR="000D0A23" w:rsidRPr="00661595" w:rsidRDefault="000D0A23" w:rsidP="009B627A">
            <w:pPr>
              <w:rPr>
                <w:rStyle w:val="InstructionsTabelleberschrift"/>
                <w:rFonts w:ascii="Times New Roman" w:hAnsi="Times New Roman"/>
                <w:sz w:val="24"/>
              </w:rPr>
            </w:pPr>
            <w:r w:rsidRPr="00661595">
              <w:rPr>
                <w:rStyle w:val="InstructionsTabelleText"/>
                <w:rFonts w:ascii="Times New Roman" w:hAnsi="Times New Roman"/>
                <w:sz w:val="24"/>
              </w:rPr>
              <w:t xml:space="preserve">The institutions shall identify the type of code reported in </w:t>
            </w:r>
            <w:r w:rsidRPr="00661595">
              <w:rPr>
                <w:rStyle w:val="FormatvorlageInstructionsTabelleText"/>
                <w:rFonts w:ascii="Times New Roman" w:hAnsi="Times New Roman"/>
                <w:sz w:val="24"/>
                <w:lang w:eastAsia="de-DE"/>
              </w:rPr>
              <w:t>column 0</w:t>
            </w:r>
            <w:r>
              <w:rPr>
                <w:rStyle w:val="FormatvorlageInstructionsTabelleText"/>
                <w:rFonts w:ascii="Times New Roman" w:hAnsi="Times New Roman"/>
                <w:sz w:val="24"/>
                <w:lang w:eastAsia="de-DE"/>
              </w:rPr>
              <w:t>180</w:t>
            </w:r>
            <w:r w:rsidRPr="00661595">
              <w:rPr>
                <w:rStyle w:val="FormatvorlageInstructionsTabelleText"/>
                <w:rFonts w:ascii="Times New Roman" w:hAnsi="Times New Roman"/>
                <w:sz w:val="24"/>
                <w:lang w:eastAsia="de-DE"/>
              </w:rPr>
              <w:t xml:space="preserve"> as a ‘LEI code’. The type of code shall always be reported.</w:t>
            </w:r>
          </w:p>
        </w:tc>
      </w:tr>
      <w:tr w:rsidR="00FD54FC" w:rsidRPr="00661595" w:rsidTr="006418A0">
        <w:tc>
          <w:tcPr>
            <w:tcW w:w="951" w:type="dxa"/>
            <w:shd w:val="clear" w:color="auto" w:fill="auto"/>
          </w:tcPr>
          <w:p w:rsidR="00FD54FC" w:rsidRPr="00661595" w:rsidRDefault="00C93FC2" w:rsidP="00FD54FC">
            <w:pPr>
              <w:rPr>
                <w:rFonts w:ascii="Times New Roman" w:hAnsi="Times New Roman"/>
                <w:sz w:val="24"/>
                <w:lang w:eastAsia="de-DE"/>
              </w:rPr>
            </w:pPr>
            <w:r w:rsidRPr="00661595">
              <w:rPr>
                <w:rFonts w:ascii="Times New Roman" w:hAnsi="Times New Roman"/>
                <w:sz w:val="24"/>
                <w:lang w:eastAsia="de-DE"/>
              </w:rPr>
              <w:t>0</w:t>
            </w:r>
            <w:r w:rsidR="00FD54FC" w:rsidRPr="00661595">
              <w:rPr>
                <w:rFonts w:ascii="Times New Roman" w:hAnsi="Times New Roman"/>
                <w:sz w:val="24"/>
                <w:lang w:eastAsia="de-DE"/>
              </w:rPr>
              <w:t>190</w:t>
            </w:r>
          </w:p>
        </w:tc>
        <w:tc>
          <w:tcPr>
            <w:tcW w:w="8111" w:type="dxa"/>
            <w:shd w:val="clear" w:color="auto" w:fill="auto"/>
          </w:tcPr>
          <w:p w:rsidR="00FD54FC" w:rsidRPr="00661595" w:rsidRDefault="00FD54FC" w:rsidP="00FD54FC">
            <w:pPr>
              <w:rPr>
                <w:rStyle w:val="InstructionsTabelleberschrift"/>
                <w:rFonts w:ascii="Times New Roman" w:hAnsi="Times New Roman"/>
                <w:sz w:val="24"/>
              </w:rPr>
            </w:pPr>
            <w:r w:rsidRPr="00661595">
              <w:rPr>
                <w:rStyle w:val="InstructionsTabelleberschrift"/>
                <w:rFonts w:ascii="Times New Roman" w:hAnsi="Times New Roman"/>
                <w:sz w:val="24"/>
              </w:rPr>
              <w:t>Business Unit</w:t>
            </w:r>
          </w:p>
          <w:p w:rsidR="00FD54FC" w:rsidRPr="00661595" w:rsidRDefault="00FD54FC" w:rsidP="00FD54FC">
            <w:pPr>
              <w:rPr>
                <w:rFonts w:ascii="Times New Roman" w:hAnsi="Times New Roman"/>
                <w:sz w:val="24"/>
                <w:lang w:eastAsia="de-DE"/>
              </w:rPr>
            </w:pPr>
            <w:r w:rsidRPr="00661595">
              <w:rPr>
                <w:rFonts w:ascii="Times New Roman" w:hAnsi="Times New Roman"/>
                <w:sz w:val="24"/>
                <w:lang w:eastAsia="de-DE"/>
              </w:rPr>
              <w:t>Business unit or corporate division of the institution where the loss – or the greatest share of the loss if several business units or corporate divisions were affected – occurred.</w:t>
            </w:r>
          </w:p>
        </w:tc>
      </w:tr>
      <w:tr w:rsidR="00FD54FC" w:rsidRPr="00661595" w:rsidTr="006418A0">
        <w:tc>
          <w:tcPr>
            <w:tcW w:w="951" w:type="dxa"/>
            <w:shd w:val="clear" w:color="auto" w:fill="auto"/>
          </w:tcPr>
          <w:p w:rsidR="00FD54FC" w:rsidRPr="00661595" w:rsidRDefault="00C93FC2" w:rsidP="00FD54FC">
            <w:pPr>
              <w:rPr>
                <w:rFonts w:ascii="Times New Roman" w:hAnsi="Times New Roman"/>
                <w:sz w:val="24"/>
                <w:lang w:eastAsia="de-DE"/>
              </w:rPr>
            </w:pPr>
            <w:r w:rsidRPr="00661595">
              <w:rPr>
                <w:rFonts w:ascii="Times New Roman" w:hAnsi="Times New Roman"/>
                <w:sz w:val="24"/>
                <w:lang w:eastAsia="de-DE"/>
              </w:rPr>
              <w:t>0</w:t>
            </w:r>
            <w:r w:rsidR="00FD54FC" w:rsidRPr="00661595">
              <w:rPr>
                <w:rFonts w:ascii="Times New Roman" w:hAnsi="Times New Roman"/>
                <w:sz w:val="24"/>
                <w:lang w:eastAsia="de-DE"/>
              </w:rPr>
              <w:t>200</w:t>
            </w:r>
          </w:p>
        </w:tc>
        <w:tc>
          <w:tcPr>
            <w:tcW w:w="8111" w:type="dxa"/>
            <w:shd w:val="clear" w:color="auto" w:fill="auto"/>
          </w:tcPr>
          <w:p w:rsidR="00FD54FC" w:rsidRPr="00661595" w:rsidRDefault="00FD54FC" w:rsidP="00FD54FC">
            <w:pPr>
              <w:rPr>
                <w:rStyle w:val="InstructionsTabelleberschrift"/>
                <w:rFonts w:ascii="Times New Roman" w:hAnsi="Times New Roman"/>
                <w:sz w:val="24"/>
              </w:rPr>
            </w:pPr>
            <w:r w:rsidRPr="00661595">
              <w:rPr>
                <w:rStyle w:val="InstructionsTabelleberschrift"/>
                <w:rFonts w:ascii="Times New Roman" w:hAnsi="Times New Roman"/>
                <w:sz w:val="24"/>
              </w:rPr>
              <w:t>Description</w:t>
            </w:r>
          </w:p>
          <w:p w:rsidR="00FD54FC" w:rsidRPr="00661595" w:rsidRDefault="00FD54FC" w:rsidP="00FD239F">
            <w:pPr>
              <w:rPr>
                <w:rFonts w:ascii="Times New Roman" w:hAnsi="Times New Roman"/>
                <w:sz w:val="24"/>
                <w:lang w:eastAsia="de-DE"/>
              </w:rPr>
            </w:pPr>
            <w:r w:rsidRPr="00661595">
              <w:rPr>
                <w:rFonts w:ascii="Times New Roman" w:hAnsi="Times New Roman"/>
                <w:sz w:val="24"/>
                <w:lang w:eastAsia="de-DE"/>
              </w:rPr>
              <w:t>Narrative description of the</w:t>
            </w:r>
            <w:r w:rsidR="00EB6FC2" w:rsidRPr="00661595">
              <w:rPr>
                <w:rFonts w:ascii="Times New Roman" w:hAnsi="Times New Roman"/>
                <w:sz w:val="24"/>
                <w:lang w:eastAsia="de-DE"/>
              </w:rPr>
              <w:t xml:space="preserve"> loss</w:t>
            </w:r>
            <w:r w:rsidRPr="00661595">
              <w:rPr>
                <w:rFonts w:ascii="Times New Roman" w:hAnsi="Times New Roman"/>
                <w:sz w:val="24"/>
                <w:lang w:eastAsia="de-DE"/>
              </w:rPr>
              <w:t xml:space="preserve"> event, where necessary in a generalised or anonymised manner, which</w:t>
            </w:r>
            <w:r w:rsidR="009A1A9B" w:rsidRPr="00661595">
              <w:rPr>
                <w:rFonts w:ascii="Times New Roman" w:hAnsi="Times New Roman"/>
                <w:sz w:val="24"/>
                <w:lang w:eastAsia="de-DE"/>
              </w:rPr>
              <w:t xml:space="preserve"> shall </w:t>
            </w:r>
            <w:r w:rsidRPr="00661595">
              <w:rPr>
                <w:rFonts w:ascii="Times New Roman" w:hAnsi="Times New Roman"/>
                <w:sz w:val="24"/>
                <w:lang w:eastAsia="de-DE"/>
              </w:rPr>
              <w:t xml:space="preserve">comprise at least information about the event itself and information about the drivers or causes of the </w:t>
            </w:r>
            <w:r w:rsidR="00EB6FC2" w:rsidRPr="00661595">
              <w:rPr>
                <w:rFonts w:ascii="Times New Roman" w:hAnsi="Times New Roman"/>
                <w:sz w:val="24"/>
                <w:lang w:eastAsia="de-DE"/>
              </w:rPr>
              <w:t xml:space="preserve">loss </w:t>
            </w:r>
            <w:r w:rsidRPr="00661595">
              <w:rPr>
                <w:rFonts w:ascii="Times New Roman" w:hAnsi="Times New Roman"/>
                <w:sz w:val="24"/>
                <w:lang w:eastAsia="de-DE"/>
              </w:rPr>
              <w:t>event, where known.</w:t>
            </w:r>
          </w:p>
        </w:tc>
      </w:tr>
    </w:tbl>
    <w:p w:rsidR="00FD54FC" w:rsidRPr="00661595" w:rsidRDefault="00FD54FC" w:rsidP="00AC6255">
      <w:pPr>
        <w:spacing w:after="0"/>
        <w:rPr>
          <w:rFonts w:ascii="Times New Roman" w:hAnsi="Times New Roman"/>
          <w:sz w:val="24"/>
        </w:rPr>
      </w:pPr>
    </w:p>
    <w:p w:rsidR="00AC6255" w:rsidRPr="00661595" w:rsidRDefault="00AC6255">
      <w:pPr>
        <w:spacing w:before="0" w:after="0"/>
        <w:jc w:val="left"/>
        <w:rPr>
          <w:rStyle w:val="InstructionsTabelleText"/>
          <w:rFonts w:ascii="Times New Roman" w:hAnsi="Times New Roman"/>
          <w:sz w:val="24"/>
        </w:rPr>
      </w:pPr>
      <w:r w:rsidRPr="00661595">
        <w:rPr>
          <w:rStyle w:val="InstructionsTabelleText"/>
          <w:rFonts w:ascii="Times New Roman" w:hAnsi="Times New Roman"/>
          <w:sz w:val="24"/>
        </w:rPr>
        <w:br w:type="page"/>
      </w:r>
    </w:p>
    <w:p w:rsidR="000B0B09"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591" w:name="_Toc295829995"/>
      <w:bookmarkStart w:id="592" w:name="_Toc262566425"/>
      <w:bookmarkStart w:id="593" w:name="_Toc308426671"/>
      <w:bookmarkStart w:id="594" w:name="_Toc310415056"/>
      <w:bookmarkStart w:id="595" w:name="_Toc360188391"/>
      <w:bookmarkStart w:id="596" w:name="_Toc473561031"/>
      <w:bookmarkStart w:id="597" w:name="_Toc57831635"/>
      <w:r w:rsidRPr="00661595">
        <w:rPr>
          <w:rFonts w:ascii="Times New Roman" w:hAnsi="Times New Roman" w:cs="Times New Roman"/>
          <w:sz w:val="24"/>
          <w:u w:val="none"/>
          <w:lang w:val="en-GB"/>
        </w:rPr>
        <w:t>5.</w:t>
      </w:r>
      <w:r w:rsidRPr="00661595">
        <w:rPr>
          <w:rFonts w:ascii="Times New Roman" w:hAnsi="Times New Roman" w:cs="Times New Roman"/>
          <w:sz w:val="24"/>
          <w:u w:val="none"/>
          <w:lang w:val="en-GB"/>
        </w:rPr>
        <w:tab/>
      </w:r>
      <w:r w:rsidR="000B0B09" w:rsidRPr="00661595">
        <w:rPr>
          <w:rFonts w:ascii="Times New Roman" w:hAnsi="Times New Roman" w:cs="Times New Roman"/>
          <w:sz w:val="24"/>
          <w:lang w:val="en-GB"/>
        </w:rPr>
        <w:t>Market Risk Templates</w:t>
      </w:r>
      <w:bookmarkEnd w:id="591"/>
      <w:bookmarkEnd w:id="592"/>
      <w:bookmarkEnd w:id="593"/>
      <w:bookmarkEnd w:id="594"/>
      <w:bookmarkEnd w:id="595"/>
      <w:bookmarkEnd w:id="596"/>
      <w:bookmarkEnd w:id="597"/>
    </w:p>
    <w:bookmarkStart w:id="598" w:name="_Toc308426672"/>
    <w:p w:rsidR="000B0B09" w:rsidRPr="00661595" w:rsidRDefault="00771068" w:rsidP="00487A02">
      <w:pPr>
        <w:pStyle w:val="InstructionsText2"/>
        <w:numPr>
          <w:ilvl w:val="0"/>
          <w:numId w:val="0"/>
        </w:numPr>
        <w:ind w:left="1353" w:hanging="360"/>
      </w:pPr>
      <w:r>
        <w:fldChar w:fldCharType="begin"/>
      </w:r>
      <w:r>
        <w:instrText xml:space="preserve"> seq paragraphs </w:instrText>
      </w:r>
      <w:r>
        <w:fldChar w:fldCharType="separate"/>
      </w:r>
      <w:r>
        <w:rPr>
          <w:noProof/>
        </w:rPr>
        <w:t>158</w:t>
      </w:r>
      <w:r>
        <w:fldChar w:fldCharType="end"/>
      </w:r>
      <w:r w:rsidR="00125707" w:rsidRPr="00661595">
        <w:t>.</w:t>
      </w:r>
      <w:r w:rsidR="00125707" w:rsidRPr="00661595">
        <w:tab/>
      </w:r>
      <w:r w:rsidR="005C14B0" w:rsidRPr="00661595">
        <w:t xml:space="preserve"> </w:t>
      </w:r>
      <w:r w:rsidR="000B0B09" w:rsidRPr="00661595">
        <w:t xml:space="preserve">These instructions refer to the templates </w:t>
      </w:r>
      <w:r w:rsidR="00BD2FE7" w:rsidRPr="00661595">
        <w:t xml:space="preserve">for the </w:t>
      </w:r>
      <w:r w:rsidR="000B0B09" w:rsidRPr="00661595">
        <w:t xml:space="preserve">reporting of the calculation of own funds requirements </w:t>
      </w:r>
      <w:r w:rsidR="00BB22D4" w:rsidRPr="00661595">
        <w:t>in accordance with</w:t>
      </w:r>
      <w:r w:rsidR="000B0B09" w:rsidRPr="00661595">
        <w:t xml:space="preserve"> the </w:t>
      </w:r>
      <w:r w:rsidR="00CA21CA" w:rsidRPr="00661595">
        <w:t>Standardised Approach</w:t>
      </w:r>
      <w:r w:rsidR="000B0B09" w:rsidRPr="00661595">
        <w:t xml:space="preserve"> for foreign exchange risk (MKR SA FX), commodities risk (MKR SA COM)</w:t>
      </w:r>
      <w:r w:rsidR="00F41508" w:rsidRPr="00661595">
        <w:t>,</w:t>
      </w:r>
      <w:r w:rsidR="000B0B09" w:rsidRPr="00661595">
        <w:t xml:space="preserve"> interest rate risk (MKR SA TDI, MKR SA SEC, MKR SA CTP) and equity risk (MKR SA EQU). Additionally, instructions for the template </w:t>
      </w:r>
      <w:r w:rsidR="00BD2FE7" w:rsidRPr="00661595">
        <w:t xml:space="preserve">for the </w:t>
      </w:r>
      <w:r w:rsidR="000B0B09" w:rsidRPr="00661595">
        <w:t xml:space="preserve">reporting of the calculation of own funds requirements </w:t>
      </w:r>
      <w:r w:rsidR="00BB22D4" w:rsidRPr="00661595">
        <w:t>in accordance with</w:t>
      </w:r>
      <w:r w:rsidR="000B0B09" w:rsidRPr="00661595">
        <w:t xml:space="preserve"> the internal models approach (MKR IM) are included in this part. </w:t>
      </w:r>
    </w:p>
    <w:p w:rsidR="000B0B09" w:rsidRPr="00661595" w:rsidRDefault="00D11E4C" w:rsidP="00487A02">
      <w:pPr>
        <w:pStyle w:val="InstructionsText2"/>
        <w:numPr>
          <w:ilvl w:val="0"/>
          <w:numId w:val="0"/>
        </w:numPr>
        <w:ind w:left="1353" w:hanging="360"/>
      </w:pPr>
      <w:fldSimple w:instr=" seq paragraphs ">
        <w:r w:rsidR="00771068">
          <w:rPr>
            <w:noProof/>
          </w:rPr>
          <w:t>159</w:t>
        </w:r>
      </w:fldSimple>
      <w:r w:rsidR="00125707" w:rsidRPr="00661595">
        <w:t>.</w:t>
      </w:r>
      <w:r w:rsidR="00125707" w:rsidRPr="00661595">
        <w:tab/>
      </w:r>
      <w:r w:rsidR="005C14B0" w:rsidRPr="00661595">
        <w:t xml:space="preserve"> </w:t>
      </w:r>
      <w:r w:rsidR="000B0B09" w:rsidRPr="00661595">
        <w:t xml:space="preserve">The position risk on a traded debt instrument or equity (or debt or equity derivative) shall be divided into two components in order to calculate the capital required against it. The first shall be its specific-risk component — </w:t>
      </w:r>
      <w:r w:rsidR="00F41508" w:rsidRPr="00661595">
        <w:t>that</w:t>
      </w:r>
      <w:r w:rsidR="000B0B09" w:rsidRPr="00661595">
        <w:t xml:space="preserve"> is the risk of a price change in the instrument concerned due to factors related to its issuer or, in the case of a derivative, the issuer of the underlying instrument. The second component shall cover its general risk — th</w:t>
      </w:r>
      <w:r w:rsidR="00F41508" w:rsidRPr="00661595">
        <w:t>at</w:t>
      </w:r>
      <w:r w:rsidR="000B0B09" w:rsidRPr="00661595">
        <w:t xml:space="preserve"> is the risk of a price change in the instrument due (in the case of a traded debt instrument or debt derivative) to a change in the level of interest rates or (in the case of an equity or equity derivative) to a broad equity- market movement unrelated to any specific attributes of individual securities. </w:t>
      </w:r>
      <w:bookmarkEnd w:id="598"/>
      <w:r w:rsidR="000B0B09" w:rsidRPr="00661595">
        <w:t xml:space="preserve">The general treatment of specific instruments and netting procedures can be found in Articles 326 to 333 </w:t>
      </w:r>
      <w:r w:rsidR="00C7103D" w:rsidRPr="00661595">
        <w:t>CRR</w:t>
      </w:r>
      <w:r w:rsidR="000B0B09" w:rsidRPr="00661595">
        <w:t xml:space="preserve">. </w:t>
      </w:r>
    </w:p>
    <w:p w:rsidR="000B0B09"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599" w:name="_Toc239157393"/>
      <w:bookmarkStart w:id="600" w:name="_Toc262566426"/>
      <w:bookmarkStart w:id="601" w:name="_Toc295829996"/>
      <w:bookmarkStart w:id="602" w:name="_Toc308426673"/>
      <w:bookmarkStart w:id="603" w:name="_Toc310415057"/>
      <w:bookmarkStart w:id="604" w:name="_Toc360188392"/>
      <w:bookmarkStart w:id="605" w:name="_Toc473561032"/>
      <w:bookmarkStart w:id="606" w:name="_Toc57831636"/>
      <w:r w:rsidRPr="00661595">
        <w:rPr>
          <w:rFonts w:ascii="Times New Roman" w:hAnsi="Times New Roman" w:cs="Times New Roman"/>
          <w:sz w:val="24"/>
          <w:u w:val="none"/>
          <w:lang w:val="en-GB"/>
        </w:rPr>
        <w:t>5.1.</w:t>
      </w:r>
      <w:r w:rsidRPr="00661595">
        <w:rPr>
          <w:rFonts w:ascii="Times New Roman" w:hAnsi="Times New Roman" w:cs="Times New Roman"/>
          <w:sz w:val="24"/>
          <w:u w:val="none"/>
          <w:lang w:val="en-GB"/>
        </w:rPr>
        <w:tab/>
      </w:r>
      <w:r w:rsidR="008B73EE" w:rsidRPr="00661595">
        <w:rPr>
          <w:rFonts w:ascii="Times New Roman" w:hAnsi="Times New Roman" w:cs="Times New Roman"/>
          <w:sz w:val="24"/>
          <w:lang w:val="en-GB"/>
        </w:rPr>
        <w:t xml:space="preserve">C 18.00 </w:t>
      </w:r>
      <w:r w:rsidR="000B0B09" w:rsidRPr="00661595">
        <w:rPr>
          <w:rFonts w:ascii="Times New Roman" w:hAnsi="Times New Roman" w:cs="Times New Roman"/>
          <w:sz w:val="24"/>
          <w:lang w:val="en-GB"/>
        </w:rPr>
        <w:t>– Market Risk: Standardised Approach for Position Risks in Traded Debt Instruments</w:t>
      </w:r>
      <w:bookmarkEnd w:id="599"/>
      <w:bookmarkEnd w:id="600"/>
      <w:bookmarkEnd w:id="601"/>
      <w:bookmarkEnd w:id="602"/>
      <w:bookmarkEnd w:id="603"/>
      <w:bookmarkEnd w:id="604"/>
      <w:r w:rsidR="008B73EE" w:rsidRPr="00661595">
        <w:rPr>
          <w:rFonts w:ascii="Times New Roman" w:hAnsi="Times New Roman" w:cs="Times New Roman"/>
          <w:sz w:val="24"/>
          <w:lang w:val="en-GB"/>
        </w:rPr>
        <w:t xml:space="preserve"> (MKR SA TDI)</w:t>
      </w:r>
      <w:bookmarkEnd w:id="605"/>
      <w:bookmarkEnd w:id="606"/>
    </w:p>
    <w:p w:rsidR="000B0B09"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607" w:name="_Toc262566427"/>
      <w:bookmarkStart w:id="608" w:name="_Toc295829997"/>
      <w:bookmarkStart w:id="609" w:name="_Toc308426674"/>
      <w:bookmarkStart w:id="610" w:name="_Toc310415058"/>
      <w:bookmarkStart w:id="611" w:name="_Toc360188393"/>
      <w:bookmarkStart w:id="612" w:name="_Toc473561033"/>
      <w:bookmarkStart w:id="613" w:name="_Toc57831637"/>
      <w:r w:rsidRPr="00661595">
        <w:rPr>
          <w:rFonts w:ascii="Times New Roman" w:hAnsi="Times New Roman" w:cs="Times New Roman"/>
          <w:sz w:val="24"/>
          <w:u w:val="none"/>
          <w:lang w:val="en-GB"/>
        </w:rPr>
        <w:t>5.1.1.</w:t>
      </w:r>
      <w:r w:rsidRPr="00661595">
        <w:rPr>
          <w:rFonts w:ascii="Times New Roman" w:hAnsi="Times New Roman" w:cs="Times New Roman"/>
          <w:sz w:val="24"/>
          <w:u w:val="none"/>
          <w:lang w:val="en-GB"/>
        </w:rPr>
        <w:tab/>
      </w:r>
      <w:r w:rsidR="000B0B09" w:rsidRPr="00661595">
        <w:rPr>
          <w:rFonts w:ascii="Times New Roman" w:hAnsi="Times New Roman" w:cs="Times New Roman"/>
          <w:sz w:val="24"/>
          <w:lang w:val="en-GB"/>
        </w:rPr>
        <w:t>General Remarks</w:t>
      </w:r>
      <w:bookmarkEnd w:id="607"/>
      <w:bookmarkEnd w:id="608"/>
      <w:bookmarkEnd w:id="609"/>
      <w:bookmarkEnd w:id="610"/>
      <w:bookmarkEnd w:id="611"/>
      <w:bookmarkEnd w:id="612"/>
      <w:bookmarkEnd w:id="613"/>
    </w:p>
    <w:p w:rsidR="000B0B09" w:rsidRPr="00661595" w:rsidRDefault="00D11E4C" w:rsidP="00487A02">
      <w:pPr>
        <w:pStyle w:val="InstructionsText2"/>
        <w:numPr>
          <w:ilvl w:val="0"/>
          <w:numId w:val="0"/>
        </w:numPr>
        <w:ind w:left="1353" w:hanging="360"/>
      </w:pPr>
      <w:fldSimple w:instr=" seq paragraphs ">
        <w:r w:rsidR="00771068">
          <w:rPr>
            <w:noProof/>
          </w:rPr>
          <w:t>160</w:t>
        </w:r>
      </w:fldSimple>
      <w:r w:rsidR="00125707" w:rsidRPr="00661595">
        <w:t>.</w:t>
      </w:r>
      <w:r w:rsidR="00125707" w:rsidRPr="00661595">
        <w:tab/>
      </w:r>
      <w:r w:rsidR="005C14B0" w:rsidRPr="00661595">
        <w:t xml:space="preserve"> </w:t>
      </w:r>
      <w:r w:rsidR="000B0B09" w:rsidRPr="00661595">
        <w:t xml:space="preserve">This template captures the positions and the related own funds requirements for position risks on traded debt instruments under the </w:t>
      </w:r>
      <w:r w:rsidR="00CA21CA" w:rsidRPr="00661595">
        <w:t>Standardised Approach</w:t>
      </w:r>
      <w:r w:rsidR="000B0B09" w:rsidRPr="00661595">
        <w:t xml:space="preserve"> (</w:t>
      </w:r>
      <w:r w:rsidR="00EE2CD5" w:rsidRPr="00661595">
        <w:t xml:space="preserve">point (a) of </w:t>
      </w:r>
      <w:r w:rsidR="000B0B09" w:rsidRPr="00661595">
        <w:t xml:space="preserve">Article </w:t>
      </w:r>
      <w:r w:rsidR="00EE2CD5" w:rsidRPr="00661595">
        <w:t>325 (2)</w:t>
      </w:r>
      <w:r w:rsidR="000B0B09" w:rsidRPr="00661595">
        <w:t xml:space="preserve"> </w:t>
      </w:r>
      <w:r w:rsidR="00C7103D" w:rsidRPr="00661595">
        <w:t>CRR</w:t>
      </w:r>
      <w:r w:rsidR="000B0B09" w:rsidRPr="00661595">
        <w:t xml:space="preserve">). The different risks and methods available under CRR are considered by rows. The specific risk associated with exposures included in MKR SA SEC and MKR SA CTP has </w:t>
      </w:r>
      <w:r w:rsidR="00F41508" w:rsidRPr="00661595">
        <w:t xml:space="preserve">only </w:t>
      </w:r>
      <w:r w:rsidR="000B0B09" w:rsidRPr="00661595">
        <w:t xml:space="preserve">to be reported in the Total template of the MKR SA TDI. The own funds requirements reported in those templates </w:t>
      </w:r>
      <w:r w:rsidR="00C93697" w:rsidRPr="00661595">
        <w:t>shall</w:t>
      </w:r>
      <w:r w:rsidR="000B0B09" w:rsidRPr="00661595">
        <w:t xml:space="preserve"> be transferred to cell {</w:t>
      </w:r>
      <w:r w:rsidR="00EE2CD5" w:rsidRPr="00661595">
        <w:t>0</w:t>
      </w:r>
      <w:r w:rsidR="000B0B09" w:rsidRPr="00661595">
        <w:t>325;</w:t>
      </w:r>
      <w:r w:rsidR="00EE2CD5" w:rsidRPr="00661595">
        <w:t>0</w:t>
      </w:r>
      <w:r w:rsidR="000B0B09" w:rsidRPr="00661595">
        <w:t>060} (securitisations) and {</w:t>
      </w:r>
      <w:r w:rsidR="00EE2CD5" w:rsidRPr="00661595">
        <w:t>0</w:t>
      </w:r>
      <w:r w:rsidR="000B0B09" w:rsidRPr="00661595">
        <w:t>330;</w:t>
      </w:r>
      <w:r w:rsidR="00EE2CD5" w:rsidRPr="00661595">
        <w:t>0</w:t>
      </w:r>
      <w:r w:rsidR="000B0B09" w:rsidRPr="00661595">
        <w:t>060} (CTP) respectively.</w:t>
      </w:r>
    </w:p>
    <w:p w:rsidR="000B0B09" w:rsidRPr="00661595" w:rsidRDefault="00D11E4C" w:rsidP="00487A02">
      <w:pPr>
        <w:pStyle w:val="InstructionsText2"/>
        <w:numPr>
          <w:ilvl w:val="0"/>
          <w:numId w:val="0"/>
        </w:numPr>
        <w:ind w:left="1353" w:hanging="360"/>
      </w:pPr>
      <w:fldSimple w:instr=" seq paragraphs ">
        <w:r w:rsidR="00771068">
          <w:rPr>
            <w:noProof/>
          </w:rPr>
          <w:t>161</w:t>
        </w:r>
      </w:fldSimple>
      <w:r w:rsidR="00125707" w:rsidRPr="00661595">
        <w:t>.</w:t>
      </w:r>
      <w:r w:rsidR="00125707" w:rsidRPr="00661595">
        <w:tab/>
      </w:r>
      <w:r w:rsidR="005C14B0" w:rsidRPr="00661595">
        <w:t xml:space="preserve"> </w:t>
      </w:r>
      <w:r w:rsidR="000B0B09" w:rsidRPr="00661595">
        <w:t xml:space="preserve">The template has to be filled out separately for the “Total”, plus a pre-defined list of following currencies: </w:t>
      </w:r>
      <w:bookmarkStart w:id="614" w:name="OLE_LINK1"/>
      <w:r w:rsidR="00DE0157" w:rsidRPr="00661595">
        <w:t xml:space="preserve">EUR, ALL, BGN, CZK, DKK, EGP, GBP, </w:t>
      </w:r>
      <w:r w:rsidR="00A12B66" w:rsidRPr="00661595">
        <w:t xml:space="preserve">HRK, </w:t>
      </w:r>
      <w:r w:rsidR="00DE0157" w:rsidRPr="00661595">
        <w:t xml:space="preserve">HUF, ISK, JPY, MKD, NOK, PLN, RON, RUB, RSD, SEK, CHF, TRY, UAH, USD </w:t>
      </w:r>
      <w:bookmarkEnd w:id="614"/>
      <w:r w:rsidR="00DE0157" w:rsidRPr="00661595">
        <w:t xml:space="preserve">and </w:t>
      </w:r>
      <w:r w:rsidR="000B0B09" w:rsidRPr="00661595">
        <w:t xml:space="preserve">one residual </w:t>
      </w:r>
      <w:r w:rsidR="00480A69" w:rsidRPr="00661595">
        <w:t>template</w:t>
      </w:r>
      <w:r w:rsidR="000B0B09" w:rsidRPr="00661595">
        <w:t xml:space="preserve"> for all other currencies. </w:t>
      </w:r>
    </w:p>
    <w:p w:rsidR="000B0B09"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615" w:name="_Toc262566428"/>
      <w:bookmarkStart w:id="616" w:name="_Toc295829998"/>
      <w:bookmarkStart w:id="617" w:name="_Toc308426675"/>
      <w:bookmarkStart w:id="618" w:name="_Toc310415059"/>
      <w:bookmarkStart w:id="619" w:name="_Toc360188394"/>
      <w:bookmarkStart w:id="620" w:name="_Toc473561034"/>
      <w:bookmarkStart w:id="621" w:name="_Toc57831638"/>
      <w:r w:rsidRPr="00661595">
        <w:rPr>
          <w:rFonts w:ascii="Times New Roman" w:hAnsi="Times New Roman" w:cs="Times New Roman"/>
          <w:sz w:val="24"/>
          <w:u w:val="none"/>
          <w:lang w:val="en-GB"/>
        </w:rPr>
        <w:t>5.1.2.</w:t>
      </w:r>
      <w:r w:rsidRPr="00661595">
        <w:rPr>
          <w:rFonts w:ascii="Times New Roman" w:hAnsi="Times New Roman" w:cs="Times New Roman"/>
          <w:sz w:val="24"/>
          <w:u w:val="none"/>
          <w:lang w:val="en-GB"/>
        </w:rPr>
        <w:tab/>
      </w:r>
      <w:r w:rsidR="000B0B09" w:rsidRPr="00661595">
        <w:rPr>
          <w:rFonts w:ascii="Times New Roman" w:hAnsi="Times New Roman" w:cs="Times New Roman"/>
          <w:sz w:val="24"/>
          <w:lang w:val="en-GB"/>
        </w:rPr>
        <w:t>Instructions concerning specific positions</w:t>
      </w:r>
      <w:bookmarkEnd w:id="615"/>
      <w:bookmarkEnd w:id="616"/>
      <w:bookmarkEnd w:id="617"/>
      <w:bookmarkEnd w:id="618"/>
      <w:bookmarkEnd w:id="619"/>
      <w:bookmarkEnd w:id="620"/>
      <w:bookmarkEnd w:id="6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8"/>
        <w:gridCol w:w="7874"/>
      </w:tblGrid>
      <w:tr w:rsidR="000B0B09" w:rsidRPr="00661595" w:rsidTr="00672D2A">
        <w:trPr>
          <w:trHeight w:val="569"/>
        </w:trPr>
        <w:tc>
          <w:tcPr>
            <w:tcW w:w="8862" w:type="dxa"/>
            <w:gridSpan w:val="2"/>
            <w:shd w:val="clear" w:color="auto" w:fill="CCCCCC"/>
          </w:tcPr>
          <w:p w:rsidR="000B0B09" w:rsidRPr="00661595" w:rsidRDefault="000B0B09" w:rsidP="000B0B09">
            <w:pPr>
              <w:autoSpaceDE w:val="0"/>
              <w:autoSpaceDN w:val="0"/>
              <w:adjustRightInd w:val="0"/>
              <w:spacing w:after="0"/>
              <w:rPr>
                <w:rFonts w:ascii="Times New Roman" w:hAnsi="Times New Roman"/>
                <w:b/>
                <w:sz w:val="24"/>
                <w:lang w:eastAsia="nl-BE"/>
              </w:rPr>
            </w:pPr>
            <w:r w:rsidRPr="00661595">
              <w:rPr>
                <w:rFonts w:ascii="Times New Roman" w:hAnsi="Times New Roman"/>
                <w:b/>
                <w:sz w:val="24"/>
                <w:lang w:eastAsia="nl-BE"/>
              </w:rPr>
              <w:t>Columns</w:t>
            </w:r>
          </w:p>
        </w:tc>
      </w:tr>
      <w:tr w:rsidR="000B0B09" w:rsidRPr="00661595" w:rsidTr="00672D2A">
        <w:tc>
          <w:tcPr>
            <w:tcW w:w="988" w:type="dxa"/>
          </w:tcPr>
          <w:p w:rsidR="000B0B09" w:rsidRPr="00661595" w:rsidRDefault="00EE2CD5" w:rsidP="000F70EC">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010-</w:t>
            </w:r>
            <w:r w:rsidR="00EC2E9B" w:rsidRPr="00661595">
              <w:rPr>
                <w:rFonts w:ascii="Times New Roman" w:hAnsi="Times New Roman"/>
                <w:sz w:val="24"/>
                <w:lang w:eastAsia="nl-BE"/>
              </w:rPr>
              <w:t>0</w:t>
            </w:r>
            <w:r w:rsidR="000B0B09" w:rsidRPr="00661595">
              <w:rPr>
                <w:rFonts w:ascii="Times New Roman" w:hAnsi="Times New Roman"/>
                <w:sz w:val="24"/>
                <w:lang w:eastAsia="nl-BE"/>
              </w:rPr>
              <w:t>020</w:t>
            </w:r>
          </w:p>
        </w:tc>
        <w:tc>
          <w:tcPr>
            <w:tcW w:w="7874"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ALL POSITIONS (LONG AND SHORT)</w:t>
            </w:r>
          </w:p>
          <w:p w:rsidR="000B0B09" w:rsidRPr="00661595" w:rsidRDefault="000B0B09" w:rsidP="00BD2FE7">
            <w:pPr>
              <w:rPr>
                <w:rFonts w:ascii="Times New Roman" w:hAnsi="Times New Roman"/>
                <w:sz w:val="24"/>
                <w:lang w:eastAsia="nl-BE"/>
              </w:rPr>
            </w:pPr>
            <w:r w:rsidRPr="00661595">
              <w:rPr>
                <w:rFonts w:ascii="Times New Roman" w:hAnsi="Times New Roman"/>
                <w:sz w:val="24"/>
                <w:lang w:eastAsia="de-DE"/>
              </w:rPr>
              <w:t xml:space="preserve">Article 102 and </w:t>
            </w:r>
            <w:r w:rsidR="008241B9" w:rsidRPr="00661595">
              <w:rPr>
                <w:rFonts w:ascii="Times New Roman" w:hAnsi="Times New Roman"/>
                <w:sz w:val="24"/>
                <w:lang w:eastAsia="de-DE"/>
              </w:rPr>
              <w:t xml:space="preserve">Article </w:t>
            </w:r>
            <w:r w:rsidRPr="00661595">
              <w:rPr>
                <w:rFonts w:ascii="Times New Roman" w:hAnsi="Times New Roman"/>
                <w:sz w:val="24"/>
                <w:lang w:eastAsia="de-DE"/>
              </w:rPr>
              <w:t xml:space="preserve">105(1) </w:t>
            </w:r>
            <w:r w:rsidR="00C7103D" w:rsidRPr="00661595">
              <w:rPr>
                <w:rFonts w:ascii="Times New Roman" w:hAnsi="Times New Roman"/>
                <w:sz w:val="24"/>
                <w:lang w:eastAsia="de-DE"/>
              </w:rPr>
              <w:t>CRR</w:t>
            </w:r>
            <w:r w:rsidRPr="00661595">
              <w:rPr>
                <w:rFonts w:ascii="Times New Roman" w:hAnsi="Times New Roman"/>
                <w:sz w:val="24"/>
                <w:lang w:eastAsia="de-DE"/>
              </w:rPr>
              <w:t xml:space="preserve">. These are gross positions not netted by instruments but excluding underwriting positions subscribed or sub-underwritten by third parties </w:t>
            </w:r>
            <w:r w:rsidR="00BD2FE7" w:rsidRPr="00661595">
              <w:rPr>
                <w:rFonts w:ascii="Times New Roman" w:hAnsi="Times New Roman"/>
                <w:sz w:val="24"/>
                <w:lang w:eastAsia="de-DE"/>
              </w:rPr>
              <w:t xml:space="preserve">in accordance with </w:t>
            </w:r>
            <w:r w:rsidR="00705025" w:rsidRPr="00661595">
              <w:rPr>
                <w:rFonts w:ascii="Times New Roman" w:hAnsi="Times New Roman"/>
                <w:sz w:val="24"/>
                <w:lang w:eastAsia="de-DE"/>
              </w:rPr>
              <w:t xml:space="preserve">the second sentence of </w:t>
            </w:r>
            <w:r w:rsidR="005F3BBE" w:rsidRPr="00661595">
              <w:rPr>
                <w:rFonts w:ascii="Times New Roman" w:hAnsi="Times New Roman"/>
                <w:sz w:val="24"/>
                <w:lang w:eastAsia="de-DE"/>
              </w:rPr>
              <w:t xml:space="preserve">the first subparagraph of </w:t>
            </w:r>
            <w:r w:rsidRPr="00661595">
              <w:rPr>
                <w:rFonts w:ascii="Times New Roman" w:hAnsi="Times New Roman"/>
                <w:sz w:val="24"/>
                <w:lang w:eastAsia="de-DE"/>
              </w:rPr>
              <w:t>Article 345</w:t>
            </w:r>
            <w:r w:rsidR="005F3BBE" w:rsidRPr="00661595">
              <w:rPr>
                <w:rFonts w:ascii="Times New Roman" w:hAnsi="Times New Roman"/>
                <w:sz w:val="24"/>
                <w:lang w:eastAsia="de-DE"/>
              </w:rPr>
              <w:t>(1)</w:t>
            </w:r>
            <w:r w:rsidRPr="00661595">
              <w:rPr>
                <w:rFonts w:ascii="Times New Roman" w:hAnsi="Times New Roman"/>
                <w:sz w:val="24"/>
                <w:lang w:eastAsia="de-DE"/>
              </w:rPr>
              <w:t xml:space="preserve"> </w:t>
            </w:r>
            <w:r w:rsidR="00C7103D" w:rsidRPr="00661595">
              <w:rPr>
                <w:rFonts w:ascii="Times New Roman" w:hAnsi="Times New Roman"/>
                <w:sz w:val="24"/>
                <w:lang w:eastAsia="de-DE"/>
              </w:rPr>
              <w:t>CRR</w:t>
            </w:r>
            <w:r w:rsidRPr="00661595">
              <w:rPr>
                <w:rFonts w:ascii="Times New Roman" w:hAnsi="Times New Roman"/>
                <w:sz w:val="24"/>
                <w:lang w:eastAsia="de-DE"/>
              </w:rPr>
              <w:t xml:space="preserve">. Regarding the distinction between Long and Short positions, also applicable to these gross positions, see Article 328(2) </w:t>
            </w:r>
            <w:r w:rsidR="00C7103D" w:rsidRPr="00661595">
              <w:rPr>
                <w:rFonts w:ascii="Times New Roman" w:hAnsi="Times New Roman"/>
                <w:sz w:val="24"/>
                <w:lang w:eastAsia="de-DE"/>
              </w:rPr>
              <w:t>CRR</w:t>
            </w:r>
            <w:r w:rsidRPr="00661595">
              <w:rPr>
                <w:rFonts w:ascii="Times New Roman" w:hAnsi="Times New Roman"/>
                <w:sz w:val="24"/>
                <w:lang w:eastAsia="de-DE"/>
              </w:rPr>
              <w:t>.</w:t>
            </w:r>
          </w:p>
        </w:tc>
      </w:tr>
      <w:tr w:rsidR="000B0B09" w:rsidRPr="00661595" w:rsidTr="00672D2A">
        <w:tc>
          <w:tcPr>
            <w:tcW w:w="988" w:type="dxa"/>
          </w:tcPr>
          <w:p w:rsidR="000B0B09" w:rsidRPr="00661595" w:rsidRDefault="00EE2CD5" w:rsidP="000F70EC">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030</w:t>
            </w:r>
            <w:r w:rsidR="000F70EC" w:rsidRPr="00661595">
              <w:rPr>
                <w:rFonts w:ascii="Times New Roman" w:hAnsi="Times New Roman"/>
                <w:sz w:val="24"/>
                <w:lang w:eastAsia="nl-BE"/>
              </w:rPr>
              <w:t>-</w:t>
            </w:r>
            <w:r w:rsidRPr="00661595">
              <w:rPr>
                <w:rFonts w:ascii="Times New Roman" w:hAnsi="Times New Roman"/>
                <w:sz w:val="24"/>
                <w:lang w:eastAsia="nl-BE"/>
              </w:rPr>
              <w:t>0</w:t>
            </w:r>
            <w:r w:rsidR="000B0B09" w:rsidRPr="00661595">
              <w:rPr>
                <w:rFonts w:ascii="Times New Roman" w:hAnsi="Times New Roman"/>
                <w:sz w:val="24"/>
                <w:lang w:eastAsia="nl-BE"/>
              </w:rPr>
              <w:t>040</w:t>
            </w:r>
          </w:p>
        </w:tc>
        <w:tc>
          <w:tcPr>
            <w:tcW w:w="7874"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NET POSITIONS (LONG AND SHORT)</w:t>
            </w:r>
          </w:p>
          <w:p w:rsidR="000B0B09" w:rsidRPr="00661595" w:rsidRDefault="000B0B09" w:rsidP="005B04C9">
            <w:pPr>
              <w:rPr>
                <w:rFonts w:ascii="Times New Roman" w:hAnsi="Times New Roman"/>
                <w:sz w:val="24"/>
                <w:lang w:eastAsia="nl-BE"/>
              </w:rPr>
            </w:pPr>
            <w:r w:rsidRPr="00661595">
              <w:rPr>
                <w:rFonts w:ascii="Times New Roman" w:hAnsi="Times New Roman"/>
                <w:sz w:val="24"/>
                <w:lang w:eastAsia="de-DE"/>
              </w:rPr>
              <w:t xml:space="preserve">Articles 327 to 329 and </w:t>
            </w:r>
            <w:r w:rsidR="00F41508" w:rsidRPr="00661595">
              <w:rPr>
                <w:rFonts w:ascii="Times New Roman" w:hAnsi="Times New Roman"/>
                <w:sz w:val="24"/>
                <w:lang w:eastAsia="de-DE"/>
              </w:rPr>
              <w:t xml:space="preserve">Article </w:t>
            </w:r>
            <w:r w:rsidRPr="00661595">
              <w:rPr>
                <w:rFonts w:ascii="Times New Roman" w:hAnsi="Times New Roman"/>
                <w:sz w:val="24"/>
                <w:lang w:eastAsia="de-DE"/>
              </w:rPr>
              <w:t xml:space="preserve">334 </w:t>
            </w:r>
            <w:r w:rsidR="00C7103D" w:rsidRPr="00661595">
              <w:rPr>
                <w:rFonts w:ascii="Times New Roman" w:hAnsi="Times New Roman"/>
                <w:sz w:val="24"/>
                <w:lang w:eastAsia="de-DE"/>
              </w:rPr>
              <w:t>CRR</w:t>
            </w:r>
            <w:r w:rsidRPr="00661595">
              <w:rPr>
                <w:rFonts w:ascii="Times New Roman" w:hAnsi="Times New Roman"/>
                <w:sz w:val="24"/>
                <w:lang w:eastAsia="de-DE"/>
              </w:rPr>
              <w:t>. Regarding the distinction between Long and Short positions</w:t>
            </w:r>
            <w:r w:rsidR="00F41508" w:rsidRPr="00661595">
              <w:rPr>
                <w:rFonts w:ascii="Times New Roman" w:hAnsi="Times New Roman"/>
                <w:sz w:val="24"/>
                <w:lang w:eastAsia="de-DE"/>
              </w:rPr>
              <w:t>,</w:t>
            </w:r>
            <w:r w:rsidRPr="00661595">
              <w:rPr>
                <w:rFonts w:ascii="Times New Roman" w:hAnsi="Times New Roman"/>
                <w:sz w:val="24"/>
                <w:lang w:eastAsia="de-DE"/>
              </w:rPr>
              <w:t xml:space="preserve"> see Article 328(2) </w:t>
            </w:r>
            <w:r w:rsidR="00C7103D" w:rsidRPr="00661595">
              <w:rPr>
                <w:rFonts w:ascii="Times New Roman" w:hAnsi="Times New Roman"/>
                <w:sz w:val="24"/>
                <w:lang w:eastAsia="de-DE"/>
              </w:rPr>
              <w:t>CRR</w:t>
            </w:r>
            <w:r w:rsidRPr="00661595">
              <w:rPr>
                <w:rFonts w:ascii="Times New Roman" w:hAnsi="Times New Roman"/>
                <w:sz w:val="24"/>
                <w:lang w:eastAsia="de-DE"/>
              </w:rPr>
              <w:t>.</w:t>
            </w:r>
          </w:p>
        </w:tc>
      </w:tr>
      <w:tr w:rsidR="000B0B09" w:rsidRPr="00661595" w:rsidTr="00672D2A">
        <w:tc>
          <w:tcPr>
            <w:tcW w:w="988" w:type="dxa"/>
          </w:tcPr>
          <w:p w:rsidR="000B0B09" w:rsidRPr="00661595" w:rsidRDefault="00EE2CD5"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050</w:t>
            </w:r>
          </w:p>
        </w:tc>
        <w:tc>
          <w:tcPr>
            <w:tcW w:w="7874"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POSITIONS SUBJECT TO CAPITAL CHARGE</w:t>
            </w:r>
          </w:p>
          <w:p w:rsidR="000B0B09" w:rsidRPr="00661595" w:rsidRDefault="000B0B09" w:rsidP="005B04C9">
            <w:pPr>
              <w:rPr>
                <w:rFonts w:ascii="Times New Roman" w:hAnsi="Times New Roman"/>
                <w:b/>
                <w:bCs/>
                <w:sz w:val="24"/>
                <w:u w:val="single"/>
                <w:lang w:eastAsia="nl-BE"/>
              </w:rPr>
            </w:pPr>
            <w:r w:rsidRPr="00661595">
              <w:rPr>
                <w:rFonts w:ascii="Times New Roman" w:hAnsi="Times New Roman"/>
                <w:sz w:val="24"/>
                <w:lang w:eastAsia="de-DE"/>
              </w:rPr>
              <w:t xml:space="preserve">Those net positions that, </w:t>
            </w:r>
            <w:r w:rsidR="00BB22D4" w:rsidRPr="00661595">
              <w:rPr>
                <w:rFonts w:ascii="Times New Roman" w:hAnsi="Times New Roman"/>
                <w:sz w:val="24"/>
                <w:lang w:eastAsia="de-DE"/>
              </w:rPr>
              <w:t>in accordance with</w:t>
            </w:r>
            <w:r w:rsidRPr="00661595">
              <w:rPr>
                <w:rFonts w:ascii="Times New Roman" w:hAnsi="Times New Roman"/>
                <w:sz w:val="24"/>
                <w:lang w:eastAsia="de-DE"/>
              </w:rPr>
              <w:t xml:space="preserve"> the different approaches considered in </w:t>
            </w:r>
            <w:r w:rsidR="00F41508" w:rsidRPr="00661595">
              <w:rPr>
                <w:rFonts w:ascii="Times New Roman" w:hAnsi="Times New Roman"/>
                <w:sz w:val="24"/>
                <w:lang w:eastAsia="de-DE"/>
              </w:rPr>
              <w:t xml:space="preserve">Chapter 2 of Title IV of </w:t>
            </w:r>
            <w:r w:rsidR="00097A17" w:rsidRPr="00661595">
              <w:rPr>
                <w:rFonts w:ascii="Times New Roman" w:hAnsi="Times New Roman"/>
                <w:sz w:val="24"/>
                <w:lang w:eastAsia="de-DE"/>
              </w:rPr>
              <w:t>Part Three</w:t>
            </w:r>
            <w:r w:rsidRPr="00661595">
              <w:rPr>
                <w:rFonts w:ascii="Times New Roman" w:hAnsi="Times New Roman"/>
                <w:sz w:val="24"/>
                <w:lang w:eastAsia="de-DE"/>
              </w:rPr>
              <w:t xml:space="preserve"> </w:t>
            </w:r>
            <w:r w:rsidR="00C7103D" w:rsidRPr="00661595">
              <w:rPr>
                <w:rFonts w:ascii="Times New Roman" w:hAnsi="Times New Roman"/>
                <w:sz w:val="24"/>
                <w:lang w:eastAsia="de-DE"/>
              </w:rPr>
              <w:t>CRR</w:t>
            </w:r>
            <w:r w:rsidRPr="00661595">
              <w:rPr>
                <w:rFonts w:ascii="Times New Roman" w:hAnsi="Times New Roman"/>
                <w:sz w:val="24"/>
                <w:lang w:eastAsia="de-DE"/>
              </w:rPr>
              <w:t>, receive a capital charge.</w:t>
            </w:r>
          </w:p>
        </w:tc>
      </w:tr>
      <w:tr w:rsidR="000B0B09" w:rsidRPr="00661595" w:rsidTr="00672D2A">
        <w:tc>
          <w:tcPr>
            <w:tcW w:w="988" w:type="dxa"/>
          </w:tcPr>
          <w:p w:rsidR="000B0B09" w:rsidRPr="00661595" w:rsidRDefault="00EE2CD5"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060</w:t>
            </w:r>
          </w:p>
        </w:tc>
        <w:tc>
          <w:tcPr>
            <w:tcW w:w="7874" w:type="dxa"/>
          </w:tcPr>
          <w:p w:rsidR="000B0B09" w:rsidRPr="00661595" w:rsidRDefault="000B0B09" w:rsidP="000B0B09">
            <w:pPr>
              <w:tabs>
                <w:tab w:val="left" w:pos="1665"/>
              </w:tabs>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OWN FUNDS REQUIREMENTS</w:t>
            </w:r>
          </w:p>
          <w:p w:rsidR="000B0B09" w:rsidRPr="00661595" w:rsidRDefault="000B0B09" w:rsidP="005B04C9">
            <w:pPr>
              <w:rPr>
                <w:rFonts w:ascii="Times New Roman" w:hAnsi="Times New Roman"/>
                <w:b/>
                <w:bCs/>
                <w:sz w:val="24"/>
                <w:u w:val="single"/>
                <w:lang w:eastAsia="nl-BE"/>
              </w:rPr>
            </w:pPr>
            <w:r w:rsidRPr="00661595">
              <w:rPr>
                <w:rFonts w:ascii="Times New Roman" w:hAnsi="Times New Roman"/>
                <w:sz w:val="24"/>
                <w:lang w:eastAsia="de-DE"/>
              </w:rPr>
              <w:t xml:space="preserve">The capital charge for any relevant position </w:t>
            </w:r>
            <w:r w:rsidR="00BB22D4" w:rsidRPr="00661595">
              <w:rPr>
                <w:rFonts w:ascii="Times New Roman" w:hAnsi="Times New Roman"/>
                <w:sz w:val="24"/>
                <w:lang w:eastAsia="de-DE"/>
              </w:rPr>
              <w:t>in accordance with</w:t>
            </w:r>
            <w:r w:rsidRPr="00661595">
              <w:rPr>
                <w:rFonts w:ascii="Times New Roman" w:hAnsi="Times New Roman"/>
                <w:sz w:val="24"/>
                <w:lang w:eastAsia="de-DE"/>
              </w:rPr>
              <w:t xml:space="preserve"> </w:t>
            </w:r>
            <w:r w:rsidR="00F41508" w:rsidRPr="00661595">
              <w:rPr>
                <w:rFonts w:ascii="Times New Roman" w:hAnsi="Times New Roman"/>
                <w:sz w:val="24"/>
                <w:lang w:eastAsia="de-DE"/>
              </w:rPr>
              <w:t xml:space="preserve">Chapter 2 of Title IV of </w:t>
            </w:r>
            <w:r w:rsidR="00097A17" w:rsidRPr="00661595">
              <w:rPr>
                <w:rFonts w:ascii="Times New Roman" w:hAnsi="Times New Roman"/>
                <w:sz w:val="24"/>
                <w:lang w:eastAsia="de-DE"/>
              </w:rPr>
              <w:t>Part Three</w:t>
            </w:r>
            <w:r w:rsidRPr="00661595">
              <w:rPr>
                <w:rFonts w:ascii="Times New Roman" w:hAnsi="Times New Roman"/>
                <w:sz w:val="24"/>
                <w:lang w:eastAsia="de-DE"/>
              </w:rPr>
              <w:t xml:space="preserve"> </w:t>
            </w:r>
            <w:r w:rsidR="00C7103D" w:rsidRPr="00661595">
              <w:rPr>
                <w:rFonts w:ascii="Times New Roman" w:hAnsi="Times New Roman"/>
                <w:sz w:val="24"/>
                <w:lang w:eastAsia="de-DE"/>
              </w:rPr>
              <w:t>CRR</w:t>
            </w:r>
            <w:r w:rsidRPr="00661595">
              <w:rPr>
                <w:rFonts w:ascii="Times New Roman" w:hAnsi="Times New Roman"/>
                <w:sz w:val="24"/>
                <w:lang w:eastAsia="de-DE"/>
              </w:rPr>
              <w:t>.</w:t>
            </w:r>
          </w:p>
        </w:tc>
      </w:tr>
      <w:tr w:rsidR="000B0B09" w:rsidRPr="00661595" w:rsidTr="00672D2A">
        <w:tc>
          <w:tcPr>
            <w:tcW w:w="988" w:type="dxa"/>
          </w:tcPr>
          <w:p w:rsidR="000B0B09" w:rsidRPr="00661595" w:rsidRDefault="00EE2CD5"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070</w:t>
            </w:r>
          </w:p>
        </w:tc>
        <w:tc>
          <w:tcPr>
            <w:tcW w:w="7874" w:type="dxa"/>
          </w:tcPr>
          <w:p w:rsidR="000B0B09" w:rsidRPr="00661595" w:rsidRDefault="000B0B09" w:rsidP="000B0B09">
            <w:pPr>
              <w:tabs>
                <w:tab w:val="left" w:pos="1665"/>
              </w:tabs>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TOTAL RISK EXPOSURE AMOUNT</w:t>
            </w:r>
          </w:p>
          <w:p w:rsidR="000B0B09" w:rsidRPr="00661595" w:rsidRDefault="00D21B29" w:rsidP="005B04C9">
            <w:pPr>
              <w:rPr>
                <w:rFonts w:ascii="Times New Roman" w:hAnsi="Times New Roman"/>
                <w:b/>
                <w:bCs/>
                <w:sz w:val="24"/>
                <w:u w:val="single"/>
                <w:lang w:eastAsia="nl-BE"/>
              </w:rPr>
            </w:pPr>
            <w:r w:rsidRPr="00661595">
              <w:rPr>
                <w:rFonts w:ascii="Times New Roman" w:hAnsi="Times New Roman"/>
                <w:sz w:val="24"/>
              </w:rPr>
              <w:t xml:space="preserve">Point (b) of </w:t>
            </w:r>
            <w:r w:rsidR="000B0B09" w:rsidRPr="00661595">
              <w:rPr>
                <w:rFonts w:ascii="Times New Roman" w:hAnsi="Times New Roman"/>
                <w:sz w:val="24"/>
                <w:lang w:eastAsia="de-DE"/>
              </w:rPr>
              <w:t xml:space="preserve">Article 92(4) </w:t>
            </w:r>
            <w:r w:rsidR="00C7103D" w:rsidRPr="00661595">
              <w:rPr>
                <w:rFonts w:ascii="Times New Roman" w:hAnsi="Times New Roman"/>
                <w:sz w:val="24"/>
                <w:lang w:eastAsia="de-DE"/>
              </w:rPr>
              <w:t>CRR</w:t>
            </w:r>
            <w:r w:rsidR="000B0B09" w:rsidRPr="00661595">
              <w:rPr>
                <w:rFonts w:ascii="Times New Roman" w:hAnsi="Times New Roman"/>
                <w:sz w:val="24"/>
                <w:lang w:eastAsia="de-DE"/>
              </w:rPr>
              <w:t>. Result of the multiplication of the own funds requirements by 12</w:t>
            </w:r>
            <w:r w:rsidR="00F41508" w:rsidRPr="00661595">
              <w:rPr>
                <w:rFonts w:ascii="Times New Roman" w:hAnsi="Times New Roman"/>
                <w:sz w:val="24"/>
                <w:lang w:eastAsia="de-DE"/>
              </w:rPr>
              <w:t>,</w:t>
            </w:r>
            <w:r w:rsidR="000B0B09" w:rsidRPr="00661595">
              <w:rPr>
                <w:rFonts w:ascii="Times New Roman" w:hAnsi="Times New Roman"/>
                <w:sz w:val="24"/>
                <w:lang w:eastAsia="de-DE"/>
              </w:rPr>
              <w:t xml:space="preserve">5. </w:t>
            </w:r>
          </w:p>
        </w:tc>
      </w:tr>
    </w:tbl>
    <w:p w:rsidR="000B0B09" w:rsidRPr="00661595" w:rsidRDefault="000B0B09" w:rsidP="000B0B09">
      <w:pPr>
        <w:autoSpaceDE w:val="0"/>
        <w:autoSpaceDN w:val="0"/>
        <w:adjustRightInd w:val="0"/>
        <w:spacing w:before="0" w:after="0"/>
        <w:rPr>
          <w:rFonts w:ascii="Times New Roman" w:hAnsi="Times New Roman"/>
          <w:sz w:val="24"/>
          <w:lang w:eastAsia="nl-BE"/>
        </w:rPr>
      </w:pPr>
    </w:p>
    <w:p w:rsidR="000B0B09" w:rsidRPr="00661595" w:rsidRDefault="000B0B09" w:rsidP="000B0B09">
      <w:pPr>
        <w:autoSpaceDE w:val="0"/>
        <w:autoSpaceDN w:val="0"/>
        <w:adjustRightInd w:val="0"/>
        <w:spacing w:before="0" w:after="0"/>
        <w:rPr>
          <w:rFonts w:ascii="Times New Roman" w:hAnsi="Times New Roman"/>
          <w:sz w:val="24"/>
          <w:lang w:eastAsia="nl-B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7"/>
        <w:gridCol w:w="7875"/>
      </w:tblGrid>
      <w:tr w:rsidR="000B0B09" w:rsidRPr="00661595" w:rsidTr="00672D2A">
        <w:trPr>
          <w:trHeight w:val="533"/>
        </w:trPr>
        <w:tc>
          <w:tcPr>
            <w:tcW w:w="8862" w:type="dxa"/>
            <w:gridSpan w:val="2"/>
            <w:shd w:val="clear" w:color="auto" w:fill="CCCCCC"/>
          </w:tcPr>
          <w:p w:rsidR="000B0B09" w:rsidRPr="00661595" w:rsidRDefault="000B0B09" w:rsidP="000B0B09">
            <w:pPr>
              <w:autoSpaceDE w:val="0"/>
              <w:autoSpaceDN w:val="0"/>
              <w:adjustRightInd w:val="0"/>
              <w:spacing w:after="0"/>
              <w:rPr>
                <w:rFonts w:ascii="Times New Roman" w:hAnsi="Times New Roman"/>
                <w:b/>
                <w:sz w:val="24"/>
                <w:lang w:eastAsia="nl-BE"/>
              </w:rPr>
            </w:pPr>
            <w:r w:rsidRPr="00661595">
              <w:rPr>
                <w:rFonts w:ascii="Times New Roman" w:hAnsi="Times New Roman"/>
                <w:b/>
                <w:sz w:val="24"/>
                <w:lang w:eastAsia="nl-BE"/>
              </w:rPr>
              <w:t>Rows</w:t>
            </w:r>
          </w:p>
        </w:tc>
      </w:tr>
      <w:tr w:rsidR="000B0B09" w:rsidRPr="00661595" w:rsidTr="00672D2A">
        <w:trPr>
          <w:trHeight w:val="1168"/>
        </w:trPr>
        <w:tc>
          <w:tcPr>
            <w:tcW w:w="987" w:type="dxa"/>
          </w:tcPr>
          <w:p w:rsidR="000B0B09" w:rsidRPr="00661595" w:rsidRDefault="00EE2CD5" w:rsidP="00EE2CD5">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010</w:t>
            </w:r>
            <w:r w:rsidR="000F70EC" w:rsidRPr="00661595">
              <w:rPr>
                <w:rFonts w:ascii="Times New Roman" w:hAnsi="Times New Roman"/>
                <w:sz w:val="24"/>
                <w:lang w:eastAsia="nl-BE"/>
              </w:rPr>
              <w:t>-</w:t>
            </w:r>
            <w:r w:rsidRPr="00661595">
              <w:rPr>
                <w:rFonts w:ascii="Times New Roman" w:hAnsi="Times New Roman"/>
                <w:sz w:val="24"/>
                <w:lang w:eastAsia="nl-BE"/>
              </w:rPr>
              <w:t>0</w:t>
            </w:r>
            <w:r w:rsidR="000B0B09" w:rsidRPr="00661595">
              <w:rPr>
                <w:rFonts w:ascii="Times New Roman" w:hAnsi="Times New Roman"/>
                <w:sz w:val="24"/>
                <w:lang w:eastAsia="nl-BE"/>
              </w:rPr>
              <w:t>350</w:t>
            </w:r>
          </w:p>
        </w:tc>
        <w:tc>
          <w:tcPr>
            <w:tcW w:w="7875"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TRADED DEBT INSTRUMENTS IN TRADING BOOK</w:t>
            </w:r>
          </w:p>
          <w:p w:rsidR="000B0B09" w:rsidRPr="00661595" w:rsidRDefault="000B0B09" w:rsidP="00BD2FE7">
            <w:pPr>
              <w:rPr>
                <w:rFonts w:ascii="Times New Roman" w:hAnsi="Times New Roman"/>
                <w:sz w:val="24"/>
                <w:lang w:eastAsia="nl-BE"/>
              </w:rPr>
            </w:pPr>
            <w:r w:rsidRPr="00661595">
              <w:rPr>
                <w:rFonts w:ascii="Times New Roman" w:hAnsi="Times New Roman"/>
                <w:sz w:val="24"/>
                <w:lang w:eastAsia="de-DE"/>
              </w:rPr>
              <w:t xml:space="preserve">Positions in traded debt instruments in Trading Book and their correspondent own funds requirements for position risk </w:t>
            </w:r>
            <w:r w:rsidR="00BB22D4" w:rsidRPr="00661595">
              <w:rPr>
                <w:rFonts w:ascii="Times New Roman" w:hAnsi="Times New Roman"/>
                <w:sz w:val="24"/>
                <w:lang w:eastAsia="de-DE"/>
              </w:rPr>
              <w:t>in accordance with</w:t>
            </w:r>
            <w:r w:rsidRPr="00661595">
              <w:rPr>
                <w:rFonts w:ascii="Times New Roman" w:hAnsi="Times New Roman"/>
                <w:sz w:val="24"/>
                <w:lang w:eastAsia="de-DE"/>
              </w:rPr>
              <w:t xml:space="preserve"> </w:t>
            </w:r>
            <w:r w:rsidR="00705025" w:rsidRPr="00661595">
              <w:rPr>
                <w:rFonts w:ascii="Times New Roman" w:hAnsi="Times New Roman"/>
                <w:sz w:val="24"/>
                <w:lang w:eastAsia="de-DE"/>
              </w:rPr>
              <w:t xml:space="preserve">point (b)(i) of </w:t>
            </w:r>
            <w:r w:rsidRPr="00661595">
              <w:rPr>
                <w:rFonts w:ascii="Times New Roman" w:hAnsi="Times New Roman"/>
                <w:sz w:val="24"/>
                <w:lang w:eastAsia="de-DE"/>
              </w:rPr>
              <w:t xml:space="preserve">Article 92(3) CRR and </w:t>
            </w:r>
            <w:r w:rsidR="00F41508" w:rsidRPr="00661595">
              <w:rPr>
                <w:rFonts w:ascii="Times New Roman" w:hAnsi="Times New Roman"/>
                <w:sz w:val="24"/>
                <w:lang w:eastAsia="de-DE"/>
              </w:rPr>
              <w:t xml:space="preserve">Chapter 2 of Title IV of </w:t>
            </w:r>
            <w:r w:rsidR="00097A17" w:rsidRPr="00661595">
              <w:rPr>
                <w:rFonts w:ascii="Times New Roman" w:hAnsi="Times New Roman"/>
                <w:sz w:val="24"/>
                <w:lang w:eastAsia="de-DE"/>
              </w:rPr>
              <w:t>Part Three</w:t>
            </w:r>
            <w:r w:rsidRPr="00661595">
              <w:rPr>
                <w:rFonts w:ascii="Times New Roman" w:hAnsi="Times New Roman"/>
                <w:sz w:val="24"/>
                <w:lang w:eastAsia="de-DE"/>
              </w:rPr>
              <w:t xml:space="preserve"> </w:t>
            </w:r>
            <w:r w:rsidR="00C7103D" w:rsidRPr="00661595">
              <w:rPr>
                <w:rFonts w:ascii="Times New Roman" w:hAnsi="Times New Roman"/>
                <w:sz w:val="24"/>
                <w:lang w:eastAsia="de-DE"/>
              </w:rPr>
              <w:t>CRR</w:t>
            </w:r>
            <w:r w:rsidRPr="00661595">
              <w:rPr>
                <w:rFonts w:ascii="Times New Roman" w:hAnsi="Times New Roman"/>
                <w:sz w:val="24"/>
                <w:lang w:eastAsia="de-DE"/>
              </w:rPr>
              <w:t xml:space="preserve"> </w:t>
            </w:r>
            <w:r w:rsidR="00F41508" w:rsidRPr="00661595">
              <w:rPr>
                <w:rFonts w:ascii="Times New Roman" w:hAnsi="Times New Roman"/>
                <w:sz w:val="24"/>
                <w:lang w:eastAsia="de-DE"/>
              </w:rPr>
              <w:t>shall be</w:t>
            </w:r>
            <w:r w:rsidRPr="00661595">
              <w:rPr>
                <w:rFonts w:ascii="Times New Roman" w:hAnsi="Times New Roman"/>
                <w:sz w:val="24"/>
                <w:lang w:eastAsia="de-DE"/>
              </w:rPr>
              <w:t xml:space="preserve"> reported depending on risk category, maturity and approach used.</w:t>
            </w:r>
          </w:p>
        </w:tc>
      </w:tr>
      <w:tr w:rsidR="000B0B09" w:rsidRPr="00661595" w:rsidTr="00672D2A">
        <w:tc>
          <w:tcPr>
            <w:tcW w:w="987" w:type="dxa"/>
          </w:tcPr>
          <w:p w:rsidR="000B0B09" w:rsidRPr="00661595" w:rsidRDefault="00EE2CD5" w:rsidP="000F70EC">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011</w:t>
            </w:r>
          </w:p>
        </w:tc>
        <w:tc>
          <w:tcPr>
            <w:tcW w:w="7875" w:type="dxa"/>
          </w:tcPr>
          <w:p w:rsidR="000B0B09" w:rsidRPr="00661595" w:rsidRDefault="000B0B09"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b/>
                <w:bCs/>
                <w:sz w:val="24"/>
                <w:u w:val="single"/>
                <w:lang w:eastAsia="nl-BE"/>
              </w:rPr>
              <w:t xml:space="preserve">GENERAL RISK. </w:t>
            </w:r>
          </w:p>
        </w:tc>
      </w:tr>
      <w:tr w:rsidR="000B0B09" w:rsidRPr="00661595" w:rsidTr="00672D2A">
        <w:tc>
          <w:tcPr>
            <w:tcW w:w="987" w:type="dxa"/>
          </w:tcPr>
          <w:p w:rsidR="000B0B09" w:rsidRPr="00661595" w:rsidRDefault="00EE2CD5"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012</w:t>
            </w:r>
          </w:p>
        </w:tc>
        <w:tc>
          <w:tcPr>
            <w:tcW w:w="7875" w:type="dxa"/>
          </w:tcPr>
          <w:p w:rsidR="000B0B09" w:rsidRPr="00661595" w:rsidRDefault="000B0B09" w:rsidP="000B0B09">
            <w:pPr>
              <w:autoSpaceDE w:val="0"/>
              <w:autoSpaceDN w:val="0"/>
              <w:adjustRightInd w:val="0"/>
              <w:spacing w:before="0" w:after="0"/>
              <w:rPr>
                <w:rFonts w:ascii="Times New Roman" w:hAnsi="Times New Roman"/>
                <w:sz w:val="24"/>
                <w:lang w:eastAsia="de-DE"/>
              </w:rPr>
            </w:pPr>
            <w:r w:rsidRPr="00661595">
              <w:rPr>
                <w:rFonts w:ascii="Times New Roman" w:hAnsi="Times New Roman"/>
                <w:b/>
                <w:bCs/>
                <w:sz w:val="24"/>
                <w:u w:val="single"/>
                <w:lang w:eastAsia="nl-BE"/>
              </w:rPr>
              <w:t>Derivatives</w:t>
            </w:r>
          </w:p>
          <w:p w:rsidR="000B0B09" w:rsidRPr="00661595" w:rsidRDefault="000B0B09" w:rsidP="00BD2FE7">
            <w:pPr>
              <w:rPr>
                <w:rFonts w:ascii="Times New Roman" w:hAnsi="Times New Roman"/>
                <w:b/>
                <w:bCs/>
                <w:sz w:val="24"/>
                <w:u w:val="single"/>
                <w:lang w:eastAsia="nl-BE"/>
              </w:rPr>
            </w:pPr>
            <w:r w:rsidRPr="00661595">
              <w:rPr>
                <w:rFonts w:ascii="Times New Roman" w:hAnsi="Times New Roman"/>
                <w:sz w:val="24"/>
                <w:lang w:eastAsia="de-DE"/>
              </w:rPr>
              <w:t>Derivatives included in the calculation of interest rate risk of trading book positions</w:t>
            </w:r>
            <w:r w:rsidR="00F41508" w:rsidRPr="00661595">
              <w:rPr>
                <w:rFonts w:ascii="Times New Roman" w:hAnsi="Times New Roman"/>
                <w:sz w:val="24"/>
                <w:lang w:eastAsia="de-DE"/>
              </w:rPr>
              <w:t>,</w:t>
            </w:r>
            <w:r w:rsidRPr="00661595">
              <w:rPr>
                <w:rFonts w:ascii="Times New Roman" w:hAnsi="Times New Roman"/>
                <w:sz w:val="24"/>
                <w:lang w:eastAsia="de-DE"/>
              </w:rPr>
              <w:t xml:space="preserve"> taking into account Articles 328 to 331</w:t>
            </w:r>
            <w:r w:rsidR="00F41508" w:rsidRPr="00661595">
              <w:rPr>
                <w:rFonts w:ascii="Times New Roman" w:hAnsi="Times New Roman"/>
                <w:sz w:val="24"/>
                <w:lang w:eastAsia="de-DE"/>
              </w:rPr>
              <w:t xml:space="preserve"> CRR</w:t>
            </w:r>
            <w:r w:rsidRPr="00661595">
              <w:rPr>
                <w:rFonts w:ascii="Times New Roman" w:hAnsi="Times New Roman"/>
                <w:sz w:val="24"/>
                <w:lang w:eastAsia="de-DE"/>
              </w:rPr>
              <w:t xml:space="preserve">, </w:t>
            </w:r>
            <w:r w:rsidR="00F41508" w:rsidRPr="00661595">
              <w:rPr>
                <w:rFonts w:ascii="Times New Roman" w:hAnsi="Times New Roman"/>
                <w:sz w:val="24"/>
                <w:lang w:eastAsia="de-DE"/>
              </w:rPr>
              <w:t>where</w:t>
            </w:r>
            <w:r w:rsidRPr="00661595">
              <w:rPr>
                <w:rFonts w:ascii="Times New Roman" w:hAnsi="Times New Roman"/>
                <w:sz w:val="24"/>
                <w:lang w:eastAsia="de-DE"/>
              </w:rPr>
              <w:t xml:space="preserve"> applicable.</w:t>
            </w:r>
          </w:p>
        </w:tc>
      </w:tr>
      <w:tr w:rsidR="000B0B09" w:rsidRPr="00661595" w:rsidTr="00672D2A">
        <w:tc>
          <w:tcPr>
            <w:tcW w:w="987" w:type="dxa"/>
          </w:tcPr>
          <w:p w:rsidR="000B0B09" w:rsidRPr="00661595" w:rsidRDefault="00EE2CD5"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013</w:t>
            </w:r>
          </w:p>
        </w:tc>
        <w:tc>
          <w:tcPr>
            <w:tcW w:w="7875"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Other assets and liabilities</w:t>
            </w:r>
          </w:p>
          <w:p w:rsidR="000B0B09" w:rsidRPr="00661595" w:rsidRDefault="000B0B09" w:rsidP="00BD2FE7">
            <w:pPr>
              <w:rPr>
                <w:rFonts w:ascii="Times New Roman" w:hAnsi="Times New Roman"/>
                <w:b/>
                <w:bCs/>
                <w:sz w:val="24"/>
                <w:u w:val="single"/>
                <w:lang w:eastAsia="nl-BE"/>
              </w:rPr>
            </w:pPr>
            <w:r w:rsidRPr="00661595">
              <w:rPr>
                <w:rFonts w:ascii="Times New Roman" w:hAnsi="Times New Roman"/>
                <w:sz w:val="24"/>
                <w:lang w:eastAsia="de-DE"/>
              </w:rPr>
              <w:t xml:space="preserve">Instruments other than derivatives included in the calculation of interest rate risk of trading book positions. </w:t>
            </w:r>
          </w:p>
        </w:tc>
      </w:tr>
      <w:tr w:rsidR="000B0B09" w:rsidRPr="00661595" w:rsidTr="00672D2A">
        <w:tc>
          <w:tcPr>
            <w:tcW w:w="987" w:type="dxa"/>
          </w:tcPr>
          <w:p w:rsidR="000B0B09" w:rsidRPr="00661595" w:rsidRDefault="00EE2CD5"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020-</w:t>
            </w:r>
            <w:r w:rsidRPr="00661595">
              <w:rPr>
                <w:rFonts w:ascii="Times New Roman" w:hAnsi="Times New Roman"/>
                <w:sz w:val="24"/>
                <w:lang w:eastAsia="nl-BE"/>
              </w:rPr>
              <w:t>0</w:t>
            </w:r>
            <w:r w:rsidR="000B0B09" w:rsidRPr="00661595">
              <w:rPr>
                <w:rFonts w:ascii="Times New Roman" w:hAnsi="Times New Roman"/>
                <w:sz w:val="24"/>
                <w:lang w:eastAsia="nl-BE"/>
              </w:rPr>
              <w:t>200</w:t>
            </w:r>
          </w:p>
        </w:tc>
        <w:tc>
          <w:tcPr>
            <w:tcW w:w="7875"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MATURITY BASED APPROACH</w:t>
            </w:r>
          </w:p>
          <w:p w:rsidR="000B0B09" w:rsidRPr="00661595" w:rsidRDefault="000B0B09" w:rsidP="00BD2FE7">
            <w:pPr>
              <w:rPr>
                <w:rFonts w:ascii="Times New Roman" w:hAnsi="Times New Roman"/>
                <w:b/>
                <w:bCs/>
                <w:sz w:val="24"/>
                <w:u w:val="single"/>
                <w:lang w:eastAsia="nl-BE"/>
              </w:rPr>
            </w:pPr>
            <w:r w:rsidRPr="00661595">
              <w:rPr>
                <w:rFonts w:ascii="Times New Roman" w:hAnsi="Times New Roman"/>
                <w:sz w:val="24"/>
                <w:lang w:eastAsia="de-DE"/>
              </w:rPr>
              <w:t xml:space="preserve">Positions in traded debt instruments subject to the maturity-based approach </w:t>
            </w:r>
            <w:r w:rsidR="00F41508" w:rsidRPr="00661595">
              <w:rPr>
                <w:rFonts w:ascii="Times New Roman" w:hAnsi="Times New Roman"/>
                <w:sz w:val="24"/>
                <w:lang w:eastAsia="de-DE"/>
              </w:rPr>
              <w:t xml:space="preserve"> referred to in</w:t>
            </w:r>
            <w:r w:rsidRPr="00661595">
              <w:rPr>
                <w:rFonts w:ascii="Times New Roman" w:hAnsi="Times New Roman"/>
                <w:sz w:val="24"/>
                <w:lang w:eastAsia="de-DE"/>
              </w:rPr>
              <w:t xml:space="preserve"> </w:t>
            </w:r>
            <w:r w:rsidR="00F41508" w:rsidRPr="00661595">
              <w:rPr>
                <w:rFonts w:ascii="Times New Roman" w:hAnsi="Times New Roman"/>
                <w:sz w:val="24"/>
                <w:lang w:eastAsia="de-DE"/>
              </w:rPr>
              <w:t xml:space="preserve">paragraphs 1 to 8 of </w:t>
            </w:r>
            <w:r w:rsidRPr="00661595">
              <w:rPr>
                <w:rFonts w:ascii="Times New Roman" w:hAnsi="Times New Roman"/>
                <w:sz w:val="24"/>
                <w:lang w:eastAsia="de-DE"/>
              </w:rPr>
              <w:t>Article 339</w:t>
            </w:r>
            <w:r w:rsidR="007B2F85" w:rsidRPr="00661595">
              <w:rPr>
                <w:rFonts w:ascii="Times New Roman" w:hAnsi="Times New Roman"/>
                <w:sz w:val="24"/>
                <w:lang w:eastAsia="de-DE"/>
              </w:rPr>
              <w:t xml:space="preserve"> </w:t>
            </w:r>
            <w:r w:rsidR="00C7103D" w:rsidRPr="00661595">
              <w:rPr>
                <w:rFonts w:ascii="Times New Roman" w:hAnsi="Times New Roman"/>
                <w:sz w:val="24"/>
                <w:lang w:eastAsia="de-DE"/>
              </w:rPr>
              <w:t>CRR</w:t>
            </w:r>
            <w:r w:rsidRPr="00661595">
              <w:rPr>
                <w:rFonts w:ascii="Times New Roman" w:hAnsi="Times New Roman"/>
                <w:sz w:val="24"/>
                <w:lang w:eastAsia="de-DE"/>
              </w:rPr>
              <w:t xml:space="preserve"> and the correspond</w:t>
            </w:r>
            <w:r w:rsidR="00F41508" w:rsidRPr="00661595">
              <w:rPr>
                <w:rFonts w:ascii="Times New Roman" w:hAnsi="Times New Roman"/>
                <w:sz w:val="24"/>
                <w:lang w:eastAsia="de-DE"/>
              </w:rPr>
              <w:t>ing</w:t>
            </w:r>
            <w:r w:rsidRPr="00661595">
              <w:rPr>
                <w:rFonts w:ascii="Times New Roman" w:hAnsi="Times New Roman"/>
                <w:sz w:val="24"/>
                <w:lang w:eastAsia="de-DE"/>
              </w:rPr>
              <w:t xml:space="preserve"> own funds requirements </w:t>
            </w:r>
            <w:r w:rsidR="00F41508" w:rsidRPr="00661595">
              <w:rPr>
                <w:rFonts w:ascii="Times New Roman" w:hAnsi="Times New Roman"/>
                <w:sz w:val="24"/>
                <w:lang w:eastAsia="de-DE"/>
              </w:rPr>
              <w:t xml:space="preserve">calculated in accordance with </w:t>
            </w:r>
            <w:r w:rsidRPr="00661595">
              <w:rPr>
                <w:rFonts w:ascii="Times New Roman" w:hAnsi="Times New Roman"/>
                <w:sz w:val="24"/>
                <w:lang w:eastAsia="de-DE"/>
              </w:rPr>
              <w:t xml:space="preserve">Article 339(9) </w:t>
            </w:r>
            <w:r w:rsidR="00C7103D" w:rsidRPr="00661595">
              <w:rPr>
                <w:rFonts w:ascii="Times New Roman" w:hAnsi="Times New Roman"/>
                <w:sz w:val="24"/>
                <w:lang w:eastAsia="de-DE"/>
              </w:rPr>
              <w:t>CRR</w:t>
            </w:r>
            <w:r w:rsidRPr="00661595">
              <w:rPr>
                <w:rFonts w:ascii="Times New Roman" w:hAnsi="Times New Roman"/>
                <w:sz w:val="24"/>
                <w:lang w:eastAsia="de-DE"/>
              </w:rPr>
              <w:t>. The position shall be split by zones 1, 2 and 3 and th</w:t>
            </w:r>
            <w:r w:rsidR="00F41508" w:rsidRPr="00661595">
              <w:rPr>
                <w:rFonts w:ascii="Times New Roman" w:hAnsi="Times New Roman"/>
                <w:sz w:val="24"/>
                <w:lang w:eastAsia="de-DE"/>
              </w:rPr>
              <w:t>o</w:t>
            </w:r>
            <w:r w:rsidRPr="00661595">
              <w:rPr>
                <w:rFonts w:ascii="Times New Roman" w:hAnsi="Times New Roman"/>
                <w:sz w:val="24"/>
                <w:lang w:eastAsia="de-DE"/>
              </w:rPr>
              <w:t>se</w:t>
            </w:r>
            <w:r w:rsidR="00F41508" w:rsidRPr="00661595">
              <w:rPr>
                <w:rFonts w:ascii="Times New Roman" w:hAnsi="Times New Roman"/>
                <w:sz w:val="24"/>
                <w:lang w:eastAsia="de-DE"/>
              </w:rPr>
              <w:t xml:space="preserve"> zones</w:t>
            </w:r>
            <w:r w:rsidR="0023276A" w:rsidRPr="00661595">
              <w:rPr>
                <w:rFonts w:ascii="Times New Roman" w:hAnsi="Times New Roman"/>
                <w:sz w:val="24"/>
                <w:lang w:eastAsia="de-DE"/>
              </w:rPr>
              <w:t xml:space="preserve"> shall be split</w:t>
            </w:r>
            <w:r w:rsidRPr="00661595">
              <w:rPr>
                <w:rFonts w:ascii="Times New Roman" w:hAnsi="Times New Roman"/>
                <w:sz w:val="24"/>
                <w:lang w:eastAsia="de-DE"/>
              </w:rPr>
              <w:t xml:space="preserve"> by the maturity of the instruments.</w:t>
            </w:r>
          </w:p>
        </w:tc>
      </w:tr>
      <w:tr w:rsidR="000B0B09" w:rsidRPr="00661595" w:rsidTr="00672D2A">
        <w:tc>
          <w:tcPr>
            <w:tcW w:w="987" w:type="dxa"/>
          </w:tcPr>
          <w:p w:rsidR="000B0B09" w:rsidRPr="00661595" w:rsidRDefault="00EE2CD5" w:rsidP="000F70EC">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210</w:t>
            </w:r>
            <w:r w:rsidR="000F70EC" w:rsidRPr="00661595">
              <w:rPr>
                <w:rFonts w:ascii="Times New Roman" w:hAnsi="Times New Roman"/>
                <w:sz w:val="24"/>
                <w:lang w:eastAsia="nl-BE"/>
              </w:rPr>
              <w:t>-</w:t>
            </w:r>
            <w:r w:rsidRPr="00661595">
              <w:rPr>
                <w:rFonts w:ascii="Times New Roman" w:hAnsi="Times New Roman"/>
                <w:sz w:val="24"/>
                <w:lang w:eastAsia="nl-BE"/>
              </w:rPr>
              <w:t>0</w:t>
            </w:r>
            <w:r w:rsidR="000B0B09" w:rsidRPr="00661595">
              <w:rPr>
                <w:rFonts w:ascii="Times New Roman" w:hAnsi="Times New Roman"/>
                <w:sz w:val="24"/>
                <w:lang w:eastAsia="nl-BE"/>
              </w:rPr>
              <w:t>240</w:t>
            </w:r>
          </w:p>
        </w:tc>
        <w:tc>
          <w:tcPr>
            <w:tcW w:w="7875" w:type="dxa"/>
          </w:tcPr>
          <w:p w:rsidR="000B0B09" w:rsidRPr="00661595" w:rsidRDefault="000B0B09" w:rsidP="000B0B09">
            <w:pPr>
              <w:autoSpaceDE w:val="0"/>
              <w:autoSpaceDN w:val="0"/>
              <w:adjustRightInd w:val="0"/>
              <w:spacing w:before="0" w:after="0"/>
              <w:rPr>
                <w:rFonts w:ascii="Times New Roman" w:hAnsi="Times New Roman"/>
                <w:sz w:val="24"/>
                <w:lang w:eastAsia="de-DE"/>
              </w:rPr>
            </w:pPr>
            <w:r w:rsidRPr="00661595">
              <w:rPr>
                <w:rFonts w:ascii="Times New Roman" w:hAnsi="Times New Roman"/>
                <w:b/>
                <w:bCs/>
                <w:sz w:val="24"/>
                <w:u w:val="single"/>
                <w:lang w:eastAsia="nl-BE"/>
              </w:rPr>
              <w:t>GENERAL RISK. DURATION BASED APPROACH</w:t>
            </w:r>
          </w:p>
          <w:p w:rsidR="000B0B09" w:rsidRPr="00661595" w:rsidRDefault="000B0B09" w:rsidP="0002267E">
            <w:pPr>
              <w:rPr>
                <w:rFonts w:ascii="Times New Roman" w:hAnsi="Times New Roman"/>
                <w:b/>
                <w:bCs/>
                <w:sz w:val="24"/>
                <w:u w:val="single"/>
                <w:lang w:eastAsia="nl-BE"/>
              </w:rPr>
            </w:pPr>
            <w:r w:rsidRPr="00661595">
              <w:rPr>
                <w:rFonts w:ascii="Times New Roman" w:hAnsi="Times New Roman"/>
                <w:sz w:val="24"/>
                <w:lang w:eastAsia="de-DE"/>
              </w:rPr>
              <w:t xml:space="preserve">Positions in traded debt instruments subject to the duration-based approach </w:t>
            </w:r>
            <w:r w:rsidR="00F41508" w:rsidRPr="00661595">
              <w:rPr>
                <w:rFonts w:ascii="Times New Roman" w:hAnsi="Times New Roman"/>
                <w:sz w:val="24"/>
                <w:lang w:eastAsia="de-DE"/>
              </w:rPr>
              <w:t xml:space="preserve">referred to in paragraphs 1 to 6 of </w:t>
            </w:r>
            <w:r w:rsidRPr="00661595">
              <w:rPr>
                <w:rFonts w:ascii="Times New Roman" w:hAnsi="Times New Roman"/>
                <w:sz w:val="24"/>
                <w:lang w:eastAsia="de-DE"/>
              </w:rPr>
              <w:t>Article 340</w:t>
            </w:r>
            <w:r w:rsidR="007B2F85" w:rsidRPr="00661595">
              <w:rPr>
                <w:rFonts w:ascii="Times New Roman" w:hAnsi="Times New Roman"/>
                <w:sz w:val="24"/>
                <w:lang w:eastAsia="de-DE"/>
              </w:rPr>
              <w:t xml:space="preserve"> </w:t>
            </w:r>
            <w:r w:rsidR="00C7103D" w:rsidRPr="00661595">
              <w:rPr>
                <w:rFonts w:ascii="Times New Roman" w:hAnsi="Times New Roman"/>
                <w:sz w:val="24"/>
                <w:lang w:eastAsia="de-DE"/>
              </w:rPr>
              <w:t>CRR</w:t>
            </w:r>
            <w:r w:rsidRPr="00661595">
              <w:rPr>
                <w:rFonts w:ascii="Times New Roman" w:hAnsi="Times New Roman"/>
                <w:sz w:val="24"/>
                <w:lang w:eastAsia="de-DE"/>
              </w:rPr>
              <w:t xml:space="preserve"> and the correspond</w:t>
            </w:r>
            <w:r w:rsidR="00F41508" w:rsidRPr="00661595">
              <w:rPr>
                <w:rFonts w:ascii="Times New Roman" w:hAnsi="Times New Roman"/>
                <w:sz w:val="24"/>
                <w:lang w:eastAsia="de-DE"/>
              </w:rPr>
              <w:t>ing</w:t>
            </w:r>
            <w:r w:rsidRPr="00661595">
              <w:rPr>
                <w:rFonts w:ascii="Times New Roman" w:hAnsi="Times New Roman"/>
                <w:sz w:val="24"/>
                <w:lang w:eastAsia="de-DE"/>
              </w:rPr>
              <w:t xml:space="preserve"> own funds requirements </w:t>
            </w:r>
            <w:r w:rsidR="00F41508" w:rsidRPr="00661595">
              <w:rPr>
                <w:rFonts w:ascii="Times New Roman" w:hAnsi="Times New Roman"/>
                <w:sz w:val="24"/>
                <w:lang w:eastAsia="de-DE"/>
              </w:rPr>
              <w:t xml:space="preserve">calculated in accordance with </w:t>
            </w:r>
            <w:r w:rsidRPr="00661595">
              <w:rPr>
                <w:rFonts w:ascii="Times New Roman" w:hAnsi="Times New Roman"/>
                <w:sz w:val="24"/>
                <w:lang w:eastAsia="de-DE"/>
              </w:rPr>
              <w:t xml:space="preserve">Article 340(7) </w:t>
            </w:r>
            <w:r w:rsidR="00C7103D" w:rsidRPr="00661595">
              <w:rPr>
                <w:rFonts w:ascii="Times New Roman" w:hAnsi="Times New Roman"/>
                <w:sz w:val="24"/>
                <w:lang w:eastAsia="de-DE"/>
              </w:rPr>
              <w:t>CRR</w:t>
            </w:r>
            <w:r w:rsidRPr="00661595">
              <w:rPr>
                <w:rFonts w:ascii="Times New Roman" w:hAnsi="Times New Roman"/>
                <w:sz w:val="24"/>
                <w:lang w:eastAsia="de-DE"/>
              </w:rPr>
              <w:t>. The position shall be split by zones 1, 2 and 3.</w:t>
            </w:r>
          </w:p>
        </w:tc>
      </w:tr>
      <w:tr w:rsidR="000B0B09" w:rsidRPr="00661595" w:rsidTr="00672D2A">
        <w:tc>
          <w:tcPr>
            <w:tcW w:w="987" w:type="dxa"/>
          </w:tcPr>
          <w:p w:rsidR="000B0B09" w:rsidRPr="00661595" w:rsidRDefault="00EE2CD5" w:rsidP="000F70EC">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250</w:t>
            </w:r>
          </w:p>
        </w:tc>
        <w:tc>
          <w:tcPr>
            <w:tcW w:w="7875"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SPECIFIC RISK</w:t>
            </w:r>
          </w:p>
          <w:p w:rsidR="000B0B09" w:rsidRPr="00661595" w:rsidRDefault="000B0B09" w:rsidP="00BD2FE7">
            <w:pPr>
              <w:rPr>
                <w:rFonts w:ascii="Times New Roman" w:hAnsi="Times New Roman"/>
                <w:sz w:val="24"/>
                <w:lang w:eastAsia="de-DE"/>
              </w:rPr>
            </w:pPr>
            <w:r w:rsidRPr="00661595">
              <w:rPr>
                <w:rFonts w:ascii="Times New Roman" w:hAnsi="Times New Roman"/>
                <w:sz w:val="24"/>
                <w:lang w:eastAsia="de-DE"/>
              </w:rPr>
              <w:t xml:space="preserve">Sum of amounts reported in rows </w:t>
            </w:r>
            <w:r w:rsidR="00EE2CD5" w:rsidRPr="00661595">
              <w:rPr>
                <w:rFonts w:ascii="Times New Roman" w:hAnsi="Times New Roman"/>
                <w:sz w:val="24"/>
                <w:lang w:eastAsia="de-DE"/>
              </w:rPr>
              <w:t>0</w:t>
            </w:r>
            <w:r w:rsidRPr="00661595">
              <w:rPr>
                <w:rFonts w:ascii="Times New Roman" w:hAnsi="Times New Roman"/>
                <w:sz w:val="24"/>
                <w:lang w:eastAsia="de-DE"/>
              </w:rPr>
              <w:t xml:space="preserve">251, </w:t>
            </w:r>
            <w:r w:rsidR="00EE2CD5" w:rsidRPr="00661595">
              <w:rPr>
                <w:rFonts w:ascii="Times New Roman" w:hAnsi="Times New Roman"/>
                <w:sz w:val="24"/>
                <w:lang w:eastAsia="de-DE"/>
              </w:rPr>
              <w:t>0</w:t>
            </w:r>
            <w:r w:rsidRPr="00661595">
              <w:rPr>
                <w:rFonts w:ascii="Times New Roman" w:hAnsi="Times New Roman"/>
                <w:sz w:val="24"/>
                <w:lang w:eastAsia="de-DE"/>
              </w:rPr>
              <w:t xml:space="preserve">325 and </w:t>
            </w:r>
            <w:r w:rsidR="00EE2CD5" w:rsidRPr="00661595">
              <w:rPr>
                <w:rFonts w:ascii="Times New Roman" w:hAnsi="Times New Roman"/>
                <w:sz w:val="24"/>
                <w:lang w:eastAsia="de-DE"/>
              </w:rPr>
              <w:t>0</w:t>
            </w:r>
            <w:r w:rsidRPr="00661595">
              <w:rPr>
                <w:rFonts w:ascii="Times New Roman" w:hAnsi="Times New Roman"/>
                <w:sz w:val="24"/>
                <w:lang w:eastAsia="de-DE"/>
              </w:rPr>
              <w:t xml:space="preserve">330. </w:t>
            </w:r>
          </w:p>
          <w:p w:rsidR="000B0B09" w:rsidRPr="00661595" w:rsidRDefault="000B0B09" w:rsidP="00BD2FE7">
            <w:pPr>
              <w:rPr>
                <w:rFonts w:ascii="Times New Roman" w:hAnsi="Times New Roman"/>
                <w:b/>
                <w:bCs/>
                <w:sz w:val="24"/>
                <w:u w:val="single"/>
                <w:lang w:eastAsia="nl-BE"/>
              </w:rPr>
            </w:pPr>
            <w:r w:rsidRPr="00661595">
              <w:rPr>
                <w:rFonts w:ascii="Times New Roman" w:hAnsi="Times New Roman"/>
                <w:sz w:val="24"/>
                <w:lang w:eastAsia="de-DE"/>
              </w:rPr>
              <w:t xml:space="preserve">Positions in traded debt instruments subject to the specific risk capital </w:t>
            </w:r>
            <w:r w:rsidR="0023276A" w:rsidRPr="00661595">
              <w:rPr>
                <w:rFonts w:ascii="Times New Roman" w:hAnsi="Times New Roman"/>
                <w:sz w:val="24"/>
                <w:lang w:eastAsia="de-DE"/>
              </w:rPr>
              <w:t xml:space="preserve">requirements </w:t>
            </w:r>
            <w:r w:rsidRPr="00661595">
              <w:rPr>
                <w:rFonts w:ascii="Times New Roman" w:hAnsi="Times New Roman"/>
                <w:sz w:val="24"/>
                <w:lang w:eastAsia="de-DE"/>
              </w:rPr>
              <w:t>and their correspond</w:t>
            </w:r>
            <w:r w:rsidR="00F41508" w:rsidRPr="00661595">
              <w:rPr>
                <w:rFonts w:ascii="Times New Roman" w:hAnsi="Times New Roman"/>
                <w:sz w:val="24"/>
                <w:lang w:eastAsia="de-DE"/>
              </w:rPr>
              <w:t>ing</w:t>
            </w:r>
            <w:r w:rsidRPr="00661595">
              <w:rPr>
                <w:rFonts w:ascii="Times New Roman" w:hAnsi="Times New Roman"/>
                <w:sz w:val="24"/>
                <w:lang w:eastAsia="de-DE"/>
              </w:rPr>
              <w:t xml:space="preserve"> capital </w:t>
            </w:r>
            <w:r w:rsidR="0023276A" w:rsidRPr="00661595">
              <w:rPr>
                <w:rFonts w:ascii="Times New Roman" w:hAnsi="Times New Roman"/>
                <w:sz w:val="24"/>
                <w:lang w:eastAsia="de-DE"/>
              </w:rPr>
              <w:t xml:space="preserve">requirements </w:t>
            </w:r>
            <w:r w:rsidR="00BB22D4" w:rsidRPr="00661595">
              <w:rPr>
                <w:rFonts w:ascii="Times New Roman" w:hAnsi="Times New Roman"/>
                <w:sz w:val="24"/>
                <w:lang w:eastAsia="de-DE"/>
              </w:rPr>
              <w:t>in accordance with</w:t>
            </w:r>
            <w:r w:rsidRPr="00661595">
              <w:rPr>
                <w:rFonts w:ascii="Times New Roman" w:hAnsi="Times New Roman"/>
                <w:sz w:val="24"/>
                <w:lang w:eastAsia="de-DE"/>
              </w:rPr>
              <w:t xml:space="preserve"> </w:t>
            </w:r>
            <w:r w:rsidR="00D21B29" w:rsidRPr="00661595">
              <w:rPr>
                <w:rFonts w:ascii="Times New Roman" w:hAnsi="Times New Roman"/>
                <w:sz w:val="24"/>
                <w:lang w:eastAsia="de-DE"/>
              </w:rPr>
              <w:t>p</w:t>
            </w:r>
            <w:r w:rsidR="00D21B29" w:rsidRPr="00661595">
              <w:rPr>
                <w:rFonts w:ascii="Times New Roman" w:hAnsi="Times New Roman"/>
                <w:sz w:val="24"/>
              </w:rPr>
              <w:t xml:space="preserve">oint (b) of </w:t>
            </w:r>
            <w:r w:rsidRPr="00661595">
              <w:rPr>
                <w:rFonts w:ascii="Times New Roman" w:hAnsi="Times New Roman"/>
                <w:sz w:val="24"/>
                <w:lang w:eastAsia="de-DE"/>
              </w:rPr>
              <w:t xml:space="preserve">Article 92(3) and </w:t>
            </w:r>
            <w:r w:rsidR="00D21B29" w:rsidRPr="00661595">
              <w:rPr>
                <w:rFonts w:ascii="Times New Roman" w:hAnsi="Times New Roman"/>
                <w:sz w:val="24"/>
                <w:lang w:eastAsia="de-DE"/>
              </w:rPr>
              <w:t xml:space="preserve">Article </w:t>
            </w:r>
            <w:r w:rsidRPr="00661595">
              <w:rPr>
                <w:rFonts w:ascii="Times New Roman" w:hAnsi="Times New Roman"/>
                <w:sz w:val="24"/>
                <w:lang w:eastAsia="de-DE"/>
              </w:rPr>
              <w:t xml:space="preserve">335, </w:t>
            </w:r>
            <w:r w:rsidR="00F41508" w:rsidRPr="00661595">
              <w:rPr>
                <w:rFonts w:ascii="Times New Roman" w:hAnsi="Times New Roman"/>
                <w:sz w:val="24"/>
                <w:lang w:eastAsia="de-DE"/>
              </w:rPr>
              <w:t xml:space="preserve">paragraphs 1, 2 and 3 of Article </w:t>
            </w:r>
            <w:r w:rsidRPr="00661595">
              <w:rPr>
                <w:rFonts w:ascii="Times New Roman" w:hAnsi="Times New Roman"/>
                <w:sz w:val="24"/>
                <w:lang w:eastAsia="de-DE"/>
              </w:rPr>
              <w:t>336</w:t>
            </w:r>
            <w:r w:rsidR="007B2F85" w:rsidRPr="00661595">
              <w:rPr>
                <w:rFonts w:ascii="Times New Roman" w:hAnsi="Times New Roman"/>
                <w:sz w:val="24"/>
                <w:lang w:eastAsia="de-DE"/>
              </w:rPr>
              <w:t xml:space="preserve"> </w:t>
            </w:r>
            <w:r w:rsidR="00F41508" w:rsidRPr="00661595">
              <w:rPr>
                <w:rFonts w:ascii="Times New Roman" w:hAnsi="Times New Roman"/>
                <w:sz w:val="24"/>
                <w:lang w:eastAsia="de-DE"/>
              </w:rPr>
              <w:t>and Articles</w:t>
            </w:r>
            <w:r w:rsidRPr="00661595">
              <w:rPr>
                <w:rFonts w:ascii="Times New Roman" w:hAnsi="Times New Roman"/>
                <w:sz w:val="24"/>
                <w:lang w:eastAsia="de-DE"/>
              </w:rPr>
              <w:t xml:space="preserve"> 337 and 338 </w:t>
            </w:r>
            <w:r w:rsidR="00C7103D" w:rsidRPr="00661595">
              <w:rPr>
                <w:rFonts w:ascii="Times New Roman" w:hAnsi="Times New Roman"/>
                <w:sz w:val="24"/>
                <w:lang w:eastAsia="de-DE"/>
              </w:rPr>
              <w:t>CRR</w:t>
            </w:r>
            <w:r w:rsidRPr="00661595">
              <w:rPr>
                <w:rFonts w:ascii="Times New Roman" w:hAnsi="Times New Roman"/>
                <w:sz w:val="24"/>
                <w:lang w:eastAsia="de-DE"/>
              </w:rPr>
              <w:t xml:space="preserve">. Be also aware of </w:t>
            </w:r>
            <w:r w:rsidR="00705025" w:rsidRPr="00661595">
              <w:rPr>
                <w:rFonts w:ascii="Times New Roman" w:hAnsi="Times New Roman"/>
                <w:sz w:val="24"/>
                <w:lang w:eastAsia="de-DE"/>
              </w:rPr>
              <w:t xml:space="preserve">the </w:t>
            </w:r>
            <w:r w:rsidRPr="00661595">
              <w:rPr>
                <w:rFonts w:ascii="Times New Roman" w:hAnsi="Times New Roman"/>
                <w:sz w:val="24"/>
                <w:lang w:eastAsia="de-DE"/>
              </w:rPr>
              <w:t xml:space="preserve">last sentence in Article 327(1) </w:t>
            </w:r>
            <w:r w:rsidR="00C7103D" w:rsidRPr="00661595">
              <w:rPr>
                <w:rFonts w:ascii="Times New Roman" w:hAnsi="Times New Roman"/>
                <w:sz w:val="24"/>
                <w:lang w:eastAsia="de-DE"/>
              </w:rPr>
              <w:t>CRR</w:t>
            </w:r>
            <w:r w:rsidRPr="00661595">
              <w:rPr>
                <w:rFonts w:ascii="Times New Roman" w:hAnsi="Times New Roman"/>
                <w:sz w:val="24"/>
                <w:lang w:eastAsia="de-DE"/>
              </w:rPr>
              <w:t>.</w:t>
            </w:r>
          </w:p>
        </w:tc>
      </w:tr>
      <w:tr w:rsidR="000B0B09" w:rsidRPr="00661595" w:rsidTr="00672D2A">
        <w:tc>
          <w:tcPr>
            <w:tcW w:w="987" w:type="dxa"/>
          </w:tcPr>
          <w:p w:rsidR="000B0B09" w:rsidRPr="00661595" w:rsidRDefault="00EE2CD5" w:rsidP="000F70EC">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251-</w:t>
            </w:r>
            <w:r w:rsidRPr="00661595">
              <w:rPr>
                <w:rFonts w:ascii="Times New Roman" w:hAnsi="Times New Roman"/>
                <w:sz w:val="24"/>
                <w:lang w:eastAsia="nl-BE"/>
              </w:rPr>
              <w:t>0</w:t>
            </w:r>
            <w:r w:rsidR="000B0B09" w:rsidRPr="00661595">
              <w:rPr>
                <w:rFonts w:ascii="Times New Roman" w:hAnsi="Times New Roman"/>
                <w:sz w:val="24"/>
                <w:lang w:eastAsia="nl-BE"/>
              </w:rPr>
              <w:t>321</w:t>
            </w:r>
          </w:p>
        </w:tc>
        <w:tc>
          <w:tcPr>
            <w:tcW w:w="7875"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de-DE"/>
              </w:rPr>
            </w:pPr>
            <w:r w:rsidRPr="00661595">
              <w:rPr>
                <w:rFonts w:ascii="Times New Roman" w:hAnsi="Times New Roman"/>
                <w:b/>
                <w:bCs/>
                <w:sz w:val="24"/>
                <w:u w:val="single"/>
                <w:lang w:eastAsia="de-DE"/>
              </w:rPr>
              <w:t>Own funds requirement for non-securitisation debt instruments</w:t>
            </w:r>
          </w:p>
          <w:p w:rsidR="000B0B09" w:rsidRPr="00661595" w:rsidRDefault="000B0B09" w:rsidP="007B2F85">
            <w:pPr>
              <w:rPr>
                <w:rFonts w:ascii="Times New Roman" w:hAnsi="Times New Roman"/>
                <w:sz w:val="24"/>
                <w:lang w:eastAsia="de-DE"/>
              </w:rPr>
            </w:pPr>
            <w:r w:rsidRPr="00661595">
              <w:rPr>
                <w:rFonts w:ascii="Times New Roman" w:hAnsi="Times New Roman"/>
                <w:sz w:val="24"/>
                <w:lang w:eastAsia="de-DE"/>
              </w:rPr>
              <w:t>Sum of the amounts reported in rows 260 to 321.</w:t>
            </w:r>
          </w:p>
          <w:p w:rsidR="000B0B09" w:rsidRPr="00661595" w:rsidRDefault="000B0B09" w:rsidP="00BD2FE7">
            <w:pPr>
              <w:rPr>
                <w:rFonts w:ascii="Times New Roman" w:hAnsi="Times New Roman"/>
                <w:sz w:val="24"/>
                <w:lang w:eastAsia="de-DE"/>
              </w:rPr>
            </w:pPr>
            <w:r w:rsidRPr="00661595">
              <w:rPr>
                <w:rFonts w:ascii="Times New Roman" w:hAnsi="Times New Roman"/>
                <w:sz w:val="24"/>
                <w:lang w:eastAsia="de-DE"/>
              </w:rPr>
              <w:t xml:space="preserve">The own funds requirement of the n-th to default credit derivatives which are not rated externally </w:t>
            </w:r>
            <w:r w:rsidR="00F41508" w:rsidRPr="00661595">
              <w:rPr>
                <w:rFonts w:ascii="Times New Roman" w:hAnsi="Times New Roman"/>
                <w:sz w:val="24"/>
                <w:lang w:eastAsia="de-DE"/>
              </w:rPr>
              <w:t>shall</w:t>
            </w:r>
            <w:r w:rsidRPr="00661595">
              <w:rPr>
                <w:rFonts w:ascii="Times New Roman" w:hAnsi="Times New Roman"/>
                <w:sz w:val="24"/>
                <w:lang w:eastAsia="de-DE"/>
              </w:rPr>
              <w:t xml:space="preserve"> be c</w:t>
            </w:r>
            <w:r w:rsidR="00F41508" w:rsidRPr="00661595">
              <w:rPr>
                <w:rFonts w:ascii="Times New Roman" w:hAnsi="Times New Roman"/>
                <w:sz w:val="24"/>
                <w:lang w:eastAsia="de-DE"/>
              </w:rPr>
              <w:t>alculated</w:t>
            </w:r>
            <w:r w:rsidRPr="00661595">
              <w:rPr>
                <w:rFonts w:ascii="Times New Roman" w:hAnsi="Times New Roman"/>
                <w:sz w:val="24"/>
                <w:lang w:eastAsia="de-DE"/>
              </w:rPr>
              <w:t xml:space="preserve"> by summing up the risk weights of the reference entities (</w:t>
            </w:r>
            <w:r w:rsidR="000F11B2" w:rsidRPr="00661595">
              <w:rPr>
                <w:rFonts w:ascii="Times New Roman" w:hAnsi="Times New Roman"/>
                <w:sz w:val="24"/>
                <w:lang w:eastAsia="de-DE"/>
              </w:rPr>
              <w:t>p</w:t>
            </w:r>
            <w:r w:rsidR="007B2F85" w:rsidRPr="00661595">
              <w:rPr>
                <w:rFonts w:ascii="Times New Roman" w:hAnsi="Times New Roman"/>
                <w:sz w:val="24"/>
                <w:lang w:eastAsia="de-DE"/>
              </w:rPr>
              <w:t xml:space="preserve">oint </w:t>
            </w:r>
            <w:r w:rsidR="000F11B2" w:rsidRPr="00661595">
              <w:rPr>
                <w:rFonts w:ascii="Times New Roman" w:hAnsi="Times New Roman"/>
                <w:sz w:val="24"/>
                <w:lang w:eastAsia="de-DE"/>
              </w:rPr>
              <w:t>(</w:t>
            </w:r>
            <w:r w:rsidR="007B2F85" w:rsidRPr="00661595">
              <w:rPr>
                <w:rFonts w:ascii="Times New Roman" w:hAnsi="Times New Roman"/>
                <w:sz w:val="24"/>
                <w:lang w:eastAsia="de-DE"/>
              </w:rPr>
              <w:t>e</w:t>
            </w:r>
            <w:r w:rsidR="000F11B2" w:rsidRPr="00661595">
              <w:rPr>
                <w:rFonts w:ascii="Times New Roman" w:hAnsi="Times New Roman"/>
                <w:sz w:val="24"/>
                <w:lang w:eastAsia="de-DE"/>
              </w:rPr>
              <w:t>)</w:t>
            </w:r>
            <w:r w:rsidR="007B2F85" w:rsidRPr="00661595">
              <w:rPr>
                <w:rFonts w:ascii="Times New Roman" w:hAnsi="Times New Roman"/>
                <w:sz w:val="24"/>
                <w:lang w:eastAsia="de-DE"/>
              </w:rPr>
              <w:t xml:space="preserve"> of </w:t>
            </w:r>
            <w:r w:rsidR="0019088A" w:rsidRPr="00661595">
              <w:rPr>
                <w:rFonts w:ascii="Times New Roman" w:hAnsi="Times New Roman"/>
                <w:sz w:val="24"/>
                <w:lang w:eastAsia="de-DE"/>
              </w:rPr>
              <w:t xml:space="preserve">Article 332(1) CRR and the </w:t>
            </w:r>
            <w:r w:rsidR="007B2F85" w:rsidRPr="00661595">
              <w:rPr>
                <w:rFonts w:ascii="Times New Roman" w:hAnsi="Times New Roman"/>
                <w:sz w:val="24"/>
                <w:lang w:eastAsia="de-DE"/>
              </w:rPr>
              <w:t>second subparagraph of</w:t>
            </w:r>
            <w:r w:rsidR="00705025" w:rsidRPr="00661595">
              <w:rPr>
                <w:rFonts w:ascii="Times New Roman" w:hAnsi="Times New Roman"/>
                <w:sz w:val="24"/>
                <w:lang w:eastAsia="de-DE"/>
              </w:rPr>
              <w:t xml:space="preserve"> </w:t>
            </w:r>
            <w:r w:rsidRPr="00661595">
              <w:rPr>
                <w:rFonts w:ascii="Times New Roman" w:hAnsi="Times New Roman"/>
                <w:sz w:val="24"/>
                <w:lang w:eastAsia="de-DE"/>
              </w:rPr>
              <w:t>Article 332(1) CRR – “look-through”). N-th-to-default credit derivatives which are rated externally (</w:t>
            </w:r>
            <w:r w:rsidR="000F11B2" w:rsidRPr="00661595">
              <w:rPr>
                <w:rFonts w:ascii="Times New Roman" w:hAnsi="Times New Roman"/>
                <w:sz w:val="24"/>
                <w:lang w:eastAsia="de-DE"/>
              </w:rPr>
              <w:t xml:space="preserve">the </w:t>
            </w:r>
            <w:r w:rsidR="00F41508" w:rsidRPr="00661595">
              <w:rPr>
                <w:rFonts w:ascii="Times New Roman" w:hAnsi="Times New Roman"/>
                <w:sz w:val="24"/>
                <w:lang w:eastAsia="de-DE"/>
              </w:rPr>
              <w:t>third sub</w:t>
            </w:r>
            <w:r w:rsidR="00705025" w:rsidRPr="00661595">
              <w:rPr>
                <w:rFonts w:ascii="Times New Roman" w:hAnsi="Times New Roman"/>
                <w:sz w:val="24"/>
                <w:lang w:eastAsia="de-DE"/>
              </w:rPr>
              <w:t xml:space="preserve">paragraph of Article 332(1) </w:t>
            </w:r>
            <w:r w:rsidRPr="00661595">
              <w:rPr>
                <w:rFonts w:ascii="Times New Roman" w:hAnsi="Times New Roman"/>
                <w:sz w:val="24"/>
                <w:lang w:eastAsia="de-DE"/>
              </w:rPr>
              <w:t xml:space="preserve">CRR) </w:t>
            </w:r>
            <w:r w:rsidR="00C93697" w:rsidRPr="00661595">
              <w:rPr>
                <w:rFonts w:ascii="Times New Roman" w:hAnsi="Times New Roman"/>
                <w:sz w:val="24"/>
                <w:lang w:eastAsia="de-DE"/>
              </w:rPr>
              <w:t>shall</w:t>
            </w:r>
            <w:r w:rsidRPr="00661595">
              <w:rPr>
                <w:rFonts w:ascii="Times New Roman" w:hAnsi="Times New Roman"/>
                <w:sz w:val="24"/>
                <w:lang w:eastAsia="de-DE"/>
              </w:rPr>
              <w:t xml:space="preserve"> be reported separately in line 321. </w:t>
            </w:r>
          </w:p>
          <w:p w:rsidR="000B0B09" w:rsidRPr="00661595" w:rsidRDefault="000B0B09" w:rsidP="00BD2FE7">
            <w:pPr>
              <w:rPr>
                <w:rFonts w:ascii="Times New Roman" w:hAnsi="Times New Roman"/>
                <w:sz w:val="24"/>
                <w:lang w:eastAsia="de-DE"/>
              </w:rPr>
            </w:pPr>
            <w:r w:rsidRPr="00661595">
              <w:rPr>
                <w:rFonts w:ascii="Times New Roman" w:hAnsi="Times New Roman"/>
                <w:sz w:val="24"/>
                <w:lang w:eastAsia="de-DE"/>
              </w:rPr>
              <w:t>Reporting of positions subject to Article 336</w:t>
            </w:r>
            <w:r w:rsidR="001E0C80" w:rsidRPr="00661595">
              <w:rPr>
                <w:rFonts w:ascii="Times New Roman" w:hAnsi="Times New Roman"/>
                <w:sz w:val="24"/>
                <w:lang w:eastAsia="de-DE"/>
              </w:rPr>
              <w:t>(</w:t>
            </w:r>
            <w:r w:rsidRPr="00661595">
              <w:rPr>
                <w:rFonts w:ascii="Times New Roman" w:hAnsi="Times New Roman"/>
                <w:sz w:val="24"/>
                <w:lang w:eastAsia="de-DE"/>
              </w:rPr>
              <w:t>3) CRR:</w:t>
            </w:r>
            <w:r w:rsidR="001A741B" w:rsidRPr="00661595">
              <w:rPr>
                <w:rFonts w:ascii="Times New Roman" w:hAnsi="Times New Roman"/>
                <w:sz w:val="24"/>
                <w:lang w:eastAsia="de-DE"/>
              </w:rPr>
              <w:t xml:space="preserve"> </w:t>
            </w:r>
            <w:r w:rsidRPr="00661595">
              <w:rPr>
                <w:rFonts w:ascii="Times New Roman" w:hAnsi="Times New Roman"/>
                <w:sz w:val="24"/>
                <w:lang w:eastAsia="de-DE"/>
              </w:rPr>
              <w:t xml:space="preserve">There is a special treatment for bonds which qualify for a 10% risk weight in the banking book </w:t>
            </w:r>
            <w:r w:rsidR="00BB22D4" w:rsidRPr="00661595">
              <w:rPr>
                <w:rFonts w:ascii="Times New Roman" w:hAnsi="Times New Roman"/>
                <w:sz w:val="24"/>
                <w:lang w:eastAsia="de-DE"/>
              </w:rPr>
              <w:t>in accordance with</w:t>
            </w:r>
            <w:r w:rsidRPr="00661595">
              <w:rPr>
                <w:rFonts w:ascii="Times New Roman" w:hAnsi="Times New Roman"/>
                <w:sz w:val="24"/>
                <w:lang w:eastAsia="de-DE"/>
              </w:rPr>
              <w:t xml:space="preserve"> Article 129(3) CRR (covered bonds). The specific own funds requirements </w:t>
            </w:r>
            <w:r w:rsidR="00F41508" w:rsidRPr="00661595">
              <w:rPr>
                <w:rFonts w:ascii="Times New Roman" w:hAnsi="Times New Roman"/>
                <w:sz w:val="24"/>
                <w:lang w:eastAsia="de-DE"/>
              </w:rPr>
              <w:t>shall be</w:t>
            </w:r>
            <w:r w:rsidRPr="00661595">
              <w:rPr>
                <w:rFonts w:ascii="Times New Roman" w:hAnsi="Times New Roman"/>
                <w:sz w:val="24"/>
                <w:lang w:eastAsia="de-DE"/>
              </w:rPr>
              <w:t xml:space="preserve"> half of the percentage of the second category </w:t>
            </w:r>
            <w:r w:rsidR="00F41508" w:rsidRPr="00661595">
              <w:rPr>
                <w:rFonts w:ascii="Times New Roman" w:hAnsi="Times New Roman"/>
                <w:sz w:val="24"/>
                <w:lang w:eastAsia="de-DE"/>
              </w:rPr>
              <w:t>referred to in</w:t>
            </w:r>
            <w:r w:rsidRPr="00661595">
              <w:rPr>
                <w:rFonts w:ascii="Times New Roman" w:hAnsi="Times New Roman"/>
                <w:sz w:val="24"/>
                <w:lang w:eastAsia="de-DE"/>
              </w:rPr>
              <w:t xml:space="preserve"> </w:t>
            </w:r>
            <w:r w:rsidR="00133396" w:rsidRPr="00661595">
              <w:rPr>
                <w:rFonts w:ascii="Times New Roman" w:hAnsi="Times New Roman"/>
                <w:sz w:val="24"/>
                <w:lang w:eastAsia="de-DE"/>
              </w:rPr>
              <w:t>T</w:t>
            </w:r>
            <w:r w:rsidRPr="00661595">
              <w:rPr>
                <w:rFonts w:ascii="Times New Roman" w:hAnsi="Times New Roman"/>
                <w:sz w:val="24"/>
                <w:lang w:eastAsia="de-DE"/>
              </w:rPr>
              <w:t>able 1</w:t>
            </w:r>
            <w:r w:rsidR="00E92C04" w:rsidRPr="00661595">
              <w:rPr>
                <w:rFonts w:ascii="Times New Roman" w:hAnsi="Times New Roman"/>
                <w:sz w:val="24"/>
                <w:lang w:eastAsia="de-DE"/>
              </w:rPr>
              <w:t xml:space="preserve"> of Article 336 CRR. Those positions have to be assigned to rows </w:t>
            </w:r>
            <w:r w:rsidR="00EE2CD5" w:rsidRPr="00661595">
              <w:rPr>
                <w:rFonts w:ascii="Times New Roman" w:hAnsi="Times New Roman"/>
                <w:sz w:val="24"/>
                <w:lang w:eastAsia="de-DE"/>
              </w:rPr>
              <w:t>0</w:t>
            </w:r>
            <w:r w:rsidR="00E92C04" w:rsidRPr="00661595">
              <w:rPr>
                <w:rFonts w:ascii="Times New Roman" w:hAnsi="Times New Roman"/>
                <w:sz w:val="24"/>
                <w:lang w:eastAsia="de-DE"/>
              </w:rPr>
              <w:t>280-</w:t>
            </w:r>
            <w:r w:rsidR="00EE2CD5" w:rsidRPr="00661595">
              <w:rPr>
                <w:rFonts w:ascii="Times New Roman" w:hAnsi="Times New Roman"/>
                <w:sz w:val="24"/>
                <w:lang w:eastAsia="de-DE"/>
              </w:rPr>
              <w:t>0</w:t>
            </w:r>
            <w:r w:rsidR="00E92C04" w:rsidRPr="00661595">
              <w:rPr>
                <w:rFonts w:ascii="Times New Roman" w:hAnsi="Times New Roman"/>
                <w:sz w:val="24"/>
                <w:lang w:eastAsia="de-DE"/>
              </w:rPr>
              <w:t xml:space="preserve">300 </w:t>
            </w:r>
            <w:r w:rsidR="00BB22D4" w:rsidRPr="00661595">
              <w:rPr>
                <w:rFonts w:ascii="Times New Roman" w:hAnsi="Times New Roman"/>
                <w:sz w:val="24"/>
                <w:lang w:eastAsia="de-DE"/>
              </w:rPr>
              <w:t>in accordance with</w:t>
            </w:r>
            <w:r w:rsidR="00E92C04" w:rsidRPr="00661595">
              <w:rPr>
                <w:rFonts w:ascii="Times New Roman" w:hAnsi="Times New Roman"/>
                <w:sz w:val="24"/>
                <w:lang w:eastAsia="de-DE"/>
              </w:rPr>
              <w:t xml:space="preserve"> the residual term to final maturity.</w:t>
            </w:r>
          </w:p>
          <w:p w:rsidR="000B0B09" w:rsidRPr="00661595" w:rsidRDefault="00F41508" w:rsidP="0002267E">
            <w:pPr>
              <w:rPr>
                <w:rFonts w:ascii="Times New Roman" w:hAnsi="Times New Roman"/>
                <w:b/>
                <w:bCs/>
                <w:sz w:val="24"/>
                <w:u w:val="single"/>
                <w:lang w:eastAsia="nl-BE"/>
              </w:rPr>
            </w:pPr>
            <w:r w:rsidRPr="00661595">
              <w:rPr>
                <w:rFonts w:ascii="Times New Roman" w:hAnsi="Times New Roman"/>
                <w:sz w:val="24"/>
                <w:lang w:eastAsia="de-DE"/>
              </w:rPr>
              <w:t>Where</w:t>
            </w:r>
            <w:r w:rsidR="000B0B09" w:rsidRPr="00661595">
              <w:rPr>
                <w:rFonts w:ascii="Times New Roman" w:hAnsi="Times New Roman"/>
                <w:sz w:val="24"/>
                <w:lang w:eastAsia="de-DE"/>
              </w:rPr>
              <w:t xml:space="preserve"> the general risk of interest rate positions is hedged by a credit derivative, Articles 346 and 347 </w:t>
            </w:r>
            <w:r w:rsidR="001A741B" w:rsidRPr="00661595">
              <w:rPr>
                <w:rFonts w:ascii="Times New Roman" w:hAnsi="Times New Roman"/>
                <w:sz w:val="24"/>
                <w:lang w:eastAsia="de-DE"/>
              </w:rPr>
              <w:t xml:space="preserve">CRR </w:t>
            </w:r>
            <w:r w:rsidR="000B0B09" w:rsidRPr="00661595">
              <w:rPr>
                <w:rFonts w:ascii="Times New Roman" w:hAnsi="Times New Roman"/>
                <w:sz w:val="24"/>
                <w:lang w:eastAsia="de-DE"/>
              </w:rPr>
              <w:t xml:space="preserve">shall be applied. </w:t>
            </w:r>
          </w:p>
        </w:tc>
      </w:tr>
      <w:tr w:rsidR="000B0B09" w:rsidRPr="00661595" w:rsidTr="00672D2A">
        <w:tc>
          <w:tcPr>
            <w:tcW w:w="987" w:type="dxa"/>
          </w:tcPr>
          <w:p w:rsidR="000B0B09" w:rsidRPr="00661595" w:rsidDel="00F27BD6" w:rsidRDefault="00EE2CD5"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325</w:t>
            </w:r>
          </w:p>
        </w:tc>
        <w:tc>
          <w:tcPr>
            <w:tcW w:w="7875"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Own funds requirement for securitisation instruments</w:t>
            </w:r>
          </w:p>
          <w:p w:rsidR="00722A10" w:rsidRPr="00661595" w:rsidDel="00F27BD6" w:rsidRDefault="000B0B09" w:rsidP="0002267E">
            <w:pPr>
              <w:rPr>
                <w:rFonts w:ascii="Times New Roman" w:hAnsi="Times New Roman"/>
                <w:b/>
                <w:bCs/>
                <w:sz w:val="24"/>
                <w:u w:val="single"/>
                <w:lang w:eastAsia="nl-BE"/>
              </w:rPr>
            </w:pPr>
            <w:r w:rsidRPr="00661595">
              <w:rPr>
                <w:rFonts w:ascii="Times New Roman" w:hAnsi="Times New Roman"/>
                <w:sz w:val="24"/>
                <w:lang w:eastAsia="de-DE"/>
              </w:rPr>
              <w:t xml:space="preserve">Total own funds requirements reported in column </w:t>
            </w:r>
            <w:r w:rsidR="00EE2CD5" w:rsidRPr="00661595">
              <w:rPr>
                <w:rFonts w:ascii="Times New Roman" w:hAnsi="Times New Roman"/>
                <w:sz w:val="24"/>
                <w:lang w:eastAsia="de-DE"/>
              </w:rPr>
              <w:t>0</w:t>
            </w:r>
            <w:r w:rsidRPr="00661595">
              <w:rPr>
                <w:rFonts w:ascii="Times New Roman" w:hAnsi="Times New Roman"/>
                <w:sz w:val="24"/>
                <w:lang w:eastAsia="de-DE"/>
              </w:rPr>
              <w:t>60</w:t>
            </w:r>
            <w:r w:rsidR="00EE2CD5" w:rsidRPr="00661595">
              <w:rPr>
                <w:rFonts w:ascii="Times New Roman" w:hAnsi="Times New Roman"/>
                <w:sz w:val="24"/>
                <w:lang w:eastAsia="de-DE"/>
              </w:rPr>
              <w:t>1</w:t>
            </w:r>
            <w:r w:rsidRPr="00661595">
              <w:rPr>
                <w:rFonts w:ascii="Times New Roman" w:hAnsi="Times New Roman"/>
                <w:sz w:val="24"/>
                <w:lang w:eastAsia="de-DE"/>
              </w:rPr>
              <w:t xml:space="preserve"> of template MKR SA SEC. </w:t>
            </w:r>
            <w:r w:rsidR="00F41508" w:rsidRPr="00661595">
              <w:rPr>
                <w:rFonts w:ascii="Times New Roman" w:hAnsi="Times New Roman"/>
                <w:sz w:val="24"/>
                <w:lang w:eastAsia="de-DE"/>
              </w:rPr>
              <w:t xml:space="preserve">Those total own funds requirements </w:t>
            </w:r>
            <w:r w:rsidR="00C93697" w:rsidRPr="00661595">
              <w:rPr>
                <w:rFonts w:ascii="Times New Roman" w:hAnsi="Times New Roman"/>
                <w:sz w:val="24"/>
                <w:lang w:eastAsia="de-DE"/>
              </w:rPr>
              <w:t>shall</w:t>
            </w:r>
            <w:r w:rsidRPr="00661595">
              <w:rPr>
                <w:rFonts w:ascii="Times New Roman" w:hAnsi="Times New Roman"/>
                <w:sz w:val="24"/>
                <w:lang w:eastAsia="de-DE"/>
              </w:rPr>
              <w:t xml:space="preserve"> only be reported on Total level of the MKR SA TDI.</w:t>
            </w:r>
          </w:p>
        </w:tc>
      </w:tr>
      <w:tr w:rsidR="000B0B09" w:rsidRPr="00661595" w:rsidTr="00672D2A">
        <w:tc>
          <w:tcPr>
            <w:tcW w:w="987" w:type="dxa"/>
          </w:tcPr>
          <w:p w:rsidR="000B0B09" w:rsidRPr="00661595" w:rsidDel="00F27BD6" w:rsidRDefault="00EE2CD5"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330</w:t>
            </w:r>
          </w:p>
        </w:tc>
        <w:tc>
          <w:tcPr>
            <w:tcW w:w="7875"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Own funds requirement for the correlation trading portfolio</w:t>
            </w:r>
          </w:p>
          <w:p w:rsidR="00722A10" w:rsidRPr="00661595" w:rsidDel="00F27BD6" w:rsidRDefault="000B0B09" w:rsidP="0002267E">
            <w:pPr>
              <w:rPr>
                <w:rFonts w:ascii="Times New Roman" w:hAnsi="Times New Roman"/>
                <w:b/>
                <w:bCs/>
                <w:sz w:val="24"/>
                <w:u w:val="single"/>
                <w:lang w:eastAsia="nl-BE"/>
              </w:rPr>
            </w:pPr>
            <w:r w:rsidRPr="00661595">
              <w:rPr>
                <w:rFonts w:ascii="Times New Roman" w:hAnsi="Times New Roman"/>
                <w:sz w:val="24"/>
                <w:lang w:eastAsia="de-DE"/>
              </w:rPr>
              <w:t xml:space="preserve">Total own funds requirements reported in column </w:t>
            </w:r>
            <w:r w:rsidR="00EE2CD5" w:rsidRPr="00661595">
              <w:rPr>
                <w:rFonts w:ascii="Times New Roman" w:hAnsi="Times New Roman"/>
                <w:sz w:val="24"/>
                <w:lang w:eastAsia="de-DE"/>
              </w:rPr>
              <w:t>0</w:t>
            </w:r>
            <w:r w:rsidRPr="00661595">
              <w:rPr>
                <w:rFonts w:ascii="Times New Roman" w:hAnsi="Times New Roman"/>
                <w:sz w:val="24"/>
                <w:lang w:eastAsia="de-DE"/>
              </w:rPr>
              <w:t xml:space="preserve">450 of template MKR SA CTP. </w:t>
            </w:r>
            <w:r w:rsidR="00F41508" w:rsidRPr="00661595">
              <w:rPr>
                <w:rFonts w:ascii="Times New Roman" w:hAnsi="Times New Roman"/>
                <w:sz w:val="24"/>
                <w:lang w:eastAsia="de-DE"/>
              </w:rPr>
              <w:t xml:space="preserve">Those total own funds requirements </w:t>
            </w:r>
            <w:r w:rsidR="00C93697" w:rsidRPr="00661595">
              <w:rPr>
                <w:rFonts w:ascii="Times New Roman" w:hAnsi="Times New Roman"/>
                <w:sz w:val="24"/>
                <w:lang w:eastAsia="de-DE"/>
              </w:rPr>
              <w:t>shall</w:t>
            </w:r>
            <w:r w:rsidRPr="00661595">
              <w:rPr>
                <w:rFonts w:ascii="Times New Roman" w:hAnsi="Times New Roman"/>
                <w:sz w:val="24"/>
                <w:lang w:eastAsia="de-DE"/>
              </w:rPr>
              <w:t xml:space="preserve"> only be reported on Total level of the MKR SA TDI.</w:t>
            </w:r>
          </w:p>
        </w:tc>
      </w:tr>
      <w:tr w:rsidR="000B0B09" w:rsidRPr="00661595" w:rsidTr="00672D2A">
        <w:tc>
          <w:tcPr>
            <w:tcW w:w="987" w:type="dxa"/>
          </w:tcPr>
          <w:p w:rsidR="000B0B09" w:rsidRPr="00661595" w:rsidRDefault="00EE2CD5" w:rsidP="000F70EC">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350-</w:t>
            </w:r>
            <w:r w:rsidRPr="00661595">
              <w:rPr>
                <w:rFonts w:ascii="Times New Roman" w:hAnsi="Times New Roman"/>
                <w:sz w:val="24"/>
                <w:lang w:eastAsia="nl-BE"/>
              </w:rPr>
              <w:t>0</w:t>
            </w:r>
            <w:r w:rsidR="000B0B09" w:rsidRPr="00661595">
              <w:rPr>
                <w:rFonts w:ascii="Times New Roman" w:hAnsi="Times New Roman"/>
                <w:sz w:val="24"/>
                <w:lang w:eastAsia="nl-BE"/>
              </w:rPr>
              <w:t>390</w:t>
            </w:r>
          </w:p>
        </w:tc>
        <w:tc>
          <w:tcPr>
            <w:tcW w:w="7875" w:type="dxa"/>
          </w:tcPr>
          <w:p w:rsidR="000B0B09" w:rsidRPr="00661595" w:rsidRDefault="000B0B09" w:rsidP="000B0B09">
            <w:pPr>
              <w:autoSpaceDE w:val="0"/>
              <w:autoSpaceDN w:val="0"/>
              <w:adjustRightInd w:val="0"/>
              <w:spacing w:before="0" w:after="0"/>
              <w:rPr>
                <w:rStyle w:val="InstructionsTabelleberschrift"/>
                <w:rFonts w:ascii="Times New Roman" w:hAnsi="Times New Roman"/>
                <w:sz w:val="24"/>
              </w:rPr>
            </w:pPr>
            <w:r w:rsidRPr="00661595">
              <w:rPr>
                <w:rStyle w:val="InstructionsTabelleberschrift"/>
                <w:rFonts w:ascii="Times New Roman" w:hAnsi="Times New Roman"/>
                <w:sz w:val="24"/>
              </w:rPr>
              <w:t xml:space="preserve">ADDITIONAL REQUIREMENTS FOR OPTIONS (NON-DELTA RISKS) </w:t>
            </w:r>
          </w:p>
          <w:p w:rsidR="000B0B09" w:rsidRPr="00661595" w:rsidRDefault="000B0B09" w:rsidP="00BD2FE7">
            <w:pPr>
              <w:rPr>
                <w:rFonts w:ascii="Times New Roman" w:hAnsi="Times New Roman"/>
                <w:sz w:val="24"/>
                <w:lang w:eastAsia="de-DE"/>
              </w:rPr>
            </w:pPr>
            <w:r w:rsidRPr="00661595">
              <w:rPr>
                <w:rFonts w:ascii="Times New Roman" w:hAnsi="Times New Roman"/>
                <w:sz w:val="24"/>
                <w:lang w:eastAsia="de-DE"/>
              </w:rPr>
              <w:t xml:space="preserve">Article 329(3) </w:t>
            </w:r>
            <w:r w:rsidR="00C7103D" w:rsidRPr="00661595">
              <w:rPr>
                <w:rFonts w:ascii="Times New Roman" w:hAnsi="Times New Roman"/>
                <w:sz w:val="24"/>
                <w:lang w:eastAsia="de-DE"/>
              </w:rPr>
              <w:t>CRR</w:t>
            </w:r>
            <w:r w:rsidRPr="00661595">
              <w:rPr>
                <w:rFonts w:ascii="Times New Roman" w:hAnsi="Times New Roman"/>
                <w:sz w:val="24"/>
                <w:lang w:eastAsia="de-DE"/>
              </w:rPr>
              <w:t>.</w:t>
            </w:r>
          </w:p>
          <w:p w:rsidR="000B0B09" w:rsidRPr="00661595" w:rsidRDefault="000B0B09" w:rsidP="0002267E">
            <w:pPr>
              <w:rPr>
                <w:rFonts w:ascii="Times New Roman" w:hAnsi="Times New Roman"/>
                <w:bCs/>
                <w:sz w:val="24"/>
                <w:lang w:eastAsia="nl-BE"/>
              </w:rPr>
            </w:pPr>
            <w:r w:rsidRPr="00661595">
              <w:rPr>
                <w:rFonts w:ascii="Times New Roman" w:hAnsi="Times New Roman"/>
                <w:sz w:val="24"/>
                <w:lang w:eastAsia="de-DE"/>
              </w:rPr>
              <w:t xml:space="preserve">The additional requirements for options related to non-delta risks shall be reported </w:t>
            </w:r>
            <w:r w:rsidR="001A741B" w:rsidRPr="00661595">
              <w:rPr>
                <w:rFonts w:ascii="Times New Roman" w:hAnsi="Times New Roman"/>
                <w:sz w:val="24"/>
                <w:lang w:eastAsia="de-DE"/>
              </w:rPr>
              <w:t>broken down by the</w:t>
            </w:r>
            <w:r w:rsidRPr="00661595">
              <w:rPr>
                <w:rFonts w:ascii="Times New Roman" w:hAnsi="Times New Roman"/>
                <w:sz w:val="24"/>
                <w:lang w:eastAsia="de-DE"/>
              </w:rPr>
              <w:t xml:space="preserve"> method used for </w:t>
            </w:r>
            <w:r w:rsidR="00DE73B4" w:rsidRPr="00661595">
              <w:rPr>
                <w:rFonts w:ascii="Times New Roman" w:hAnsi="Times New Roman"/>
                <w:sz w:val="24"/>
                <w:lang w:eastAsia="de-DE"/>
              </w:rPr>
              <w:t>their</w:t>
            </w:r>
            <w:r w:rsidRPr="00661595">
              <w:rPr>
                <w:rFonts w:ascii="Times New Roman" w:hAnsi="Times New Roman"/>
                <w:sz w:val="24"/>
                <w:lang w:eastAsia="de-DE"/>
              </w:rPr>
              <w:t xml:space="preserve"> calculation.</w:t>
            </w:r>
          </w:p>
        </w:tc>
      </w:tr>
    </w:tbl>
    <w:p w:rsidR="000B0B09" w:rsidRPr="00661595" w:rsidRDefault="000B0B09" w:rsidP="000B0B09">
      <w:pPr>
        <w:autoSpaceDE w:val="0"/>
        <w:autoSpaceDN w:val="0"/>
        <w:adjustRightInd w:val="0"/>
        <w:spacing w:before="0" w:after="0"/>
        <w:rPr>
          <w:rFonts w:ascii="Times New Roman" w:hAnsi="Times New Roman"/>
          <w:bCs/>
          <w:sz w:val="24"/>
          <w:lang w:eastAsia="nl-BE"/>
        </w:rPr>
      </w:pPr>
    </w:p>
    <w:p w:rsidR="000B0B09"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622" w:name="_Toc294172370"/>
      <w:bookmarkStart w:id="623" w:name="_Toc295829999"/>
      <w:bookmarkStart w:id="624" w:name="_Toc308426676"/>
      <w:bookmarkStart w:id="625" w:name="_Toc310415060"/>
      <w:bookmarkStart w:id="626" w:name="_Toc360188395"/>
      <w:bookmarkStart w:id="627" w:name="_Toc473561035"/>
      <w:bookmarkStart w:id="628" w:name="_Toc57831639"/>
      <w:r w:rsidRPr="00661595">
        <w:rPr>
          <w:rFonts w:ascii="Times New Roman" w:hAnsi="Times New Roman" w:cs="Times New Roman"/>
          <w:sz w:val="24"/>
          <w:u w:val="none"/>
          <w:lang w:val="en-GB"/>
        </w:rPr>
        <w:t>5.2.</w:t>
      </w:r>
      <w:r w:rsidRPr="00661595">
        <w:rPr>
          <w:rFonts w:ascii="Times New Roman" w:hAnsi="Times New Roman" w:cs="Times New Roman"/>
          <w:sz w:val="24"/>
          <w:u w:val="none"/>
          <w:lang w:val="en-GB"/>
        </w:rPr>
        <w:tab/>
      </w:r>
      <w:r w:rsidR="008B73EE" w:rsidRPr="00661595">
        <w:rPr>
          <w:rFonts w:ascii="Times New Roman" w:hAnsi="Times New Roman" w:cs="Times New Roman"/>
          <w:sz w:val="24"/>
          <w:lang w:val="en-GB"/>
        </w:rPr>
        <w:t xml:space="preserve">C 19.00 - </w:t>
      </w:r>
      <w:r w:rsidR="000B0B09" w:rsidRPr="00661595">
        <w:rPr>
          <w:rFonts w:ascii="Times New Roman" w:hAnsi="Times New Roman" w:cs="Times New Roman"/>
          <w:sz w:val="24"/>
          <w:lang w:val="en-GB"/>
        </w:rPr>
        <w:t>MARKET RISK: STANDARDISED APPROACH FOR SPECIFIC RISK IN SECURITISATIONS (MKR SA SEC)</w:t>
      </w:r>
      <w:bookmarkEnd w:id="622"/>
      <w:bookmarkEnd w:id="623"/>
      <w:bookmarkEnd w:id="624"/>
      <w:bookmarkEnd w:id="625"/>
      <w:bookmarkEnd w:id="626"/>
      <w:bookmarkEnd w:id="627"/>
      <w:bookmarkEnd w:id="628"/>
    </w:p>
    <w:p w:rsidR="000B0B09"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629" w:name="_Toc294172371"/>
      <w:bookmarkStart w:id="630" w:name="_Toc295830000"/>
      <w:bookmarkStart w:id="631" w:name="_Toc308426677"/>
      <w:bookmarkStart w:id="632" w:name="_Toc310415061"/>
      <w:bookmarkStart w:id="633" w:name="_Toc360188396"/>
      <w:bookmarkStart w:id="634" w:name="_Toc473561036"/>
      <w:bookmarkStart w:id="635" w:name="_Toc57831640"/>
      <w:r w:rsidRPr="00661595">
        <w:rPr>
          <w:rFonts w:ascii="Times New Roman" w:hAnsi="Times New Roman" w:cs="Times New Roman"/>
          <w:sz w:val="24"/>
          <w:u w:val="none"/>
          <w:lang w:val="en-GB"/>
        </w:rPr>
        <w:t>5.2.1.</w:t>
      </w:r>
      <w:r w:rsidRPr="00661595">
        <w:rPr>
          <w:rFonts w:ascii="Times New Roman" w:hAnsi="Times New Roman" w:cs="Times New Roman"/>
          <w:sz w:val="24"/>
          <w:u w:val="none"/>
          <w:lang w:val="en-GB"/>
        </w:rPr>
        <w:tab/>
      </w:r>
      <w:r w:rsidR="000B0B09" w:rsidRPr="00661595">
        <w:rPr>
          <w:rFonts w:ascii="Times New Roman" w:hAnsi="Times New Roman" w:cs="Times New Roman"/>
          <w:sz w:val="24"/>
          <w:lang w:val="en-GB"/>
        </w:rPr>
        <w:t>General Remarks</w:t>
      </w:r>
      <w:bookmarkEnd w:id="629"/>
      <w:bookmarkEnd w:id="630"/>
      <w:bookmarkEnd w:id="631"/>
      <w:bookmarkEnd w:id="632"/>
      <w:bookmarkEnd w:id="633"/>
      <w:bookmarkEnd w:id="634"/>
      <w:bookmarkEnd w:id="635"/>
    </w:p>
    <w:bookmarkStart w:id="636" w:name="_Toc294172372"/>
    <w:bookmarkStart w:id="637" w:name="_Toc295830001"/>
    <w:bookmarkStart w:id="638" w:name="_Toc308426678"/>
    <w:bookmarkStart w:id="639" w:name="_Toc310415062"/>
    <w:bookmarkStart w:id="640" w:name="_Toc360188397"/>
    <w:bookmarkStart w:id="641" w:name="_Toc473561037"/>
    <w:p w:rsidR="00FC6275" w:rsidRPr="00661595" w:rsidRDefault="00771068" w:rsidP="00487A02">
      <w:pPr>
        <w:pStyle w:val="InstructionsText2"/>
        <w:numPr>
          <w:ilvl w:val="0"/>
          <w:numId w:val="0"/>
        </w:numPr>
        <w:ind w:left="1353" w:hanging="360"/>
      </w:pPr>
      <w:r>
        <w:fldChar w:fldCharType="begin"/>
      </w:r>
      <w:r>
        <w:instrText xml:space="preserve"> seq paragraphs </w:instrText>
      </w:r>
      <w:r>
        <w:fldChar w:fldCharType="separate"/>
      </w:r>
      <w:r>
        <w:rPr>
          <w:noProof/>
        </w:rPr>
        <w:t>162</w:t>
      </w:r>
      <w:r>
        <w:fldChar w:fldCharType="end"/>
      </w:r>
      <w:r w:rsidR="00FC6275" w:rsidRPr="00661595">
        <w:t>.</w:t>
      </w:r>
      <w:r w:rsidR="00FC6275" w:rsidRPr="00661595">
        <w:tab/>
      </w:r>
      <w:r w:rsidR="005C14B0" w:rsidRPr="00661595">
        <w:t xml:space="preserve"> </w:t>
      </w:r>
      <w:r w:rsidR="00FC6275" w:rsidRPr="00661595">
        <w:t xml:space="preserve">This template requests information on positions (all/net and long/short) and the related own funds requirements for the specific risk component of position risk in securitisations/ re-securitisations held in the trading book (not eligible for correlation trading portfolio) under the </w:t>
      </w:r>
      <w:r w:rsidR="00CA21CA" w:rsidRPr="00661595">
        <w:t>Standardised Approach</w:t>
      </w:r>
      <w:r w:rsidR="00FC6275" w:rsidRPr="00661595">
        <w:t xml:space="preserve">. </w:t>
      </w:r>
    </w:p>
    <w:p w:rsidR="00FC6275" w:rsidRPr="00661595" w:rsidRDefault="00D11E4C" w:rsidP="00487A02">
      <w:pPr>
        <w:pStyle w:val="InstructionsText2"/>
        <w:numPr>
          <w:ilvl w:val="0"/>
          <w:numId w:val="0"/>
        </w:numPr>
        <w:ind w:left="1353" w:hanging="360"/>
      </w:pPr>
      <w:fldSimple w:instr=" seq paragraphs ">
        <w:r w:rsidR="00771068">
          <w:rPr>
            <w:noProof/>
          </w:rPr>
          <w:t>163</w:t>
        </w:r>
      </w:fldSimple>
      <w:r w:rsidR="00FC6275" w:rsidRPr="00661595">
        <w:t>.</w:t>
      </w:r>
      <w:r w:rsidR="00FC6275" w:rsidRPr="00661595">
        <w:tab/>
      </w:r>
      <w:r w:rsidR="005C14B0" w:rsidRPr="00661595">
        <w:t xml:space="preserve"> </w:t>
      </w:r>
      <w:r w:rsidR="00FC6275" w:rsidRPr="00661595">
        <w:t xml:space="preserve">The MKR SA SEC template </w:t>
      </w:r>
      <w:r w:rsidR="00770D40" w:rsidRPr="00661595">
        <w:t xml:space="preserve">presents </w:t>
      </w:r>
      <w:r w:rsidR="00FC6275" w:rsidRPr="00661595">
        <w:t xml:space="preserve">the own funds requirement only for the specific risk of securitisation positions </w:t>
      </w:r>
      <w:r w:rsidR="00BB22D4" w:rsidRPr="00661595">
        <w:t>in accordance with</w:t>
      </w:r>
      <w:r w:rsidR="00FC6275" w:rsidRPr="00661595">
        <w:t xml:space="preserve"> Article 335 </w:t>
      </w:r>
      <w:r w:rsidR="00532026" w:rsidRPr="00661595">
        <w:t xml:space="preserve">CRR </w:t>
      </w:r>
      <w:r w:rsidR="00FC6275" w:rsidRPr="00661595">
        <w:t xml:space="preserve">in connection with 337 CRR. </w:t>
      </w:r>
      <w:r w:rsidR="00532026" w:rsidRPr="00661595">
        <w:t>Where</w:t>
      </w:r>
      <w:r w:rsidR="00FC6275" w:rsidRPr="00661595">
        <w:t xml:space="preserve"> securitisation positions of the trading book are hedged by credit derivatives, Articles 346 and 347 CRR apply. There is only one template for all positions of the trading book, irrespective of the </w:t>
      </w:r>
      <w:r w:rsidR="00664361" w:rsidRPr="00661595">
        <w:t>a</w:t>
      </w:r>
      <w:r w:rsidR="00FC6275" w:rsidRPr="00661595">
        <w:t xml:space="preserve">pproach </w:t>
      </w:r>
      <w:r w:rsidR="00664361" w:rsidRPr="00661595">
        <w:t xml:space="preserve">institutions apply </w:t>
      </w:r>
      <w:r w:rsidR="00FC6275" w:rsidRPr="00661595">
        <w:t xml:space="preserve">to determine the risk weight for each of the positions </w:t>
      </w:r>
      <w:r w:rsidR="00BB22D4" w:rsidRPr="00661595">
        <w:t>in accordance with</w:t>
      </w:r>
      <w:r w:rsidR="00FC6275" w:rsidRPr="00661595">
        <w:t xml:space="preserve"> </w:t>
      </w:r>
      <w:r w:rsidR="00532026" w:rsidRPr="00661595">
        <w:t xml:space="preserve">Chapter 5 of Title II of </w:t>
      </w:r>
      <w:r w:rsidR="00FC6275" w:rsidRPr="00661595">
        <w:t xml:space="preserve">Part Three </w:t>
      </w:r>
      <w:r w:rsidR="00C7103D" w:rsidRPr="00661595">
        <w:t>CRR</w:t>
      </w:r>
      <w:r w:rsidR="00FC6275" w:rsidRPr="00661595">
        <w:t>. The own funds requirements of the general risk of th</w:t>
      </w:r>
      <w:r w:rsidR="00532026" w:rsidRPr="00661595">
        <w:t>o</w:t>
      </w:r>
      <w:r w:rsidR="00FC6275" w:rsidRPr="00661595">
        <w:t xml:space="preserve">se positions </w:t>
      </w:r>
      <w:r w:rsidR="00532026" w:rsidRPr="00661595">
        <w:t>shall be</w:t>
      </w:r>
      <w:r w:rsidR="00FC6275" w:rsidRPr="00661595">
        <w:t xml:space="preserve"> </w:t>
      </w:r>
      <w:r w:rsidR="00770D40" w:rsidRPr="00661595">
        <w:t xml:space="preserve">reported </w:t>
      </w:r>
      <w:r w:rsidR="00FC6275" w:rsidRPr="00661595">
        <w:t>in the MKR SA TDI or the MKR IM template.</w:t>
      </w:r>
    </w:p>
    <w:p w:rsidR="00FC6275" w:rsidRPr="00661595" w:rsidRDefault="00D11E4C" w:rsidP="00487A02">
      <w:pPr>
        <w:pStyle w:val="InstructionsText2"/>
        <w:numPr>
          <w:ilvl w:val="0"/>
          <w:numId w:val="0"/>
        </w:numPr>
        <w:ind w:left="1353" w:hanging="360"/>
      </w:pPr>
      <w:fldSimple w:instr=" seq paragraphs ">
        <w:r w:rsidR="00771068">
          <w:rPr>
            <w:noProof/>
          </w:rPr>
          <w:t>164</w:t>
        </w:r>
      </w:fldSimple>
      <w:r w:rsidR="00FC6275" w:rsidRPr="00661595">
        <w:t>.</w:t>
      </w:r>
      <w:r w:rsidR="005C14B0" w:rsidRPr="00661595">
        <w:t xml:space="preserve"> </w:t>
      </w:r>
      <w:r w:rsidR="00FC6275" w:rsidRPr="00661595">
        <w:t>Positions which receive a risk weight of 1</w:t>
      </w:r>
      <w:r w:rsidR="006A66C9" w:rsidRPr="00661595">
        <w:t xml:space="preserve"> </w:t>
      </w:r>
      <w:r w:rsidR="00FC6275" w:rsidRPr="00661595">
        <w:t xml:space="preserve">250% can alternatively be deducted from CET1 (see </w:t>
      </w:r>
      <w:r w:rsidR="00705025" w:rsidRPr="00661595">
        <w:t xml:space="preserve">point (b) of </w:t>
      </w:r>
      <w:r w:rsidR="00FC6275" w:rsidRPr="00661595">
        <w:t xml:space="preserve">Article 244(1), </w:t>
      </w:r>
      <w:r w:rsidR="00705025" w:rsidRPr="00661595">
        <w:t xml:space="preserve">point (b) of Article </w:t>
      </w:r>
      <w:r w:rsidR="00FC6275" w:rsidRPr="00661595">
        <w:t xml:space="preserve">245(1) and </w:t>
      </w:r>
      <w:r w:rsidR="00705025" w:rsidRPr="00661595">
        <w:t xml:space="preserve">Article </w:t>
      </w:r>
      <w:r w:rsidR="00FC6275" w:rsidRPr="00661595">
        <w:t xml:space="preserve">253 </w:t>
      </w:r>
      <w:r w:rsidR="00C7103D" w:rsidRPr="00661595">
        <w:t>CRR</w:t>
      </w:r>
      <w:r w:rsidR="00FC6275" w:rsidRPr="00661595">
        <w:t xml:space="preserve">). </w:t>
      </w:r>
      <w:r w:rsidR="00532026" w:rsidRPr="00661595">
        <w:t>Where</w:t>
      </w:r>
      <w:r w:rsidR="00FC6275" w:rsidRPr="00661595">
        <w:t xml:space="preserve"> this is the case, those positions have to be reported in row </w:t>
      </w:r>
      <w:r w:rsidR="00EE2CD5" w:rsidRPr="00661595">
        <w:t>0</w:t>
      </w:r>
      <w:r w:rsidR="00FC6275" w:rsidRPr="00661595">
        <w:t>460 of CA1.</w:t>
      </w:r>
    </w:p>
    <w:p w:rsidR="000B0B09"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642" w:name="_Toc57831641"/>
      <w:r w:rsidRPr="00661595">
        <w:rPr>
          <w:rFonts w:ascii="Times New Roman" w:hAnsi="Times New Roman" w:cs="Times New Roman"/>
          <w:sz w:val="24"/>
          <w:u w:val="none"/>
          <w:lang w:val="en-GB"/>
        </w:rPr>
        <w:t>5.2.2.</w:t>
      </w:r>
      <w:r w:rsidRPr="00661595">
        <w:rPr>
          <w:rFonts w:ascii="Times New Roman" w:hAnsi="Times New Roman" w:cs="Times New Roman"/>
          <w:sz w:val="24"/>
          <w:u w:val="none"/>
          <w:lang w:val="en-GB"/>
        </w:rPr>
        <w:tab/>
      </w:r>
      <w:r w:rsidR="000B0B09" w:rsidRPr="00661595">
        <w:rPr>
          <w:rFonts w:ascii="Times New Roman" w:hAnsi="Times New Roman" w:cs="Times New Roman"/>
          <w:sz w:val="24"/>
          <w:lang w:val="en-GB"/>
        </w:rPr>
        <w:t>Instructions concerning specific positions</w:t>
      </w:r>
      <w:bookmarkEnd w:id="636"/>
      <w:bookmarkEnd w:id="637"/>
      <w:bookmarkEnd w:id="638"/>
      <w:bookmarkEnd w:id="639"/>
      <w:bookmarkEnd w:id="640"/>
      <w:bookmarkEnd w:id="641"/>
      <w:bookmarkEnd w:id="6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7605"/>
      </w:tblGrid>
      <w:tr w:rsidR="00C55547" w:rsidRPr="00661595" w:rsidTr="00E10B85">
        <w:trPr>
          <w:trHeight w:val="631"/>
        </w:trPr>
        <w:tc>
          <w:tcPr>
            <w:tcW w:w="9018" w:type="dxa"/>
            <w:gridSpan w:val="2"/>
            <w:shd w:val="clear" w:color="auto" w:fill="CCCCCC"/>
          </w:tcPr>
          <w:p w:rsidR="00C55547" w:rsidRPr="00661595" w:rsidRDefault="00C55547" w:rsidP="00E10B85">
            <w:pPr>
              <w:autoSpaceDE w:val="0"/>
              <w:autoSpaceDN w:val="0"/>
              <w:adjustRightInd w:val="0"/>
              <w:spacing w:after="0"/>
              <w:rPr>
                <w:rFonts w:ascii="Times New Roman" w:hAnsi="Times New Roman"/>
                <w:b/>
                <w:sz w:val="24"/>
                <w:lang w:eastAsia="nl-BE"/>
              </w:rPr>
            </w:pPr>
            <w:r w:rsidRPr="00661595">
              <w:rPr>
                <w:rFonts w:ascii="Times New Roman" w:hAnsi="Times New Roman"/>
                <w:b/>
                <w:sz w:val="24"/>
                <w:lang w:eastAsia="nl-BE"/>
              </w:rPr>
              <w:t>Columns</w:t>
            </w:r>
          </w:p>
        </w:tc>
      </w:tr>
      <w:tr w:rsidR="00C55547" w:rsidRPr="00661595" w:rsidTr="000911FE">
        <w:tc>
          <w:tcPr>
            <w:tcW w:w="1413" w:type="dxa"/>
          </w:tcPr>
          <w:p w:rsidR="00C55547" w:rsidRPr="00661595" w:rsidRDefault="00EE2CD5" w:rsidP="00E10B85">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C55547" w:rsidRPr="00661595">
              <w:rPr>
                <w:rFonts w:ascii="Times New Roman" w:hAnsi="Times New Roman"/>
                <w:sz w:val="24"/>
                <w:lang w:eastAsia="nl-BE"/>
              </w:rPr>
              <w:t>010-</w:t>
            </w:r>
            <w:r w:rsidRPr="00661595">
              <w:rPr>
                <w:rFonts w:ascii="Times New Roman" w:hAnsi="Times New Roman"/>
                <w:sz w:val="24"/>
                <w:lang w:eastAsia="nl-BE"/>
              </w:rPr>
              <w:t>0</w:t>
            </w:r>
            <w:r w:rsidR="00C55547" w:rsidRPr="00661595">
              <w:rPr>
                <w:rFonts w:ascii="Times New Roman" w:hAnsi="Times New Roman"/>
                <w:sz w:val="24"/>
                <w:lang w:eastAsia="nl-BE"/>
              </w:rPr>
              <w:t>020</w:t>
            </w:r>
          </w:p>
        </w:tc>
        <w:tc>
          <w:tcPr>
            <w:tcW w:w="7605" w:type="dxa"/>
          </w:tcPr>
          <w:p w:rsidR="00C55547" w:rsidRPr="00661595" w:rsidRDefault="00C55547" w:rsidP="00E10B85">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ALL POSITIONS (LONG AND SHORT)</w:t>
            </w:r>
          </w:p>
          <w:p w:rsidR="00C55547" w:rsidRPr="00661595" w:rsidRDefault="00C55547" w:rsidP="003073B2">
            <w:pPr>
              <w:rPr>
                <w:rFonts w:ascii="Times New Roman" w:hAnsi="Times New Roman"/>
                <w:sz w:val="24"/>
                <w:lang w:eastAsia="nl-BE"/>
              </w:rPr>
            </w:pPr>
            <w:r w:rsidRPr="00661595">
              <w:rPr>
                <w:rFonts w:ascii="Times New Roman" w:hAnsi="Times New Roman"/>
                <w:sz w:val="24"/>
                <w:lang w:eastAsia="de-DE"/>
              </w:rPr>
              <w:t>Article</w:t>
            </w:r>
            <w:r w:rsidRPr="00661595">
              <w:rPr>
                <w:rStyle w:val="InstructionsTabelleText"/>
                <w:rFonts w:ascii="Times New Roman" w:hAnsi="Times New Roman"/>
                <w:sz w:val="24"/>
              </w:rPr>
              <w:t xml:space="preserve"> 102 and </w:t>
            </w:r>
            <w:r w:rsidR="008241B9" w:rsidRPr="00661595">
              <w:rPr>
                <w:rStyle w:val="InstructionsTabelleText"/>
                <w:rFonts w:ascii="Times New Roman" w:hAnsi="Times New Roman"/>
                <w:sz w:val="24"/>
              </w:rPr>
              <w:t xml:space="preserve">Article </w:t>
            </w:r>
            <w:r w:rsidRPr="00661595">
              <w:rPr>
                <w:rStyle w:val="InstructionsTabelleText"/>
                <w:rFonts w:ascii="Times New Roman" w:hAnsi="Times New Roman"/>
                <w:sz w:val="24"/>
              </w:rPr>
              <w:t xml:space="preserve">105(1) </w:t>
            </w:r>
            <w:r w:rsidR="00C7103D" w:rsidRPr="00661595">
              <w:rPr>
                <w:rStyle w:val="InstructionsTabelleText"/>
                <w:rFonts w:ascii="Times New Roman" w:hAnsi="Times New Roman"/>
                <w:sz w:val="24"/>
              </w:rPr>
              <w:t>CRR</w:t>
            </w:r>
            <w:r w:rsidRPr="00661595">
              <w:rPr>
                <w:rStyle w:val="InstructionsTabelleText"/>
                <w:rFonts w:ascii="Times New Roman" w:hAnsi="Times New Roman"/>
                <w:sz w:val="24"/>
              </w:rPr>
              <w:t xml:space="preserve"> in con</w:t>
            </w:r>
            <w:r w:rsidR="00E64BFE" w:rsidRPr="00661595">
              <w:rPr>
                <w:rStyle w:val="InstructionsTabelleText"/>
                <w:rFonts w:ascii="Times New Roman" w:hAnsi="Times New Roman"/>
                <w:sz w:val="24"/>
              </w:rPr>
              <w:t xml:space="preserve">junction </w:t>
            </w:r>
            <w:r w:rsidRPr="00661595">
              <w:rPr>
                <w:rStyle w:val="InstructionsTabelleText"/>
                <w:rFonts w:ascii="Times New Roman" w:hAnsi="Times New Roman"/>
                <w:sz w:val="24"/>
              </w:rPr>
              <w:t xml:space="preserve">with Article 337 </w:t>
            </w:r>
            <w:r w:rsidR="00C7103D" w:rsidRPr="00661595">
              <w:rPr>
                <w:rStyle w:val="InstructionsTabelleText"/>
                <w:rFonts w:ascii="Times New Roman" w:hAnsi="Times New Roman"/>
                <w:sz w:val="24"/>
              </w:rPr>
              <w:t>CRR</w:t>
            </w:r>
            <w:r w:rsidRPr="00661595">
              <w:rPr>
                <w:rStyle w:val="InstructionsTabelleText"/>
                <w:rFonts w:ascii="Times New Roman" w:hAnsi="Times New Roman"/>
                <w:sz w:val="24"/>
              </w:rPr>
              <w:t xml:space="preserve"> (securitisation positions). Regarding the distinction between Long and Short positions, also applicable to th</w:t>
            </w:r>
            <w:r w:rsidR="00532026" w:rsidRPr="00661595">
              <w:rPr>
                <w:rStyle w:val="InstructionsTabelleText"/>
                <w:rFonts w:ascii="Times New Roman" w:hAnsi="Times New Roman"/>
                <w:sz w:val="24"/>
              </w:rPr>
              <w:t>o</w:t>
            </w:r>
            <w:r w:rsidRPr="00661595">
              <w:rPr>
                <w:rStyle w:val="InstructionsTabelleText"/>
                <w:rFonts w:ascii="Times New Roman" w:hAnsi="Times New Roman"/>
                <w:sz w:val="24"/>
              </w:rPr>
              <w:t xml:space="preserve">se gross positions, see Article 328(2) </w:t>
            </w:r>
            <w:r w:rsidR="00C7103D" w:rsidRPr="00661595">
              <w:rPr>
                <w:rStyle w:val="InstructionsTabelleText"/>
                <w:rFonts w:ascii="Times New Roman" w:hAnsi="Times New Roman"/>
                <w:sz w:val="24"/>
              </w:rPr>
              <w:t>CRR</w:t>
            </w:r>
            <w:r w:rsidRPr="00661595">
              <w:rPr>
                <w:rStyle w:val="InstructionsTabelleText"/>
                <w:rFonts w:ascii="Times New Roman" w:hAnsi="Times New Roman"/>
                <w:sz w:val="24"/>
              </w:rPr>
              <w:t xml:space="preserve">. </w:t>
            </w:r>
          </w:p>
        </w:tc>
      </w:tr>
      <w:tr w:rsidR="00C55547" w:rsidRPr="00661595" w:rsidTr="000911FE">
        <w:tc>
          <w:tcPr>
            <w:tcW w:w="1413" w:type="dxa"/>
          </w:tcPr>
          <w:p w:rsidR="00C55547" w:rsidRPr="00661595" w:rsidRDefault="00EE2CD5" w:rsidP="00E10B85">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C55547" w:rsidRPr="00661595">
              <w:rPr>
                <w:rFonts w:ascii="Times New Roman" w:hAnsi="Times New Roman"/>
                <w:sz w:val="24"/>
                <w:lang w:eastAsia="nl-BE"/>
              </w:rPr>
              <w:t>030-</w:t>
            </w:r>
            <w:r w:rsidRPr="00661595">
              <w:rPr>
                <w:rFonts w:ascii="Times New Roman" w:hAnsi="Times New Roman"/>
                <w:sz w:val="24"/>
                <w:lang w:eastAsia="nl-BE"/>
              </w:rPr>
              <w:t>0</w:t>
            </w:r>
            <w:r w:rsidR="00C55547" w:rsidRPr="00661595">
              <w:rPr>
                <w:rFonts w:ascii="Times New Roman" w:hAnsi="Times New Roman"/>
                <w:sz w:val="24"/>
                <w:lang w:eastAsia="nl-BE"/>
              </w:rPr>
              <w:t>040</w:t>
            </w:r>
          </w:p>
        </w:tc>
        <w:tc>
          <w:tcPr>
            <w:tcW w:w="7605" w:type="dxa"/>
          </w:tcPr>
          <w:p w:rsidR="00C55547" w:rsidRPr="00661595" w:rsidRDefault="00C55547" w:rsidP="00E10B85">
            <w:pPr>
              <w:rPr>
                <w:rStyle w:val="InstructionsTabelleberschrift"/>
                <w:rFonts w:ascii="Times New Roman" w:hAnsi="Times New Roman"/>
                <w:sz w:val="24"/>
              </w:rPr>
            </w:pPr>
            <w:r w:rsidRPr="00661595">
              <w:rPr>
                <w:rStyle w:val="InstructionsTabelleberschrift"/>
                <w:rFonts w:ascii="Times New Roman" w:hAnsi="Times New Roman"/>
                <w:sz w:val="24"/>
              </w:rPr>
              <w:t>(-) POSITIONS DEDUCTED FROM OWN FUNDS</w:t>
            </w:r>
            <w:r w:rsidRPr="00661595">
              <w:rPr>
                <w:rFonts w:ascii="Times New Roman" w:hAnsi="Times New Roman"/>
                <w:b/>
                <w:bCs/>
                <w:sz w:val="24"/>
                <w:u w:val="single"/>
                <w:lang w:eastAsia="nl-BE"/>
              </w:rPr>
              <w:t xml:space="preserve"> (LONG AND SHORT)</w:t>
            </w:r>
          </w:p>
          <w:p w:rsidR="00C55547" w:rsidRPr="00661595" w:rsidRDefault="00705025" w:rsidP="003073B2">
            <w:pPr>
              <w:rPr>
                <w:rStyle w:val="InstructionsTabelleText"/>
                <w:rFonts w:ascii="Times New Roman" w:hAnsi="Times New Roman"/>
                <w:sz w:val="24"/>
              </w:rPr>
            </w:pPr>
            <w:r w:rsidRPr="00661595">
              <w:rPr>
                <w:rStyle w:val="InstructionsTabelleText"/>
                <w:rFonts w:ascii="Times New Roman" w:hAnsi="Times New Roman"/>
                <w:sz w:val="24"/>
              </w:rPr>
              <w:t>Point (b) of Article 244(1), point (b) of Article 245(1) and Article 253 CRR</w:t>
            </w:r>
          </w:p>
        </w:tc>
      </w:tr>
      <w:tr w:rsidR="00C55547" w:rsidRPr="00661595" w:rsidTr="000911FE">
        <w:tc>
          <w:tcPr>
            <w:tcW w:w="1413" w:type="dxa"/>
          </w:tcPr>
          <w:p w:rsidR="00C55547" w:rsidRPr="00661595" w:rsidRDefault="00EE2CD5" w:rsidP="00E10B85">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C55547" w:rsidRPr="00661595">
              <w:rPr>
                <w:rFonts w:ascii="Times New Roman" w:hAnsi="Times New Roman"/>
                <w:sz w:val="24"/>
                <w:lang w:eastAsia="nl-BE"/>
              </w:rPr>
              <w:t>050-</w:t>
            </w:r>
            <w:r w:rsidRPr="00661595">
              <w:rPr>
                <w:rFonts w:ascii="Times New Roman" w:hAnsi="Times New Roman"/>
                <w:sz w:val="24"/>
                <w:lang w:eastAsia="nl-BE"/>
              </w:rPr>
              <w:t>0</w:t>
            </w:r>
            <w:r w:rsidR="00C55547" w:rsidRPr="00661595">
              <w:rPr>
                <w:rFonts w:ascii="Times New Roman" w:hAnsi="Times New Roman"/>
                <w:sz w:val="24"/>
                <w:lang w:eastAsia="nl-BE"/>
              </w:rPr>
              <w:t>060</w:t>
            </w:r>
          </w:p>
        </w:tc>
        <w:tc>
          <w:tcPr>
            <w:tcW w:w="7605" w:type="dxa"/>
          </w:tcPr>
          <w:p w:rsidR="00C55547" w:rsidRPr="00661595" w:rsidRDefault="00C55547" w:rsidP="00E10B85">
            <w:pPr>
              <w:rPr>
                <w:rStyle w:val="InstructionsTabelleberschrift"/>
                <w:rFonts w:ascii="Times New Roman" w:hAnsi="Times New Roman"/>
                <w:sz w:val="24"/>
              </w:rPr>
            </w:pPr>
            <w:r w:rsidRPr="00661595">
              <w:rPr>
                <w:rStyle w:val="InstructionsTabelleberschrift"/>
                <w:rFonts w:ascii="Times New Roman" w:hAnsi="Times New Roman"/>
                <w:sz w:val="24"/>
              </w:rPr>
              <w:t>NET POSITIONS</w:t>
            </w:r>
            <w:r w:rsidRPr="00661595">
              <w:rPr>
                <w:rFonts w:ascii="Times New Roman" w:hAnsi="Times New Roman"/>
                <w:b/>
                <w:bCs/>
                <w:sz w:val="24"/>
                <w:u w:val="single"/>
                <w:lang w:eastAsia="nl-BE"/>
              </w:rPr>
              <w:t xml:space="preserve"> (LONG AND SHORT)</w:t>
            </w:r>
          </w:p>
          <w:p w:rsidR="00C55547" w:rsidRPr="00661595" w:rsidRDefault="00C55547" w:rsidP="003073B2">
            <w:pPr>
              <w:rPr>
                <w:rStyle w:val="InstructionsTabelleText"/>
                <w:rFonts w:ascii="Times New Roman" w:hAnsi="Times New Roman"/>
                <w:sz w:val="24"/>
              </w:rPr>
            </w:pPr>
            <w:r w:rsidRPr="00661595">
              <w:rPr>
                <w:rFonts w:ascii="Times New Roman" w:hAnsi="Times New Roman"/>
                <w:sz w:val="24"/>
                <w:lang w:eastAsia="de-DE"/>
              </w:rPr>
              <w:t>Articles</w:t>
            </w:r>
            <w:r w:rsidRPr="00661595">
              <w:rPr>
                <w:rStyle w:val="InstructionsTabelleText"/>
                <w:rFonts w:ascii="Times New Roman" w:hAnsi="Times New Roman"/>
                <w:sz w:val="24"/>
              </w:rPr>
              <w:t xml:space="preserve"> 327</w:t>
            </w:r>
            <w:r w:rsidR="00532026" w:rsidRPr="00661595">
              <w:rPr>
                <w:rStyle w:val="InstructionsTabelleText"/>
                <w:rFonts w:ascii="Times New Roman" w:hAnsi="Times New Roman"/>
                <w:sz w:val="24"/>
              </w:rPr>
              <w:t>, 328,</w:t>
            </w:r>
            <w:r w:rsidRPr="00661595">
              <w:rPr>
                <w:rStyle w:val="InstructionsTabelleText"/>
                <w:rFonts w:ascii="Times New Roman" w:hAnsi="Times New Roman"/>
                <w:sz w:val="24"/>
              </w:rPr>
              <w:t xml:space="preserve"> 329 and 334 </w:t>
            </w:r>
            <w:r w:rsidR="00C7103D" w:rsidRPr="00661595">
              <w:rPr>
                <w:rStyle w:val="InstructionsTabelleText"/>
                <w:rFonts w:ascii="Times New Roman" w:hAnsi="Times New Roman"/>
                <w:sz w:val="24"/>
              </w:rPr>
              <w:t>CRR</w:t>
            </w:r>
            <w:r w:rsidRPr="00661595">
              <w:rPr>
                <w:rStyle w:val="InstructionsTabelleText"/>
                <w:rFonts w:ascii="Times New Roman" w:hAnsi="Times New Roman"/>
                <w:sz w:val="24"/>
              </w:rPr>
              <w:t xml:space="preserve">. Regarding the distinction between </w:t>
            </w:r>
            <w:r w:rsidR="00532026" w:rsidRPr="00661595">
              <w:rPr>
                <w:rStyle w:val="InstructionsTabelleText"/>
                <w:rFonts w:ascii="Times New Roman" w:hAnsi="Times New Roman"/>
                <w:sz w:val="24"/>
              </w:rPr>
              <w:t>l</w:t>
            </w:r>
            <w:r w:rsidRPr="00661595">
              <w:rPr>
                <w:rStyle w:val="InstructionsTabelleText"/>
                <w:rFonts w:ascii="Times New Roman" w:hAnsi="Times New Roman"/>
                <w:sz w:val="24"/>
              </w:rPr>
              <w:t xml:space="preserve">ong and </w:t>
            </w:r>
            <w:r w:rsidR="00532026" w:rsidRPr="00661595">
              <w:rPr>
                <w:rStyle w:val="InstructionsTabelleText"/>
                <w:rFonts w:ascii="Times New Roman" w:hAnsi="Times New Roman"/>
                <w:sz w:val="24"/>
              </w:rPr>
              <w:t>s</w:t>
            </w:r>
            <w:r w:rsidRPr="00661595">
              <w:rPr>
                <w:rStyle w:val="InstructionsTabelleText"/>
                <w:rFonts w:ascii="Times New Roman" w:hAnsi="Times New Roman"/>
                <w:sz w:val="24"/>
              </w:rPr>
              <w:t>hort positions</w:t>
            </w:r>
            <w:r w:rsidR="00532026" w:rsidRPr="00661595">
              <w:rPr>
                <w:rStyle w:val="InstructionsTabelleText"/>
                <w:rFonts w:ascii="Times New Roman" w:hAnsi="Times New Roman"/>
                <w:sz w:val="24"/>
              </w:rPr>
              <w:t>,</w:t>
            </w:r>
            <w:r w:rsidRPr="00661595">
              <w:rPr>
                <w:rStyle w:val="InstructionsTabelleText"/>
                <w:rFonts w:ascii="Times New Roman" w:hAnsi="Times New Roman"/>
                <w:sz w:val="24"/>
              </w:rPr>
              <w:t xml:space="preserve"> see Article 328(2) </w:t>
            </w:r>
            <w:r w:rsidR="00C7103D" w:rsidRPr="00661595">
              <w:rPr>
                <w:rStyle w:val="InstructionsTabelleText"/>
                <w:rFonts w:ascii="Times New Roman" w:hAnsi="Times New Roman"/>
                <w:sz w:val="24"/>
              </w:rPr>
              <w:t>CRR</w:t>
            </w:r>
            <w:r w:rsidRPr="00661595">
              <w:rPr>
                <w:rStyle w:val="InstructionsTabelleText"/>
                <w:rFonts w:ascii="Times New Roman" w:hAnsi="Times New Roman"/>
                <w:sz w:val="24"/>
              </w:rPr>
              <w:t>.</w:t>
            </w:r>
          </w:p>
        </w:tc>
      </w:tr>
      <w:tr w:rsidR="00C55547" w:rsidRPr="00661595" w:rsidTr="000911FE">
        <w:tc>
          <w:tcPr>
            <w:tcW w:w="1413" w:type="dxa"/>
          </w:tcPr>
          <w:p w:rsidR="00C55547" w:rsidRPr="00661595" w:rsidRDefault="00EE2CD5" w:rsidP="00543964">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C55547" w:rsidRPr="00661595">
              <w:rPr>
                <w:rFonts w:ascii="Times New Roman" w:hAnsi="Times New Roman"/>
                <w:sz w:val="24"/>
                <w:lang w:eastAsia="nl-BE"/>
              </w:rPr>
              <w:t>061-</w:t>
            </w:r>
            <w:r w:rsidRPr="00661595">
              <w:rPr>
                <w:rFonts w:ascii="Times New Roman" w:hAnsi="Times New Roman"/>
                <w:sz w:val="24"/>
                <w:lang w:eastAsia="nl-BE"/>
              </w:rPr>
              <w:t>0</w:t>
            </w:r>
            <w:r w:rsidR="00543964" w:rsidRPr="00661595">
              <w:rPr>
                <w:rFonts w:ascii="Times New Roman" w:hAnsi="Times New Roman"/>
                <w:sz w:val="24"/>
                <w:lang w:eastAsia="nl-BE"/>
              </w:rPr>
              <w:t>104</w:t>
            </w:r>
          </w:p>
        </w:tc>
        <w:tc>
          <w:tcPr>
            <w:tcW w:w="7605" w:type="dxa"/>
          </w:tcPr>
          <w:p w:rsidR="00C55547" w:rsidRPr="00661595" w:rsidRDefault="00C55547" w:rsidP="00E10B85">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 xml:space="preserve">BREAKDOWN OF THE NET POSITIONS </w:t>
            </w:r>
            <w:r w:rsidR="00C3548F" w:rsidRPr="00661595">
              <w:rPr>
                <w:rFonts w:ascii="Times New Roman" w:hAnsi="Times New Roman"/>
                <w:b/>
                <w:bCs/>
                <w:sz w:val="24"/>
                <w:u w:val="single"/>
                <w:lang w:eastAsia="nl-BE"/>
              </w:rPr>
              <w:t>BY</w:t>
            </w:r>
            <w:r w:rsidRPr="00661595">
              <w:rPr>
                <w:rFonts w:ascii="Times New Roman" w:hAnsi="Times New Roman"/>
                <w:b/>
                <w:bCs/>
                <w:sz w:val="24"/>
                <w:u w:val="single"/>
                <w:lang w:eastAsia="nl-BE"/>
              </w:rPr>
              <w:t xml:space="preserve"> RISK WEIGHTS</w:t>
            </w:r>
          </w:p>
          <w:p w:rsidR="00C3548F" w:rsidRPr="00661595" w:rsidRDefault="00C55547" w:rsidP="003073B2">
            <w:pPr>
              <w:rPr>
                <w:rStyle w:val="InstructionsTabelleText"/>
                <w:rFonts w:ascii="Times New Roman" w:hAnsi="Times New Roman"/>
                <w:sz w:val="24"/>
              </w:rPr>
            </w:pPr>
            <w:r w:rsidRPr="00661595">
              <w:rPr>
                <w:rStyle w:val="InstructionsTabelleText"/>
                <w:rFonts w:ascii="Times New Roman" w:hAnsi="Times New Roman"/>
                <w:sz w:val="24"/>
              </w:rPr>
              <w:t>Article</w:t>
            </w:r>
            <w:r w:rsidR="00133396" w:rsidRPr="00661595">
              <w:rPr>
                <w:rStyle w:val="InstructionsTabelleText"/>
                <w:rFonts w:ascii="Times New Roman" w:hAnsi="Times New Roman"/>
                <w:sz w:val="24"/>
              </w:rPr>
              <w:t>s</w:t>
            </w:r>
            <w:r w:rsidRPr="00661595">
              <w:rPr>
                <w:rStyle w:val="InstructionsTabelleText"/>
                <w:rFonts w:ascii="Times New Roman" w:hAnsi="Times New Roman"/>
                <w:sz w:val="24"/>
              </w:rPr>
              <w:t xml:space="preserve"> 259</w:t>
            </w:r>
            <w:r w:rsidR="00133396" w:rsidRPr="00661595">
              <w:rPr>
                <w:rStyle w:val="InstructionsTabelleText"/>
                <w:rFonts w:ascii="Times New Roman" w:hAnsi="Times New Roman"/>
                <w:sz w:val="24"/>
              </w:rPr>
              <w:t xml:space="preserve"> to</w:t>
            </w:r>
            <w:r w:rsidRPr="00661595">
              <w:rPr>
                <w:rStyle w:val="InstructionsTabelleText"/>
                <w:rFonts w:ascii="Times New Roman" w:hAnsi="Times New Roman"/>
                <w:sz w:val="24"/>
              </w:rPr>
              <w:t xml:space="preserve"> 262, </w:t>
            </w:r>
            <w:r w:rsidR="00133396" w:rsidRPr="00661595">
              <w:rPr>
                <w:rStyle w:val="InstructionsTabelleText"/>
                <w:rFonts w:ascii="Times New Roman" w:hAnsi="Times New Roman"/>
                <w:sz w:val="24"/>
              </w:rPr>
              <w:t xml:space="preserve">Tables 1 and 2 of Article </w:t>
            </w:r>
            <w:r w:rsidRPr="00661595">
              <w:rPr>
                <w:rStyle w:val="InstructionsTabelleText"/>
                <w:rFonts w:ascii="Times New Roman" w:hAnsi="Times New Roman"/>
                <w:sz w:val="24"/>
              </w:rPr>
              <w:t xml:space="preserve">263, </w:t>
            </w:r>
            <w:r w:rsidR="00133396" w:rsidRPr="00661595">
              <w:rPr>
                <w:rStyle w:val="InstructionsTabelleText"/>
                <w:rFonts w:ascii="Times New Roman" w:hAnsi="Times New Roman"/>
                <w:sz w:val="24"/>
              </w:rPr>
              <w:t xml:space="preserve">Tables 3 and 4 of Article </w:t>
            </w:r>
            <w:r w:rsidRPr="00661595">
              <w:rPr>
                <w:rStyle w:val="InstructionsTabelleText"/>
                <w:rFonts w:ascii="Times New Roman" w:hAnsi="Times New Roman"/>
                <w:sz w:val="24"/>
              </w:rPr>
              <w:t xml:space="preserve">264 and </w:t>
            </w:r>
            <w:r w:rsidR="00133396" w:rsidRPr="00661595">
              <w:rPr>
                <w:rStyle w:val="InstructionsTabelleText"/>
                <w:rFonts w:ascii="Times New Roman" w:hAnsi="Times New Roman"/>
                <w:sz w:val="24"/>
              </w:rPr>
              <w:t xml:space="preserve">Article </w:t>
            </w:r>
            <w:r w:rsidRPr="00661595">
              <w:rPr>
                <w:rStyle w:val="InstructionsTabelleText"/>
                <w:rFonts w:ascii="Times New Roman" w:hAnsi="Times New Roman"/>
                <w:sz w:val="24"/>
              </w:rPr>
              <w:t xml:space="preserve">266 </w:t>
            </w:r>
            <w:r w:rsidR="00C7103D" w:rsidRPr="00661595">
              <w:rPr>
                <w:rStyle w:val="InstructionsTabelleText"/>
                <w:rFonts w:ascii="Times New Roman" w:hAnsi="Times New Roman"/>
                <w:sz w:val="24"/>
              </w:rPr>
              <w:t>CRR</w:t>
            </w:r>
            <w:r w:rsidRPr="00661595">
              <w:rPr>
                <w:rStyle w:val="InstructionsTabelleText"/>
                <w:rFonts w:ascii="Times New Roman" w:hAnsi="Times New Roman"/>
                <w:sz w:val="24"/>
              </w:rPr>
              <w:t xml:space="preserve">. </w:t>
            </w:r>
          </w:p>
          <w:p w:rsidR="00C55547" w:rsidRPr="00661595" w:rsidRDefault="00C55547" w:rsidP="003073B2">
            <w:pPr>
              <w:rPr>
                <w:rStyle w:val="InstructionsTabelleText"/>
                <w:rFonts w:ascii="Times New Roman" w:hAnsi="Times New Roman"/>
                <w:sz w:val="24"/>
              </w:rPr>
            </w:pPr>
            <w:r w:rsidRPr="00661595">
              <w:rPr>
                <w:rStyle w:val="InstructionsTabelleText"/>
                <w:rFonts w:ascii="Times New Roman" w:hAnsi="Times New Roman"/>
                <w:sz w:val="24"/>
              </w:rPr>
              <w:t xml:space="preserve">The breakdown </w:t>
            </w:r>
            <w:r w:rsidR="00037FCC" w:rsidRPr="00661595">
              <w:rPr>
                <w:rStyle w:val="InstructionsTabelleText"/>
                <w:rFonts w:ascii="Times New Roman" w:hAnsi="Times New Roman"/>
                <w:sz w:val="24"/>
              </w:rPr>
              <w:t>shall</w:t>
            </w:r>
            <w:r w:rsidRPr="00661595">
              <w:rPr>
                <w:rStyle w:val="InstructionsTabelleText"/>
                <w:rFonts w:ascii="Times New Roman" w:hAnsi="Times New Roman"/>
                <w:sz w:val="24"/>
              </w:rPr>
              <w:t xml:space="preserve"> be done separately for long and short positions.</w:t>
            </w:r>
          </w:p>
        </w:tc>
      </w:tr>
      <w:tr w:rsidR="00C55547" w:rsidRPr="00661595" w:rsidTr="000911FE">
        <w:tc>
          <w:tcPr>
            <w:tcW w:w="1413" w:type="dxa"/>
          </w:tcPr>
          <w:p w:rsidR="00C55547" w:rsidRPr="00661595" w:rsidRDefault="00EE2CD5" w:rsidP="00921700">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C55547" w:rsidRPr="00661595">
              <w:rPr>
                <w:rFonts w:ascii="Times New Roman" w:hAnsi="Times New Roman"/>
                <w:sz w:val="24"/>
                <w:lang w:eastAsia="nl-BE"/>
              </w:rPr>
              <w:t>40</w:t>
            </w:r>
            <w:r w:rsidR="00921700" w:rsidRPr="00661595">
              <w:rPr>
                <w:rFonts w:ascii="Times New Roman" w:hAnsi="Times New Roman"/>
                <w:sz w:val="24"/>
                <w:lang w:eastAsia="nl-BE"/>
              </w:rPr>
              <w:t>2</w:t>
            </w:r>
            <w:r w:rsidR="00C55547" w:rsidRPr="00661595">
              <w:rPr>
                <w:rFonts w:ascii="Times New Roman" w:hAnsi="Times New Roman"/>
                <w:sz w:val="24"/>
                <w:lang w:eastAsia="nl-BE"/>
              </w:rPr>
              <w:t>-</w:t>
            </w:r>
            <w:r w:rsidRPr="00661595">
              <w:rPr>
                <w:rFonts w:ascii="Times New Roman" w:hAnsi="Times New Roman"/>
                <w:sz w:val="24"/>
                <w:lang w:eastAsia="nl-BE"/>
              </w:rPr>
              <w:t>0</w:t>
            </w:r>
            <w:r w:rsidR="00C55547" w:rsidRPr="00661595">
              <w:rPr>
                <w:rFonts w:ascii="Times New Roman" w:hAnsi="Times New Roman"/>
                <w:sz w:val="24"/>
                <w:lang w:eastAsia="nl-BE"/>
              </w:rPr>
              <w:t>40</w:t>
            </w:r>
            <w:r w:rsidR="00921700" w:rsidRPr="00661595">
              <w:rPr>
                <w:rFonts w:ascii="Times New Roman" w:hAnsi="Times New Roman"/>
                <w:sz w:val="24"/>
                <w:lang w:eastAsia="nl-BE"/>
              </w:rPr>
              <w:t>6</w:t>
            </w:r>
          </w:p>
        </w:tc>
        <w:tc>
          <w:tcPr>
            <w:tcW w:w="7605" w:type="dxa"/>
          </w:tcPr>
          <w:p w:rsidR="00C55547" w:rsidRPr="00661595" w:rsidRDefault="00C55547" w:rsidP="00E10B85">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 xml:space="preserve">BREAKDOWN OF THE NET POSITIONS </w:t>
            </w:r>
            <w:r w:rsidR="00133396" w:rsidRPr="00661595">
              <w:rPr>
                <w:rFonts w:ascii="Times New Roman" w:hAnsi="Times New Roman"/>
                <w:b/>
                <w:bCs/>
                <w:sz w:val="24"/>
                <w:u w:val="single"/>
                <w:lang w:eastAsia="nl-BE"/>
              </w:rPr>
              <w:t>BY</w:t>
            </w:r>
            <w:r w:rsidRPr="00661595">
              <w:rPr>
                <w:rFonts w:ascii="Times New Roman" w:hAnsi="Times New Roman"/>
                <w:b/>
                <w:bCs/>
                <w:sz w:val="24"/>
                <w:u w:val="single"/>
                <w:lang w:eastAsia="nl-BE"/>
              </w:rPr>
              <w:t xml:space="preserve"> APPROACHES</w:t>
            </w:r>
          </w:p>
          <w:p w:rsidR="00C55547" w:rsidRPr="00661595" w:rsidRDefault="00C55547" w:rsidP="003073B2">
            <w:pPr>
              <w:rPr>
                <w:rFonts w:ascii="Times New Roman" w:hAnsi="Times New Roman"/>
                <w:b/>
                <w:bCs/>
                <w:sz w:val="24"/>
                <w:u w:val="single"/>
                <w:lang w:eastAsia="nl-BE"/>
              </w:rPr>
            </w:pPr>
            <w:r w:rsidRPr="00661595">
              <w:rPr>
                <w:rFonts w:ascii="Times New Roman" w:hAnsi="Times New Roman"/>
                <w:sz w:val="24"/>
                <w:lang w:eastAsia="de-DE"/>
              </w:rPr>
              <w:t>Article</w:t>
            </w:r>
            <w:r w:rsidRPr="00661595">
              <w:rPr>
                <w:rStyle w:val="InstructionsTabelleText"/>
                <w:rFonts w:ascii="Times New Roman" w:hAnsi="Times New Roman"/>
                <w:sz w:val="24"/>
              </w:rPr>
              <w:t xml:space="preserve"> 254 </w:t>
            </w:r>
            <w:r w:rsidR="00C7103D" w:rsidRPr="00661595">
              <w:rPr>
                <w:rStyle w:val="InstructionsTabelleText"/>
                <w:rFonts w:ascii="Times New Roman" w:hAnsi="Times New Roman"/>
                <w:sz w:val="24"/>
              </w:rPr>
              <w:t>CRR</w:t>
            </w:r>
            <w:r w:rsidRPr="00661595">
              <w:rPr>
                <w:rStyle w:val="InstructionsTabelleText"/>
                <w:rFonts w:ascii="Times New Roman" w:hAnsi="Times New Roman"/>
                <w:sz w:val="24"/>
              </w:rPr>
              <w:t xml:space="preserve"> </w:t>
            </w:r>
          </w:p>
        </w:tc>
      </w:tr>
      <w:tr w:rsidR="00C55547" w:rsidRPr="00661595" w:rsidTr="000911FE">
        <w:tc>
          <w:tcPr>
            <w:tcW w:w="1413" w:type="dxa"/>
          </w:tcPr>
          <w:p w:rsidR="00C55547" w:rsidRPr="00661595" w:rsidRDefault="00EE2CD5" w:rsidP="00921700">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C55547" w:rsidRPr="00661595">
              <w:rPr>
                <w:rFonts w:ascii="Times New Roman" w:hAnsi="Times New Roman"/>
                <w:sz w:val="24"/>
                <w:lang w:eastAsia="nl-BE"/>
              </w:rPr>
              <w:t>40</w:t>
            </w:r>
            <w:r w:rsidR="00921700" w:rsidRPr="00661595">
              <w:rPr>
                <w:rFonts w:ascii="Times New Roman" w:hAnsi="Times New Roman"/>
                <w:sz w:val="24"/>
                <w:lang w:eastAsia="nl-BE"/>
              </w:rPr>
              <w:t>2</w:t>
            </w:r>
          </w:p>
        </w:tc>
        <w:tc>
          <w:tcPr>
            <w:tcW w:w="7605" w:type="dxa"/>
          </w:tcPr>
          <w:p w:rsidR="00C55547" w:rsidRPr="00661595" w:rsidRDefault="00C55547" w:rsidP="00E10B85">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SEC-IRBA</w:t>
            </w:r>
          </w:p>
          <w:p w:rsidR="00C55547" w:rsidRPr="00661595" w:rsidRDefault="00C55547" w:rsidP="003073B2">
            <w:pPr>
              <w:rPr>
                <w:rFonts w:ascii="Times New Roman" w:hAnsi="Times New Roman"/>
                <w:b/>
                <w:bCs/>
                <w:sz w:val="24"/>
                <w:u w:val="single"/>
                <w:lang w:eastAsia="nl-BE"/>
              </w:rPr>
            </w:pPr>
            <w:r w:rsidRPr="00661595">
              <w:rPr>
                <w:rStyle w:val="InstructionsTabelleText"/>
                <w:rFonts w:ascii="Times New Roman" w:hAnsi="Times New Roman"/>
                <w:sz w:val="24"/>
              </w:rPr>
              <w:t xml:space="preserve">Article 259 and 260 </w:t>
            </w:r>
            <w:r w:rsidR="00C7103D" w:rsidRPr="00661595">
              <w:rPr>
                <w:rStyle w:val="InstructionsTabelleText"/>
                <w:rFonts w:ascii="Times New Roman" w:hAnsi="Times New Roman"/>
                <w:sz w:val="24"/>
              </w:rPr>
              <w:t>CRR</w:t>
            </w:r>
          </w:p>
        </w:tc>
      </w:tr>
      <w:tr w:rsidR="00C55547" w:rsidRPr="00661595" w:rsidTr="000911FE">
        <w:tc>
          <w:tcPr>
            <w:tcW w:w="1413" w:type="dxa"/>
          </w:tcPr>
          <w:p w:rsidR="00C55547" w:rsidRPr="00661595" w:rsidRDefault="00EE2CD5" w:rsidP="00921700">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C55547" w:rsidRPr="00661595">
              <w:rPr>
                <w:rFonts w:ascii="Times New Roman" w:hAnsi="Times New Roman"/>
                <w:sz w:val="24"/>
                <w:lang w:eastAsia="nl-BE"/>
              </w:rPr>
              <w:t>40</w:t>
            </w:r>
            <w:r w:rsidR="00921700" w:rsidRPr="00661595">
              <w:rPr>
                <w:rFonts w:ascii="Times New Roman" w:hAnsi="Times New Roman"/>
                <w:sz w:val="24"/>
                <w:lang w:eastAsia="nl-BE"/>
              </w:rPr>
              <w:t>3</w:t>
            </w:r>
          </w:p>
        </w:tc>
        <w:tc>
          <w:tcPr>
            <w:tcW w:w="7605" w:type="dxa"/>
          </w:tcPr>
          <w:p w:rsidR="00C55547" w:rsidRPr="00661595" w:rsidRDefault="00C55547" w:rsidP="00E10B85">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SEC-SA</w:t>
            </w:r>
          </w:p>
          <w:p w:rsidR="00C55547" w:rsidRPr="00661595" w:rsidRDefault="00C55547" w:rsidP="003073B2">
            <w:pPr>
              <w:autoSpaceDE w:val="0"/>
              <w:autoSpaceDN w:val="0"/>
              <w:adjustRightInd w:val="0"/>
              <w:jc w:val="left"/>
              <w:rPr>
                <w:rFonts w:ascii="Times New Roman" w:hAnsi="Times New Roman"/>
                <w:b/>
                <w:bCs/>
                <w:sz w:val="24"/>
                <w:u w:val="single"/>
                <w:lang w:eastAsia="nl-BE"/>
              </w:rPr>
            </w:pPr>
            <w:r w:rsidRPr="00661595">
              <w:rPr>
                <w:rStyle w:val="InstructionsTabelleText"/>
                <w:rFonts w:ascii="Times New Roman" w:hAnsi="Times New Roman"/>
                <w:sz w:val="24"/>
              </w:rPr>
              <w:t xml:space="preserve">Article 261 and 262 </w:t>
            </w:r>
            <w:r w:rsidR="00C7103D" w:rsidRPr="00661595">
              <w:rPr>
                <w:rStyle w:val="InstructionsTabelleText"/>
                <w:rFonts w:ascii="Times New Roman" w:hAnsi="Times New Roman"/>
                <w:sz w:val="24"/>
              </w:rPr>
              <w:t>CRR</w:t>
            </w:r>
          </w:p>
        </w:tc>
      </w:tr>
      <w:tr w:rsidR="00C55547" w:rsidRPr="00661595" w:rsidTr="000911FE">
        <w:tc>
          <w:tcPr>
            <w:tcW w:w="1413" w:type="dxa"/>
          </w:tcPr>
          <w:p w:rsidR="00C55547" w:rsidRPr="00661595" w:rsidRDefault="00EE2CD5" w:rsidP="00921700">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C55547" w:rsidRPr="00661595">
              <w:rPr>
                <w:rFonts w:ascii="Times New Roman" w:hAnsi="Times New Roman"/>
                <w:sz w:val="24"/>
                <w:lang w:eastAsia="nl-BE"/>
              </w:rPr>
              <w:t>40</w:t>
            </w:r>
            <w:r w:rsidR="00921700" w:rsidRPr="00661595">
              <w:rPr>
                <w:rFonts w:ascii="Times New Roman" w:hAnsi="Times New Roman"/>
                <w:sz w:val="24"/>
                <w:lang w:eastAsia="nl-BE"/>
              </w:rPr>
              <w:t>4</w:t>
            </w:r>
          </w:p>
        </w:tc>
        <w:tc>
          <w:tcPr>
            <w:tcW w:w="7605" w:type="dxa"/>
          </w:tcPr>
          <w:p w:rsidR="00C55547" w:rsidRPr="00661595" w:rsidRDefault="00C55547" w:rsidP="00E10B85">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SEC-ERBA</w:t>
            </w:r>
          </w:p>
          <w:p w:rsidR="00C55547" w:rsidRPr="00661595" w:rsidRDefault="00C55547" w:rsidP="003073B2">
            <w:pPr>
              <w:rPr>
                <w:rFonts w:ascii="Times New Roman" w:hAnsi="Times New Roman"/>
                <w:b/>
                <w:bCs/>
                <w:sz w:val="24"/>
                <w:u w:val="single"/>
                <w:lang w:eastAsia="nl-BE"/>
              </w:rPr>
            </w:pPr>
            <w:r w:rsidRPr="00661595">
              <w:rPr>
                <w:rStyle w:val="InstructionsTabelleText"/>
                <w:rFonts w:ascii="Times New Roman" w:hAnsi="Times New Roman"/>
                <w:sz w:val="24"/>
              </w:rPr>
              <w:t xml:space="preserve">Article 263 and 264 </w:t>
            </w:r>
            <w:r w:rsidR="00C7103D" w:rsidRPr="00661595">
              <w:rPr>
                <w:rStyle w:val="InstructionsTabelleText"/>
                <w:rFonts w:ascii="Times New Roman" w:hAnsi="Times New Roman"/>
                <w:sz w:val="24"/>
              </w:rPr>
              <w:t>CRR</w:t>
            </w:r>
          </w:p>
        </w:tc>
      </w:tr>
      <w:tr w:rsidR="00C55547" w:rsidRPr="00661595" w:rsidTr="000911FE">
        <w:tc>
          <w:tcPr>
            <w:tcW w:w="1413" w:type="dxa"/>
          </w:tcPr>
          <w:p w:rsidR="00C55547" w:rsidRPr="00661595" w:rsidRDefault="00EE2CD5" w:rsidP="00921700">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C55547" w:rsidRPr="00661595">
              <w:rPr>
                <w:rFonts w:ascii="Times New Roman" w:hAnsi="Times New Roman"/>
                <w:sz w:val="24"/>
                <w:lang w:eastAsia="nl-BE"/>
              </w:rPr>
              <w:t>40</w:t>
            </w:r>
            <w:r w:rsidR="00921700" w:rsidRPr="00661595">
              <w:rPr>
                <w:rFonts w:ascii="Times New Roman" w:hAnsi="Times New Roman"/>
                <w:sz w:val="24"/>
                <w:lang w:eastAsia="nl-BE"/>
              </w:rPr>
              <w:t>5</w:t>
            </w:r>
          </w:p>
        </w:tc>
        <w:tc>
          <w:tcPr>
            <w:tcW w:w="7605" w:type="dxa"/>
          </w:tcPr>
          <w:p w:rsidR="00C55547" w:rsidRPr="00661595" w:rsidRDefault="00C55547" w:rsidP="00E10B85">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INTERNAL ASSESSMENT APPROACH</w:t>
            </w:r>
          </w:p>
          <w:p w:rsidR="00C55547" w:rsidRPr="00661595" w:rsidRDefault="00C55547" w:rsidP="003073B2">
            <w:pPr>
              <w:rPr>
                <w:rFonts w:ascii="Times New Roman" w:hAnsi="Times New Roman"/>
                <w:bCs/>
                <w:sz w:val="24"/>
                <w:u w:val="single"/>
                <w:lang w:eastAsia="nl-BE"/>
              </w:rPr>
            </w:pPr>
            <w:r w:rsidRPr="00661595">
              <w:rPr>
                <w:rStyle w:val="InstructionsTabelleText"/>
                <w:rFonts w:ascii="Times New Roman" w:hAnsi="Times New Roman"/>
                <w:sz w:val="24"/>
              </w:rPr>
              <w:t>Articles 254</w:t>
            </w:r>
            <w:r w:rsidR="00532026" w:rsidRPr="00661595">
              <w:rPr>
                <w:rStyle w:val="InstructionsTabelleText"/>
                <w:rFonts w:ascii="Times New Roman" w:hAnsi="Times New Roman"/>
                <w:sz w:val="24"/>
              </w:rPr>
              <w:t xml:space="preserve"> and</w:t>
            </w:r>
            <w:r w:rsidRPr="00661595">
              <w:rPr>
                <w:rStyle w:val="InstructionsTabelleText"/>
                <w:rFonts w:ascii="Times New Roman" w:hAnsi="Times New Roman"/>
                <w:sz w:val="24"/>
              </w:rPr>
              <w:t xml:space="preserve"> 265</w:t>
            </w:r>
            <w:r w:rsidR="00532026" w:rsidRPr="00661595">
              <w:rPr>
                <w:rStyle w:val="InstructionsTabelleText"/>
                <w:rFonts w:ascii="Times New Roman" w:hAnsi="Times New Roman"/>
                <w:sz w:val="24"/>
              </w:rPr>
              <w:t xml:space="preserve"> CRR</w:t>
            </w:r>
            <w:r w:rsidRPr="00661595">
              <w:rPr>
                <w:rStyle w:val="InstructionsTabelleText"/>
                <w:rFonts w:ascii="Times New Roman" w:hAnsi="Times New Roman"/>
                <w:sz w:val="24"/>
              </w:rPr>
              <w:t xml:space="preserve"> and </w:t>
            </w:r>
            <w:r w:rsidR="008241B9" w:rsidRPr="00661595">
              <w:rPr>
                <w:rStyle w:val="InstructionsTabelleText"/>
                <w:rFonts w:ascii="Times New Roman" w:hAnsi="Times New Roman"/>
                <w:sz w:val="24"/>
              </w:rPr>
              <w:t xml:space="preserve">Article </w:t>
            </w:r>
            <w:r w:rsidRPr="00661595">
              <w:rPr>
                <w:rStyle w:val="InstructionsTabelleText"/>
                <w:rFonts w:ascii="Times New Roman" w:hAnsi="Times New Roman"/>
                <w:sz w:val="24"/>
              </w:rPr>
              <w:t xml:space="preserve">266(5) </w:t>
            </w:r>
            <w:r w:rsidR="00C7103D" w:rsidRPr="00661595">
              <w:rPr>
                <w:rStyle w:val="InstructionsTabelleText"/>
                <w:rFonts w:ascii="Times New Roman" w:hAnsi="Times New Roman"/>
                <w:sz w:val="24"/>
              </w:rPr>
              <w:t>CRR</w:t>
            </w:r>
            <w:r w:rsidRPr="00661595">
              <w:rPr>
                <w:rStyle w:val="InstructionsTabelleText"/>
                <w:rFonts w:ascii="Times New Roman" w:hAnsi="Times New Roman"/>
                <w:sz w:val="24"/>
              </w:rPr>
              <w:t>.</w:t>
            </w:r>
          </w:p>
        </w:tc>
      </w:tr>
      <w:tr w:rsidR="00C55547" w:rsidRPr="00661595" w:rsidTr="000911FE">
        <w:tc>
          <w:tcPr>
            <w:tcW w:w="1413" w:type="dxa"/>
          </w:tcPr>
          <w:p w:rsidR="00C55547" w:rsidRPr="00661595" w:rsidRDefault="00EE2CD5" w:rsidP="00921700">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C55547" w:rsidRPr="00661595">
              <w:rPr>
                <w:rFonts w:ascii="Times New Roman" w:hAnsi="Times New Roman"/>
                <w:sz w:val="24"/>
                <w:lang w:eastAsia="nl-BE"/>
              </w:rPr>
              <w:t>40</w:t>
            </w:r>
            <w:r w:rsidR="00921700" w:rsidRPr="00661595">
              <w:rPr>
                <w:rFonts w:ascii="Times New Roman" w:hAnsi="Times New Roman"/>
                <w:sz w:val="24"/>
                <w:lang w:eastAsia="nl-BE"/>
              </w:rPr>
              <w:t>6</w:t>
            </w:r>
          </w:p>
        </w:tc>
        <w:tc>
          <w:tcPr>
            <w:tcW w:w="7605" w:type="dxa"/>
          </w:tcPr>
          <w:p w:rsidR="00C55547" w:rsidRPr="00661595" w:rsidRDefault="00C55547" w:rsidP="00E10B85">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OTHER (RW=1</w:t>
            </w:r>
            <w:r w:rsidR="006A66C9" w:rsidRPr="00661595">
              <w:rPr>
                <w:rFonts w:ascii="Times New Roman" w:hAnsi="Times New Roman"/>
                <w:b/>
                <w:bCs/>
                <w:sz w:val="24"/>
                <w:u w:val="single"/>
                <w:lang w:eastAsia="nl-BE"/>
              </w:rPr>
              <w:t xml:space="preserve"> </w:t>
            </w:r>
            <w:r w:rsidRPr="00661595">
              <w:rPr>
                <w:rFonts w:ascii="Times New Roman" w:hAnsi="Times New Roman"/>
                <w:b/>
                <w:bCs/>
                <w:sz w:val="24"/>
                <w:u w:val="single"/>
                <w:lang w:eastAsia="nl-BE"/>
              </w:rPr>
              <w:t>250%)</w:t>
            </w:r>
          </w:p>
          <w:p w:rsidR="00C55547" w:rsidRPr="00661595" w:rsidRDefault="00C55547" w:rsidP="003073B2">
            <w:pPr>
              <w:rPr>
                <w:rFonts w:ascii="Times New Roman" w:hAnsi="Times New Roman"/>
                <w:b/>
                <w:bCs/>
                <w:sz w:val="24"/>
                <w:u w:val="single"/>
                <w:lang w:eastAsia="nl-BE"/>
              </w:rPr>
            </w:pPr>
            <w:r w:rsidRPr="00661595">
              <w:rPr>
                <w:rStyle w:val="InstructionsTabelleText"/>
                <w:rFonts w:ascii="Times New Roman" w:hAnsi="Times New Roman"/>
                <w:sz w:val="24"/>
              </w:rPr>
              <w:t xml:space="preserve">Article 254(7) </w:t>
            </w:r>
            <w:r w:rsidR="00C7103D" w:rsidRPr="00661595">
              <w:rPr>
                <w:rStyle w:val="InstructionsTabelleText"/>
                <w:rFonts w:ascii="Times New Roman" w:hAnsi="Times New Roman"/>
                <w:sz w:val="24"/>
              </w:rPr>
              <w:t>CRR</w:t>
            </w:r>
          </w:p>
        </w:tc>
      </w:tr>
      <w:tr w:rsidR="00C55547" w:rsidRPr="00661595" w:rsidTr="000911FE">
        <w:tc>
          <w:tcPr>
            <w:tcW w:w="1413" w:type="dxa"/>
          </w:tcPr>
          <w:p w:rsidR="00C55547" w:rsidRPr="00661595" w:rsidRDefault="00EE2CD5" w:rsidP="00E10B85">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C55547" w:rsidRPr="00661595">
              <w:rPr>
                <w:rFonts w:ascii="Times New Roman" w:hAnsi="Times New Roman"/>
                <w:sz w:val="24"/>
                <w:lang w:eastAsia="nl-BE"/>
              </w:rPr>
              <w:t>530-</w:t>
            </w:r>
            <w:r w:rsidRPr="00661595">
              <w:rPr>
                <w:rFonts w:ascii="Times New Roman" w:hAnsi="Times New Roman"/>
                <w:sz w:val="24"/>
                <w:lang w:eastAsia="nl-BE"/>
              </w:rPr>
              <w:t>0</w:t>
            </w:r>
            <w:r w:rsidR="00C55547" w:rsidRPr="00661595">
              <w:rPr>
                <w:rFonts w:ascii="Times New Roman" w:hAnsi="Times New Roman"/>
                <w:sz w:val="24"/>
                <w:lang w:eastAsia="nl-BE"/>
              </w:rPr>
              <w:t>540</w:t>
            </w:r>
          </w:p>
        </w:tc>
        <w:tc>
          <w:tcPr>
            <w:tcW w:w="7605" w:type="dxa"/>
          </w:tcPr>
          <w:p w:rsidR="00C55547" w:rsidRPr="00661595" w:rsidRDefault="00C55547" w:rsidP="00E10B85">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OVERALL EFFECT (ADJUSTMENT) DUE TO INFRINGEMENT OF CHAPTER 2 OF REGULATION (EU) 2017/2402</w:t>
            </w:r>
          </w:p>
          <w:p w:rsidR="00C55547" w:rsidRPr="00661595" w:rsidRDefault="00C55547" w:rsidP="003073B2">
            <w:pPr>
              <w:rPr>
                <w:rFonts w:ascii="Times New Roman" w:hAnsi="Times New Roman"/>
                <w:b/>
                <w:bCs/>
                <w:sz w:val="24"/>
                <w:u w:val="single"/>
                <w:lang w:eastAsia="nl-BE"/>
              </w:rPr>
            </w:pPr>
            <w:r w:rsidRPr="00661595">
              <w:rPr>
                <w:rStyle w:val="InstructionsTabelleText"/>
                <w:rFonts w:ascii="Times New Roman" w:hAnsi="Times New Roman"/>
                <w:sz w:val="24"/>
              </w:rPr>
              <w:t xml:space="preserve">Article 270a </w:t>
            </w:r>
            <w:r w:rsidR="00C7103D" w:rsidRPr="00661595">
              <w:rPr>
                <w:rStyle w:val="InstructionsTabelleText"/>
                <w:rFonts w:ascii="Times New Roman" w:hAnsi="Times New Roman"/>
                <w:sz w:val="24"/>
              </w:rPr>
              <w:t>CRR</w:t>
            </w:r>
          </w:p>
        </w:tc>
      </w:tr>
      <w:tr w:rsidR="00C55547" w:rsidRPr="00661595" w:rsidTr="000911FE">
        <w:tc>
          <w:tcPr>
            <w:tcW w:w="1413" w:type="dxa"/>
          </w:tcPr>
          <w:p w:rsidR="00C55547" w:rsidRPr="00661595" w:rsidRDefault="00EE2CD5" w:rsidP="00E10B85">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C55547" w:rsidRPr="00661595">
              <w:rPr>
                <w:rFonts w:ascii="Times New Roman" w:hAnsi="Times New Roman"/>
                <w:sz w:val="24"/>
                <w:lang w:eastAsia="nl-BE"/>
              </w:rPr>
              <w:t>570</w:t>
            </w:r>
          </w:p>
        </w:tc>
        <w:tc>
          <w:tcPr>
            <w:tcW w:w="7605" w:type="dxa"/>
          </w:tcPr>
          <w:p w:rsidR="00C55547" w:rsidRPr="00661595" w:rsidRDefault="00C55547" w:rsidP="00E10B85">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 xml:space="preserve">BEFORE CAP </w:t>
            </w:r>
          </w:p>
          <w:p w:rsidR="00C55547" w:rsidRPr="00661595" w:rsidRDefault="00C55547" w:rsidP="003073B2">
            <w:pPr>
              <w:rPr>
                <w:rFonts w:ascii="Times New Roman" w:hAnsi="Times New Roman"/>
                <w:bCs/>
                <w:sz w:val="24"/>
                <w:lang w:eastAsia="nl-BE"/>
              </w:rPr>
            </w:pPr>
            <w:r w:rsidRPr="00661595">
              <w:rPr>
                <w:rFonts w:ascii="Times New Roman" w:hAnsi="Times New Roman"/>
                <w:bCs/>
                <w:sz w:val="24"/>
                <w:lang w:eastAsia="nl-BE"/>
              </w:rPr>
              <w:t xml:space="preserve">Article 337 </w:t>
            </w:r>
            <w:r w:rsidR="00C7103D" w:rsidRPr="00661595">
              <w:rPr>
                <w:rFonts w:ascii="Times New Roman" w:hAnsi="Times New Roman"/>
                <w:bCs/>
                <w:sz w:val="24"/>
                <w:lang w:eastAsia="nl-BE"/>
              </w:rPr>
              <w:t>CRR</w:t>
            </w:r>
            <w:r w:rsidR="00532026" w:rsidRPr="00661595">
              <w:rPr>
                <w:rFonts w:ascii="Times New Roman" w:hAnsi="Times New Roman"/>
                <w:bCs/>
                <w:sz w:val="24"/>
                <w:lang w:eastAsia="nl-BE"/>
              </w:rPr>
              <w:t>,</w:t>
            </w:r>
            <w:r w:rsidRPr="00661595">
              <w:rPr>
                <w:rFonts w:ascii="Times New Roman" w:hAnsi="Times New Roman"/>
                <w:bCs/>
                <w:sz w:val="24"/>
                <w:lang w:eastAsia="nl-BE"/>
              </w:rPr>
              <w:t xml:space="preserve"> without taking into account the discretion of Article</w:t>
            </w:r>
            <w:r w:rsidR="00532026" w:rsidRPr="00661595">
              <w:rPr>
                <w:rFonts w:ascii="Times New Roman" w:hAnsi="Times New Roman"/>
                <w:bCs/>
                <w:sz w:val="24"/>
                <w:lang w:eastAsia="nl-BE"/>
              </w:rPr>
              <w:t> </w:t>
            </w:r>
            <w:r w:rsidRPr="00661595">
              <w:rPr>
                <w:rFonts w:ascii="Times New Roman" w:hAnsi="Times New Roman"/>
                <w:bCs/>
                <w:sz w:val="24"/>
                <w:lang w:eastAsia="nl-BE"/>
              </w:rPr>
              <w:t xml:space="preserve">335 </w:t>
            </w:r>
            <w:r w:rsidR="00C7103D" w:rsidRPr="00661595">
              <w:rPr>
                <w:rFonts w:ascii="Times New Roman" w:hAnsi="Times New Roman"/>
                <w:bCs/>
                <w:sz w:val="24"/>
                <w:lang w:eastAsia="nl-BE"/>
              </w:rPr>
              <w:t>CRR</w:t>
            </w:r>
            <w:r w:rsidRPr="00661595">
              <w:rPr>
                <w:rFonts w:ascii="Times New Roman" w:hAnsi="Times New Roman"/>
                <w:bCs/>
                <w:sz w:val="24"/>
                <w:lang w:eastAsia="nl-BE"/>
              </w:rPr>
              <w:t xml:space="preserve"> </w:t>
            </w:r>
            <w:r w:rsidR="00532026" w:rsidRPr="00661595">
              <w:rPr>
                <w:rFonts w:ascii="Times New Roman" w:hAnsi="Times New Roman"/>
                <w:bCs/>
                <w:sz w:val="24"/>
                <w:lang w:eastAsia="nl-BE"/>
              </w:rPr>
              <w:t>which</w:t>
            </w:r>
            <w:r w:rsidRPr="00661595">
              <w:rPr>
                <w:rFonts w:ascii="Times New Roman" w:hAnsi="Times New Roman"/>
                <w:bCs/>
                <w:sz w:val="24"/>
                <w:lang w:eastAsia="nl-BE"/>
              </w:rPr>
              <w:t xml:space="preserve"> allows an institution to cap the product of the weight and the net position at the maximum possible default-risk related loss</w:t>
            </w:r>
            <w:r w:rsidR="00532026" w:rsidRPr="00661595">
              <w:rPr>
                <w:rFonts w:ascii="Times New Roman" w:hAnsi="Times New Roman"/>
                <w:bCs/>
                <w:sz w:val="24"/>
                <w:lang w:eastAsia="nl-BE"/>
              </w:rPr>
              <w:t>.</w:t>
            </w:r>
          </w:p>
        </w:tc>
      </w:tr>
      <w:tr w:rsidR="00C55547" w:rsidRPr="00661595" w:rsidTr="000911FE">
        <w:tc>
          <w:tcPr>
            <w:tcW w:w="1413" w:type="dxa"/>
          </w:tcPr>
          <w:p w:rsidR="00C55547" w:rsidRPr="00661595" w:rsidRDefault="00EE2CD5" w:rsidP="00EE079A">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EE079A" w:rsidRPr="00661595">
              <w:rPr>
                <w:rFonts w:ascii="Times New Roman" w:hAnsi="Times New Roman"/>
                <w:sz w:val="24"/>
                <w:lang w:eastAsia="nl-BE"/>
              </w:rPr>
              <w:t>601</w:t>
            </w:r>
          </w:p>
        </w:tc>
        <w:tc>
          <w:tcPr>
            <w:tcW w:w="7605" w:type="dxa"/>
          </w:tcPr>
          <w:p w:rsidR="00C55547" w:rsidRPr="00661595" w:rsidRDefault="00C55547" w:rsidP="00E10B85">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AFTER CAP</w:t>
            </w:r>
            <w:r w:rsidR="00EE079A" w:rsidRPr="00661595">
              <w:rPr>
                <w:rFonts w:ascii="Times New Roman" w:hAnsi="Times New Roman"/>
                <w:b/>
                <w:bCs/>
                <w:sz w:val="24"/>
                <w:u w:val="single"/>
                <w:lang w:eastAsia="nl-BE"/>
              </w:rPr>
              <w:t xml:space="preserve"> / TOTAL OWN FUND REQUIREMENTS</w:t>
            </w:r>
            <w:r w:rsidRPr="00661595">
              <w:rPr>
                <w:rFonts w:ascii="Times New Roman" w:hAnsi="Times New Roman"/>
                <w:b/>
                <w:bCs/>
                <w:sz w:val="24"/>
                <w:u w:val="single"/>
                <w:lang w:eastAsia="nl-BE"/>
              </w:rPr>
              <w:t xml:space="preserve"> </w:t>
            </w:r>
          </w:p>
          <w:p w:rsidR="00C55547" w:rsidRPr="00661595" w:rsidRDefault="00C55547" w:rsidP="003073B2">
            <w:pPr>
              <w:rPr>
                <w:rFonts w:ascii="Times New Roman" w:hAnsi="Times New Roman"/>
                <w:bCs/>
                <w:sz w:val="24"/>
                <w:lang w:eastAsia="nl-BE"/>
              </w:rPr>
            </w:pPr>
            <w:r w:rsidRPr="00661595">
              <w:rPr>
                <w:rFonts w:ascii="Times New Roman" w:hAnsi="Times New Roman"/>
                <w:bCs/>
                <w:sz w:val="24"/>
                <w:lang w:eastAsia="nl-BE"/>
              </w:rPr>
              <w:t xml:space="preserve">Article 337 </w:t>
            </w:r>
            <w:r w:rsidR="00C7103D" w:rsidRPr="00661595">
              <w:rPr>
                <w:rFonts w:ascii="Times New Roman" w:hAnsi="Times New Roman"/>
                <w:bCs/>
                <w:sz w:val="24"/>
                <w:lang w:eastAsia="nl-BE"/>
              </w:rPr>
              <w:t>CRR</w:t>
            </w:r>
            <w:r w:rsidR="00532026" w:rsidRPr="00661595">
              <w:rPr>
                <w:rFonts w:ascii="Times New Roman" w:hAnsi="Times New Roman"/>
                <w:bCs/>
                <w:sz w:val="24"/>
                <w:lang w:eastAsia="nl-BE"/>
              </w:rPr>
              <w:t>,</w:t>
            </w:r>
            <w:r w:rsidRPr="00661595">
              <w:rPr>
                <w:rFonts w:ascii="Times New Roman" w:hAnsi="Times New Roman"/>
                <w:bCs/>
                <w:sz w:val="24"/>
                <w:lang w:eastAsia="nl-BE"/>
              </w:rPr>
              <w:t xml:space="preserve"> taking </w:t>
            </w:r>
            <w:r w:rsidRPr="00661595">
              <w:rPr>
                <w:rStyle w:val="InstructionsTabelleText"/>
                <w:rFonts w:ascii="Times New Roman" w:hAnsi="Times New Roman"/>
                <w:sz w:val="24"/>
              </w:rPr>
              <w:t>into</w:t>
            </w:r>
            <w:r w:rsidRPr="00661595">
              <w:rPr>
                <w:rFonts w:ascii="Times New Roman" w:hAnsi="Times New Roman"/>
                <w:bCs/>
                <w:sz w:val="24"/>
                <w:lang w:eastAsia="nl-BE"/>
              </w:rPr>
              <w:t xml:space="preserve"> account the discretion of Article 335 </w:t>
            </w:r>
            <w:r w:rsidR="00C7103D" w:rsidRPr="00661595">
              <w:rPr>
                <w:rFonts w:ascii="Times New Roman" w:hAnsi="Times New Roman"/>
                <w:bCs/>
                <w:sz w:val="24"/>
                <w:lang w:eastAsia="nl-BE"/>
              </w:rPr>
              <w:t>CRR</w:t>
            </w:r>
            <w:r w:rsidRPr="00661595">
              <w:rPr>
                <w:rFonts w:ascii="Times New Roman" w:hAnsi="Times New Roman"/>
                <w:bCs/>
                <w:sz w:val="24"/>
                <w:lang w:eastAsia="nl-BE"/>
              </w:rPr>
              <w:t>.</w:t>
            </w:r>
          </w:p>
        </w:tc>
      </w:tr>
    </w:tbl>
    <w:p w:rsidR="00C55547" w:rsidRPr="00661595" w:rsidRDefault="00C55547" w:rsidP="00C55547">
      <w:pPr>
        <w:autoSpaceDE w:val="0"/>
        <w:autoSpaceDN w:val="0"/>
        <w:adjustRightInd w:val="0"/>
        <w:spacing w:before="0" w:after="0"/>
        <w:rPr>
          <w:rFonts w:ascii="Times New Roman" w:hAnsi="Times New Roman"/>
          <w:sz w:val="24"/>
          <w:lang w:eastAsia="nl-B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7537"/>
      </w:tblGrid>
      <w:tr w:rsidR="00C55547" w:rsidRPr="00661595" w:rsidTr="00E10B85">
        <w:trPr>
          <w:trHeight w:val="537"/>
        </w:trPr>
        <w:tc>
          <w:tcPr>
            <w:tcW w:w="8950" w:type="dxa"/>
            <w:gridSpan w:val="2"/>
            <w:shd w:val="clear" w:color="auto" w:fill="BFBFBF"/>
          </w:tcPr>
          <w:p w:rsidR="00C55547" w:rsidRPr="00661595" w:rsidRDefault="00C55547" w:rsidP="00E10B85">
            <w:pPr>
              <w:autoSpaceDE w:val="0"/>
              <w:autoSpaceDN w:val="0"/>
              <w:adjustRightInd w:val="0"/>
              <w:spacing w:after="0"/>
              <w:rPr>
                <w:rFonts w:ascii="Times New Roman" w:hAnsi="Times New Roman"/>
                <w:b/>
                <w:sz w:val="24"/>
                <w:lang w:eastAsia="nl-BE"/>
              </w:rPr>
            </w:pPr>
            <w:r w:rsidRPr="00661595">
              <w:rPr>
                <w:rFonts w:ascii="Times New Roman" w:hAnsi="Times New Roman"/>
                <w:b/>
                <w:sz w:val="24"/>
                <w:lang w:eastAsia="nl-BE"/>
              </w:rPr>
              <w:t>Rows</w:t>
            </w:r>
          </w:p>
        </w:tc>
      </w:tr>
      <w:tr w:rsidR="00C55547" w:rsidRPr="00661595" w:rsidTr="000911FE">
        <w:tc>
          <w:tcPr>
            <w:tcW w:w="1413" w:type="dxa"/>
          </w:tcPr>
          <w:p w:rsidR="00C55547" w:rsidRPr="00661595" w:rsidRDefault="002F79EA" w:rsidP="00E10B85">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C55547" w:rsidRPr="00661595">
              <w:rPr>
                <w:rFonts w:ascii="Times New Roman" w:hAnsi="Times New Roman"/>
                <w:sz w:val="24"/>
                <w:lang w:eastAsia="nl-BE"/>
              </w:rPr>
              <w:t>010</w:t>
            </w:r>
          </w:p>
        </w:tc>
        <w:tc>
          <w:tcPr>
            <w:tcW w:w="7537" w:type="dxa"/>
          </w:tcPr>
          <w:p w:rsidR="00C55547" w:rsidRPr="00661595" w:rsidRDefault="00C55547" w:rsidP="00E10B85">
            <w:pPr>
              <w:rPr>
                <w:rFonts w:ascii="Times New Roman" w:hAnsi="Times New Roman"/>
                <w:sz w:val="24"/>
                <w:lang w:eastAsia="nl-BE"/>
              </w:rPr>
            </w:pPr>
            <w:r w:rsidRPr="00661595">
              <w:rPr>
                <w:rStyle w:val="InstructionsTabelleberschrift"/>
                <w:rFonts w:ascii="Times New Roman" w:hAnsi="Times New Roman"/>
                <w:sz w:val="24"/>
              </w:rPr>
              <w:t>TOTAL EXPOSURES</w:t>
            </w:r>
          </w:p>
          <w:p w:rsidR="00C55547" w:rsidRPr="00661595" w:rsidRDefault="00C55547" w:rsidP="00C3548F">
            <w:pPr>
              <w:autoSpaceDE w:val="0"/>
              <w:autoSpaceDN w:val="0"/>
              <w:adjustRightInd w:val="0"/>
              <w:spacing w:before="0" w:after="0"/>
              <w:rPr>
                <w:rFonts w:ascii="Times New Roman" w:hAnsi="Times New Roman"/>
                <w:sz w:val="24"/>
                <w:lang w:eastAsia="nl-BE"/>
              </w:rPr>
            </w:pPr>
            <w:r w:rsidRPr="00661595">
              <w:rPr>
                <w:rStyle w:val="InstructionsTabelleText"/>
                <w:rFonts w:ascii="Times New Roman" w:hAnsi="Times New Roman"/>
                <w:sz w:val="24"/>
              </w:rPr>
              <w:t>Total amount of outstanding securitisations and re-securitisations (held in the trading book) reported by the institution playing the role/s of originator or investor or sponsor.</w:t>
            </w:r>
          </w:p>
        </w:tc>
      </w:tr>
      <w:tr w:rsidR="00C55547" w:rsidRPr="00661595" w:rsidTr="000911FE">
        <w:tc>
          <w:tcPr>
            <w:tcW w:w="1413" w:type="dxa"/>
          </w:tcPr>
          <w:p w:rsidR="00C55547" w:rsidRPr="00661595" w:rsidRDefault="002F79EA" w:rsidP="002F79EA">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C55547" w:rsidRPr="00661595">
              <w:rPr>
                <w:rFonts w:ascii="Times New Roman" w:hAnsi="Times New Roman"/>
                <w:sz w:val="24"/>
                <w:lang w:eastAsia="nl-BE"/>
              </w:rPr>
              <w:t>040,</w:t>
            </w:r>
            <w:r w:rsidRPr="00661595">
              <w:rPr>
                <w:rFonts w:ascii="Times New Roman" w:hAnsi="Times New Roman"/>
                <w:sz w:val="24"/>
                <w:lang w:eastAsia="nl-BE"/>
              </w:rPr>
              <w:t xml:space="preserve"> 0</w:t>
            </w:r>
            <w:r w:rsidR="00C55547" w:rsidRPr="00661595">
              <w:rPr>
                <w:rFonts w:ascii="Times New Roman" w:hAnsi="Times New Roman"/>
                <w:sz w:val="24"/>
                <w:lang w:eastAsia="nl-BE"/>
              </w:rPr>
              <w:t>070 and</w:t>
            </w:r>
            <w:r w:rsidRPr="00661595">
              <w:rPr>
                <w:rFonts w:ascii="Times New Roman" w:hAnsi="Times New Roman"/>
                <w:sz w:val="24"/>
                <w:lang w:eastAsia="nl-BE"/>
              </w:rPr>
              <w:t xml:space="preserve"> 0</w:t>
            </w:r>
            <w:r w:rsidR="00C55547" w:rsidRPr="00661595">
              <w:rPr>
                <w:rFonts w:ascii="Times New Roman" w:hAnsi="Times New Roman"/>
                <w:sz w:val="24"/>
                <w:lang w:eastAsia="nl-BE"/>
              </w:rPr>
              <w:t>100</w:t>
            </w:r>
          </w:p>
        </w:tc>
        <w:tc>
          <w:tcPr>
            <w:tcW w:w="7537" w:type="dxa"/>
          </w:tcPr>
          <w:p w:rsidR="00C55547" w:rsidRPr="00661595" w:rsidRDefault="00C55547" w:rsidP="00E10B85">
            <w:pPr>
              <w:rPr>
                <w:rStyle w:val="InstructionsTabelleberschrift"/>
                <w:rFonts w:ascii="Times New Roman" w:hAnsi="Times New Roman"/>
                <w:sz w:val="24"/>
              </w:rPr>
            </w:pPr>
            <w:r w:rsidRPr="00661595">
              <w:rPr>
                <w:rStyle w:val="InstructionsTabelleberschrift"/>
                <w:rFonts w:ascii="Times New Roman" w:hAnsi="Times New Roman"/>
                <w:sz w:val="24"/>
              </w:rPr>
              <w:t>SECURITISATION</w:t>
            </w:r>
            <w:r w:rsidR="003073B2" w:rsidRPr="00661595">
              <w:rPr>
                <w:rStyle w:val="InstructionsTabelleberschrift"/>
                <w:rFonts w:ascii="Times New Roman" w:hAnsi="Times New Roman"/>
                <w:sz w:val="24"/>
              </w:rPr>
              <w:t xml:space="preserve"> </w:t>
            </w:r>
            <w:r w:rsidR="00532026" w:rsidRPr="00661595">
              <w:rPr>
                <w:rStyle w:val="InstructionsTabelleberschrift"/>
                <w:rFonts w:ascii="Times New Roman" w:hAnsi="Times New Roman"/>
                <w:sz w:val="24"/>
              </w:rPr>
              <w:t>POSITIONS</w:t>
            </w:r>
          </w:p>
          <w:p w:rsidR="00C55547" w:rsidRPr="00661595" w:rsidRDefault="00532026"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Point</w:t>
            </w:r>
            <w:r w:rsidR="003073B2" w:rsidRPr="00661595">
              <w:rPr>
                <w:rFonts w:ascii="Times New Roman" w:hAnsi="Times New Roman"/>
                <w:bCs/>
                <w:sz w:val="24"/>
                <w:lang w:eastAsia="nl-BE"/>
              </w:rPr>
              <w:t xml:space="preserve"> </w:t>
            </w:r>
            <w:r w:rsidR="002F79EA" w:rsidRPr="00661595">
              <w:rPr>
                <w:rFonts w:ascii="Times New Roman" w:hAnsi="Times New Roman"/>
                <w:bCs/>
                <w:sz w:val="24"/>
                <w:lang w:eastAsia="nl-BE"/>
              </w:rPr>
              <w:t>(</w:t>
            </w:r>
            <w:r w:rsidRPr="00661595">
              <w:rPr>
                <w:rFonts w:ascii="Times New Roman" w:hAnsi="Times New Roman"/>
                <w:bCs/>
                <w:sz w:val="24"/>
                <w:lang w:eastAsia="nl-BE"/>
              </w:rPr>
              <w:t>62</w:t>
            </w:r>
            <w:r w:rsidR="002F79EA" w:rsidRPr="00661595">
              <w:rPr>
                <w:rFonts w:ascii="Times New Roman" w:hAnsi="Times New Roman"/>
                <w:bCs/>
                <w:sz w:val="24"/>
                <w:lang w:eastAsia="nl-BE"/>
              </w:rPr>
              <w:t>)</w:t>
            </w:r>
            <w:r w:rsidRPr="00661595">
              <w:rPr>
                <w:rFonts w:ascii="Times New Roman" w:hAnsi="Times New Roman"/>
                <w:bCs/>
                <w:sz w:val="24"/>
                <w:lang w:eastAsia="nl-BE"/>
              </w:rPr>
              <w:t xml:space="preserve"> of </w:t>
            </w:r>
            <w:r w:rsidR="00C55547" w:rsidRPr="00661595">
              <w:rPr>
                <w:rFonts w:ascii="Times New Roman" w:hAnsi="Times New Roman"/>
                <w:bCs/>
                <w:sz w:val="24"/>
                <w:lang w:eastAsia="nl-BE"/>
              </w:rPr>
              <w:t>Article 4</w:t>
            </w:r>
            <w:r w:rsidRPr="00661595">
              <w:rPr>
                <w:rFonts w:ascii="Times New Roman" w:hAnsi="Times New Roman"/>
                <w:bCs/>
                <w:sz w:val="24"/>
                <w:lang w:eastAsia="nl-BE"/>
              </w:rPr>
              <w:t>(1)</w:t>
            </w:r>
            <w:r w:rsidR="003073B2" w:rsidRPr="00661595">
              <w:rPr>
                <w:rFonts w:ascii="Times New Roman" w:hAnsi="Times New Roman"/>
                <w:bCs/>
                <w:sz w:val="24"/>
                <w:lang w:eastAsia="nl-BE"/>
              </w:rPr>
              <w:t xml:space="preserve"> </w:t>
            </w:r>
            <w:r w:rsidR="00C7103D" w:rsidRPr="00661595">
              <w:rPr>
                <w:rFonts w:ascii="Times New Roman" w:hAnsi="Times New Roman"/>
                <w:bCs/>
                <w:sz w:val="24"/>
                <w:lang w:eastAsia="nl-BE"/>
              </w:rPr>
              <w:t>CRR</w:t>
            </w:r>
            <w:r w:rsidR="00C55547" w:rsidRPr="00661595">
              <w:rPr>
                <w:rFonts w:ascii="Times New Roman" w:hAnsi="Times New Roman"/>
                <w:bCs/>
                <w:sz w:val="24"/>
                <w:lang w:eastAsia="nl-BE"/>
              </w:rPr>
              <w:t>.</w:t>
            </w:r>
          </w:p>
          <w:p w:rsidR="00C55547" w:rsidRPr="00661595" w:rsidRDefault="00C55547" w:rsidP="00E10B85">
            <w:pPr>
              <w:autoSpaceDE w:val="0"/>
              <w:autoSpaceDN w:val="0"/>
              <w:adjustRightInd w:val="0"/>
              <w:spacing w:before="0" w:after="0"/>
              <w:rPr>
                <w:rFonts w:ascii="Times New Roman" w:hAnsi="Times New Roman"/>
                <w:bCs/>
                <w:sz w:val="24"/>
                <w:lang w:eastAsia="nl-BE"/>
              </w:rPr>
            </w:pPr>
          </w:p>
        </w:tc>
      </w:tr>
      <w:tr w:rsidR="00C55547" w:rsidRPr="00661595" w:rsidTr="000911FE">
        <w:tc>
          <w:tcPr>
            <w:tcW w:w="1413" w:type="dxa"/>
          </w:tcPr>
          <w:p w:rsidR="00C55547" w:rsidRPr="00661595" w:rsidRDefault="002F79EA" w:rsidP="002F79EA">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C55547" w:rsidRPr="00661595">
              <w:rPr>
                <w:rFonts w:ascii="Times New Roman" w:hAnsi="Times New Roman"/>
                <w:sz w:val="24"/>
                <w:lang w:eastAsia="nl-BE"/>
              </w:rPr>
              <w:t>020,</w:t>
            </w:r>
            <w:r w:rsidRPr="00661595">
              <w:rPr>
                <w:rFonts w:ascii="Times New Roman" w:hAnsi="Times New Roman"/>
                <w:sz w:val="24"/>
                <w:lang w:eastAsia="nl-BE"/>
              </w:rPr>
              <w:t xml:space="preserve"> 0</w:t>
            </w:r>
            <w:r w:rsidR="00C55547" w:rsidRPr="00661595">
              <w:rPr>
                <w:rFonts w:ascii="Times New Roman" w:hAnsi="Times New Roman"/>
                <w:sz w:val="24"/>
                <w:lang w:eastAsia="nl-BE"/>
              </w:rPr>
              <w:t>050,</w:t>
            </w:r>
            <w:r w:rsidRPr="00661595">
              <w:rPr>
                <w:rFonts w:ascii="Times New Roman" w:hAnsi="Times New Roman"/>
                <w:sz w:val="24"/>
                <w:lang w:eastAsia="nl-BE"/>
              </w:rPr>
              <w:t xml:space="preserve"> 0</w:t>
            </w:r>
            <w:r w:rsidR="00C55547" w:rsidRPr="00661595">
              <w:rPr>
                <w:rFonts w:ascii="Times New Roman" w:hAnsi="Times New Roman"/>
                <w:sz w:val="24"/>
                <w:lang w:eastAsia="nl-BE"/>
              </w:rPr>
              <w:t>080 and</w:t>
            </w:r>
            <w:r w:rsidRPr="00661595">
              <w:rPr>
                <w:rFonts w:ascii="Times New Roman" w:hAnsi="Times New Roman"/>
                <w:sz w:val="24"/>
                <w:lang w:eastAsia="nl-BE"/>
              </w:rPr>
              <w:t xml:space="preserve"> 0</w:t>
            </w:r>
            <w:r w:rsidR="00C55547" w:rsidRPr="00661595">
              <w:rPr>
                <w:rFonts w:ascii="Times New Roman" w:hAnsi="Times New Roman"/>
                <w:sz w:val="24"/>
                <w:lang w:eastAsia="nl-BE"/>
              </w:rPr>
              <w:t>110</w:t>
            </w:r>
          </w:p>
        </w:tc>
        <w:tc>
          <w:tcPr>
            <w:tcW w:w="7537" w:type="dxa"/>
          </w:tcPr>
          <w:p w:rsidR="00C55547" w:rsidRPr="00661595" w:rsidRDefault="00C55547" w:rsidP="00E10B85">
            <w:pPr>
              <w:rPr>
                <w:rStyle w:val="InstructionsTabelleberschrift"/>
                <w:rFonts w:ascii="Times New Roman" w:hAnsi="Times New Roman"/>
                <w:sz w:val="24"/>
              </w:rPr>
            </w:pPr>
            <w:r w:rsidRPr="00661595">
              <w:rPr>
                <w:rStyle w:val="InstructionsTabelleberschrift"/>
                <w:rFonts w:ascii="Times New Roman" w:hAnsi="Times New Roman"/>
                <w:sz w:val="24"/>
              </w:rPr>
              <w:t>RE-SECURITISATIONS</w:t>
            </w:r>
            <w:r w:rsidR="00532026" w:rsidRPr="00661595">
              <w:rPr>
                <w:rStyle w:val="InstructionsTabelleberschrift"/>
                <w:rFonts w:ascii="Times New Roman" w:hAnsi="Times New Roman"/>
                <w:sz w:val="24"/>
              </w:rPr>
              <w:t xml:space="preserve"> POSITIONS</w:t>
            </w:r>
          </w:p>
          <w:p w:rsidR="00C55547" w:rsidRPr="00661595" w:rsidRDefault="00532026"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 xml:space="preserve">Point </w:t>
            </w:r>
            <w:r w:rsidR="002F79EA" w:rsidRPr="00661595">
              <w:rPr>
                <w:rFonts w:ascii="Times New Roman" w:hAnsi="Times New Roman"/>
                <w:bCs/>
                <w:sz w:val="24"/>
                <w:lang w:eastAsia="nl-BE"/>
              </w:rPr>
              <w:t>(</w:t>
            </w:r>
            <w:r w:rsidRPr="00661595">
              <w:rPr>
                <w:rFonts w:ascii="Times New Roman" w:hAnsi="Times New Roman"/>
                <w:bCs/>
                <w:sz w:val="24"/>
                <w:lang w:eastAsia="nl-BE"/>
              </w:rPr>
              <w:t>64</w:t>
            </w:r>
            <w:r w:rsidR="002F79EA" w:rsidRPr="00661595">
              <w:rPr>
                <w:rFonts w:ascii="Times New Roman" w:hAnsi="Times New Roman"/>
                <w:bCs/>
                <w:sz w:val="24"/>
                <w:lang w:eastAsia="nl-BE"/>
              </w:rPr>
              <w:t>)</w:t>
            </w:r>
            <w:r w:rsidRPr="00661595">
              <w:rPr>
                <w:rFonts w:ascii="Times New Roman" w:hAnsi="Times New Roman"/>
                <w:bCs/>
                <w:sz w:val="24"/>
                <w:lang w:eastAsia="nl-BE"/>
              </w:rPr>
              <w:t xml:space="preserve"> of </w:t>
            </w:r>
            <w:r w:rsidR="00C55547" w:rsidRPr="00661595">
              <w:rPr>
                <w:rFonts w:ascii="Times New Roman" w:hAnsi="Times New Roman"/>
                <w:bCs/>
                <w:sz w:val="24"/>
                <w:lang w:eastAsia="nl-BE"/>
              </w:rPr>
              <w:t xml:space="preserve">Article 4(1) </w:t>
            </w:r>
            <w:r w:rsidR="00C7103D" w:rsidRPr="00661595">
              <w:rPr>
                <w:rFonts w:ascii="Times New Roman" w:hAnsi="Times New Roman"/>
                <w:bCs/>
                <w:sz w:val="24"/>
                <w:lang w:eastAsia="nl-BE"/>
              </w:rPr>
              <w:t>CRR</w:t>
            </w:r>
          </w:p>
          <w:p w:rsidR="00C55547" w:rsidRPr="00661595" w:rsidRDefault="00C55547" w:rsidP="00E10B85">
            <w:pPr>
              <w:autoSpaceDE w:val="0"/>
              <w:autoSpaceDN w:val="0"/>
              <w:adjustRightInd w:val="0"/>
              <w:spacing w:before="0" w:after="0"/>
              <w:rPr>
                <w:rFonts w:ascii="Times New Roman" w:hAnsi="Times New Roman"/>
                <w:bCs/>
                <w:sz w:val="24"/>
                <w:lang w:eastAsia="nl-BE"/>
              </w:rPr>
            </w:pPr>
          </w:p>
        </w:tc>
      </w:tr>
      <w:tr w:rsidR="00C55547" w:rsidRPr="00661595" w:rsidTr="000911FE">
        <w:tc>
          <w:tcPr>
            <w:tcW w:w="1413" w:type="dxa"/>
          </w:tcPr>
          <w:p w:rsidR="00C55547" w:rsidRPr="00661595" w:rsidRDefault="002F79EA" w:rsidP="00E10B85">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C55547" w:rsidRPr="00661595">
              <w:rPr>
                <w:rFonts w:ascii="Times New Roman" w:hAnsi="Times New Roman"/>
                <w:sz w:val="24"/>
                <w:lang w:eastAsia="nl-BE"/>
              </w:rPr>
              <w:t xml:space="preserve">041, </w:t>
            </w:r>
            <w:r w:rsidRPr="00661595">
              <w:rPr>
                <w:rFonts w:ascii="Times New Roman" w:hAnsi="Times New Roman"/>
                <w:sz w:val="24"/>
                <w:lang w:eastAsia="nl-BE"/>
              </w:rPr>
              <w:t>0</w:t>
            </w:r>
            <w:r w:rsidR="00C55547" w:rsidRPr="00661595">
              <w:rPr>
                <w:rFonts w:ascii="Times New Roman" w:hAnsi="Times New Roman"/>
                <w:sz w:val="24"/>
                <w:lang w:eastAsia="nl-BE"/>
              </w:rPr>
              <w:t xml:space="preserve">071 and </w:t>
            </w:r>
            <w:r w:rsidRPr="00661595">
              <w:rPr>
                <w:rFonts w:ascii="Times New Roman" w:hAnsi="Times New Roman"/>
                <w:sz w:val="24"/>
                <w:lang w:eastAsia="nl-BE"/>
              </w:rPr>
              <w:t>0</w:t>
            </w:r>
            <w:r w:rsidR="00C55547" w:rsidRPr="00661595">
              <w:rPr>
                <w:rFonts w:ascii="Times New Roman" w:hAnsi="Times New Roman"/>
                <w:sz w:val="24"/>
                <w:lang w:eastAsia="nl-BE"/>
              </w:rPr>
              <w:t>101</w:t>
            </w:r>
          </w:p>
        </w:tc>
        <w:tc>
          <w:tcPr>
            <w:tcW w:w="7537" w:type="dxa"/>
          </w:tcPr>
          <w:p w:rsidR="00C55547" w:rsidRPr="00661595" w:rsidRDefault="00C55547" w:rsidP="00E10B85">
            <w:pPr>
              <w:rPr>
                <w:rStyle w:val="InstructionsTabelleberschrift"/>
                <w:rFonts w:ascii="Times New Roman" w:hAnsi="Times New Roman"/>
                <w:sz w:val="24"/>
              </w:rPr>
            </w:pPr>
            <w:r w:rsidRPr="00661595">
              <w:rPr>
                <w:rStyle w:val="InstructionsTabelleberschrift"/>
                <w:rFonts w:ascii="Times New Roman" w:hAnsi="Times New Roman"/>
                <w:sz w:val="24"/>
              </w:rPr>
              <w:t>OF WHICH: QUALIFYING FOR DIFFERENTIATED CAPITAL TREATMENT</w:t>
            </w:r>
          </w:p>
          <w:p w:rsidR="00C55547" w:rsidRPr="00661595" w:rsidRDefault="00C55547">
            <w:pPr>
              <w:rPr>
                <w:rStyle w:val="InstructionsTabelleberschrift"/>
                <w:rFonts w:ascii="Times New Roman" w:hAnsi="Times New Roman"/>
                <w:sz w:val="24"/>
              </w:rPr>
            </w:pPr>
            <w:r w:rsidRPr="00661595">
              <w:rPr>
                <w:rFonts w:ascii="Times New Roman" w:hAnsi="Times New Roman"/>
                <w:bCs/>
                <w:sz w:val="24"/>
                <w:lang w:eastAsia="nl-BE"/>
              </w:rPr>
              <w:t>Total amount of securit</w:t>
            </w:r>
            <w:r w:rsidR="001E0C80" w:rsidRPr="00661595">
              <w:rPr>
                <w:rFonts w:ascii="Times New Roman" w:hAnsi="Times New Roman"/>
                <w:bCs/>
                <w:sz w:val="24"/>
                <w:lang w:eastAsia="nl-BE"/>
              </w:rPr>
              <w:t>i</w:t>
            </w:r>
            <w:r w:rsidRPr="00661595">
              <w:rPr>
                <w:rFonts w:ascii="Times New Roman" w:hAnsi="Times New Roman"/>
                <w:bCs/>
                <w:sz w:val="24"/>
                <w:lang w:eastAsia="nl-BE"/>
              </w:rPr>
              <w:t xml:space="preserve">sation positions which fulfil the criteria of Article 243 </w:t>
            </w:r>
            <w:r w:rsidR="00C7103D" w:rsidRPr="00661595">
              <w:rPr>
                <w:rFonts w:ascii="Times New Roman" w:hAnsi="Times New Roman"/>
                <w:bCs/>
                <w:sz w:val="24"/>
                <w:lang w:eastAsia="nl-BE"/>
              </w:rPr>
              <w:t>CRR</w:t>
            </w:r>
            <w:r w:rsidRPr="00661595">
              <w:rPr>
                <w:rFonts w:ascii="Times New Roman" w:hAnsi="Times New Roman"/>
                <w:bCs/>
                <w:sz w:val="24"/>
                <w:lang w:eastAsia="nl-BE"/>
              </w:rPr>
              <w:t xml:space="preserve"> </w:t>
            </w:r>
            <w:r w:rsidR="00664361" w:rsidRPr="00661595">
              <w:rPr>
                <w:rFonts w:ascii="Times New Roman" w:hAnsi="Times New Roman"/>
                <w:bCs/>
                <w:sz w:val="24"/>
                <w:lang w:eastAsia="nl-BE"/>
              </w:rPr>
              <w:t xml:space="preserve">or Article 270 CRR </w:t>
            </w:r>
            <w:r w:rsidRPr="00661595">
              <w:rPr>
                <w:rFonts w:ascii="Times New Roman" w:hAnsi="Times New Roman"/>
                <w:bCs/>
                <w:sz w:val="24"/>
                <w:lang w:eastAsia="nl-BE"/>
              </w:rPr>
              <w:t>and therefore qualify for differentiated capital treatment.</w:t>
            </w:r>
          </w:p>
        </w:tc>
      </w:tr>
      <w:tr w:rsidR="00C55547" w:rsidRPr="00661595" w:rsidTr="000911FE">
        <w:tc>
          <w:tcPr>
            <w:tcW w:w="1413" w:type="dxa"/>
          </w:tcPr>
          <w:p w:rsidR="00C55547" w:rsidRPr="00661595" w:rsidRDefault="002F79EA" w:rsidP="00E10B85">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C55547" w:rsidRPr="00661595">
              <w:rPr>
                <w:rFonts w:ascii="Times New Roman" w:hAnsi="Times New Roman"/>
                <w:sz w:val="24"/>
                <w:lang w:eastAsia="nl-BE"/>
              </w:rPr>
              <w:t>030-</w:t>
            </w:r>
            <w:r w:rsidRPr="00661595">
              <w:rPr>
                <w:rFonts w:ascii="Times New Roman" w:hAnsi="Times New Roman"/>
                <w:sz w:val="24"/>
                <w:lang w:eastAsia="nl-BE"/>
              </w:rPr>
              <w:t>0</w:t>
            </w:r>
            <w:r w:rsidR="00C55547" w:rsidRPr="00661595">
              <w:rPr>
                <w:rFonts w:ascii="Times New Roman" w:hAnsi="Times New Roman"/>
                <w:sz w:val="24"/>
                <w:lang w:eastAsia="nl-BE"/>
              </w:rPr>
              <w:t>050</w:t>
            </w:r>
          </w:p>
        </w:tc>
        <w:tc>
          <w:tcPr>
            <w:tcW w:w="7537" w:type="dxa"/>
          </w:tcPr>
          <w:p w:rsidR="00C55547" w:rsidRPr="00661595" w:rsidRDefault="00C55547" w:rsidP="00E10B85">
            <w:pPr>
              <w:rPr>
                <w:rStyle w:val="InstructionsTabelleberschrift"/>
                <w:rFonts w:ascii="Times New Roman" w:hAnsi="Times New Roman"/>
                <w:sz w:val="24"/>
              </w:rPr>
            </w:pPr>
            <w:r w:rsidRPr="00661595">
              <w:rPr>
                <w:rStyle w:val="InstructionsTabelleberschrift"/>
                <w:rFonts w:ascii="Times New Roman" w:hAnsi="Times New Roman"/>
                <w:sz w:val="24"/>
              </w:rPr>
              <w:t>ORIGINATOR</w:t>
            </w:r>
          </w:p>
          <w:p w:rsidR="00C55547" w:rsidRPr="00661595" w:rsidRDefault="000242CC"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 xml:space="preserve">Point (13) of </w:t>
            </w:r>
            <w:r w:rsidR="00C55547" w:rsidRPr="00661595">
              <w:rPr>
                <w:rFonts w:ascii="Times New Roman" w:hAnsi="Times New Roman"/>
                <w:bCs/>
                <w:sz w:val="24"/>
                <w:lang w:eastAsia="nl-BE"/>
              </w:rPr>
              <w:t xml:space="preserve">Article 4(1) </w:t>
            </w:r>
            <w:r w:rsidR="00C7103D" w:rsidRPr="00661595">
              <w:rPr>
                <w:rFonts w:ascii="Times New Roman" w:hAnsi="Times New Roman"/>
                <w:bCs/>
                <w:sz w:val="24"/>
                <w:lang w:eastAsia="nl-BE"/>
              </w:rPr>
              <w:t>CRR</w:t>
            </w:r>
          </w:p>
          <w:p w:rsidR="00C55547" w:rsidRPr="00661595" w:rsidRDefault="00C55547" w:rsidP="00E10B85">
            <w:pPr>
              <w:autoSpaceDE w:val="0"/>
              <w:autoSpaceDN w:val="0"/>
              <w:adjustRightInd w:val="0"/>
              <w:spacing w:before="0" w:after="0"/>
              <w:rPr>
                <w:rFonts w:ascii="Times New Roman" w:hAnsi="Times New Roman"/>
                <w:bCs/>
                <w:sz w:val="24"/>
                <w:lang w:eastAsia="nl-BE"/>
              </w:rPr>
            </w:pPr>
          </w:p>
        </w:tc>
      </w:tr>
      <w:tr w:rsidR="00C55547" w:rsidRPr="00661595" w:rsidTr="000911FE">
        <w:tc>
          <w:tcPr>
            <w:tcW w:w="1413" w:type="dxa"/>
          </w:tcPr>
          <w:p w:rsidR="00C55547" w:rsidRPr="00661595" w:rsidRDefault="002F79EA" w:rsidP="00E10B85">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C55547" w:rsidRPr="00661595">
              <w:rPr>
                <w:rFonts w:ascii="Times New Roman" w:hAnsi="Times New Roman"/>
                <w:sz w:val="24"/>
                <w:lang w:eastAsia="nl-BE"/>
              </w:rPr>
              <w:t>060-</w:t>
            </w:r>
            <w:r w:rsidRPr="00661595">
              <w:rPr>
                <w:rFonts w:ascii="Times New Roman" w:hAnsi="Times New Roman"/>
                <w:sz w:val="24"/>
                <w:lang w:eastAsia="nl-BE"/>
              </w:rPr>
              <w:t>0</w:t>
            </w:r>
            <w:r w:rsidR="00C55547" w:rsidRPr="00661595">
              <w:rPr>
                <w:rFonts w:ascii="Times New Roman" w:hAnsi="Times New Roman"/>
                <w:sz w:val="24"/>
                <w:lang w:eastAsia="nl-BE"/>
              </w:rPr>
              <w:t>080</w:t>
            </w:r>
          </w:p>
        </w:tc>
        <w:tc>
          <w:tcPr>
            <w:tcW w:w="7537" w:type="dxa"/>
          </w:tcPr>
          <w:p w:rsidR="00C55547" w:rsidRPr="00661595" w:rsidRDefault="00C55547" w:rsidP="00E10B85">
            <w:pPr>
              <w:rPr>
                <w:rStyle w:val="InstructionsTabelleberschrift"/>
                <w:rFonts w:ascii="Times New Roman" w:hAnsi="Times New Roman"/>
                <w:sz w:val="24"/>
              </w:rPr>
            </w:pPr>
            <w:r w:rsidRPr="00661595">
              <w:rPr>
                <w:rStyle w:val="InstructionsTabelleberschrift"/>
                <w:rFonts w:ascii="Times New Roman" w:hAnsi="Times New Roman"/>
                <w:sz w:val="24"/>
              </w:rPr>
              <w:t>INVESTOR</w:t>
            </w:r>
          </w:p>
          <w:p w:rsidR="00C55547" w:rsidRPr="00661595" w:rsidRDefault="00C55547" w:rsidP="00E10B85">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Credit institution that holds a securitisation positions in a securitisation transaction for which it is neither originator, sponsor nor original lender</w:t>
            </w:r>
            <w:r w:rsidR="00532026" w:rsidRPr="00661595">
              <w:rPr>
                <w:rFonts w:ascii="Times New Roman" w:hAnsi="Times New Roman"/>
                <w:bCs/>
                <w:sz w:val="24"/>
                <w:lang w:eastAsia="nl-BE"/>
              </w:rPr>
              <w:t>.</w:t>
            </w:r>
          </w:p>
          <w:p w:rsidR="00C55547" w:rsidRPr="00661595" w:rsidRDefault="00C55547" w:rsidP="00E10B85">
            <w:pPr>
              <w:autoSpaceDE w:val="0"/>
              <w:autoSpaceDN w:val="0"/>
              <w:adjustRightInd w:val="0"/>
              <w:spacing w:before="0" w:after="0"/>
              <w:rPr>
                <w:rFonts w:ascii="Times New Roman" w:hAnsi="Times New Roman"/>
                <w:bCs/>
                <w:sz w:val="24"/>
                <w:lang w:eastAsia="nl-BE"/>
              </w:rPr>
            </w:pPr>
          </w:p>
        </w:tc>
      </w:tr>
      <w:tr w:rsidR="00C55547" w:rsidRPr="00661595" w:rsidTr="000911FE">
        <w:tc>
          <w:tcPr>
            <w:tcW w:w="1413" w:type="dxa"/>
          </w:tcPr>
          <w:p w:rsidR="00C55547" w:rsidRPr="00661595" w:rsidRDefault="002F79EA" w:rsidP="00E10B85">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C55547" w:rsidRPr="00661595">
              <w:rPr>
                <w:rFonts w:ascii="Times New Roman" w:hAnsi="Times New Roman"/>
                <w:sz w:val="24"/>
                <w:lang w:eastAsia="nl-BE"/>
              </w:rPr>
              <w:t>090-</w:t>
            </w:r>
            <w:r w:rsidRPr="00661595">
              <w:rPr>
                <w:rFonts w:ascii="Times New Roman" w:hAnsi="Times New Roman"/>
                <w:sz w:val="24"/>
                <w:lang w:eastAsia="nl-BE"/>
              </w:rPr>
              <w:t>0</w:t>
            </w:r>
            <w:r w:rsidR="00C55547" w:rsidRPr="00661595">
              <w:rPr>
                <w:rFonts w:ascii="Times New Roman" w:hAnsi="Times New Roman"/>
                <w:sz w:val="24"/>
                <w:lang w:eastAsia="nl-BE"/>
              </w:rPr>
              <w:t>110</w:t>
            </w:r>
          </w:p>
        </w:tc>
        <w:tc>
          <w:tcPr>
            <w:tcW w:w="7537" w:type="dxa"/>
          </w:tcPr>
          <w:p w:rsidR="00C55547" w:rsidRPr="00661595" w:rsidRDefault="00C55547" w:rsidP="00E10B85">
            <w:pPr>
              <w:rPr>
                <w:rStyle w:val="InstructionsTabelleberschrift"/>
                <w:rFonts w:ascii="Times New Roman" w:hAnsi="Times New Roman"/>
                <w:sz w:val="24"/>
              </w:rPr>
            </w:pPr>
            <w:r w:rsidRPr="00661595">
              <w:rPr>
                <w:rStyle w:val="InstructionsTabelleberschrift"/>
                <w:rFonts w:ascii="Times New Roman" w:hAnsi="Times New Roman"/>
                <w:sz w:val="24"/>
              </w:rPr>
              <w:t>SPONSOR</w:t>
            </w:r>
          </w:p>
          <w:p w:rsidR="000242CC" w:rsidRPr="00661595" w:rsidRDefault="000242CC" w:rsidP="00E10B85">
            <w:pPr>
              <w:autoSpaceDE w:val="0"/>
              <w:autoSpaceDN w:val="0"/>
              <w:adjustRightInd w:val="0"/>
              <w:spacing w:before="0" w:after="0"/>
              <w:rPr>
                <w:rStyle w:val="InstructionsTabelleText"/>
                <w:rFonts w:ascii="Times New Roman" w:hAnsi="Times New Roman"/>
                <w:sz w:val="24"/>
              </w:rPr>
            </w:pPr>
            <w:r w:rsidRPr="00661595">
              <w:rPr>
                <w:rStyle w:val="InstructionsTabelleText"/>
                <w:rFonts w:ascii="Times New Roman" w:hAnsi="Times New Roman"/>
                <w:sz w:val="24"/>
              </w:rPr>
              <w:t xml:space="preserve">Point (14) of </w:t>
            </w:r>
            <w:r w:rsidR="00C55547" w:rsidRPr="00661595">
              <w:rPr>
                <w:rStyle w:val="InstructionsTabelleText"/>
                <w:rFonts w:ascii="Times New Roman" w:hAnsi="Times New Roman"/>
                <w:sz w:val="24"/>
              </w:rPr>
              <w:t>Article 4</w:t>
            </w:r>
            <w:r w:rsidR="00532026" w:rsidRPr="00661595">
              <w:rPr>
                <w:rStyle w:val="InstructionsTabelleText"/>
                <w:rFonts w:ascii="Times New Roman" w:hAnsi="Times New Roman"/>
                <w:sz w:val="24"/>
              </w:rPr>
              <w:t>(1)</w:t>
            </w:r>
            <w:r w:rsidR="00C55547" w:rsidRPr="00661595">
              <w:rPr>
                <w:rStyle w:val="InstructionsTabelleText"/>
                <w:rFonts w:ascii="Times New Roman" w:hAnsi="Times New Roman"/>
                <w:sz w:val="24"/>
              </w:rPr>
              <w:t xml:space="preserve"> </w:t>
            </w:r>
            <w:r w:rsidR="00C7103D" w:rsidRPr="00661595">
              <w:rPr>
                <w:rStyle w:val="InstructionsTabelleText"/>
                <w:rFonts w:ascii="Times New Roman" w:hAnsi="Times New Roman"/>
                <w:sz w:val="24"/>
              </w:rPr>
              <w:t>CRR</w:t>
            </w:r>
            <w:r w:rsidR="00C55547" w:rsidRPr="00661595">
              <w:rPr>
                <w:rStyle w:val="InstructionsTabelleText"/>
                <w:rFonts w:ascii="Times New Roman" w:hAnsi="Times New Roman"/>
                <w:sz w:val="24"/>
              </w:rPr>
              <w:t xml:space="preserve">. </w:t>
            </w:r>
          </w:p>
          <w:p w:rsidR="00C55547" w:rsidRPr="00661595" w:rsidRDefault="00532026" w:rsidP="00E64BFE">
            <w:pPr>
              <w:autoSpaceDE w:val="0"/>
              <w:autoSpaceDN w:val="0"/>
              <w:adjustRightInd w:val="0"/>
              <w:spacing w:before="0" w:after="0"/>
              <w:rPr>
                <w:rStyle w:val="InstructionsTabelleText"/>
                <w:rFonts w:ascii="Times New Roman" w:hAnsi="Times New Roman"/>
                <w:sz w:val="24"/>
              </w:rPr>
            </w:pPr>
            <w:r w:rsidRPr="00661595">
              <w:rPr>
                <w:rStyle w:val="InstructionsTabelleText"/>
                <w:rFonts w:ascii="Times New Roman" w:hAnsi="Times New Roman"/>
                <w:sz w:val="24"/>
              </w:rPr>
              <w:t>A</w:t>
            </w:r>
            <w:r w:rsidR="00C55547" w:rsidRPr="00661595">
              <w:rPr>
                <w:rStyle w:val="InstructionsTabelleText"/>
                <w:rFonts w:ascii="Times New Roman" w:hAnsi="Times New Roman"/>
                <w:sz w:val="24"/>
              </w:rPr>
              <w:t xml:space="preserve"> sponsor </w:t>
            </w:r>
            <w:r w:rsidRPr="00661595">
              <w:rPr>
                <w:rStyle w:val="InstructionsTabelleText"/>
                <w:rFonts w:ascii="Times New Roman" w:hAnsi="Times New Roman"/>
                <w:sz w:val="24"/>
              </w:rPr>
              <w:t xml:space="preserve">that </w:t>
            </w:r>
            <w:r w:rsidR="00C55547" w:rsidRPr="00661595">
              <w:rPr>
                <w:rStyle w:val="InstructionsTabelleText"/>
                <w:rFonts w:ascii="Times New Roman" w:hAnsi="Times New Roman"/>
                <w:sz w:val="24"/>
              </w:rPr>
              <w:t>also securitis</w:t>
            </w:r>
            <w:r w:rsidRPr="00661595">
              <w:rPr>
                <w:rStyle w:val="InstructionsTabelleText"/>
                <w:rFonts w:ascii="Times New Roman" w:hAnsi="Times New Roman"/>
                <w:sz w:val="24"/>
              </w:rPr>
              <w:t>es</w:t>
            </w:r>
            <w:r w:rsidR="00C55547" w:rsidRPr="00661595">
              <w:rPr>
                <w:rStyle w:val="InstructionsTabelleText"/>
                <w:rFonts w:ascii="Times New Roman" w:hAnsi="Times New Roman"/>
                <w:sz w:val="24"/>
              </w:rPr>
              <w:t xml:space="preserve"> it</w:t>
            </w:r>
            <w:r w:rsidRPr="00661595">
              <w:rPr>
                <w:rStyle w:val="InstructionsTabelleText"/>
                <w:rFonts w:ascii="Times New Roman" w:hAnsi="Times New Roman"/>
                <w:sz w:val="24"/>
              </w:rPr>
              <w:t>s</w:t>
            </w:r>
            <w:r w:rsidR="00C55547" w:rsidRPr="00661595">
              <w:rPr>
                <w:rStyle w:val="InstructionsTabelleText"/>
                <w:rFonts w:ascii="Times New Roman" w:hAnsi="Times New Roman"/>
                <w:sz w:val="24"/>
              </w:rPr>
              <w:t xml:space="preserve"> own assets shall fill in the originator's rows with the information regarding its own securitised assets</w:t>
            </w:r>
            <w:r w:rsidRPr="00661595">
              <w:rPr>
                <w:rStyle w:val="InstructionsTabelleText"/>
                <w:rFonts w:ascii="Times New Roman" w:hAnsi="Times New Roman"/>
                <w:sz w:val="24"/>
              </w:rPr>
              <w:t>.</w:t>
            </w:r>
          </w:p>
        </w:tc>
      </w:tr>
    </w:tbl>
    <w:p w:rsidR="000B0B09" w:rsidRPr="00661595" w:rsidRDefault="000B0B09" w:rsidP="000B0B09">
      <w:pPr>
        <w:autoSpaceDE w:val="0"/>
        <w:autoSpaceDN w:val="0"/>
        <w:adjustRightInd w:val="0"/>
        <w:spacing w:before="0" w:after="0"/>
        <w:rPr>
          <w:rFonts w:ascii="Times New Roman" w:hAnsi="Times New Roman"/>
          <w:sz w:val="24"/>
          <w:lang w:eastAsia="nl-BE"/>
        </w:rPr>
      </w:pPr>
    </w:p>
    <w:p w:rsidR="000B0B09" w:rsidRPr="00661595" w:rsidRDefault="000B0B09" w:rsidP="000B0B09">
      <w:pPr>
        <w:autoSpaceDE w:val="0"/>
        <w:autoSpaceDN w:val="0"/>
        <w:adjustRightInd w:val="0"/>
        <w:spacing w:before="0" w:after="0"/>
        <w:rPr>
          <w:rFonts w:ascii="Times New Roman" w:hAnsi="Times New Roman"/>
          <w:sz w:val="24"/>
          <w:lang w:eastAsia="nl-BE"/>
        </w:rPr>
      </w:pPr>
    </w:p>
    <w:p w:rsidR="000B0B09"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643" w:name="_Toc294172373"/>
      <w:bookmarkStart w:id="644" w:name="_Toc295830002"/>
      <w:bookmarkStart w:id="645" w:name="_Toc308426679"/>
      <w:bookmarkStart w:id="646" w:name="_Toc310415063"/>
      <w:bookmarkStart w:id="647" w:name="_Toc360188398"/>
      <w:bookmarkStart w:id="648" w:name="_Toc473561038"/>
      <w:bookmarkStart w:id="649" w:name="_Toc57831642"/>
      <w:r w:rsidRPr="00661595">
        <w:rPr>
          <w:rFonts w:ascii="Times New Roman" w:hAnsi="Times New Roman" w:cs="Times New Roman"/>
          <w:sz w:val="24"/>
          <w:u w:val="none"/>
          <w:lang w:val="en-GB"/>
        </w:rPr>
        <w:t>5.3.</w:t>
      </w:r>
      <w:r w:rsidRPr="00661595">
        <w:rPr>
          <w:rFonts w:ascii="Times New Roman" w:hAnsi="Times New Roman" w:cs="Times New Roman"/>
          <w:sz w:val="24"/>
          <w:u w:val="none"/>
          <w:lang w:val="en-GB"/>
        </w:rPr>
        <w:tab/>
      </w:r>
      <w:r w:rsidR="008B73EE" w:rsidRPr="00661595">
        <w:rPr>
          <w:rFonts w:ascii="Times New Roman" w:hAnsi="Times New Roman" w:cs="Times New Roman"/>
          <w:sz w:val="24"/>
          <w:lang w:val="en-GB"/>
        </w:rPr>
        <w:t xml:space="preserve">C 20.00 - </w:t>
      </w:r>
      <w:r w:rsidR="000B0B09" w:rsidRPr="00661595">
        <w:rPr>
          <w:rFonts w:ascii="Times New Roman" w:hAnsi="Times New Roman" w:cs="Times New Roman"/>
          <w:sz w:val="24"/>
          <w:lang w:val="en-GB"/>
        </w:rPr>
        <w:t>MARKET RISK: STANDARDISED APPROACH FOR SPECIFIC RISK FOR POSITIONS ASSIGNED TO THE CORRELATION TRADING PORTFOLIO (MKR SA CTP</w:t>
      </w:r>
      <w:bookmarkEnd w:id="643"/>
      <w:bookmarkEnd w:id="644"/>
      <w:bookmarkEnd w:id="645"/>
      <w:bookmarkEnd w:id="646"/>
      <w:r w:rsidR="000B0B09" w:rsidRPr="00661595">
        <w:rPr>
          <w:rFonts w:ascii="Times New Roman" w:hAnsi="Times New Roman" w:cs="Times New Roman"/>
          <w:sz w:val="24"/>
          <w:lang w:val="en-GB"/>
        </w:rPr>
        <w:t>)</w:t>
      </w:r>
      <w:bookmarkEnd w:id="647"/>
      <w:bookmarkEnd w:id="648"/>
      <w:bookmarkEnd w:id="649"/>
    </w:p>
    <w:p w:rsidR="000B0B09"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650" w:name="_Toc294172374"/>
      <w:bookmarkStart w:id="651" w:name="_Toc295830003"/>
      <w:bookmarkStart w:id="652" w:name="_Toc308426680"/>
      <w:bookmarkStart w:id="653" w:name="_Toc310415064"/>
      <w:bookmarkStart w:id="654" w:name="_Toc360188399"/>
      <w:bookmarkStart w:id="655" w:name="_Toc473561039"/>
      <w:bookmarkStart w:id="656" w:name="_Toc57831643"/>
      <w:r w:rsidRPr="00661595">
        <w:rPr>
          <w:rFonts w:ascii="Times New Roman" w:hAnsi="Times New Roman" w:cs="Times New Roman"/>
          <w:sz w:val="24"/>
          <w:u w:val="none"/>
          <w:lang w:val="en-GB"/>
        </w:rPr>
        <w:t>5.3.1.</w:t>
      </w:r>
      <w:r w:rsidRPr="00661595">
        <w:rPr>
          <w:rFonts w:ascii="Times New Roman" w:hAnsi="Times New Roman" w:cs="Times New Roman"/>
          <w:sz w:val="24"/>
          <w:u w:val="none"/>
          <w:lang w:val="en-GB"/>
        </w:rPr>
        <w:tab/>
      </w:r>
      <w:r w:rsidR="000B0B09" w:rsidRPr="00661595">
        <w:rPr>
          <w:rFonts w:ascii="Times New Roman" w:hAnsi="Times New Roman" w:cs="Times New Roman"/>
          <w:sz w:val="24"/>
          <w:lang w:val="en-GB"/>
        </w:rPr>
        <w:t>General Remarks</w:t>
      </w:r>
      <w:bookmarkEnd w:id="650"/>
      <w:bookmarkEnd w:id="651"/>
      <w:bookmarkEnd w:id="652"/>
      <w:bookmarkEnd w:id="653"/>
      <w:bookmarkEnd w:id="654"/>
      <w:bookmarkEnd w:id="655"/>
      <w:bookmarkEnd w:id="656"/>
    </w:p>
    <w:bookmarkStart w:id="657" w:name="_Toc294172375"/>
    <w:bookmarkStart w:id="658" w:name="_Toc295830004"/>
    <w:bookmarkStart w:id="659" w:name="_Toc308426681"/>
    <w:bookmarkStart w:id="660" w:name="_Toc310415065"/>
    <w:bookmarkStart w:id="661" w:name="_Toc360188400"/>
    <w:bookmarkStart w:id="662" w:name="_Toc473561040"/>
    <w:p w:rsidR="00C55547" w:rsidRPr="00661595" w:rsidRDefault="00771068" w:rsidP="00487A02">
      <w:pPr>
        <w:pStyle w:val="InstructionsText2"/>
        <w:numPr>
          <w:ilvl w:val="0"/>
          <w:numId w:val="0"/>
        </w:numPr>
        <w:ind w:left="1353" w:hanging="360"/>
      </w:pPr>
      <w:r>
        <w:fldChar w:fldCharType="begin"/>
      </w:r>
      <w:r>
        <w:instrText xml:space="preserve"> seq paragraphs </w:instrText>
      </w:r>
      <w:r>
        <w:fldChar w:fldCharType="separate"/>
      </w:r>
      <w:r>
        <w:rPr>
          <w:noProof/>
        </w:rPr>
        <w:t>165</w:t>
      </w:r>
      <w:r>
        <w:fldChar w:fldCharType="end"/>
      </w:r>
      <w:r w:rsidR="00C55547" w:rsidRPr="00661595">
        <w:t>.</w:t>
      </w:r>
      <w:r w:rsidR="005C14B0" w:rsidRPr="00661595">
        <w:t xml:space="preserve"> </w:t>
      </w:r>
      <w:r w:rsidR="00C55547" w:rsidRPr="00661595">
        <w:t xml:space="preserve">This template requests information on positions of the </w:t>
      </w:r>
      <w:r w:rsidR="00EF6FD5" w:rsidRPr="00661595">
        <w:t>Correlation Trading Portfolio (</w:t>
      </w:r>
      <w:r w:rsidR="00C55547" w:rsidRPr="00661595">
        <w:t>CTP</w:t>
      </w:r>
      <w:r w:rsidR="00EF6FD5" w:rsidRPr="00661595">
        <w:t>)</w:t>
      </w:r>
      <w:r w:rsidR="00C55547" w:rsidRPr="00661595">
        <w:t xml:space="preserve"> (comprising securitisations, nth-to-default credit derivatives and other CTP positions included </w:t>
      </w:r>
      <w:r w:rsidR="00BB22D4" w:rsidRPr="00661595">
        <w:t>in accordance with</w:t>
      </w:r>
      <w:r w:rsidR="00C55547" w:rsidRPr="00661595">
        <w:t xml:space="preserve"> Article 338(3) </w:t>
      </w:r>
      <w:r w:rsidR="00C7103D" w:rsidRPr="00661595">
        <w:t>CRR</w:t>
      </w:r>
      <w:r w:rsidR="00C55547" w:rsidRPr="00661595">
        <w:t xml:space="preserve">) and the corresponding own funds requirements under the </w:t>
      </w:r>
      <w:r w:rsidR="00CA21CA" w:rsidRPr="00661595">
        <w:t>Standardised Approach</w:t>
      </w:r>
      <w:r w:rsidR="00C55547" w:rsidRPr="00661595">
        <w:t>.</w:t>
      </w:r>
    </w:p>
    <w:p w:rsidR="00C55547" w:rsidRPr="00661595" w:rsidRDefault="00D11E4C" w:rsidP="00487A02">
      <w:pPr>
        <w:pStyle w:val="InstructionsText2"/>
        <w:numPr>
          <w:ilvl w:val="0"/>
          <w:numId w:val="0"/>
        </w:numPr>
        <w:ind w:left="1353" w:hanging="360"/>
      </w:pPr>
      <w:fldSimple w:instr=" seq paragraphs ">
        <w:r w:rsidR="00771068">
          <w:rPr>
            <w:noProof/>
          </w:rPr>
          <w:t>166</w:t>
        </w:r>
      </w:fldSimple>
      <w:r w:rsidR="00C55547" w:rsidRPr="00661595">
        <w:t>.</w:t>
      </w:r>
      <w:r w:rsidR="00C55547" w:rsidRPr="00661595">
        <w:tab/>
      </w:r>
      <w:r w:rsidR="005C14B0" w:rsidRPr="00661595">
        <w:t xml:space="preserve"> </w:t>
      </w:r>
      <w:r w:rsidR="00C55547" w:rsidRPr="00661595">
        <w:t xml:space="preserve">The MKR SA CTP template </w:t>
      </w:r>
      <w:r w:rsidR="00DE7B41" w:rsidRPr="00661595">
        <w:t xml:space="preserve">presents </w:t>
      </w:r>
      <w:r w:rsidR="00C55547" w:rsidRPr="00661595">
        <w:t>the own funds requirement only for the specific risk of positions assigned to the C</w:t>
      </w:r>
      <w:r w:rsidR="00EF6FD5" w:rsidRPr="00661595">
        <w:t>TP</w:t>
      </w:r>
      <w:r w:rsidR="00C55547" w:rsidRPr="00661595">
        <w:t xml:space="preserve"> </w:t>
      </w:r>
      <w:r w:rsidR="00BB22D4" w:rsidRPr="00661595">
        <w:t>in accordance with</w:t>
      </w:r>
      <w:r w:rsidR="00C55547" w:rsidRPr="00661595">
        <w:t xml:space="preserve"> Article 335 </w:t>
      </w:r>
      <w:r w:rsidR="00C7103D" w:rsidRPr="00661595">
        <w:t>CRR</w:t>
      </w:r>
      <w:r w:rsidR="00C55547" w:rsidRPr="00661595">
        <w:t xml:space="preserve"> in con</w:t>
      </w:r>
      <w:r w:rsidR="00B20317" w:rsidRPr="00661595">
        <w:t>junction</w:t>
      </w:r>
      <w:r w:rsidR="00C55547" w:rsidRPr="00661595">
        <w:t xml:space="preserve"> with </w:t>
      </w:r>
      <w:r w:rsidR="00EF6FD5" w:rsidRPr="00661595">
        <w:t xml:space="preserve">paragraphs 2 and 3 of </w:t>
      </w:r>
      <w:r w:rsidR="00C55547" w:rsidRPr="00661595">
        <w:t xml:space="preserve">Article 338 </w:t>
      </w:r>
      <w:r w:rsidR="00C7103D" w:rsidRPr="00661595">
        <w:t>CRR</w:t>
      </w:r>
      <w:r w:rsidR="00C55547" w:rsidRPr="00661595">
        <w:t xml:space="preserve">. If CTP-positions of the trading book are hedged by credit derivatives, Articles 346 and 347 </w:t>
      </w:r>
      <w:r w:rsidR="00C7103D" w:rsidRPr="00661595">
        <w:t>CRR</w:t>
      </w:r>
      <w:r w:rsidR="00C55547" w:rsidRPr="00661595">
        <w:t xml:space="preserve"> apply. There is only one template for all CTP-positions of the trading book, irrespective of the approach institutions apply to determine the risk weight for each of the positions </w:t>
      </w:r>
      <w:r w:rsidR="00BB22D4" w:rsidRPr="00661595">
        <w:t>in accordance with</w:t>
      </w:r>
      <w:r w:rsidR="00C55547" w:rsidRPr="00661595">
        <w:t xml:space="preserve"> </w:t>
      </w:r>
      <w:r w:rsidR="00EF6FD5" w:rsidRPr="00661595">
        <w:t xml:space="preserve">Chapter 5 of Title II of </w:t>
      </w:r>
      <w:r w:rsidR="00C55547" w:rsidRPr="00661595">
        <w:t xml:space="preserve">Part Three </w:t>
      </w:r>
      <w:r w:rsidR="00C7103D" w:rsidRPr="00661595">
        <w:t>CRR</w:t>
      </w:r>
      <w:r w:rsidR="00C55547" w:rsidRPr="00661595">
        <w:t xml:space="preserve">. The own funds requirements </w:t>
      </w:r>
      <w:r w:rsidR="00B20317" w:rsidRPr="00661595">
        <w:t xml:space="preserve">for </w:t>
      </w:r>
      <w:r w:rsidR="00C55547" w:rsidRPr="00661595">
        <w:t xml:space="preserve">the general risk of these positions </w:t>
      </w:r>
      <w:r w:rsidR="00E64BFE" w:rsidRPr="00661595">
        <w:t>are reported</w:t>
      </w:r>
      <w:r w:rsidR="00C55547" w:rsidRPr="00661595">
        <w:t xml:space="preserve"> in the MKR SA TDI or the MKR IM template.</w:t>
      </w:r>
    </w:p>
    <w:p w:rsidR="00C55547" w:rsidRPr="00661595" w:rsidRDefault="00D11E4C" w:rsidP="00487A02">
      <w:pPr>
        <w:pStyle w:val="InstructionsText2"/>
        <w:numPr>
          <w:ilvl w:val="0"/>
          <w:numId w:val="0"/>
        </w:numPr>
        <w:ind w:left="1353" w:hanging="360"/>
      </w:pPr>
      <w:fldSimple w:instr=" seq paragraphs ">
        <w:r w:rsidR="00771068">
          <w:rPr>
            <w:noProof/>
          </w:rPr>
          <w:t>167</w:t>
        </w:r>
      </w:fldSimple>
      <w:r w:rsidR="00C55547" w:rsidRPr="00661595">
        <w:t>.</w:t>
      </w:r>
      <w:r w:rsidR="00C55547" w:rsidRPr="00661595">
        <w:tab/>
      </w:r>
      <w:r w:rsidR="005C14B0" w:rsidRPr="00661595">
        <w:t xml:space="preserve"> </w:t>
      </w:r>
      <w:r w:rsidR="00C55547" w:rsidRPr="00661595">
        <w:t>Th</w:t>
      </w:r>
      <w:r w:rsidR="00E64BFE" w:rsidRPr="00661595">
        <w:t xml:space="preserve">e </w:t>
      </w:r>
      <w:r w:rsidR="00C55547" w:rsidRPr="00661595">
        <w:t xml:space="preserve">template separates securitisation positions, n-th to default credit derivatives and other CTP-positions. </w:t>
      </w:r>
      <w:r w:rsidR="00E64BFE" w:rsidRPr="00661595">
        <w:t>S</w:t>
      </w:r>
      <w:r w:rsidR="00C55547" w:rsidRPr="00661595">
        <w:t xml:space="preserve">ecuritisation positions shall always be reported in rows </w:t>
      </w:r>
      <w:r w:rsidR="002F79EA" w:rsidRPr="00661595">
        <w:t>0</w:t>
      </w:r>
      <w:r w:rsidR="00C55547" w:rsidRPr="00661595">
        <w:t xml:space="preserve">030, </w:t>
      </w:r>
      <w:r w:rsidR="002F79EA" w:rsidRPr="00661595">
        <w:t>0</w:t>
      </w:r>
      <w:r w:rsidR="00C55547" w:rsidRPr="00661595">
        <w:t xml:space="preserve">060 or </w:t>
      </w:r>
      <w:r w:rsidR="002F79EA" w:rsidRPr="00661595">
        <w:t>0</w:t>
      </w:r>
      <w:r w:rsidR="00C55547" w:rsidRPr="00661595">
        <w:t xml:space="preserve">090 (depending on the role of the institution in the securitisation). N-th to default credit derivatives shall always be reported in row </w:t>
      </w:r>
      <w:r w:rsidR="002F79EA" w:rsidRPr="00661595">
        <w:t>0</w:t>
      </w:r>
      <w:r w:rsidR="00C55547" w:rsidRPr="00661595">
        <w:t xml:space="preserve">110. The "other CTP-positions" </w:t>
      </w:r>
      <w:r w:rsidR="00E64BFE" w:rsidRPr="00661595">
        <w:t xml:space="preserve">are positions that </w:t>
      </w:r>
      <w:r w:rsidR="00C55547" w:rsidRPr="00661595">
        <w:t>are neither securitisation positions nor n-th to default credit derivatives (see Article 338(3) CRR), but they are explicitly "linked" to one of th</w:t>
      </w:r>
      <w:r w:rsidR="00EF6FD5" w:rsidRPr="00661595">
        <w:t>o</w:t>
      </w:r>
      <w:r w:rsidR="00C55547" w:rsidRPr="00661595">
        <w:t>se two positions</w:t>
      </w:r>
      <w:r w:rsidR="00E64BFE" w:rsidRPr="00661595">
        <w:t xml:space="preserve"> (because of the hedging intent)</w:t>
      </w:r>
      <w:r w:rsidR="00C55547" w:rsidRPr="00661595">
        <w:t xml:space="preserve">. </w:t>
      </w:r>
    </w:p>
    <w:p w:rsidR="00C55547" w:rsidRPr="00661595" w:rsidRDefault="00D11E4C" w:rsidP="00487A02">
      <w:pPr>
        <w:pStyle w:val="InstructionsText2"/>
        <w:numPr>
          <w:ilvl w:val="0"/>
          <w:numId w:val="0"/>
        </w:numPr>
        <w:ind w:left="1353" w:hanging="360"/>
      </w:pPr>
      <w:fldSimple w:instr=" seq paragraphs ">
        <w:r w:rsidR="00771068">
          <w:rPr>
            <w:noProof/>
          </w:rPr>
          <w:t>168</w:t>
        </w:r>
      </w:fldSimple>
      <w:r w:rsidR="00C55547" w:rsidRPr="00661595">
        <w:t>.</w:t>
      </w:r>
      <w:r w:rsidR="00C55547" w:rsidRPr="00661595">
        <w:tab/>
      </w:r>
      <w:r w:rsidR="005C14B0" w:rsidRPr="00661595">
        <w:t xml:space="preserve"> </w:t>
      </w:r>
      <w:r w:rsidR="00C55547" w:rsidRPr="00661595">
        <w:t>Positions which receive a risk weight of 1</w:t>
      </w:r>
      <w:r w:rsidR="006A66C9" w:rsidRPr="00661595">
        <w:t xml:space="preserve"> </w:t>
      </w:r>
      <w:r w:rsidR="00C55547" w:rsidRPr="00661595">
        <w:t xml:space="preserve">250% can alternatively be deducted from CET1 (see </w:t>
      </w:r>
      <w:r w:rsidR="00705025" w:rsidRPr="00661595">
        <w:t>point (b) of Article 244(1), point (b) of Article 245(1) and Article 253 CRR</w:t>
      </w:r>
      <w:r w:rsidR="00C55547" w:rsidRPr="00661595">
        <w:t xml:space="preserve">). </w:t>
      </w:r>
      <w:r w:rsidR="00EF6FD5" w:rsidRPr="00661595">
        <w:t>Where</w:t>
      </w:r>
      <w:r w:rsidR="00C55547" w:rsidRPr="00661595">
        <w:t xml:space="preserve"> this is the case, those positions have to be reported in row </w:t>
      </w:r>
      <w:r w:rsidR="002F79EA" w:rsidRPr="00661595">
        <w:t>0</w:t>
      </w:r>
      <w:r w:rsidR="00C55547" w:rsidRPr="00661595">
        <w:t>460 of CA1.</w:t>
      </w:r>
    </w:p>
    <w:p w:rsidR="000B0B09"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663" w:name="_Toc57831644"/>
      <w:r w:rsidRPr="00661595">
        <w:rPr>
          <w:rFonts w:ascii="Times New Roman" w:hAnsi="Times New Roman" w:cs="Times New Roman"/>
          <w:sz w:val="24"/>
          <w:u w:val="none"/>
          <w:lang w:val="en-GB"/>
        </w:rPr>
        <w:t>5.3.2.</w:t>
      </w:r>
      <w:r w:rsidRPr="00661595">
        <w:rPr>
          <w:rFonts w:ascii="Times New Roman" w:hAnsi="Times New Roman" w:cs="Times New Roman"/>
          <w:sz w:val="24"/>
          <w:u w:val="none"/>
          <w:lang w:val="en-GB"/>
        </w:rPr>
        <w:tab/>
      </w:r>
      <w:r w:rsidR="000B0B09" w:rsidRPr="00661595">
        <w:rPr>
          <w:rFonts w:ascii="Times New Roman" w:hAnsi="Times New Roman" w:cs="Times New Roman"/>
          <w:sz w:val="24"/>
          <w:lang w:val="en-GB"/>
        </w:rPr>
        <w:t>Instructions concerning specific positions</w:t>
      </w:r>
      <w:bookmarkEnd w:id="657"/>
      <w:bookmarkEnd w:id="658"/>
      <w:bookmarkEnd w:id="659"/>
      <w:bookmarkEnd w:id="660"/>
      <w:bookmarkEnd w:id="661"/>
      <w:bookmarkEnd w:id="662"/>
      <w:bookmarkEnd w:id="663"/>
    </w:p>
    <w:p w:rsidR="000B0B09" w:rsidRPr="00661595" w:rsidRDefault="000B0B09" w:rsidP="00E70AB0">
      <w:pPr>
        <w:autoSpaceDE w:val="0"/>
        <w:autoSpaceDN w:val="0"/>
        <w:adjustRightInd w:val="0"/>
        <w:spacing w:before="0" w:after="0"/>
        <w:rPr>
          <w:rFonts w:ascii="Times New Roman" w:hAnsi="Times New Roman"/>
          <w:sz w:val="24"/>
          <w:lang w:eastAsia="nl-B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6"/>
        <w:gridCol w:w="7874"/>
      </w:tblGrid>
      <w:tr w:rsidR="00C55547" w:rsidRPr="00661595" w:rsidTr="00E10B85">
        <w:trPr>
          <w:trHeight w:val="602"/>
        </w:trPr>
        <w:tc>
          <w:tcPr>
            <w:tcW w:w="8890" w:type="dxa"/>
            <w:gridSpan w:val="2"/>
            <w:shd w:val="clear" w:color="auto" w:fill="CCCCCC"/>
          </w:tcPr>
          <w:p w:rsidR="00C55547" w:rsidRPr="00661595" w:rsidRDefault="00C55547" w:rsidP="00E10B85">
            <w:pPr>
              <w:autoSpaceDE w:val="0"/>
              <w:autoSpaceDN w:val="0"/>
              <w:adjustRightInd w:val="0"/>
              <w:spacing w:after="0"/>
              <w:rPr>
                <w:rFonts w:ascii="Times New Roman" w:hAnsi="Times New Roman"/>
                <w:b/>
                <w:sz w:val="24"/>
                <w:lang w:eastAsia="nl-BE"/>
              </w:rPr>
            </w:pPr>
            <w:r w:rsidRPr="00661595">
              <w:rPr>
                <w:rFonts w:ascii="Times New Roman" w:hAnsi="Times New Roman"/>
                <w:b/>
                <w:sz w:val="24"/>
                <w:lang w:eastAsia="nl-BE"/>
              </w:rPr>
              <w:t>Columns</w:t>
            </w:r>
          </w:p>
        </w:tc>
      </w:tr>
      <w:tr w:rsidR="00C55547" w:rsidRPr="00661595" w:rsidTr="00E10B85">
        <w:tc>
          <w:tcPr>
            <w:tcW w:w="1016" w:type="dxa"/>
          </w:tcPr>
          <w:p w:rsidR="00C55547" w:rsidRPr="00661595" w:rsidRDefault="002F79EA" w:rsidP="00E10B85">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C55547" w:rsidRPr="00661595">
              <w:rPr>
                <w:rFonts w:ascii="Times New Roman" w:hAnsi="Times New Roman"/>
                <w:sz w:val="24"/>
                <w:lang w:eastAsia="nl-BE"/>
              </w:rPr>
              <w:t>010-</w:t>
            </w:r>
            <w:r w:rsidRPr="00661595">
              <w:rPr>
                <w:rFonts w:ascii="Times New Roman" w:hAnsi="Times New Roman"/>
                <w:sz w:val="24"/>
                <w:lang w:eastAsia="nl-BE"/>
              </w:rPr>
              <w:t>0</w:t>
            </w:r>
            <w:r w:rsidR="00C55547" w:rsidRPr="00661595">
              <w:rPr>
                <w:rFonts w:ascii="Times New Roman" w:hAnsi="Times New Roman"/>
                <w:sz w:val="24"/>
                <w:lang w:eastAsia="nl-BE"/>
              </w:rPr>
              <w:t>020</w:t>
            </w:r>
          </w:p>
        </w:tc>
        <w:tc>
          <w:tcPr>
            <w:tcW w:w="7874" w:type="dxa"/>
          </w:tcPr>
          <w:p w:rsidR="00C55547" w:rsidRPr="00661595" w:rsidRDefault="00C55547" w:rsidP="00E10B85">
            <w:pPr>
              <w:rPr>
                <w:rStyle w:val="InstructionsTabelleberschrift"/>
                <w:rFonts w:ascii="Times New Roman" w:hAnsi="Times New Roman"/>
                <w:sz w:val="24"/>
              </w:rPr>
            </w:pPr>
            <w:r w:rsidRPr="00661595">
              <w:rPr>
                <w:rStyle w:val="InstructionsTabelleberschrift"/>
                <w:rFonts w:ascii="Times New Roman" w:hAnsi="Times New Roman"/>
                <w:sz w:val="24"/>
              </w:rPr>
              <w:t>ALL POSITIONS (LONG AND SHORT)</w:t>
            </w:r>
          </w:p>
          <w:p w:rsidR="005C14B0" w:rsidRPr="00661595" w:rsidRDefault="00C55547" w:rsidP="00E10B85">
            <w:pPr>
              <w:rPr>
                <w:rFonts w:ascii="Times New Roman" w:hAnsi="Times New Roman"/>
                <w:sz w:val="24"/>
              </w:rPr>
            </w:pPr>
            <w:r w:rsidRPr="00661595">
              <w:rPr>
                <w:rFonts w:ascii="Times New Roman" w:hAnsi="Times New Roman"/>
                <w:sz w:val="24"/>
              </w:rPr>
              <w:t xml:space="preserve">Article 102 and </w:t>
            </w:r>
            <w:r w:rsidR="008241B9" w:rsidRPr="00661595">
              <w:rPr>
                <w:rFonts w:ascii="Times New Roman" w:hAnsi="Times New Roman"/>
                <w:sz w:val="24"/>
              </w:rPr>
              <w:t xml:space="preserve">Article </w:t>
            </w:r>
            <w:r w:rsidRPr="00661595">
              <w:rPr>
                <w:rFonts w:ascii="Times New Roman" w:hAnsi="Times New Roman"/>
                <w:sz w:val="24"/>
              </w:rPr>
              <w:t xml:space="preserve">105(1) </w:t>
            </w:r>
            <w:r w:rsidR="00C7103D" w:rsidRPr="00661595">
              <w:rPr>
                <w:rFonts w:ascii="Times New Roman" w:hAnsi="Times New Roman"/>
                <w:sz w:val="24"/>
              </w:rPr>
              <w:t>CRR</w:t>
            </w:r>
            <w:r w:rsidRPr="00661595">
              <w:rPr>
                <w:rFonts w:ascii="Times New Roman" w:hAnsi="Times New Roman"/>
                <w:sz w:val="24"/>
              </w:rPr>
              <w:t xml:space="preserve"> in con</w:t>
            </w:r>
            <w:r w:rsidR="00E64BFE" w:rsidRPr="00661595">
              <w:rPr>
                <w:rFonts w:ascii="Times New Roman" w:hAnsi="Times New Roman"/>
                <w:sz w:val="24"/>
              </w:rPr>
              <w:t xml:space="preserve">junction </w:t>
            </w:r>
            <w:r w:rsidR="00EF6FD5" w:rsidRPr="00661595">
              <w:rPr>
                <w:rFonts w:ascii="Times New Roman" w:hAnsi="Times New Roman"/>
                <w:sz w:val="24"/>
              </w:rPr>
              <w:t xml:space="preserve">paragraphs </w:t>
            </w:r>
            <w:r w:rsidR="002F79EA" w:rsidRPr="00661595">
              <w:rPr>
                <w:rFonts w:ascii="Times New Roman" w:hAnsi="Times New Roman"/>
                <w:sz w:val="24"/>
              </w:rPr>
              <w:t>(</w:t>
            </w:r>
            <w:r w:rsidR="00EF6FD5" w:rsidRPr="00661595">
              <w:rPr>
                <w:rFonts w:ascii="Times New Roman" w:hAnsi="Times New Roman"/>
                <w:sz w:val="24"/>
              </w:rPr>
              <w:t>2</w:t>
            </w:r>
            <w:r w:rsidR="002F79EA" w:rsidRPr="00661595">
              <w:rPr>
                <w:rFonts w:ascii="Times New Roman" w:hAnsi="Times New Roman"/>
                <w:sz w:val="24"/>
              </w:rPr>
              <w:t>)</w:t>
            </w:r>
            <w:r w:rsidR="00EF6FD5" w:rsidRPr="00661595">
              <w:rPr>
                <w:rFonts w:ascii="Times New Roman" w:hAnsi="Times New Roman"/>
                <w:sz w:val="24"/>
              </w:rPr>
              <w:t xml:space="preserve"> and </w:t>
            </w:r>
            <w:r w:rsidR="002F79EA" w:rsidRPr="00661595">
              <w:rPr>
                <w:rFonts w:ascii="Times New Roman" w:hAnsi="Times New Roman"/>
                <w:sz w:val="24"/>
              </w:rPr>
              <w:t>(</w:t>
            </w:r>
            <w:r w:rsidR="00EF6FD5" w:rsidRPr="00661595">
              <w:rPr>
                <w:rFonts w:ascii="Times New Roman" w:hAnsi="Times New Roman"/>
                <w:sz w:val="24"/>
              </w:rPr>
              <w:t>3</w:t>
            </w:r>
            <w:r w:rsidR="002F79EA" w:rsidRPr="00661595">
              <w:rPr>
                <w:rFonts w:ascii="Times New Roman" w:hAnsi="Times New Roman"/>
                <w:sz w:val="24"/>
              </w:rPr>
              <w:t>)</w:t>
            </w:r>
            <w:r w:rsidR="00EF6FD5" w:rsidRPr="00661595">
              <w:rPr>
                <w:rFonts w:ascii="Times New Roman" w:hAnsi="Times New Roman"/>
                <w:sz w:val="24"/>
              </w:rPr>
              <w:t xml:space="preserve"> of </w:t>
            </w:r>
            <w:r w:rsidRPr="00661595">
              <w:rPr>
                <w:rFonts w:ascii="Times New Roman" w:hAnsi="Times New Roman"/>
                <w:sz w:val="24"/>
              </w:rPr>
              <w:t xml:space="preserve">Article 338 </w:t>
            </w:r>
            <w:r w:rsidR="00C7103D" w:rsidRPr="00661595">
              <w:rPr>
                <w:rFonts w:ascii="Times New Roman" w:hAnsi="Times New Roman"/>
                <w:sz w:val="24"/>
              </w:rPr>
              <w:t>CRR</w:t>
            </w:r>
            <w:r w:rsidRPr="00661595">
              <w:rPr>
                <w:rFonts w:ascii="Times New Roman" w:hAnsi="Times New Roman"/>
                <w:sz w:val="24"/>
              </w:rPr>
              <w:t xml:space="preserve"> </w:t>
            </w:r>
            <w:r w:rsidR="00E64BFE" w:rsidRPr="00661595">
              <w:rPr>
                <w:rFonts w:ascii="Times New Roman" w:hAnsi="Times New Roman"/>
                <w:sz w:val="24"/>
              </w:rPr>
              <w:t>(positions assigned to the Correlation Trading Portfolio)</w:t>
            </w:r>
          </w:p>
          <w:p w:rsidR="00C55547" w:rsidRPr="00661595" w:rsidRDefault="00C55547" w:rsidP="0002267E">
            <w:pPr>
              <w:rPr>
                <w:rFonts w:ascii="Times New Roman" w:hAnsi="Times New Roman"/>
                <w:sz w:val="24"/>
                <w:lang w:eastAsia="nl-BE"/>
              </w:rPr>
            </w:pPr>
            <w:r w:rsidRPr="00661595">
              <w:rPr>
                <w:rFonts w:ascii="Times New Roman" w:hAnsi="Times New Roman"/>
                <w:sz w:val="24"/>
              </w:rPr>
              <w:t xml:space="preserve">Regarding the distinction between </w:t>
            </w:r>
            <w:r w:rsidR="00EF6FD5" w:rsidRPr="00661595">
              <w:rPr>
                <w:rFonts w:ascii="Times New Roman" w:hAnsi="Times New Roman"/>
                <w:sz w:val="24"/>
              </w:rPr>
              <w:t>l</w:t>
            </w:r>
            <w:r w:rsidRPr="00661595">
              <w:rPr>
                <w:rFonts w:ascii="Times New Roman" w:hAnsi="Times New Roman"/>
                <w:sz w:val="24"/>
              </w:rPr>
              <w:t xml:space="preserve">ong and </w:t>
            </w:r>
            <w:r w:rsidR="00EF6FD5" w:rsidRPr="00661595">
              <w:rPr>
                <w:rFonts w:ascii="Times New Roman" w:hAnsi="Times New Roman"/>
                <w:sz w:val="24"/>
              </w:rPr>
              <w:t>s</w:t>
            </w:r>
            <w:r w:rsidRPr="00661595">
              <w:rPr>
                <w:rFonts w:ascii="Times New Roman" w:hAnsi="Times New Roman"/>
                <w:sz w:val="24"/>
              </w:rPr>
              <w:t>hort positions, also applicable to th</w:t>
            </w:r>
            <w:r w:rsidR="00EF6FD5" w:rsidRPr="00661595">
              <w:rPr>
                <w:rFonts w:ascii="Times New Roman" w:hAnsi="Times New Roman"/>
                <w:sz w:val="24"/>
              </w:rPr>
              <w:t>o</w:t>
            </w:r>
            <w:r w:rsidRPr="00661595">
              <w:rPr>
                <w:rFonts w:ascii="Times New Roman" w:hAnsi="Times New Roman"/>
                <w:sz w:val="24"/>
              </w:rPr>
              <w:t xml:space="preserve">se gross positions, see Article 328(2) </w:t>
            </w:r>
            <w:r w:rsidR="00C7103D" w:rsidRPr="00661595">
              <w:rPr>
                <w:rFonts w:ascii="Times New Roman" w:hAnsi="Times New Roman"/>
                <w:sz w:val="24"/>
              </w:rPr>
              <w:t>CRR</w:t>
            </w:r>
            <w:r w:rsidRPr="00661595">
              <w:rPr>
                <w:rFonts w:ascii="Times New Roman" w:hAnsi="Times New Roman"/>
                <w:sz w:val="24"/>
              </w:rPr>
              <w:t>.</w:t>
            </w:r>
          </w:p>
        </w:tc>
      </w:tr>
      <w:tr w:rsidR="00C55547" w:rsidRPr="00661595" w:rsidTr="00E10B85">
        <w:tc>
          <w:tcPr>
            <w:tcW w:w="1016" w:type="dxa"/>
          </w:tcPr>
          <w:p w:rsidR="00C55547" w:rsidRPr="00661595" w:rsidRDefault="002F79EA" w:rsidP="00E10B85">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C55547" w:rsidRPr="00661595">
              <w:rPr>
                <w:rFonts w:ascii="Times New Roman" w:hAnsi="Times New Roman"/>
                <w:sz w:val="24"/>
                <w:lang w:eastAsia="nl-BE"/>
              </w:rPr>
              <w:t>030-</w:t>
            </w:r>
            <w:r w:rsidRPr="00661595">
              <w:rPr>
                <w:rFonts w:ascii="Times New Roman" w:hAnsi="Times New Roman"/>
                <w:sz w:val="24"/>
                <w:lang w:eastAsia="nl-BE"/>
              </w:rPr>
              <w:t>0</w:t>
            </w:r>
            <w:r w:rsidR="00C55547" w:rsidRPr="00661595">
              <w:rPr>
                <w:rFonts w:ascii="Times New Roman" w:hAnsi="Times New Roman"/>
                <w:sz w:val="24"/>
                <w:lang w:eastAsia="nl-BE"/>
              </w:rPr>
              <w:t>040</w:t>
            </w:r>
          </w:p>
        </w:tc>
        <w:tc>
          <w:tcPr>
            <w:tcW w:w="7874" w:type="dxa"/>
          </w:tcPr>
          <w:p w:rsidR="00C55547" w:rsidRPr="00661595" w:rsidRDefault="00C55547" w:rsidP="00E10B85">
            <w:pPr>
              <w:rPr>
                <w:rStyle w:val="InstructionsTabelleberschrift"/>
                <w:rFonts w:ascii="Times New Roman" w:hAnsi="Times New Roman"/>
                <w:sz w:val="24"/>
              </w:rPr>
            </w:pPr>
            <w:r w:rsidRPr="00661595">
              <w:rPr>
                <w:rStyle w:val="InstructionsTabelleberschrift"/>
                <w:rFonts w:ascii="Times New Roman" w:hAnsi="Times New Roman"/>
                <w:sz w:val="24"/>
              </w:rPr>
              <w:t>(-) POSITIONS DEDUCTED FROM OWN FUNDS (LONG AND SHORT)</w:t>
            </w:r>
          </w:p>
          <w:p w:rsidR="00C55547" w:rsidRPr="00661595" w:rsidRDefault="00C55547" w:rsidP="00E64BFE">
            <w:pPr>
              <w:rPr>
                <w:rFonts w:ascii="Times New Roman" w:hAnsi="Times New Roman"/>
                <w:sz w:val="24"/>
              </w:rPr>
            </w:pPr>
            <w:r w:rsidRPr="00661595">
              <w:rPr>
                <w:rFonts w:ascii="Times New Roman" w:hAnsi="Times New Roman"/>
                <w:sz w:val="24"/>
              </w:rPr>
              <w:t xml:space="preserve">Article 253 </w:t>
            </w:r>
            <w:r w:rsidR="00C7103D" w:rsidRPr="00661595">
              <w:rPr>
                <w:rFonts w:ascii="Times New Roman" w:hAnsi="Times New Roman"/>
                <w:sz w:val="24"/>
              </w:rPr>
              <w:t>CRR</w:t>
            </w:r>
            <w:r w:rsidRPr="00661595">
              <w:rPr>
                <w:rFonts w:ascii="Times New Roman" w:hAnsi="Times New Roman"/>
                <w:sz w:val="24"/>
              </w:rPr>
              <w:t xml:space="preserve"> </w:t>
            </w:r>
          </w:p>
        </w:tc>
      </w:tr>
      <w:tr w:rsidR="00C55547" w:rsidRPr="00661595" w:rsidTr="00E10B85">
        <w:tc>
          <w:tcPr>
            <w:tcW w:w="1016" w:type="dxa"/>
          </w:tcPr>
          <w:p w:rsidR="00C55547" w:rsidRPr="00661595" w:rsidRDefault="002F79EA" w:rsidP="00E10B85">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C55547" w:rsidRPr="00661595">
              <w:rPr>
                <w:rFonts w:ascii="Times New Roman" w:hAnsi="Times New Roman"/>
                <w:sz w:val="24"/>
                <w:lang w:eastAsia="nl-BE"/>
              </w:rPr>
              <w:t>050-</w:t>
            </w:r>
            <w:r w:rsidRPr="00661595">
              <w:rPr>
                <w:rFonts w:ascii="Times New Roman" w:hAnsi="Times New Roman"/>
                <w:sz w:val="24"/>
                <w:lang w:eastAsia="nl-BE"/>
              </w:rPr>
              <w:t>0</w:t>
            </w:r>
            <w:r w:rsidR="00C55547" w:rsidRPr="00661595">
              <w:rPr>
                <w:rFonts w:ascii="Times New Roman" w:hAnsi="Times New Roman"/>
                <w:sz w:val="24"/>
                <w:lang w:eastAsia="nl-BE"/>
              </w:rPr>
              <w:t>060</w:t>
            </w:r>
          </w:p>
        </w:tc>
        <w:tc>
          <w:tcPr>
            <w:tcW w:w="7874" w:type="dxa"/>
          </w:tcPr>
          <w:p w:rsidR="00C55547" w:rsidRPr="00661595" w:rsidRDefault="00C55547" w:rsidP="00E10B85">
            <w:pPr>
              <w:rPr>
                <w:rStyle w:val="InstructionsTabelleberschrift"/>
                <w:rFonts w:ascii="Times New Roman" w:hAnsi="Times New Roman"/>
                <w:sz w:val="24"/>
              </w:rPr>
            </w:pPr>
            <w:r w:rsidRPr="00661595">
              <w:rPr>
                <w:rStyle w:val="InstructionsTabelleberschrift"/>
                <w:rFonts w:ascii="Times New Roman" w:hAnsi="Times New Roman"/>
                <w:sz w:val="24"/>
              </w:rPr>
              <w:t>NET POSITIONS (LONG AND SHORT)</w:t>
            </w:r>
          </w:p>
          <w:p w:rsidR="005C14B0" w:rsidRPr="00661595" w:rsidRDefault="00C55547" w:rsidP="00E10B85">
            <w:pPr>
              <w:rPr>
                <w:rFonts w:ascii="Times New Roman" w:hAnsi="Times New Roman"/>
                <w:sz w:val="24"/>
              </w:rPr>
            </w:pPr>
            <w:r w:rsidRPr="00661595">
              <w:rPr>
                <w:rFonts w:ascii="Times New Roman" w:hAnsi="Times New Roman"/>
                <w:sz w:val="24"/>
              </w:rPr>
              <w:t>Articles 327</w:t>
            </w:r>
            <w:r w:rsidR="00EF6FD5" w:rsidRPr="00661595">
              <w:rPr>
                <w:rFonts w:ascii="Times New Roman" w:hAnsi="Times New Roman"/>
                <w:sz w:val="24"/>
              </w:rPr>
              <w:t>,</w:t>
            </w:r>
            <w:r w:rsidRPr="00661595">
              <w:rPr>
                <w:rFonts w:ascii="Times New Roman" w:hAnsi="Times New Roman"/>
                <w:sz w:val="24"/>
              </w:rPr>
              <w:t xml:space="preserve"> </w:t>
            </w:r>
            <w:r w:rsidR="00EF6FD5" w:rsidRPr="00661595">
              <w:rPr>
                <w:rFonts w:ascii="Times New Roman" w:hAnsi="Times New Roman"/>
                <w:sz w:val="24"/>
              </w:rPr>
              <w:t>328,</w:t>
            </w:r>
            <w:r w:rsidRPr="00661595">
              <w:rPr>
                <w:rFonts w:ascii="Times New Roman" w:hAnsi="Times New Roman"/>
                <w:sz w:val="24"/>
              </w:rPr>
              <w:t xml:space="preserve"> 329 and 334 </w:t>
            </w:r>
            <w:r w:rsidR="00C7103D" w:rsidRPr="00661595">
              <w:rPr>
                <w:rFonts w:ascii="Times New Roman" w:hAnsi="Times New Roman"/>
                <w:sz w:val="24"/>
              </w:rPr>
              <w:t>CRR</w:t>
            </w:r>
            <w:r w:rsidRPr="00661595">
              <w:rPr>
                <w:rFonts w:ascii="Times New Roman" w:hAnsi="Times New Roman"/>
                <w:sz w:val="24"/>
              </w:rPr>
              <w:t xml:space="preserve"> </w:t>
            </w:r>
          </w:p>
          <w:p w:rsidR="00C55547" w:rsidRPr="00661595" w:rsidRDefault="00C55547" w:rsidP="00E64BFE">
            <w:pPr>
              <w:rPr>
                <w:rFonts w:ascii="Times New Roman" w:hAnsi="Times New Roman"/>
                <w:sz w:val="24"/>
              </w:rPr>
            </w:pPr>
            <w:r w:rsidRPr="00661595">
              <w:rPr>
                <w:rFonts w:ascii="Times New Roman" w:hAnsi="Times New Roman"/>
                <w:sz w:val="24"/>
              </w:rPr>
              <w:t xml:space="preserve">Regarding the distinction between </w:t>
            </w:r>
            <w:r w:rsidR="00EF6FD5" w:rsidRPr="00661595">
              <w:rPr>
                <w:rFonts w:ascii="Times New Roman" w:hAnsi="Times New Roman"/>
                <w:sz w:val="24"/>
              </w:rPr>
              <w:t>l</w:t>
            </w:r>
            <w:r w:rsidRPr="00661595">
              <w:rPr>
                <w:rFonts w:ascii="Times New Roman" w:hAnsi="Times New Roman"/>
                <w:sz w:val="24"/>
              </w:rPr>
              <w:t xml:space="preserve">ong and </w:t>
            </w:r>
            <w:r w:rsidR="00EF6FD5" w:rsidRPr="00661595">
              <w:rPr>
                <w:rFonts w:ascii="Times New Roman" w:hAnsi="Times New Roman"/>
                <w:sz w:val="24"/>
              </w:rPr>
              <w:t>s</w:t>
            </w:r>
            <w:r w:rsidRPr="00661595">
              <w:rPr>
                <w:rFonts w:ascii="Times New Roman" w:hAnsi="Times New Roman"/>
                <w:sz w:val="24"/>
              </w:rPr>
              <w:t>hort positions</w:t>
            </w:r>
            <w:r w:rsidR="00EF6FD5" w:rsidRPr="00661595">
              <w:rPr>
                <w:rFonts w:ascii="Times New Roman" w:hAnsi="Times New Roman"/>
                <w:sz w:val="24"/>
              </w:rPr>
              <w:t>,</w:t>
            </w:r>
            <w:r w:rsidRPr="00661595">
              <w:rPr>
                <w:rFonts w:ascii="Times New Roman" w:hAnsi="Times New Roman"/>
                <w:sz w:val="24"/>
              </w:rPr>
              <w:t xml:space="preserve"> see Article 328(2) </w:t>
            </w:r>
            <w:r w:rsidR="00C7103D" w:rsidRPr="00661595">
              <w:rPr>
                <w:rFonts w:ascii="Times New Roman" w:hAnsi="Times New Roman"/>
                <w:sz w:val="24"/>
              </w:rPr>
              <w:t>CRR</w:t>
            </w:r>
            <w:r w:rsidRPr="00661595">
              <w:rPr>
                <w:rFonts w:ascii="Times New Roman" w:hAnsi="Times New Roman"/>
                <w:sz w:val="24"/>
              </w:rPr>
              <w:t>.</w:t>
            </w:r>
          </w:p>
        </w:tc>
      </w:tr>
      <w:tr w:rsidR="00C55547" w:rsidRPr="00661595" w:rsidTr="00E10B85">
        <w:tc>
          <w:tcPr>
            <w:tcW w:w="1016" w:type="dxa"/>
          </w:tcPr>
          <w:p w:rsidR="00C55547" w:rsidRPr="00661595" w:rsidRDefault="002F79EA" w:rsidP="00543964">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C55547" w:rsidRPr="00661595">
              <w:rPr>
                <w:rFonts w:ascii="Times New Roman" w:hAnsi="Times New Roman"/>
                <w:sz w:val="24"/>
                <w:lang w:eastAsia="nl-BE"/>
              </w:rPr>
              <w:t>071-</w:t>
            </w:r>
            <w:r w:rsidRPr="00661595">
              <w:rPr>
                <w:rFonts w:ascii="Times New Roman" w:hAnsi="Times New Roman"/>
                <w:sz w:val="24"/>
                <w:lang w:eastAsia="nl-BE"/>
              </w:rPr>
              <w:t>0</w:t>
            </w:r>
            <w:r w:rsidR="00543964" w:rsidRPr="00661595">
              <w:rPr>
                <w:rFonts w:ascii="Times New Roman" w:hAnsi="Times New Roman"/>
                <w:sz w:val="24"/>
                <w:lang w:eastAsia="nl-BE"/>
              </w:rPr>
              <w:t>097</w:t>
            </w:r>
          </w:p>
        </w:tc>
        <w:tc>
          <w:tcPr>
            <w:tcW w:w="7874" w:type="dxa"/>
          </w:tcPr>
          <w:p w:rsidR="00C55547" w:rsidRPr="00661595" w:rsidRDefault="00C55547" w:rsidP="00E10B85">
            <w:pPr>
              <w:rPr>
                <w:rStyle w:val="InstructionsTabelleberschrift"/>
                <w:rFonts w:ascii="Times New Roman" w:hAnsi="Times New Roman"/>
                <w:sz w:val="24"/>
              </w:rPr>
            </w:pPr>
            <w:r w:rsidRPr="00661595">
              <w:rPr>
                <w:rStyle w:val="InstructionsTabelleberschrift"/>
                <w:rFonts w:ascii="Times New Roman" w:hAnsi="Times New Roman"/>
                <w:sz w:val="24"/>
              </w:rPr>
              <w:t xml:space="preserve">BREAKDOWN OF THE NET POSITIONS </w:t>
            </w:r>
            <w:r w:rsidR="0090036A" w:rsidRPr="00661595">
              <w:rPr>
                <w:rStyle w:val="InstructionsTabelleberschrift"/>
                <w:rFonts w:ascii="Times New Roman" w:hAnsi="Times New Roman"/>
                <w:sz w:val="24"/>
              </w:rPr>
              <w:t>BY</w:t>
            </w:r>
            <w:r w:rsidRPr="00661595">
              <w:rPr>
                <w:rStyle w:val="InstructionsTabelleberschrift"/>
                <w:rFonts w:ascii="Times New Roman" w:hAnsi="Times New Roman"/>
                <w:sz w:val="24"/>
              </w:rPr>
              <w:t xml:space="preserve"> RISK WEIGHTS</w:t>
            </w:r>
          </w:p>
          <w:p w:rsidR="00C55547" w:rsidRPr="00661595" w:rsidRDefault="00133396" w:rsidP="00E64BFE">
            <w:pPr>
              <w:rPr>
                <w:rFonts w:ascii="Times New Roman" w:hAnsi="Times New Roman"/>
                <w:sz w:val="24"/>
              </w:rPr>
            </w:pPr>
            <w:r w:rsidRPr="00661595">
              <w:rPr>
                <w:rStyle w:val="InstructionsTabelleText"/>
                <w:rFonts w:ascii="Times New Roman" w:hAnsi="Times New Roman"/>
                <w:sz w:val="24"/>
              </w:rPr>
              <w:t>Articles 259 to 262, Tables 1 and 2 of Article 263, Tables 3 and 4 of Article 264 and Article 266 CRR</w:t>
            </w:r>
          </w:p>
        </w:tc>
      </w:tr>
      <w:tr w:rsidR="00C55547" w:rsidRPr="00661595" w:rsidTr="00E10B85">
        <w:tc>
          <w:tcPr>
            <w:tcW w:w="1016" w:type="dxa"/>
          </w:tcPr>
          <w:p w:rsidR="00C55547" w:rsidRPr="00661595" w:rsidRDefault="002F79EA" w:rsidP="00921700">
            <w:pPr>
              <w:rPr>
                <w:rFonts w:ascii="Times New Roman" w:hAnsi="Times New Roman"/>
                <w:sz w:val="24"/>
              </w:rPr>
            </w:pPr>
            <w:r w:rsidRPr="00661595">
              <w:rPr>
                <w:rFonts w:ascii="Times New Roman" w:hAnsi="Times New Roman"/>
                <w:sz w:val="24"/>
                <w:lang w:eastAsia="nl-BE"/>
              </w:rPr>
              <w:t>0</w:t>
            </w:r>
            <w:r w:rsidR="00C55547" w:rsidRPr="00661595">
              <w:rPr>
                <w:rFonts w:ascii="Times New Roman" w:hAnsi="Times New Roman"/>
                <w:sz w:val="24"/>
                <w:lang w:eastAsia="nl-BE"/>
              </w:rPr>
              <w:t>40</w:t>
            </w:r>
            <w:r w:rsidR="00921700" w:rsidRPr="00661595">
              <w:rPr>
                <w:rFonts w:ascii="Times New Roman" w:hAnsi="Times New Roman"/>
                <w:sz w:val="24"/>
                <w:lang w:eastAsia="nl-BE"/>
              </w:rPr>
              <w:t>2</w:t>
            </w:r>
            <w:r w:rsidR="00C55547" w:rsidRPr="00661595">
              <w:rPr>
                <w:rFonts w:ascii="Times New Roman" w:hAnsi="Times New Roman"/>
                <w:sz w:val="24"/>
                <w:lang w:eastAsia="nl-BE"/>
              </w:rPr>
              <w:t>-</w:t>
            </w:r>
            <w:r w:rsidRPr="00661595">
              <w:rPr>
                <w:rFonts w:ascii="Times New Roman" w:hAnsi="Times New Roman"/>
                <w:sz w:val="24"/>
                <w:lang w:eastAsia="nl-BE"/>
              </w:rPr>
              <w:t>0</w:t>
            </w:r>
            <w:r w:rsidR="00C55547" w:rsidRPr="00661595">
              <w:rPr>
                <w:rFonts w:ascii="Times New Roman" w:hAnsi="Times New Roman"/>
                <w:sz w:val="24"/>
                <w:lang w:eastAsia="nl-BE"/>
              </w:rPr>
              <w:t>40</w:t>
            </w:r>
            <w:r w:rsidR="00921700" w:rsidRPr="00661595">
              <w:rPr>
                <w:rFonts w:ascii="Times New Roman" w:hAnsi="Times New Roman"/>
                <w:sz w:val="24"/>
                <w:lang w:eastAsia="nl-BE"/>
              </w:rPr>
              <w:t>6</w:t>
            </w:r>
          </w:p>
        </w:tc>
        <w:tc>
          <w:tcPr>
            <w:tcW w:w="7874" w:type="dxa"/>
          </w:tcPr>
          <w:p w:rsidR="00C55547" w:rsidRPr="00661595" w:rsidRDefault="00543964" w:rsidP="00E10B85">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BREAKDOWN OF THE NET POSITION</w:t>
            </w:r>
            <w:r w:rsidR="006B3BAE" w:rsidRPr="00661595">
              <w:rPr>
                <w:rFonts w:ascii="Times New Roman" w:hAnsi="Times New Roman"/>
                <w:b/>
                <w:bCs/>
                <w:sz w:val="24"/>
                <w:u w:val="single"/>
                <w:lang w:eastAsia="nl-BE"/>
              </w:rPr>
              <w:t>S</w:t>
            </w:r>
            <w:r w:rsidR="00C55547" w:rsidRPr="00661595">
              <w:rPr>
                <w:rFonts w:ascii="Times New Roman" w:hAnsi="Times New Roman"/>
                <w:b/>
                <w:bCs/>
                <w:sz w:val="24"/>
                <w:u w:val="single"/>
                <w:lang w:eastAsia="nl-BE"/>
              </w:rPr>
              <w:t xml:space="preserve"> </w:t>
            </w:r>
            <w:r w:rsidR="00133396" w:rsidRPr="00661595">
              <w:rPr>
                <w:rFonts w:ascii="Times New Roman" w:hAnsi="Times New Roman"/>
                <w:b/>
                <w:bCs/>
                <w:sz w:val="24"/>
                <w:u w:val="single"/>
                <w:lang w:eastAsia="nl-BE"/>
              </w:rPr>
              <w:t>BY</w:t>
            </w:r>
            <w:r w:rsidR="00C55547" w:rsidRPr="00661595">
              <w:rPr>
                <w:rFonts w:ascii="Times New Roman" w:hAnsi="Times New Roman"/>
                <w:b/>
                <w:bCs/>
                <w:sz w:val="24"/>
                <w:u w:val="single"/>
                <w:lang w:eastAsia="nl-BE"/>
              </w:rPr>
              <w:t xml:space="preserve"> APPROACHES</w:t>
            </w:r>
          </w:p>
          <w:p w:rsidR="00C55547" w:rsidRPr="00661595" w:rsidRDefault="00C55547" w:rsidP="0002267E">
            <w:pPr>
              <w:autoSpaceDE w:val="0"/>
              <w:autoSpaceDN w:val="0"/>
              <w:adjustRightInd w:val="0"/>
              <w:spacing w:before="0" w:after="0"/>
              <w:rPr>
                <w:rStyle w:val="InstructionsTabelleberschrift"/>
                <w:rFonts w:ascii="Times New Roman" w:hAnsi="Times New Roman"/>
                <w:sz w:val="24"/>
              </w:rPr>
            </w:pPr>
            <w:r w:rsidRPr="00661595">
              <w:rPr>
                <w:rStyle w:val="InstructionsTabelleText"/>
                <w:rFonts w:ascii="Times New Roman" w:hAnsi="Times New Roman"/>
                <w:sz w:val="24"/>
              </w:rPr>
              <w:t xml:space="preserve">Article 254 </w:t>
            </w:r>
            <w:r w:rsidR="00C7103D" w:rsidRPr="00661595">
              <w:rPr>
                <w:rStyle w:val="InstructionsTabelleText"/>
                <w:rFonts w:ascii="Times New Roman" w:hAnsi="Times New Roman"/>
                <w:sz w:val="24"/>
              </w:rPr>
              <w:t>CRR</w:t>
            </w:r>
            <w:r w:rsidRPr="00661595">
              <w:rPr>
                <w:rStyle w:val="InstructionsTabelleText"/>
                <w:rFonts w:ascii="Times New Roman" w:hAnsi="Times New Roman"/>
                <w:sz w:val="24"/>
              </w:rPr>
              <w:t xml:space="preserve"> </w:t>
            </w:r>
          </w:p>
        </w:tc>
      </w:tr>
      <w:tr w:rsidR="00C55547" w:rsidRPr="00661595" w:rsidTr="00E10B85">
        <w:tc>
          <w:tcPr>
            <w:tcW w:w="1016" w:type="dxa"/>
          </w:tcPr>
          <w:p w:rsidR="00C55547" w:rsidRPr="00661595" w:rsidRDefault="002F79EA" w:rsidP="00921700">
            <w:pPr>
              <w:rPr>
                <w:rFonts w:ascii="Times New Roman" w:hAnsi="Times New Roman"/>
                <w:sz w:val="24"/>
              </w:rPr>
            </w:pPr>
            <w:r w:rsidRPr="00661595">
              <w:rPr>
                <w:rFonts w:ascii="Times New Roman" w:hAnsi="Times New Roman"/>
                <w:sz w:val="24"/>
                <w:lang w:eastAsia="nl-BE"/>
              </w:rPr>
              <w:t>0</w:t>
            </w:r>
            <w:r w:rsidR="00C55547" w:rsidRPr="00661595">
              <w:rPr>
                <w:rFonts w:ascii="Times New Roman" w:hAnsi="Times New Roman"/>
                <w:sz w:val="24"/>
                <w:lang w:eastAsia="nl-BE"/>
              </w:rPr>
              <w:t>40</w:t>
            </w:r>
            <w:r w:rsidR="00921700" w:rsidRPr="00661595">
              <w:rPr>
                <w:rFonts w:ascii="Times New Roman" w:hAnsi="Times New Roman"/>
                <w:sz w:val="24"/>
                <w:lang w:eastAsia="nl-BE"/>
              </w:rPr>
              <w:t>2</w:t>
            </w:r>
          </w:p>
        </w:tc>
        <w:tc>
          <w:tcPr>
            <w:tcW w:w="7874" w:type="dxa"/>
          </w:tcPr>
          <w:p w:rsidR="00C55547" w:rsidRPr="00661595" w:rsidRDefault="00C55547" w:rsidP="00E10B85">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SEC-IRBA</w:t>
            </w:r>
          </w:p>
          <w:p w:rsidR="00C55547" w:rsidRPr="00661595" w:rsidRDefault="00C55547" w:rsidP="0002267E">
            <w:pPr>
              <w:autoSpaceDE w:val="0"/>
              <w:autoSpaceDN w:val="0"/>
              <w:adjustRightInd w:val="0"/>
              <w:jc w:val="left"/>
              <w:rPr>
                <w:rStyle w:val="InstructionsTabelleberschrift"/>
                <w:rFonts w:ascii="Times New Roman" w:hAnsi="Times New Roman"/>
                <w:sz w:val="24"/>
              </w:rPr>
            </w:pPr>
            <w:r w:rsidRPr="00661595">
              <w:rPr>
                <w:rStyle w:val="InstructionsTabelleText"/>
                <w:rFonts w:ascii="Times New Roman" w:hAnsi="Times New Roman"/>
                <w:sz w:val="24"/>
              </w:rPr>
              <w:t>Article</w:t>
            </w:r>
            <w:r w:rsidR="005C14B0" w:rsidRPr="00661595">
              <w:rPr>
                <w:rStyle w:val="InstructionsTabelleText"/>
                <w:rFonts w:ascii="Times New Roman" w:hAnsi="Times New Roman"/>
                <w:sz w:val="24"/>
              </w:rPr>
              <w:t>s</w:t>
            </w:r>
            <w:r w:rsidRPr="00661595">
              <w:rPr>
                <w:rStyle w:val="InstructionsTabelleText"/>
                <w:rFonts w:ascii="Times New Roman" w:hAnsi="Times New Roman"/>
                <w:sz w:val="24"/>
              </w:rPr>
              <w:t xml:space="preserve"> 259 and 260 </w:t>
            </w:r>
            <w:r w:rsidR="00C7103D" w:rsidRPr="00661595">
              <w:rPr>
                <w:rStyle w:val="InstructionsTabelleText"/>
                <w:rFonts w:ascii="Times New Roman" w:hAnsi="Times New Roman"/>
                <w:sz w:val="24"/>
              </w:rPr>
              <w:t>CRR</w:t>
            </w:r>
          </w:p>
        </w:tc>
      </w:tr>
      <w:tr w:rsidR="00C55547" w:rsidRPr="009B627A" w:rsidTr="00E10B85">
        <w:tc>
          <w:tcPr>
            <w:tcW w:w="1016" w:type="dxa"/>
          </w:tcPr>
          <w:p w:rsidR="00C55547" w:rsidRPr="00661595" w:rsidRDefault="002F79EA" w:rsidP="00921700">
            <w:pPr>
              <w:rPr>
                <w:rFonts w:ascii="Times New Roman" w:hAnsi="Times New Roman"/>
                <w:sz w:val="24"/>
              </w:rPr>
            </w:pPr>
            <w:r w:rsidRPr="00661595">
              <w:rPr>
                <w:rFonts w:ascii="Times New Roman" w:hAnsi="Times New Roman"/>
                <w:sz w:val="24"/>
                <w:lang w:eastAsia="nl-BE"/>
              </w:rPr>
              <w:t>0</w:t>
            </w:r>
            <w:r w:rsidR="00C55547" w:rsidRPr="00661595">
              <w:rPr>
                <w:rFonts w:ascii="Times New Roman" w:hAnsi="Times New Roman"/>
                <w:sz w:val="24"/>
                <w:lang w:eastAsia="nl-BE"/>
              </w:rPr>
              <w:t>40</w:t>
            </w:r>
            <w:r w:rsidR="00921700" w:rsidRPr="00661595">
              <w:rPr>
                <w:rFonts w:ascii="Times New Roman" w:hAnsi="Times New Roman"/>
                <w:sz w:val="24"/>
                <w:lang w:eastAsia="nl-BE"/>
              </w:rPr>
              <w:t>3</w:t>
            </w:r>
          </w:p>
        </w:tc>
        <w:tc>
          <w:tcPr>
            <w:tcW w:w="7874" w:type="dxa"/>
          </w:tcPr>
          <w:p w:rsidR="00C55547" w:rsidRPr="00661595" w:rsidRDefault="00C55547" w:rsidP="00E10B85">
            <w:pPr>
              <w:autoSpaceDE w:val="0"/>
              <w:autoSpaceDN w:val="0"/>
              <w:adjustRightInd w:val="0"/>
              <w:spacing w:before="0" w:after="0"/>
              <w:rPr>
                <w:rFonts w:ascii="Times New Roman" w:hAnsi="Times New Roman"/>
                <w:b/>
                <w:bCs/>
                <w:sz w:val="24"/>
                <w:u w:val="single"/>
                <w:lang w:val="fr-BE" w:eastAsia="nl-BE"/>
              </w:rPr>
            </w:pPr>
            <w:r w:rsidRPr="00661595">
              <w:rPr>
                <w:rFonts w:ascii="Times New Roman" w:hAnsi="Times New Roman"/>
                <w:b/>
                <w:bCs/>
                <w:sz w:val="24"/>
                <w:u w:val="single"/>
                <w:lang w:val="fr-BE" w:eastAsia="nl-BE"/>
              </w:rPr>
              <w:t>SEC-SA</w:t>
            </w:r>
          </w:p>
          <w:p w:rsidR="00C55547" w:rsidRPr="00661595" w:rsidRDefault="00C55547" w:rsidP="0002267E">
            <w:pPr>
              <w:autoSpaceDE w:val="0"/>
              <w:autoSpaceDN w:val="0"/>
              <w:adjustRightInd w:val="0"/>
              <w:jc w:val="left"/>
              <w:rPr>
                <w:rStyle w:val="InstructionsTabelleberschrift"/>
                <w:rFonts w:ascii="Times New Roman" w:hAnsi="Times New Roman"/>
                <w:sz w:val="24"/>
                <w:lang w:val="fr-BE"/>
              </w:rPr>
            </w:pPr>
            <w:r w:rsidRPr="00661595">
              <w:rPr>
                <w:rStyle w:val="InstructionsTabelleText"/>
                <w:rFonts w:ascii="Times New Roman" w:hAnsi="Times New Roman"/>
                <w:sz w:val="24"/>
                <w:lang w:val="fr-BE"/>
              </w:rPr>
              <w:t>Article</w:t>
            </w:r>
            <w:r w:rsidR="005C14B0" w:rsidRPr="00661595">
              <w:rPr>
                <w:rStyle w:val="InstructionsTabelleText"/>
                <w:rFonts w:ascii="Times New Roman" w:hAnsi="Times New Roman"/>
                <w:sz w:val="24"/>
                <w:lang w:val="fr-BE"/>
              </w:rPr>
              <w:t>s</w:t>
            </w:r>
            <w:r w:rsidRPr="00661595">
              <w:rPr>
                <w:rStyle w:val="InstructionsTabelleText"/>
                <w:rFonts w:ascii="Times New Roman" w:hAnsi="Times New Roman"/>
                <w:sz w:val="24"/>
                <w:lang w:val="fr-BE"/>
              </w:rPr>
              <w:t xml:space="preserve"> 261 and 262 </w:t>
            </w:r>
            <w:r w:rsidR="00C7103D" w:rsidRPr="00661595">
              <w:rPr>
                <w:rStyle w:val="InstructionsTabelleText"/>
                <w:rFonts w:ascii="Times New Roman" w:hAnsi="Times New Roman"/>
                <w:sz w:val="24"/>
                <w:lang w:val="fr-BE"/>
              </w:rPr>
              <w:t>CRR</w:t>
            </w:r>
          </w:p>
        </w:tc>
      </w:tr>
      <w:tr w:rsidR="00C55547" w:rsidRPr="00661595" w:rsidTr="00E10B85">
        <w:tc>
          <w:tcPr>
            <w:tcW w:w="1016" w:type="dxa"/>
          </w:tcPr>
          <w:p w:rsidR="00C55547" w:rsidRPr="00661595" w:rsidRDefault="002F79EA" w:rsidP="00921700">
            <w:pPr>
              <w:rPr>
                <w:rFonts w:ascii="Times New Roman" w:hAnsi="Times New Roman"/>
                <w:sz w:val="24"/>
              </w:rPr>
            </w:pPr>
            <w:r w:rsidRPr="00661595">
              <w:rPr>
                <w:rFonts w:ascii="Times New Roman" w:hAnsi="Times New Roman"/>
                <w:sz w:val="24"/>
                <w:lang w:eastAsia="nl-BE"/>
              </w:rPr>
              <w:t>0</w:t>
            </w:r>
            <w:r w:rsidR="00C55547" w:rsidRPr="00661595">
              <w:rPr>
                <w:rFonts w:ascii="Times New Roman" w:hAnsi="Times New Roman"/>
                <w:sz w:val="24"/>
                <w:lang w:eastAsia="nl-BE"/>
              </w:rPr>
              <w:t>40</w:t>
            </w:r>
            <w:r w:rsidR="00921700" w:rsidRPr="00661595">
              <w:rPr>
                <w:rFonts w:ascii="Times New Roman" w:hAnsi="Times New Roman"/>
                <w:sz w:val="24"/>
                <w:lang w:eastAsia="nl-BE"/>
              </w:rPr>
              <w:t>4</w:t>
            </w:r>
          </w:p>
        </w:tc>
        <w:tc>
          <w:tcPr>
            <w:tcW w:w="7874" w:type="dxa"/>
          </w:tcPr>
          <w:p w:rsidR="00C55547" w:rsidRPr="00661595" w:rsidRDefault="00C55547" w:rsidP="00E10B85">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SEC-ERBA</w:t>
            </w:r>
          </w:p>
          <w:p w:rsidR="00C55547" w:rsidRPr="00661595" w:rsidRDefault="00C55547" w:rsidP="0002267E">
            <w:pPr>
              <w:autoSpaceDE w:val="0"/>
              <w:autoSpaceDN w:val="0"/>
              <w:adjustRightInd w:val="0"/>
              <w:jc w:val="left"/>
              <w:rPr>
                <w:rStyle w:val="InstructionsTabelleberschrift"/>
                <w:rFonts w:ascii="Times New Roman" w:hAnsi="Times New Roman"/>
                <w:sz w:val="24"/>
              </w:rPr>
            </w:pPr>
            <w:r w:rsidRPr="00661595">
              <w:rPr>
                <w:rStyle w:val="InstructionsTabelleText"/>
                <w:rFonts w:ascii="Times New Roman" w:hAnsi="Times New Roman"/>
                <w:sz w:val="24"/>
              </w:rPr>
              <w:t>Article</w:t>
            </w:r>
            <w:r w:rsidR="005C14B0" w:rsidRPr="00661595">
              <w:rPr>
                <w:rStyle w:val="InstructionsTabelleText"/>
                <w:rFonts w:ascii="Times New Roman" w:hAnsi="Times New Roman"/>
                <w:sz w:val="24"/>
              </w:rPr>
              <w:t>s</w:t>
            </w:r>
            <w:r w:rsidRPr="00661595">
              <w:rPr>
                <w:rStyle w:val="InstructionsTabelleText"/>
                <w:rFonts w:ascii="Times New Roman" w:hAnsi="Times New Roman"/>
                <w:sz w:val="24"/>
              </w:rPr>
              <w:t xml:space="preserve"> 263 and 264 </w:t>
            </w:r>
            <w:r w:rsidR="00C7103D" w:rsidRPr="00661595">
              <w:rPr>
                <w:rStyle w:val="InstructionsTabelleText"/>
                <w:rFonts w:ascii="Times New Roman" w:hAnsi="Times New Roman"/>
                <w:sz w:val="24"/>
              </w:rPr>
              <w:t>CRR</w:t>
            </w:r>
          </w:p>
        </w:tc>
      </w:tr>
      <w:tr w:rsidR="00C55547" w:rsidRPr="00661595" w:rsidTr="00E10B85">
        <w:tc>
          <w:tcPr>
            <w:tcW w:w="1016" w:type="dxa"/>
          </w:tcPr>
          <w:p w:rsidR="00C55547" w:rsidRPr="00661595" w:rsidRDefault="002F79EA" w:rsidP="00921700">
            <w:pPr>
              <w:rPr>
                <w:rFonts w:ascii="Times New Roman" w:hAnsi="Times New Roman"/>
                <w:sz w:val="24"/>
              </w:rPr>
            </w:pPr>
            <w:r w:rsidRPr="00661595">
              <w:rPr>
                <w:rFonts w:ascii="Times New Roman" w:hAnsi="Times New Roman"/>
                <w:sz w:val="24"/>
                <w:lang w:eastAsia="nl-BE"/>
              </w:rPr>
              <w:t>0</w:t>
            </w:r>
            <w:r w:rsidR="00C55547" w:rsidRPr="00661595">
              <w:rPr>
                <w:rFonts w:ascii="Times New Roman" w:hAnsi="Times New Roman"/>
                <w:sz w:val="24"/>
                <w:lang w:eastAsia="nl-BE"/>
              </w:rPr>
              <w:t>40</w:t>
            </w:r>
            <w:r w:rsidR="00921700" w:rsidRPr="00661595">
              <w:rPr>
                <w:rFonts w:ascii="Times New Roman" w:hAnsi="Times New Roman"/>
                <w:sz w:val="24"/>
                <w:lang w:eastAsia="nl-BE"/>
              </w:rPr>
              <w:t>5</w:t>
            </w:r>
          </w:p>
        </w:tc>
        <w:tc>
          <w:tcPr>
            <w:tcW w:w="7874" w:type="dxa"/>
          </w:tcPr>
          <w:p w:rsidR="00C55547" w:rsidRPr="00661595" w:rsidRDefault="00C55547" w:rsidP="00E10B85">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INTERNAL ASSESSMENT APPROACH</w:t>
            </w:r>
          </w:p>
          <w:p w:rsidR="00C55547" w:rsidRPr="00661595" w:rsidRDefault="00C55547" w:rsidP="0002267E">
            <w:pPr>
              <w:autoSpaceDE w:val="0"/>
              <w:autoSpaceDN w:val="0"/>
              <w:adjustRightInd w:val="0"/>
              <w:jc w:val="left"/>
              <w:rPr>
                <w:rStyle w:val="InstructionsTabelleberschrift"/>
                <w:rFonts w:ascii="Times New Roman" w:hAnsi="Times New Roman"/>
                <w:sz w:val="24"/>
              </w:rPr>
            </w:pPr>
            <w:r w:rsidRPr="00661595">
              <w:rPr>
                <w:rStyle w:val="InstructionsTabelleText"/>
                <w:rFonts w:ascii="Times New Roman" w:hAnsi="Times New Roman"/>
                <w:sz w:val="24"/>
              </w:rPr>
              <w:t>Articles 254</w:t>
            </w:r>
            <w:r w:rsidR="005F3BBE" w:rsidRPr="00661595">
              <w:rPr>
                <w:rStyle w:val="InstructionsTabelleText"/>
                <w:rFonts w:ascii="Times New Roman" w:hAnsi="Times New Roman"/>
                <w:sz w:val="24"/>
              </w:rPr>
              <w:t xml:space="preserve"> and</w:t>
            </w:r>
            <w:r w:rsidRPr="00661595">
              <w:rPr>
                <w:rStyle w:val="InstructionsTabelleText"/>
                <w:rFonts w:ascii="Times New Roman" w:hAnsi="Times New Roman"/>
                <w:sz w:val="24"/>
              </w:rPr>
              <w:t xml:space="preserve"> 265 and </w:t>
            </w:r>
            <w:r w:rsidR="008241B9" w:rsidRPr="00661595">
              <w:rPr>
                <w:rStyle w:val="InstructionsTabelleText"/>
                <w:rFonts w:ascii="Times New Roman" w:hAnsi="Times New Roman"/>
                <w:sz w:val="24"/>
              </w:rPr>
              <w:t xml:space="preserve">Article </w:t>
            </w:r>
            <w:r w:rsidRPr="00661595">
              <w:rPr>
                <w:rStyle w:val="InstructionsTabelleText"/>
                <w:rFonts w:ascii="Times New Roman" w:hAnsi="Times New Roman"/>
                <w:sz w:val="24"/>
              </w:rPr>
              <w:t xml:space="preserve">266(5) </w:t>
            </w:r>
            <w:r w:rsidR="00C7103D" w:rsidRPr="00661595">
              <w:rPr>
                <w:rStyle w:val="InstructionsTabelleText"/>
                <w:rFonts w:ascii="Times New Roman" w:hAnsi="Times New Roman"/>
                <w:sz w:val="24"/>
              </w:rPr>
              <w:t>CRR</w:t>
            </w:r>
            <w:r w:rsidRPr="00661595">
              <w:rPr>
                <w:rStyle w:val="InstructionsTabelleText"/>
                <w:rFonts w:ascii="Times New Roman" w:hAnsi="Times New Roman"/>
                <w:sz w:val="24"/>
              </w:rPr>
              <w:t>.</w:t>
            </w:r>
          </w:p>
        </w:tc>
      </w:tr>
      <w:tr w:rsidR="00C55547" w:rsidRPr="00661595" w:rsidTr="00E10B85">
        <w:tc>
          <w:tcPr>
            <w:tcW w:w="1016" w:type="dxa"/>
          </w:tcPr>
          <w:p w:rsidR="00C55547" w:rsidRPr="00661595" w:rsidRDefault="002F79EA" w:rsidP="00921700">
            <w:pPr>
              <w:rPr>
                <w:rFonts w:ascii="Times New Roman" w:hAnsi="Times New Roman"/>
                <w:sz w:val="24"/>
              </w:rPr>
            </w:pPr>
            <w:r w:rsidRPr="00661595">
              <w:rPr>
                <w:rFonts w:ascii="Times New Roman" w:hAnsi="Times New Roman"/>
                <w:sz w:val="24"/>
                <w:lang w:eastAsia="nl-BE"/>
              </w:rPr>
              <w:t>0</w:t>
            </w:r>
            <w:r w:rsidR="00C55547" w:rsidRPr="00661595">
              <w:rPr>
                <w:rFonts w:ascii="Times New Roman" w:hAnsi="Times New Roman"/>
                <w:sz w:val="24"/>
                <w:lang w:eastAsia="nl-BE"/>
              </w:rPr>
              <w:t>40</w:t>
            </w:r>
            <w:r w:rsidR="00921700" w:rsidRPr="00661595">
              <w:rPr>
                <w:rFonts w:ascii="Times New Roman" w:hAnsi="Times New Roman"/>
                <w:sz w:val="24"/>
                <w:lang w:eastAsia="nl-BE"/>
              </w:rPr>
              <w:t>6</w:t>
            </w:r>
          </w:p>
        </w:tc>
        <w:tc>
          <w:tcPr>
            <w:tcW w:w="7874" w:type="dxa"/>
          </w:tcPr>
          <w:p w:rsidR="00C55547" w:rsidRPr="00661595" w:rsidRDefault="00C55547" w:rsidP="00E10B85">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OTHER (RW=1</w:t>
            </w:r>
            <w:r w:rsidR="006A66C9" w:rsidRPr="00661595">
              <w:rPr>
                <w:rFonts w:ascii="Times New Roman" w:hAnsi="Times New Roman"/>
                <w:b/>
                <w:bCs/>
                <w:sz w:val="24"/>
                <w:u w:val="single"/>
                <w:lang w:eastAsia="nl-BE"/>
              </w:rPr>
              <w:t xml:space="preserve"> </w:t>
            </w:r>
            <w:r w:rsidRPr="00661595">
              <w:rPr>
                <w:rFonts w:ascii="Times New Roman" w:hAnsi="Times New Roman"/>
                <w:b/>
                <w:bCs/>
                <w:sz w:val="24"/>
                <w:u w:val="single"/>
                <w:lang w:eastAsia="nl-BE"/>
              </w:rPr>
              <w:t>250%)</w:t>
            </w:r>
          </w:p>
          <w:p w:rsidR="00C55547" w:rsidRPr="00661595" w:rsidRDefault="00C55547" w:rsidP="0002267E">
            <w:pPr>
              <w:autoSpaceDE w:val="0"/>
              <w:autoSpaceDN w:val="0"/>
              <w:adjustRightInd w:val="0"/>
              <w:jc w:val="left"/>
              <w:rPr>
                <w:rStyle w:val="InstructionsTabelleberschrift"/>
                <w:rFonts w:ascii="Times New Roman" w:hAnsi="Times New Roman"/>
                <w:sz w:val="24"/>
              </w:rPr>
            </w:pPr>
            <w:r w:rsidRPr="00661595">
              <w:rPr>
                <w:rStyle w:val="InstructionsTabelleText"/>
                <w:rFonts w:ascii="Times New Roman" w:hAnsi="Times New Roman"/>
                <w:sz w:val="24"/>
              </w:rPr>
              <w:t xml:space="preserve">Article 254(7) </w:t>
            </w:r>
            <w:r w:rsidR="00C7103D" w:rsidRPr="00661595">
              <w:rPr>
                <w:rStyle w:val="InstructionsTabelleText"/>
                <w:rFonts w:ascii="Times New Roman" w:hAnsi="Times New Roman"/>
                <w:sz w:val="24"/>
              </w:rPr>
              <w:t>CRR</w:t>
            </w:r>
          </w:p>
        </w:tc>
      </w:tr>
      <w:tr w:rsidR="00C55547" w:rsidRPr="00661595" w:rsidTr="00E10B85">
        <w:tc>
          <w:tcPr>
            <w:tcW w:w="1016" w:type="dxa"/>
          </w:tcPr>
          <w:p w:rsidR="00C55547" w:rsidRPr="00661595" w:rsidRDefault="002F79EA" w:rsidP="0002267E">
            <w:pPr>
              <w:rPr>
                <w:rFonts w:ascii="Times New Roman" w:hAnsi="Times New Roman"/>
                <w:sz w:val="24"/>
                <w:lang w:eastAsia="nl-BE"/>
              </w:rPr>
            </w:pPr>
            <w:r w:rsidRPr="00661595">
              <w:rPr>
                <w:rFonts w:ascii="Times New Roman" w:hAnsi="Times New Roman"/>
                <w:sz w:val="24"/>
              </w:rPr>
              <w:t>0</w:t>
            </w:r>
            <w:r w:rsidR="00C55547" w:rsidRPr="00661595">
              <w:rPr>
                <w:rFonts w:ascii="Times New Roman" w:hAnsi="Times New Roman"/>
                <w:sz w:val="24"/>
              </w:rPr>
              <w:t>410-</w:t>
            </w:r>
            <w:r w:rsidRPr="00661595">
              <w:rPr>
                <w:rFonts w:ascii="Times New Roman" w:hAnsi="Times New Roman"/>
                <w:sz w:val="24"/>
              </w:rPr>
              <w:t>0</w:t>
            </w:r>
            <w:r w:rsidR="00C55547" w:rsidRPr="00661595">
              <w:rPr>
                <w:rFonts w:ascii="Times New Roman" w:hAnsi="Times New Roman"/>
                <w:sz w:val="24"/>
              </w:rPr>
              <w:t>420</w:t>
            </w:r>
          </w:p>
        </w:tc>
        <w:tc>
          <w:tcPr>
            <w:tcW w:w="7874" w:type="dxa"/>
          </w:tcPr>
          <w:p w:rsidR="00C55547" w:rsidRPr="00661595" w:rsidRDefault="00C55547" w:rsidP="00E10B85">
            <w:pPr>
              <w:rPr>
                <w:rStyle w:val="InstructionsTabelleberschrift"/>
                <w:rFonts w:ascii="Times New Roman" w:hAnsi="Times New Roman"/>
                <w:sz w:val="24"/>
              </w:rPr>
            </w:pPr>
            <w:r w:rsidRPr="00661595">
              <w:rPr>
                <w:rStyle w:val="InstructionsTabelleberschrift"/>
                <w:rFonts w:ascii="Times New Roman" w:hAnsi="Times New Roman"/>
                <w:sz w:val="24"/>
              </w:rPr>
              <w:t>BEFORE CAP - WEIGHTED NET LONG / SHORT POSITIONS</w:t>
            </w:r>
          </w:p>
          <w:p w:rsidR="00C55547" w:rsidRPr="00661595" w:rsidRDefault="00C55547" w:rsidP="00E64BFE">
            <w:pPr>
              <w:rPr>
                <w:rFonts w:ascii="Times New Roman" w:hAnsi="Times New Roman"/>
                <w:sz w:val="24"/>
              </w:rPr>
            </w:pPr>
            <w:r w:rsidRPr="00661595">
              <w:rPr>
                <w:rFonts w:ascii="Times New Roman" w:hAnsi="Times New Roman"/>
                <w:sz w:val="24"/>
              </w:rPr>
              <w:t>Article 338</w:t>
            </w:r>
            <w:r w:rsidR="00E64BFE" w:rsidRPr="00661595">
              <w:rPr>
                <w:rFonts w:ascii="Times New Roman" w:hAnsi="Times New Roman"/>
                <w:sz w:val="24"/>
              </w:rPr>
              <w:t xml:space="preserve"> CRR</w:t>
            </w:r>
            <w:r w:rsidR="005F3BBE" w:rsidRPr="00661595">
              <w:rPr>
                <w:rFonts w:ascii="Times New Roman" w:hAnsi="Times New Roman"/>
                <w:sz w:val="24"/>
              </w:rPr>
              <w:t>,</w:t>
            </w:r>
            <w:r w:rsidRPr="00661595">
              <w:rPr>
                <w:rFonts w:ascii="Times New Roman" w:hAnsi="Times New Roman"/>
                <w:sz w:val="24"/>
              </w:rPr>
              <w:t xml:space="preserve"> without taking into account the discretion of Article 335 </w:t>
            </w:r>
            <w:r w:rsidR="00C7103D" w:rsidRPr="00661595">
              <w:rPr>
                <w:rFonts w:ascii="Times New Roman" w:hAnsi="Times New Roman"/>
                <w:sz w:val="24"/>
              </w:rPr>
              <w:t>CRR</w:t>
            </w:r>
          </w:p>
        </w:tc>
      </w:tr>
      <w:tr w:rsidR="00C55547" w:rsidRPr="00661595" w:rsidTr="00E10B85">
        <w:tc>
          <w:tcPr>
            <w:tcW w:w="1016" w:type="dxa"/>
          </w:tcPr>
          <w:p w:rsidR="00C55547" w:rsidRPr="00661595" w:rsidRDefault="002F79EA" w:rsidP="0002267E">
            <w:pPr>
              <w:rPr>
                <w:rFonts w:ascii="Times New Roman" w:hAnsi="Times New Roman"/>
                <w:sz w:val="24"/>
                <w:lang w:eastAsia="nl-BE"/>
              </w:rPr>
            </w:pPr>
            <w:r w:rsidRPr="00661595">
              <w:rPr>
                <w:rFonts w:ascii="Times New Roman" w:hAnsi="Times New Roman"/>
                <w:sz w:val="24"/>
              </w:rPr>
              <w:t>0</w:t>
            </w:r>
            <w:r w:rsidR="00C55547" w:rsidRPr="00661595">
              <w:rPr>
                <w:rFonts w:ascii="Times New Roman" w:hAnsi="Times New Roman"/>
                <w:sz w:val="24"/>
              </w:rPr>
              <w:t>430-</w:t>
            </w:r>
            <w:r w:rsidRPr="00661595">
              <w:rPr>
                <w:rFonts w:ascii="Times New Roman" w:hAnsi="Times New Roman"/>
                <w:sz w:val="24"/>
              </w:rPr>
              <w:t>0</w:t>
            </w:r>
            <w:r w:rsidR="00C55547" w:rsidRPr="00661595">
              <w:rPr>
                <w:rFonts w:ascii="Times New Roman" w:hAnsi="Times New Roman"/>
                <w:sz w:val="24"/>
              </w:rPr>
              <w:t>440</w:t>
            </w:r>
          </w:p>
        </w:tc>
        <w:tc>
          <w:tcPr>
            <w:tcW w:w="7874" w:type="dxa"/>
          </w:tcPr>
          <w:p w:rsidR="00C55547" w:rsidRPr="00661595" w:rsidRDefault="00C55547" w:rsidP="00E10B85">
            <w:pPr>
              <w:rPr>
                <w:rStyle w:val="InstructionsTabelleberschrift"/>
                <w:rFonts w:ascii="Times New Roman" w:hAnsi="Times New Roman"/>
                <w:sz w:val="24"/>
              </w:rPr>
            </w:pPr>
            <w:r w:rsidRPr="00661595">
              <w:rPr>
                <w:rStyle w:val="InstructionsTabelleberschrift"/>
                <w:rFonts w:ascii="Times New Roman" w:hAnsi="Times New Roman"/>
                <w:sz w:val="24"/>
              </w:rPr>
              <w:t>AFTER CAP - WEIGHTED NET LONG / SHORT POSITIONS</w:t>
            </w:r>
          </w:p>
          <w:p w:rsidR="00C55547" w:rsidRPr="00661595" w:rsidRDefault="00C55547">
            <w:pPr>
              <w:rPr>
                <w:rFonts w:ascii="Times New Roman" w:hAnsi="Times New Roman"/>
                <w:sz w:val="24"/>
              </w:rPr>
            </w:pPr>
            <w:r w:rsidRPr="00661595">
              <w:rPr>
                <w:rFonts w:ascii="Times New Roman" w:hAnsi="Times New Roman"/>
                <w:sz w:val="24"/>
              </w:rPr>
              <w:t>Article 338</w:t>
            </w:r>
            <w:r w:rsidR="00E64BFE" w:rsidRPr="00661595">
              <w:rPr>
                <w:rFonts w:ascii="Times New Roman" w:hAnsi="Times New Roman"/>
                <w:sz w:val="24"/>
              </w:rPr>
              <w:t xml:space="preserve"> CRR</w:t>
            </w:r>
            <w:r w:rsidR="005F3BBE" w:rsidRPr="00661595">
              <w:rPr>
                <w:rFonts w:ascii="Times New Roman" w:hAnsi="Times New Roman"/>
                <w:sz w:val="24"/>
              </w:rPr>
              <w:t>,</w:t>
            </w:r>
            <w:r w:rsidRPr="00661595">
              <w:rPr>
                <w:rFonts w:ascii="Times New Roman" w:hAnsi="Times New Roman"/>
                <w:sz w:val="24"/>
              </w:rPr>
              <w:t xml:space="preserve"> taking into account the discretion of Article 335 </w:t>
            </w:r>
            <w:r w:rsidR="00C7103D" w:rsidRPr="00661595">
              <w:rPr>
                <w:rFonts w:ascii="Times New Roman" w:hAnsi="Times New Roman"/>
                <w:sz w:val="24"/>
              </w:rPr>
              <w:t>CRR</w:t>
            </w:r>
            <w:r w:rsidRPr="00661595">
              <w:rPr>
                <w:rFonts w:ascii="Times New Roman" w:hAnsi="Times New Roman"/>
                <w:sz w:val="24"/>
              </w:rPr>
              <w:t xml:space="preserve"> </w:t>
            </w:r>
          </w:p>
        </w:tc>
      </w:tr>
      <w:tr w:rsidR="00C55547" w:rsidRPr="00661595" w:rsidTr="00E10B85">
        <w:tc>
          <w:tcPr>
            <w:tcW w:w="1016" w:type="dxa"/>
          </w:tcPr>
          <w:p w:rsidR="00C55547" w:rsidRPr="00661595" w:rsidRDefault="002F79EA" w:rsidP="0002267E">
            <w:pPr>
              <w:rPr>
                <w:rFonts w:ascii="Times New Roman" w:hAnsi="Times New Roman"/>
                <w:sz w:val="24"/>
                <w:lang w:eastAsia="nl-BE"/>
              </w:rPr>
            </w:pPr>
            <w:r w:rsidRPr="00661595">
              <w:rPr>
                <w:rFonts w:ascii="Times New Roman" w:hAnsi="Times New Roman"/>
                <w:sz w:val="24"/>
              </w:rPr>
              <w:t>0</w:t>
            </w:r>
            <w:r w:rsidR="00C55547" w:rsidRPr="00661595">
              <w:rPr>
                <w:rFonts w:ascii="Times New Roman" w:hAnsi="Times New Roman"/>
                <w:sz w:val="24"/>
              </w:rPr>
              <w:t>450</w:t>
            </w:r>
          </w:p>
        </w:tc>
        <w:tc>
          <w:tcPr>
            <w:tcW w:w="7874" w:type="dxa"/>
          </w:tcPr>
          <w:p w:rsidR="00C55547" w:rsidRPr="00661595" w:rsidRDefault="00C55547" w:rsidP="00E10B85">
            <w:pPr>
              <w:rPr>
                <w:rStyle w:val="InstructionsTabelleberschrift"/>
                <w:rFonts w:ascii="Times New Roman" w:hAnsi="Times New Roman"/>
                <w:sz w:val="24"/>
              </w:rPr>
            </w:pPr>
            <w:r w:rsidRPr="00661595">
              <w:rPr>
                <w:rStyle w:val="InstructionsTabelleberschrift"/>
                <w:rFonts w:ascii="Times New Roman" w:hAnsi="Times New Roman"/>
                <w:sz w:val="24"/>
              </w:rPr>
              <w:t>TOTAL OWN FUNDS REQUIREMENTS</w:t>
            </w:r>
          </w:p>
          <w:p w:rsidR="00C55547" w:rsidRPr="00661595" w:rsidRDefault="00C55547" w:rsidP="00E10B85">
            <w:pPr>
              <w:rPr>
                <w:rFonts w:ascii="Times New Roman" w:hAnsi="Times New Roman"/>
                <w:sz w:val="24"/>
              </w:rPr>
            </w:pPr>
            <w:r w:rsidRPr="00661595">
              <w:rPr>
                <w:rFonts w:ascii="Times New Roman" w:hAnsi="Times New Roman"/>
                <w:sz w:val="24"/>
              </w:rPr>
              <w:t xml:space="preserve">The own funds requirement is determined as the larger of either (i) the specific risk charge that would apply just to the net long positions (column </w:t>
            </w:r>
            <w:r w:rsidR="002F79EA" w:rsidRPr="00661595">
              <w:rPr>
                <w:rFonts w:ascii="Times New Roman" w:hAnsi="Times New Roman"/>
                <w:sz w:val="24"/>
              </w:rPr>
              <w:t>0</w:t>
            </w:r>
            <w:r w:rsidRPr="00661595">
              <w:rPr>
                <w:rFonts w:ascii="Times New Roman" w:hAnsi="Times New Roman"/>
                <w:sz w:val="24"/>
              </w:rPr>
              <w:t xml:space="preserve">430) or (ii) the specific risk charge that would apply just to the net short positions (column </w:t>
            </w:r>
            <w:r w:rsidR="002F79EA" w:rsidRPr="00661595">
              <w:rPr>
                <w:rFonts w:ascii="Times New Roman" w:hAnsi="Times New Roman"/>
                <w:sz w:val="24"/>
              </w:rPr>
              <w:t>0</w:t>
            </w:r>
            <w:r w:rsidRPr="00661595">
              <w:rPr>
                <w:rFonts w:ascii="Times New Roman" w:hAnsi="Times New Roman"/>
                <w:sz w:val="24"/>
              </w:rPr>
              <w:t>440).</w:t>
            </w:r>
          </w:p>
        </w:tc>
      </w:tr>
    </w:tbl>
    <w:p w:rsidR="00C55547" w:rsidRPr="00661595" w:rsidRDefault="00C55547" w:rsidP="00C55547">
      <w:pPr>
        <w:autoSpaceDE w:val="0"/>
        <w:autoSpaceDN w:val="0"/>
        <w:adjustRightInd w:val="0"/>
        <w:spacing w:before="0" w:after="0"/>
        <w:rPr>
          <w:rFonts w:ascii="Times New Roman" w:hAnsi="Times New Roman"/>
          <w:sz w:val="24"/>
          <w:lang w:eastAsia="nl-BE"/>
        </w:rPr>
      </w:pPr>
    </w:p>
    <w:p w:rsidR="00C55547" w:rsidRPr="00661595" w:rsidRDefault="00C55547" w:rsidP="00C55547">
      <w:pPr>
        <w:autoSpaceDE w:val="0"/>
        <w:autoSpaceDN w:val="0"/>
        <w:adjustRightInd w:val="0"/>
        <w:spacing w:before="0" w:after="0"/>
        <w:rPr>
          <w:rFonts w:ascii="Times New Roman" w:hAnsi="Times New Roman"/>
          <w:sz w:val="24"/>
          <w:lang w:eastAsia="nl-B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
        <w:gridCol w:w="8059"/>
      </w:tblGrid>
      <w:tr w:rsidR="00C55547" w:rsidRPr="00661595" w:rsidTr="00E10B85">
        <w:trPr>
          <w:trHeight w:val="642"/>
        </w:trPr>
        <w:tc>
          <w:tcPr>
            <w:tcW w:w="9212" w:type="dxa"/>
            <w:gridSpan w:val="2"/>
            <w:shd w:val="clear" w:color="auto" w:fill="CCCCCC"/>
          </w:tcPr>
          <w:p w:rsidR="00C55547" w:rsidRPr="00661595" w:rsidRDefault="00C55547" w:rsidP="00E10B85">
            <w:pPr>
              <w:autoSpaceDE w:val="0"/>
              <w:autoSpaceDN w:val="0"/>
              <w:adjustRightInd w:val="0"/>
              <w:spacing w:after="0"/>
              <w:rPr>
                <w:rFonts w:ascii="Times New Roman" w:hAnsi="Times New Roman"/>
                <w:b/>
                <w:sz w:val="24"/>
                <w:lang w:eastAsia="nl-BE"/>
              </w:rPr>
            </w:pPr>
            <w:r w:rsidRPr="00661595">
              <w:rPr>
                <w:rFonts w:ascii="Times New Roman" w:hAnsi="Times New Roman"/>
                <w:b/>
                <w:sz w:val="24"/>
                <w:lang w:eastAsia="nl-BE"/>
              </w:rPr>
              <w:t>Rows</w:t>
            </w:r>
          </w:p>
        </w:tc>
      </w:tr>
      <w:tr w:rsidR="00C55547" w:rsidRPr="00661595" w:rsidTr="00E10B85">
        <w:tc>
          <w:tcPr>
            <w:tcW w:w="1008" w:type="dxa"/>
          </w:tcPr>
          <w:p w:rsidR="00C55547" w:rsidRPr="00661595" w:rsidRDefault="002F79EA" w:rsidP="00E10B85">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C55547" w:rsidRPr="00661595">
              <w:rPr>
                <w:rFonts w:ascii="Times New Roman" w:hAnsi="Times New Roman"/>
                <w:sz w:val="24"/>
                <w:lang w:eastAsia="nl-BE"/>
              </w:rPr>
              <w:t>010</w:t>
            </w:r>
          </w:p>
        </w:tc>
        <w:tc>
          <w:tcPr>
            <w:tcW w:w="8204" w:type="dxa"/>
          </w:tcPr>
          <w:p w:rsidR="00C55547" w:rsidRPr="00661595" w:rsidRDefault="00C55547" w:rsidP="00E10B85">
            <w:pPr>
              <w:rPr>
                <w:rStyle w:val="InstructionsTabelleberschrift"/>
                <w:rFonts w:ascii="Times New Roman" w:hAnsi="Times New Roman"/>
                <w:sz w:val="24"/>
              </w:rPr>
            </w:pPr>
            <w:r w:rsidRPr="00661595">
              <w:rPr>
                <w:rStyle w:val="InstructionsTabelleberschrift"/>
                <w:rFonts w:ascii="Times New Roman" w:hAnsi="Times New Roman"/>
                <w:sz w:val="24"/>
              </w:rPr>
              <w:t>TOTAL EXPOSURES</w:t>
            </w:r>
          </w:p>
          <w:p w:rsidR="00C55547" w:rsidRPr="00661595" w:rsidRDefault="00C55547" w:rsidP="00E10B85">
            <w:pPr>
              <w:rPr>
                <w:rFonts w:ascii="Times New Roman" w:hAnsi="Times New Roman"/>
                <w:sz w:val="24"/>
                <w:lang w:eastAsia="nl-BE"/>
              </w:rPr>
            </w:pPr>
            <w:r w:rsidRPr="00661595">
              <w:rPr>
                <w:rFonts w:ascii="Times New Roman" w:hAnsi="Times New Roman"/>
                <w:sz w:val="24"/>
              </w:rPr>
              <w:t>Total amount of outstanding positions (held in the correlation trading portfolio) reported by the institution playing the role/s of originator, investor or sponsor.</w:t>
            </w:r>
          </w:p>
        </w:tc>
      </w:tr>
      <w:tr w:rsidR="00C55547" w:rsidRPr="00661595" w:rsidTr="00E10B85">
        <w:tc>
          <w:tcPr>
            <w:tcW w:w="1008" w:type="dxa"/>
          </w:tcPr>
          <w:p w:rsidR="00C55547" w:rsidRPr="00661595" w:rsidRDefault="002F79EA" w:rsidP="00E10B85">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C55547" w:rsidRPr="00661595">
              <w:rPr>
                <w:rFonts w:ascii="Times New Roman" w:hAnsi="Times New Roman"/>
                <w:sz w:val="24"/>
                <w:lang w:eastAsia="nl-BE"/>
              </w:rPr>
              <w:t>020-</w:t>
            </w:r>
            <w:r w:rsidRPr="00661595">
              <w:rPr>
                <w:rFonts w:ascii="Times New Roman" w:hAnsi="Times New Roman"/>
                <w:sz w:val="24"/>
                <w:lang w:eastAsia="nl-BE"/>
              </w:rPr>
              <w:t>0</w:t>
            </w:r>
            <w:r w:rsidR="00C55547" w:rsidRPr="00661595">
              <w:rPr>
                <w:rFonts w:ascii="Times New Roman" w:hAnsi="Times New Roman"/>
                <w:sz w:val="24"/>
                <w:lang w:eastAsia="nl-BE"/>
              </w:rPr>
              <w:t>040</w:t>
            </w:r>
          </w:p>
        </w:tc>
        <w:tc>
          <w:tcPr>
            <w:tcW w:w="8204" w:type="dxa"/>
          </w:tcPr>
          <w:p w:rsidR="00C55547" w:rsidRPr="00661595" w:rsidRDefault="00C55547" w:rsidP="00E10B85">
            <w:pPr>
              <w:rPr>
                <w:rStyle w:val="InstructionsTabelleberschrift"/>
                <w:rFonts w:ascii="Times New Roman" w:hAnsi="Times New Roman"/>
                <w:sz w:val="24"/>
              </w:rPr>
            </w:pPr>
            <w:r w:rsidRPr="00661595">
              <w:rPr>
                <w:rStyle w:val="InstructionsTabelleberschrift"/>
                <w:rFonts w:ascii="Times New Roman" w:hAnsi="Times New Roman"/>
                <w:sz w:val="24"/>
              </w:rPr>
              <w:t>ORIGINATOR</w:t>
            </w:r>
          </w:p>
          <w:p w:rsidR="00C55547" w:rsidRPr="00661595" w:rsidRDefault="00E64BFE" w:rsidP="00E64BFE">
            <w:pPr>
              <w:rPr>
                <w:rFonts w:ascii="Times New Roman" w:hAnsi="Times New Roman"/>
                <w:sz w:val="24"/>
              </w:rPr>
            </w:pPr>
            <w:r w:rsidRPr="00661595">
              <w:rPr>
                <w:rFonts w:ascii="Times New Roman" w:hAnsi="Times New Roman"/>
                <w:sz w:val="24"/>
              </w:rPr>
              <w:t xml:space="preserve">Point (13) of </w:t>
            </w:r>
            <w:r w:rsidR="00C55547" w:rsidRPr="00661595">
              <w:rPr>
                <w:rFonts w:ascii="Times New Roman" w:hAnsi="Times New Roman"/>
                <w:sz w:val="24"/>
              </w:rPr>
              <w:t xml:space="preserve">Article 4(1) </w:t>
            </w:r>
            <w:r w:rsidR="00C7103D" w:rsidRPr="00661595">
              <w:rPr>
                <w:rFonts w:ascii="Times New Roman" w:hAnsi="Times New Roman"/>
                <w:sz w:val="24"/>
              </w:rPr>
              <w:t>CRR</w:t>
            </w:r>
            <w:r w:rsidR="00C55547" w:rsidRPr="00661595">
              <w:rPr>
                <w:rFonts w:ascii="Times New Roman" w:hAnsi="Times New Roman"/>
                <w:sz w:val="24"/>
              </w:rPr>
              <w:t xml:space="preserve"> </w:t>
            </w:r>
          </w:p>
        </w:tc>
      </w:tr>
      <w:tr w:rsidR="00C55547" w:rsidRPr="00661595" w:rsidTr="00E10B85">
        <w:tc>
          <w:tcPr>
            <w:tcW w:w="1008" w:type="dxa"/>
          </w:tcPr>
          <w:p w:rsidR="00C55547" w:rsidRPr="00661595" w:rsidRDefault="002F79EA" w:rsidP="00E10B85">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C55547" w:rsidRPr="00661595">
              <w:rPr>
                <w:rFonts w:ascii="Times New Roman" w:hAnsi="Times New Roman"/>
                <w:sz w:val="24"/>
                <w:lang w:eastAsia="nl-BE"/>
              </w:rPr>
              <w:t>050-</w:t>
            </w:r>
            <w:r w:rsidRPr="00661595">
              <w:rPr>
                <w:rFonts w:ascii="Times New Roman" w:hAnsi="Times New Roman"/>
                <w:sz w:val="24"/>
                <w:lang w:eastAsia="nl-BE"/>
              </w:rPr>
              <w:t>0</w:t>
            </w:r>
            <w:r w:rsidR="00C55547" w:rsidRPr="00661595">
              <w:rPr>
                <w:rFonts w:ascii="Times New Roman" w:hAnsi="Times New Roman"/>
                <w:sz w:val="24"/>
                <w:lang w:eastAsia="nl-BE"/>
              </w:rPr>
              <w:t>070</w:t>
            </w:r>
          </w:p>
        </w:tc>
        <w:tc>
          <w:tcPr>
            <w:tcW w:w="8204" w:type="dxa"/>
          </w:tcPr>
          <w:p w:rsidR="00C55547" w:rsidRPr="00661595" w:rsidRDefault="00C55547" w:rsidP="00E10B85">
            <w:pPr>
              <w:rPr>
                <w:rStyle w:val="InstructionsTabelleberschrift"/>
                <w:rFonts w:ascii="Times New Roman" w:hAnsi="Times New Roman"/>
                <w:sz w:val="24"/>
              </w:rPr>
            </w:pPr>
            <w:r w:rsidRPr="00661595">
              <w:rPr>
                <w:rStyle w:val="InstructionsTabelleberschrift"/>
                <w:rFonts w:ascii="Times New Roman" w:hAnsi="Times New Roman"/>
                <w:sz w:val="24"/>
              </w:rPr>
              <w:t>INVESTOR</w:t>
            </w:r>
          </w:p>
          <w:p w:rsidR="00C55547" w:rsidRPr="00661595" w:rsidRDefault="00C55547">
            <w:pPr>
              <w:rPr>
                <w:rFonts w:ascii="Times New Roman" w:hAnsi="Times New Roman"/>
                <w:sz w:val="24"/>
              </w:rPr>
            </w:pPr>
            <w:r w:rsidRPr="00661595">
              <w:rPr>
                <w:rFonts w:ascii="Times New Roman" w:hAnsi="Times New Roman"/>
                <w:sz w:val="24"/>
              </w:rPr>
              <w:t>Credit institution that holds a securitisation positions in a securitisation transaction for which it is neither originator, sponsor nor original lender</w:t>
            </w:r>
          </w:p>
        </w:tc>
      </w:tr>
      <w:tr w:rsidR="00C55547" w:rsidRPr="00661595" w:rsidTr="00E10B85">
        <w:tc>
          <w:tcPr>
            <w:tcW w:w="1008" w:type="dxa"/>
          </w:tcPr>
          <w:p w:rsidR="00C55547" w:rsidRPr="00661595" w:rsidRDefault="002F79EA" w:rsidP="00E10B85">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C55547" w:rsidRPr="00661595">
              <w:rPr>
                <w:rFonts w:ascii="Times New Roman" w:hAnsi="Times New Roman"/>
                <w:sz w:val="24"/>
                <w:lang w:eastAsia="nl-BE"/>
              </w:rPr>
              <w:t>080-</w:t>
            </w:r>
            <w:r w:rsidRPr="00661595">
              <w:rPr>
                <w:rFonts w:ascii="Times New Roman" w:hAnsi="Times New Roman"/>
                <w:sz w:val="24"/>
                <w:lang w:eastAsia="nl-BE"/>
              </w:rPr>
              <w:t>0</w:t>
            </w:r>
            <w:r w:rsidR="00C55547" w:rsidRPr="00661595">
              <w:rPr>
                <w:rFonts w:ascii="Times New Roman" w:hAnsi="Times New Roman"/>
                <w:sz w:val="24"/>
                <w:lang w:eastAsia="nl-BE"/>
              </w:rPr>
              <w:t>100</w:t>
            </w:r>
          </w:p>
        </w:tc>
        <w:tc>
          <w:tcPr>
            <w:tcW w:w="8204" w:type="dxa"/>
          </w:tcPr>
          <w:p w:rsidR="00C55547" w:rsidRPr="00661595" w:rsidRDefault="00C55547" w:rsidP="00E10B85">
            <w:pPr>
              <w:rPr>
                <w:rStyle w:val="InstructionsTabelleberschrift"/>
                <w:rFonts w:ascii="Times New Roman" w:hAnsi="Times New Roman"/>
                <w:sz w:val="24"/>
              </w:rPr>
            </w:pPr>
            <w:r w:rsidRPr="00661595">
              <w:rPr>
                <w:rStyle w:val="InstructionsTabelleberschrift"/>
                <w:rFonts w:ascii="Times New Roman" w:hAnsi="Times New Roman"/>
                <w:sz w:val="24"/>
              </w:rPr>
              <w:t>SPONSOR</w:t>
            </w:r>
          </w:p>
          <w:p w:rsidR="005C14B0" w:rsidRPr="00661595" w:rsidRDefault="00E64BFE" w:rsidP="001E0C80">
            <w:pPr>
              <w:rPr>
                <w:rFonts w:ascii="Times New Roman" w:hAnsi="Times New Roman"/>
                <w:sz w:val="24"/>
              </w:rPr>
            </w:pPr>
            <w:r w:rsidRPr="00661595">
              <w:rPr>
                <w:rFonts w:ascii="Times New Roman" w:hAnsi="Times New Roman"/>
                <w:sz w:val="24"/>
              </w:rPr>
              <w:t xml:space="preserve">Point (14) of </w:t>
            </w:r>
            <w:r w:rsidR="00C55547" w:rsidRPr="00661595">
              <w:rPr>
                <w:rFonts w:ascii="Times New Roman" w:hAnsi="Times New Roman"/>
                <w:sz w:val="24"/>
              </w:rPr>
              <w:t xml:space="preserve">Article 4(1) </w:t>
            </w:r>
            <w:r w:rsidR="00C7103D" w:rsidRPr="00661595">
              <w:rPr>
                <w:rFonts w:ascii="Times New Roman" w:hAnsi="Times New Roman"/>
                <w:sz w:val="24"/>
              </w:rPr>
              <w:t>CRR</w:t>
            </w:r>
            <w:r w:rsidR="00C55547" w:rsidRPr="00661595">
              <w:rPr>
                <w:rFonts w:ascii="Times New Roman" w:hAnsi="Times New Roman"/>
                <w:sz w:val="24"/>
              </w:rPr>
              <w:t xml:space="preserve"> </w:t>
            </w:r>
          </w:p>
          <w:p w:rsidR="00C55547" w:rsidRPr="00661595" w:rsidRDefault="005F3BBE" w:rsidP="005F3BBE">
            <w:pPr>
              <w:rPr>
                <w:rFonts w:ascii="Times New Roman" w:hAnsi="Times New Roman"/>
                <w:sz w:val="24"/>
              </w:rPr>
            </w:pPr>
            <w:r w:rsidRPr="00661595">
              <w:rPr>
                <w:rFonts w:ascii="Times New Roman" w:hAnsi="Times New Roman"/>
                <w:sz w:val="24"/>
              </w:rPr>
              <w:t xml:space="preserve">A </w:t>
            </w:r>
            <w:r w:rsidR="00C55547" w:rsidRPr="00661595">
              <w:rPr>
                <w:rFonts w:ascii="Times New Roman" w:hAnsi="Times New Roman"/>
                <w:sz w:val="24"/>
              </w:rPr>
              <w:t xml:space="preserve">sponsor </w:t>
            </w:r>
            <w:r w:rsidRPr="00661595">
              <w:rPr>
                <w:rFonts w:ascii="Times New Roman" w:hAnsi="Times New Roman"/>
                <w:sz w:val="24"/>
              </w:rPr>
              <w:t>that</w:t>
            </w:r>
            <w:r w:rsidR="00C55547" w:rsidRPr="00661595">
              <w:rPr>
                <w:rFonts w:ascii="Times New Roman" w:hAnsi="Times New Roman"/>
                <w:sz w:val="24"/>
              </w:rPr>
              <w:t xml:space="preserve"> also securitis</w:t>
            </w:r>
            <w:r w:rsidRPr="00661595">
              <w:rPr>
                <w:rFonts w:ascii="Times New Roman" w:hAnsi="Times New Roman"/>
                <w:sz w:val="24"/>
              </w:rPr>
              <w:t>es</w:t>
            </w:r>
            <w:r w:rsidR="00C55547" w:rsidRPr="00661595">
              <w:rPr>
                <w:rFonts w:ascii="Times New Roman" w:hAnsi="Times New Roman"/>
                <w:sz w:val="24"/>
              </w:rPr>
              <w:t xml:space="preserve"> it</w:t>
            </w:r>
            <w:r w:rsidRPr="00661595">
              <w:rPr>
                <w:rFonts w:ascii="Times New Roman" w:hAnsi="Times New Roman"/>
                <w:sz w:val="24"/>
              </w:rPr>
              <w:t>s</w:t>
            </w:r>
            <w:r w:rsidR="00C55547" w:rsidRPr="00661595">
              <w:rPr>
                <w:rFonts w:ascii="Times New Roman" w:hAnsi="Times New Roman"/>
                <w:sz w:val="24"/>
              </w:rPr>
              <w:t xml:space="preserve"> own assets shall fill in the originator's rows with the information regarding its own securitised assets</w:t>
            </w:r>
            <w:r w:rsidRPr="00661595">
              <w:rPr>
                <w:rFonts w:ascii="Times New Roman" w:hAnsi="Times New Roman"/>
                <w:sz w:val="24"/>
              </w:rPr>
              <w:t>.</w:t>
            </w:r>
          </w:p>
        </w:tc>
      </w:tr>
      <w:tr w:rsidR="00C55547" w:rsidRPr="00661595" w:rsidTr="00E10B85">
        <w:tc>
          <w:tcPr>
            <w:tcW w:w="1008" w:type="dxa"/>
          </w:tcPr>
          <w:p w:rsidR="00C55547" w:rsidRPr="00661595" w:rsidRDefault="002F79EA" w:rsidP="00E10B85">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C55547" w:rsidRPr="00661595">
              <w:rPr>
                <w:rFonts w:ascii="Times New Roman" w:hAnsi="Times New Roman"/>
                <w:sz w:val="24"/>
                <w:lang w:eastAsia="nl-BE"/>
              </w:rPr>
              <w:t>030,</w:t>
            </w:r>
            <w:r w:rsidRPr="00661595">
              <w:rPr>
                <w:rFonts w:ascii="Times New Roman" w:hAnsi="Times New Roman"/>
                <w:sz w:val="24"/>
                <w:lang w:eastAsia="nl-BE"/>
              </w:rPr>
              <w:t xml:space="preserve"> 0</w:t>
            </w:r>
            <w:r w:rsidR="00C55547" w:rsidRPr="00661595">
              <w:rPr>
                <w:rFonts w:ascii="Times New Roman" w:hAnsi="Times New Roman"/>
                <w:sz w:val="24"/>
                <w:lang w:eastAsia="nl-BE"/>
              </w:rPr>
              <w:t xml:space="preserve">060 and </w:t>
            </w:r>
            <w:r w:rsidRPr="00661595">
              <w:rPr>
                <w:rFonts w:ascii="Times New Roman" w:hAnsi="Times New Roman"/>
                <w:sz w:val="24"/>
                <w:lang w:eastAsia="nl-BE"/>
              </w:rPr>
              <w:t>0</w:t>
            </w:r>
            <w:r w:rsidR="00C55547" w:rsidRPr="00661595">
              <w:rPr>
                <w:rFonts w:ascii="Times New Roman" w:hAnsi="Times New Roman"/>
                <w:sz w:val="24"/>
                <w:lang w:eastAsia="nl-BE"/>
              </w:rPr>
              <w:t>090</w:t>
            </w:r>
          </w:p>
        </w:tc>
        <w:tc>
          <w:tcPr>
            <w:tcW w:w="8204" w:type="dxa"/>
          </w:tcPr>
          <w:p w:rsidR="00C55547" w:rsidRPr="00661595" w:rsidRDefault="00C55547" w:rsidP="00E10B85">
            <w:pPr>
              <w:rPr>
                <w:rStyle w:val="InstructionsTabelleberschrift"/>
                <w:rFonts w:ascii="Times New Roman" w:hAnsi="Times New Roman"/>
                <w:sz w:val="24"/>
              </w:rPr>
            </w:pPr>
            <w:r w:rsidRPr="00661595">
              <w:rPr>
                <w:rStyle w:val="InstructionsTabelleberschrift"/>
                <w:rFonts w:ascii="Times New Roman" w:hAnsi="Times New Roman"/>
                <w:sz w:val="24"/>
              </w:rPr>
              <w:t>SECURITISATION</w:t>
            </w:r>
            <w:r w:rsidR="006259C7" w:rsidRPr="00661595">
              <w:rPr>
                <w:rStyle w:val="InstructionsTabelleberschrift"/>
                <w:rFonts w:ascii="Times New Roman" w:hAnsi="Times New Roman"/>
                <w:sz w:val="24"/>
              </w:rPr>
              <w:t xml:space="preserve"> POSITIONS</w:t>
            </w:r>
          </w:p>
          <w:p w:rsidR="00C55547" w:rsidRPr="00661595" w:rsidRDefault="00C55547" w:rsidP="00E10B85">
            <w:pPr>
              <w:rPr>
                <w:rFonts w:ascii="Times New Roman" w:hAnsi="Times New Roman"/>
                <w:sz w:val="24"/>
                <w:lang w:eastAsia="fr-FR"/>
              </w:rPr>
            </w:pPr>
            <w:r w:rsidRPr="00661595">
              <w:rPr>
                <w:rFonts w:ascii="Times New Roman" w:hAnsi="Times New Roman"/>
                <w:sz w:val="24"/>
                <w:lang w:eastAsia="fr-FR"/>
              </w:rPr>
              <w:t xml:space="preserve">The correlation trading portfolio </w:t>
            </w:r>
            <w:r w:rsidR="005C14B0" w:rsidRPr="00661595">
              <w:rPr>
                <w:rFonts w:ascii="Times New Roman" w:hAnsi="Times New Roman"/>
                <w:sz w:val="24"/>
                <w:lang w:eastAsia="fr-FR"/>
              </w:rPr>
              <w:t xml:space="preserve">shall </w:t>
            </w:r>
            <w:r w:rsidRPr="00661595">
              <w:rPr>
                <w:rFonts w:ascii="Times New Roman" w:hAnsi="Times New Roman"/>
                <w:sz w:val="24"/>
                <w:lang w:eastAsia="fr-FR"/>
              </w:rPr>
              <w:t xml:space="preserve">comprise securitisations, n-th-to-default credit derivatives and possibly other hedging positions that meet the criteria set </w:t>
            </w:r>
            <w:r w:rsidR="005F3BBE" w:rsidRPr="00661595">
              <w:rPr>
                <w:rFonts w:ascii="Times New Roman" w:hAnsi="Times New Roman"/>
                <w:sz w:val="24"/>
                <w:lang w:eastAsia="fr-FR"/>
              </w:rPr>
              <w:t xml:space="preserve">out </w:t>
            </w:r>
            <w:r w:rsidRPr="00661595">
              <w:rPr>
                <w:rFonts w:ascii="Times New Roman" w:hAnsi="Times New Roman"/>
                <w:sz w:val="24"/>
                <w:lang w:eastAsia="fr-FR"/>
              </w:rPr>
              <w:t xml:space="preserve">in </w:t>
            </w:r>
            <w:r w:rsidR="005F3BBE" w:rsidRPr="00661595">
              <w:rPr>
                <w:rFonts w:ascii="Times New Roman" w:hAnsi="Times New Roman"/>
                <w:sz w:val="24"/>
                <w:lang w:eastAsia="fr-FR"/>
              </w:rPr>
              <w:t xml:space="preserve">paragraphs 2 and 3 of </w:t>
            </w:r>
            <w:r w:rsidRPr="00661595">
              <w:rPr>
                <w:rFonts w:ascii="Times New Roman" w:hAnsi="Times New Roman"/>
                <w:sz w:val="24"/>
                <w:lang w:eastAsia="fr-FR"/>
              </w:rPr>
              <w:t xml:space="preserve">Article 338 </w:t>
            </w:r>
            <w:r w:rsidR="00C7103D" w:rsidRPr="00661595">
              <w:rPr>
                <w:rFonts w:ascii="Times New Roman" w:hAnsi="Times New Roman"/>
                <w:sz w:val="24"/>
                <w:lang w:eastAsia="fr-FR"/>
              </w:rPr>
              <w:t>CRR</w:t>
            </w:r>
            <w:r w:rsidRPr="00661595">
              <w:rPr>
                <w:rFonts w:ascii="Times New Roman" w:hAnsi="Times New Roman"/>
                <w:sz w:val="24"/>
                <w:lang w:eastAsia="fr-FR"/>
              </w:rPr>
              <w:t>.</w:t>
            </w:r>
          </w:p>
          <w:p w:rsidR="00C55547" w:rsidRPr="00661595" w:rsidRDefault="00C55547" w:rsidP="00E10B85">
            <w:pPr>
              <w:rPr>
                <w:rFonts w:ascii="Times New Roman" w:hAnsi="Times New Roman"/>
                <w:sz w:val="24"/>
              </w:rPr>
            </w:pPr>
            <w:r w:rsidRPr="00661595">
              <w:rPr>
                <w:rFonts w:ascii="Times New Roman" w:hAnsi="Times New Roman"/>
                <w:sz w:val="24"/>
                <w:lang w:eastAsia="fr-FR"/>
              </w:rPr>
              <w:t>Derivatives of securitisation exposures that provide a pro-rata share as well as positions hedging CTP positions shall be included in row 'Other CTP positions'.</w:t>
            </w:r>
          </w:p>
        </w:tc>
      </w:tr>
      <w:tr w:rsidR="00C55547" w:rsidRPr="00661595" w:rsidTr="00E10B85">
        <w:tc>
          <w:tcPr>
            <w:tcW w:w="1008" w:type="dxa"/>
          </w:tcPr>
          <w:p w:rsidR="00C55547" w:rsidRPr="00661595" w:rsidRDefault="002F79EA" w:rsidP="00E10B85">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C55547" w:rsidRPr="00661595">
              <w:rPr>
                <w:rFonts w:ascii="Times New Roman" w:hAnsi="Times New Roman"/>
                <w:sz w:val="24"/>
                <w:lang w:eastAsia="nl-BE"/>
              </w:rPr>
              <w:t>110</w:t>
            </w:r>
          </w:p>
        </w:tc>
        <w:tc>
          <w:tcPr>
            <w:tcW w:w="8204" w:type="dxa"/>
          </w:tcPr>
          <w:p w:rsidR="00C55547" w:rsidRPr="00661595" w:rsidRDefault="00C55547" w:rsidP="00E10B85">
            <w:pPr>
              <w:rPr>
                <w:rStyle w:val="InstructionsTabelleberschrift"/>
                <w:rFonts w:ascii="Times New Roman" w:hAnsi="Times New Roman"/>
                <w:sz w:val="24"/>
              </w:rPr>
            </w:pPr>
            <w:r w:rsidRPr="00661595">
              <w:rPr>
                <w:rStyle w:val="InstructionsTabelleberschrift"/>
                <w:rFonts w:ascii="Times New Roman" w:hAnsi="Times New Roman"/>
                <w:sz w:val="24"/>
              </w:rPr>
              <w:t>N-TH-TO-DEFAULT CREDIT DERIVATIVES</w:t>
            </w:r>
          </w:p>
          <w:p w:rsidR="00C55547" w:rsidRPr="00661595" w:rsidRDefault="00C55547" w:rsidP="00E10B85">
            <w:pPr>
              <w:rPr>
                <w:rFonts w:ascii="Times New Roman" w:hAnsi="Times New Roman"/>
                <w:sz w:val="24"/>
              </w:rPr>
            </w:pPr>
            <w:r w:rsidRPr="00661595">
              <w:rPr>
                <w:rFonts w:ascii="Times New Roman" w:hAnsi="Times New Roman"/>
                <w:sz w:val="24"/>
              </w:rPr>
              <w:t xml:space="preserve">N-th to default credit derivatives that are hedged by n-th-to-default credit derivatives </w:t>
            </w:r>
            <w:r w:rsidR="00BB22D4" w:rsidRPr="00661595">
              <w:rPr>
                <w:rFonts w:ascii="Times New Roman" w:hAnsi="Times New Roman"/>
                <w:sz w:val="24"/>
              </w:rPr>
              <w:t>in accordance with</w:t>
            </w:r>
            <w:r w:rsidRPr="00661595">
              <w:rPr>
                <w:rFonts w:ascii="Times New Roman" w:hAnsi="Times New Roman"/>
                <w:sz w:val="24"/>
              </w:rPr>
              <w:t xml:space="preserve"> Article 347 CRR shall both be reported here.</w:t>
            </w:r>
          </w:p>
          <w:p w:rsidR="00C55547" w:rsidRPr="00661595" w:rsidRDefault="00C55547" w:rsidP="00E10B85">
            <w:pPr>
              <w:rPr>
                <w:rFonts w:ascii="Times New Roman" w:hAnsi="Times New Roman"/>
                <w:sz w:val="24"/>
              </w:rPr>
            </w:pPr>
            <w:r w:rsidRPr="00661595">
              <w:rPr>
                <w:rFonts w:ascii="Times New Roman" w:hAnsi="Times New Roman"/>
                <w:sz w:val="24"/>
              </w:rPr>
              <w:t>The positions originator, investor and sponsor do not fit for n-th to default credit derivatives. As a consequence, the breakdown as for securitisation positions cannot be provided for n-th to default credit derivatives.</w:t>
            </w:r>
          </w:p>
        </w:tc>
      </w:tr>
      <w:tr w:rsidR="00C55547" w:rsidRPr="00661595" w:rsidTr="00E10B85">
        <w:tc>
          <w:tcPr>
            <w:tcW w:w="1008" w:type="dxa"/>
          </w:tcPr>
          <w:p w:rsidR="00C55547" w:rsidRPr="00661595" w:rsidRDefault="002F79EA" w:rsidP="00E10B85">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C55547" w:rsidRPr="00661595">
              <w:rPr>
                <w:rFonts w:ascii="Times New Roman" w:hAnsi="Times New Roman"/>
                <w:sz w:val="24"/>
                <w:lang w:eastAsia="nl-BE"/>
              </w:rPr>
              <w:t xml:space="preserve">040, </w:t>
            </w:r>
            <w:r w:rsidRPr="00661595">
              <w:rPr>
                <w:rFonts w:ascii="Times New Roman" w:hAnsi="Times New Roman"/>
                <w:sz w:val="24"/>
                <w:lang w:eastAsia="nl-BE"/>
              </w:rPr>
              <w:t>0</w:t>
            </w:r>
            <w:r w:rsidR="00C55547" w:rsidRPr="00661595">
              <w:rPr>
                <w:rFonts w:ascii="Times New Roman" w:hAnsi="Times New Roman"/>
                <w:sz w:val="24"/>
                <w:lang w:eastAsia="nl-BE"/>
              </w:rPr>
              <w:t xml:space="preserve">070, </w:t>
            </w:r>
            <w:r w:rsidRPr="00661595">
              <w:rPr>
                <w:rFonts w:ascii="Times New Roman" w:hAnsi="Times New Roman"/>
                <w:sz w:val="24"/>
                <w:lang w:eastAsia="nl-BE"/>
              </w:rPr>
              <w:t>0</w:t>
            </w:r>
            <w:r w:rsidR="00C55547" w:rsidRPr="00661595">
              <w:rPr>
                <w:rFonts w:ascii="Times New Roman" w:hAnsi="Times New Roman"/>
                <w:sz w:val="24"/>
                <w:lang w:eastAsia="nl-BE"/>
              </w:rPr>
              <w:t xml:space="preserve">100 and </w:t>
            </w:r>
            <w:r w:rsidRPr="00661595">
              <w:rPr>
                <w:rFonts w:ascii="Times New Roman" w:hAnsi="Times New Roman"/>
                <w:sz w:val="24"/>
                <w:lang w:eastAsia="nl-BE"/>
              </w:rPr>
              <w:t>0</w:t>
            </w:r>
            <w:r w:rsidR="00C55547" w:rsidRPr="00661595">
              <w:rPr>
                <w:rFonts w:ascii="Times New Roman" w:hAnsi="Times New Roman"/>
                <w:sz w:val="24"/>
                <w:lang w:eastAsia="nl-BE"/>
              </w:rPr>
              <w:t>120</w:t>
            </w:r>
          </w:p>
        </w:tc>
        <w:tc>
          <w:tcPr>
            <w:tcW w:w="8204" w:type="dxa"/>
          </w:tcPr>
          <w:p w:rsidR="00C55547" w:rsidRPr="00661595" w:rsidRDefault="00C55547" w:rsidP="00E10B85">
            <w:pPr>
              <w:rPr>
                <w:rStyle w:val="InstructionsTabelleberschrift"/>
                <w:rFonts w:ascii="Times New Roman" w:hAnsi="Times New Roman"/>
                <w:sz w:val="24"/>
              </w:rPr>
            </w:pPr>
            <w:r w:rsidRPr="00661595">
              <w:rPr>
                <w:rStyle w:val="InstructionsTabelleberschrift"/>
                <w:rFonts w:ascii="Times New Roman" w:hAnsi="Times New Roman"/>
                <w:sz w:val="24"/>
              </w:rPr>
              <w:t>OTHER CTP POSITIONS</w:t>
            </w:r>
          </w:p>
          <w:p w:rsidR="00C55547" w:rsidRPr="00661595" w:rsidRDefault="00C55547" w:rsidP="00E10B85">
            <w:pPr>
              <w:rPr>
                <w:rFonts w:ascii="Times New Roman" w:hAnsi="Times New Roman"/>
                <w:sz w:val="24"/>
              </w:rPr>
            </w:pPr>
            <w:r w:rsidRPr="00661595">
              <w:rPr>
                <w:rFonts w:ascii="Times New Roman" w:hAnsi="Times New Roman"/>
                <w:sz w:val="24"/>
              </w:rPr>
              <w:t xml:space="preserve">The </w:t>
            </w:r>
            <w:r w:rsidR="005F3BBE" w:rsidRPr="00661595">
              <w:rPr>
                <w:rFonts w:ascii="Times New Roman" w:hAnsi="Times New Roman"/>
                <w:sz w:val="24"/>
              </w:rPr>
              <w:t xml:space="preserve">following </w:t>
            </w:r>
            <w:r w:rsidRPr="00661595">
              <w:rPr>
                <w:rFonts w:ascii="Times New Roman" w:hAnsi="Times New Roman"/>
                <w:sz w:val="24"/>
              </w:rPr>
              <w:t xml:space="preserve">positions </w:t>
            </w:r>
            <w:r w:rsidR="005F3BBE" w:rsidRPr="00661595">
              <w:rPr>
                <w:rFonts w:ascii="Times New Roman" w:hAnsi="Times New Roman"/>
                <w:sz w:val="24"/>
              </w:rPr>
              <w:t>are included</w:t>
            </w:r>
            <w:r w:rsidRPr="00661595">
              <w:rPr>
                <w:rFonts w:ascii="Times New Roman" w:hAnsi="Times New Roman"/>
                <w:sz w:val="24"/>
              </w:rPr>
              <w:t xml:space="preserve">: </w:t>
            </w:r>
          </w:p>
          <w:p w:rsidR="00C55547" w:rsidRPr="00661595" w:rsidRDefault="00C55547" w:rsidP="00E10B85">
            <w:pPr>
              <w:tabs>
                <w:tab w:val="left" w:pos="720"/>
              </w:tabs>
              <w:ind w:left="720" w:hanging="360"/>
              <w:rPr>
                <w:rFonts w:ascii="Times New Roman" w:hAnsi="Times New Roman"/>
                <w:sz w:val="24"/>
              </w:rPr>
            </w:pPr>
            <w:r w:rsidRPr="00661595">
              <w:rPr>
                <w:rFonts w:ascii="Symbol" w:hAnsi="Symbol"/>
                <w:sz w:val="24"/>
              </w:rPr>
              <w:t></w:t>
            </w:r>
            <w:r w:rsidRPr="00661595">
              <w:rPr>
                <w:rFonts w:ascii="Symbol" w:hAnsi="Symbol"/>
                <w:sz w:val="24"/>
              </w:rPr>
              <w:tab/>
            </w:r>
            <w:r w:rsidRPr="00661595">
              <w:rPr>
                <w:rFonts w:ascii="Times New Roman" w:hAnsi="Times New Roman"/>
                <w:sz w:val="24"/>
                <w:lang w:eastAsia="fr-FR"/>
              </w:rPr>
              <w:t>Derivatives of securitisation exposures that provide a pro-rata share</w:t>
            </w:r>
            <w:r w:rsidR="005F3BBE" w:rsidRPr="00661595">
              <w:rPr>
                <w:rFonts w:ascii="Times New Roman" w:hAnsi="Times New Roman"/>
                <w:sz w:val="24"/>
                <w:lang w:eastAsia="fr-FR"/>
              </w:rPr>
              <w:t>,</w:t>
            </w:r>
            <w:r w:rsidRPr="00661595">
              <w:rPr>
                <w:rFonts w:ascii="Times New Roman" w:hAnsi="Times New Roman"/>
                <w:sz w:val="24"/>
                <w:lang w:eastAsia="fr-FR"/>
              </w:rPr>
              <w:t xml:space="preserve"> as well as positions hedging CTP positions;</w:t>
            </w:r>
          </w:p>
          <w:p w:rsidR="00C55547" w:rsidRPr="00661595" w:rsidRDefault="00C55547" w:rsidP="00E10B85">
            <w:pPr>
              <w:tabs>
                <w:tab w:val="left" w:pos="720"/>
              </w:tabs>
              <w:ind w:left="720" w:hanging="360"/>
              <w:rPr>
                <w:rFonts w:ascii="Times New Roman" w:hAnsi="Times New Roman"/>
                <w:sz w:val="24"/>
              </w:rPr>
            </w:pPr>
            <w:r w:rsidRPr="00661595">
              <w:rPr>
                <w:rFonts w:ascii="Symbol" w:hAnsi="Symbol"/>
                <w:sz w:val="24"/>
              </w:rPr>
              <w:t></w:t>
            </w:r>
            <w:r w:rsidRPr="00661595">
              <w:rPr>
                <w:rFonts w:ascii="Symbol" w:hAnsi="Symbol"/>
                <w:sz w:val="24"/>
              </w:rPr>
              <w:tab/>
            </w:r>
            <w:r w:rsidRPr="00661595">
              <w:rPr>
                <w:rFonts w:ascii="Times New Roman" w:hAnsi="Times New Roman"/>
                <w:sz w:val="24"/>
                <w:lang w:eastAsia="fr-FR"/>
              </w:rPr>
              <w:t xml:space="preserve">CTP positions hedged by credit derivatives </w:t>
            </w:r>
            <w:r w:rsidR="00BB22D4" w:rsidRPr="00661595">
              <w:rPr>
                <w:rFonts w:ascii="Times New Roman" w:hAnsi="Times New Roman"/>
                <w:sz w:val="24"/>
                <w:lang w:eastAsia="fr-FR"/>
              </w:rPr>
              <w:t>in accordance with</w:t>
            </w:r>
            <w:r w:rsidRPr="00661595">
              <w:rPr>
                <w:rFonts w:ascii="Times New Roman" w:hAnsi="Times New Roman"/>
                <w:sz w:val="24"/>
                <w:lang w:eastAsia="fr-FR"/>
              </w:rPr>
              <w:t xml:space="preserve"> Article 346 CRR;</w:t>
            </w:r>
          </w:p>
          <w:p w:rsidR="00C55547" w:rsidRPr="00661595" w:rsidRDefault="00C55547" w:rsidP="005F3BBE">
            <w:pPr>
              <w:tabs>
                <w:tab w:val="left" w:pos="720"/>
              </w:tabs>
              <w:ind w:left="720" w:hanging="360"/>
              <w:rPr>
                <w:rFonts w:ascii="Times New Roman" w:hAnsi="Times New Roman"/>
                <w:sz w:val="24"/>
              </w:rPr>
            </w:pPr>
            <w:r w:rsidRPr="00661595">
              <w:rPr>
                <w:rFonts w:ascii="Symbol" w:hAnsi="Symbol"/>
                <w:sz w:val="24"/>
              </w:rPr>
              <w:t></w:t>
            </w:r>
            <w:r w:rsidRPr="00661595">
              <w:rPr>
                <w:rFonts w:ascii="Symbol" w:hAnsi="Symbol"/>
                <w:sz w:val="24"/>
              </w:rPr>
              <w:tab/>
            </w:r>
            <w:r w:rsidRPr="00661595">
              <w:rPr>
                <w:rFonts w:ascii="Times New Roman" w:hAnsi="Times New Roman"/>
                <w:sz w:val="24"/>
                <w:lang w:eastAsia="fr-FR"/>
              </w:rPr>
              <w:t xml:space="preserve">Other positions that satisfy Article 338(3) </w:t>
            </w:r>
            <w:r w:rsidR="00C7103D" w:rsidRPr="00661595">
              <w:rPr>
                <w:rFonts w:ascii="Times New Roman" w:hAnsi="Times New Roman"/>
                <w:sz w:val="24"/>
                <w:lang w:eastAsia="fr-FR"/>
              </w:rPr>
              <w:t>CRR</w:t>
            </w:r>
            <w:r w:rsidR="005F3BBE" w:rsidRPr="00661595">
              <w:rPr>
                <w:rFonts w:ascii="Times New Roman" w:hAnsi="Times New Roman"/>
                <w:sz w:val="24"/>
                <w:lang w:eastAsia="fr-FR"/>
              </w:rPr>
              <w:t>.</w:t>
            </w:r>
          </w:p>
        </w:tc>
      </w:tr>
    </w:tbl>
    <w:p w:rsidR="000B0B09" w:rsidRPr="00661595" w:rsidRDefault="000B0B09" w:rsidP="000B0B09">
      <w:pPr>
        <w:autoSpaceDE w:val="0"/>
        <w:autoSpaceDN w:val="0"/>
        <w:adjustRightInd w:val="0"/>
        <w:spacing w:before="0" w:after="0"/>
        <w:rPr>
          <w:rFonts w:ascii="Times New Roman" w:hAnsi="Times New Roman"/>
          <w:sz w:val="24"/>
          <w:lang w:eastAsia="nl-BE"/>
        </w:rPr>
      </w:pPr>
    </w:p>
    <w:p w:rsidR="000B0B09"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664" w:name="_Toc262566429"/>
      <w:bookmarkStart w:id="665" w:name="_Toc295830005"/>
      <w:bookmarkStart w:id="666" w:name="_Toc308426682"/>
      <w:bookmarkStart w:id="667" w:name="_Toc310415066"/>
      <w:bookmarkStart w:id="668" w:name="_Toc360188401"/>
      <w:bookmarkStart w:id="669" w:name="_Toc473561041"/>
      <w:bookmarkStart w:id="670" w:name="_Toc57831645"/>
      <w:r w:rsidRPr="00661595">
        <w:rPr>
          <w:rFonts w:ascii="Times New Roman" w:hAnsi="Times New Roman" w:cs="Times New Roman"/>
          <w:sz w:val="24"/>
          <w:u w:val="none"/>
          <w:lang w:val="en-GB"/>
        </w:rPr>
        <w:t>5.4.</w:t>
      </w:r>
      <w:r w:rsidRPr="00661595">
        <w:rPr>
          <w:rFonts w:ascii="Times New Roman" w:hAnsi="Times New Roman" w:cs="Times New Roman"/>
          <w:sz w:val="24"/>
          <w:u w:val="none"/>
          <w:lang w:val="en-GB"/>
        </w:rPr>
        <w:tab/>
      </w:r>
      <w:r w:rsidR="008B73EE" w:rsidRPr="00661595">
        <w:rPr>
          <w:rFonts w:ascii="Times New Roman" w:hAnsi="Times New Roman" w:cs="Times New Roman"/>
          <w:sz w:val="24"/>
          <w:lang w:val="en-GB"/>
        </w:rPr>
        <w:t xml:space="preserve">C 21.00 - </w:t>
      </w:r>
      <w:r w:rsidR="000B0B09" w:rsidRPr="00661595">
        <w:rPr>
          <w:rFonts w:ascii="Times New Roman" w:hAnsi="Times New Roman" w:cs="Times New Roman"/>
          <w:sz w:val="24"/>
          <w:lang w:val="en-GB"/>
        </w:rPr>
        <w:t>Market Risk: Standardised Approach for Position Risk in Equities</w:t>
      </w:r>
      <w:bookmarkEnd w:id="664"/>
      <w:bookmarkEnd w:id="665"/>
      <w:bookmarkEnd w:id="666"/>
      <w:bookmarkEnd w:id="667"/>
      <w:bookmarkEnd w:id="668"/>
      <w:r w:rsidR="008B73EE" w:rsidRPr="00661595">
        <w:rPr>
          <w:rFonts w:ascii="Times New Roman" w:hAnsi="Times New Roman" w:cs="Times New Roman"/>
          <w:sz w:val="24"/>
          <w:lang w:val="en-GB"/>
        </w:rPr>
        <w:t xml:space="preserve"> (MKR SA EQU)</w:t>
      </w:r>
      <w:bookmarkEnd w:id="669"/>
      <w:bookmarkEnd w:id="670"/>
    </w:p>
    <w:p w:rsidR="000B0B09"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671" w:name="_Toc262566430"/>
      <w:bookmarkStart w:id="672" w:name="_Toc295830006"/>
      <w:bookmarkStart w:id="673" w:name="_Toc308426683"/>
      <w:bookmarkStart w:id="674" w:name="_Toc310415067"/>
      <w:bookmarkStart w:id="675" w:name="_Toc360188402"/>
      <w:bookmarkStart w:id="676" w:name="_Toc473561042"/>
      <w:bookmarkStart w:id="677" w:name="_Toc57831646"/>
      <w:r w:rsidRPr="00661595">
        <w:rPr>
          <w:rFonts w:ascii="Times New Roman" w:hAnsi="Times New Roman" w:cs="Times New Roman"/>
          <w:sz w:val="24"/>
          <w:u w:val="none"/>
          <w:lang w:val="en-GB"/>
        </w:rPr>
        <w:t>5.4.1.</w:t>
      </w:r>
      <w:r w:rsidRPr="00661595">
        <w:rPr>
          <w:rFonts w:ascii="Times New Roman" w:hAnsi="Times New Roman" w:cs="Times New Roman"/>
          <w:sz w:val="24"/>
          <w:u w:val="none"/>
          <w:lang w:val="en-GB"/>
        </w:rPr>
        <w:tab/>
      </w:r>
      <w:r w:rsidR="000B0B09" w:rsidRPr="00661595">
        <w:rPr>
          <w:rFonts w:ascii="Times New Roman" w:hAnsi="Times New Roman" w:cs="Times New Roman"/>
          <w:sz w:val="24"/>
          <w:lang w:val="en-GB"/>
        </w:rPr>
        <w:t>General Remarks</w:t>
      </w:r>
      <w:bookmarkEnd w:id="671"/>
      <w:bookmarkEnd w:id="672"/>
      <w:bookmarkEnd w:id="673"/>
      <w:bookmarkEnd w:id="674"/>
      <w:bookmarkEnd w:id="675"/>
      <w:bookmarkEnd w:id="676"/>
      <w:bookmarkEnd w:id="677"/>
    </w:p>
    <w:p w:rsidR="000B0B09" w:rsidRPr="00661595" w:rsidRDefault="00D11E4C" w:rsidP="00487A02">
      <w:pPr>
        <w:pStyle w:val="InstructionsText2"/>
        <w:numPr>
          <w:ilvl w:val="0"/>
          <w:numId w:val="0"/>
        </w:numPr>
        <w:ind w:left="1353" w:hanging="360"/>
      </w:pPr>
      <w:fldSimple w:instr=" seq paragraphs ">
        <w:r w:rsidR="00771068">
          <w:rPr>
            <w:noProof/>
          </w:rPr>
          <w:t>169</w:t>
        </w:r>
      </w:fldSimple>
      <w:r w:rsidR="00125707" w:rsidRPr="00661595">
        <w:t>.</w:t>
      </w:r>
      <w:r w:rsidR="00125707" w:rsidRPr="00661595">
        <w:tab/>
      </w:r>
      <w:r w:rsidR="005C14B0" w:rsidRPr="00661595">
        <w:t xml:space="preserve"> </w:t>
      </w:r>
      <w:r w:rsidR="000B0B09" w:rsidRPr="00661595">
        <w:t xml:space="preserve">This template requests information on the positions and the corresponding own funds requirements for position risk in equities held in the trading book and treated under the </w:t>
      </w:r>
      <w:r w:rsidR="00CA21CA" w:rsidRPr="00661595">
        <w:t>Standardised Approach</w:t>
      </w:r>
      <w:r w:rsidR="000B0B09" w:rsidRPr="00661595">
        <w:t>.</w:t>
      </w:r>
    </w:p>
    <w:p w:rsidR="00B828CC" w:rsidRPr="00661595" w:rsidRDefault="00D11E4C" w:rsidP="00487A02">
      <w:pPr>
        <w:pStyle w:val="InstructionsText2"/>
        <w:numPr>
          <w:ilvl w:val="0"/>
          <w:numId w:val="0"/>
        </w:numPr>
        <w:ind w:left="1353" w:hanging="360"/>
      </w:pPr>
      <w:fldSimple w:instr=" seq paragraphs ">
        <w:r w:rsidR="00771068">
          <w:rPr>
            <w:noProof/>
          </w:rPr>
          <w:t>170</w:t>
        </w:r>
      </w:fldSimple>
      <w:r w:rsidR="00125707" w:rsidRPr="00661595">
        <w:t>.</w:t>
      </w:r>
      <w:r w:rsidR="00125707" w:rsidRPr="00661595">
        <w:tab/>
      </w:r>
      <w:r w:rsidR="005C14B0" w:rsidRPr="00661595">
        <w:t xml:space="preserve"> </w:t>
      </w:r>
      <w:r w:rsidR="000B0B09" w:rsidRPr="00661595">
        <w:t xml:space="preserve">The template has to be filled out separately for the “Total”, plus a static, pre-defined list of </w:t>
      </w:r>
      <w:r w:rsidR="005F3BBE" w:rsidRPr="00661595">
        <w:t xml:space="preserve">the </w:t>
      </w:r>
      <w:r w:rsidR="000B0B09" w:rsidRPr="00661595">
        <w:t>following markets:</w:t>
      </w:r>
      <w:r w:rsidR="00DE0157" w:rsidRPr="00661595">
        <w:t xml:space="preserve"> Bulgaria, </w:t>
      </w:r>
      <w:r w:rsidR="00A12B66" w:rsidRPr="00661595">
        <w:t>Croatia</w:t>
      </w:r>
      <w:r w:rsidR="00DE0157" w:rsidRPr="00661595">
        <w:t>, Czech Republic, Denmark, Egypt, Hungary, Iceland, Liechtenstein, Norway, Poland, Romania, Sweden, United Kingdom, Albania, Japan, Former Yugoslav Republic of Macedonia, Russian Federation, Serbia, Switzerland, Turkey, Ukraine, USA</w:t>
      </w:r>
      <w:r w:rsidR="00B431BD" w:rsidRPr="00661595">
        <w:t>, Euro Area</w:t>
      </w:r>
      <w:r w:rsidR="000B0B09" w:rsidRPr="00661595">
        <w:t xml:space="preserve"> </w:t>
      </w:r>
      <w:r w:rsidR="00DE0157" w:rsidRPr="00661595">
        <w:t>plus</w:t>
      </w:r>
      <w:r w:rsidR="000B0B09" w:rsidRPr="00661595">
        <w:t xml:space="preserve"> one residual </w:t>
      </w:r>
      <w:r w:rsidR="00DE0157" w:rsidRPr="00661595">
        <w:t>template</w:t>
      </w:r>
      <w:r w:rsidR="000B0B09" w:rsidRPr="00661595">
        <w:t xml:space="preserve"> for all other markets. For th</w:t>
      </w:r>
      <w:r w:rsidR="00DE0157" w:rsidRPr="00661595">
        <w:t>e</w:t>
      </w:r>
      <w:r w:rsidR="000B0B09" w:rsidRPr="00661595">
        <w:t xml:space="preserve"> purpose of th</w:t>
      </w:r>
      <w:r w:rsidR="00DE0157" w:rsidRPr="00661595">
        <w:t>is</w:t>
      </w:r>
      <w:r w:rsidR="000B0B09" w:rsidRPr="00661595">
        <w:t xml:space="preserve"> reporting</w:t>
      </w:r>
      <w:r w:rsidR="00DE0157" w:rsidRPr="00661595">
        <w:t xml:space="preserve"> requirement</w:t>
      </w:r>
      <w:r w:rsidR="005F3BBE" w:rsidRPr="00661595">
        <w:t>,</w:t>
      </w:r>
      <w:r w:rsidR="000B0B09" w:rsidRPr="00661595">
        <w:t xml:space="preserve"> the term “market” </w:t>
      </w:r>
      <w:r w:rsidR="00C93697" w:rsidRPr="00661595">
        <w:t>shall</w:t>
      </w:r>
      <w:r w:rsidR="000B0B09" w:rsidRPr="00661595">
        <w:t xml:space="preserve"> be read as “country”</w:t>
      </w:r>
      <w:r w:rsidR="00C71B86" w:rsidRPr="00661595">
        <w:t xml:space="preserve"> (except for countries belonging to the Euro Area, see Commission Delegated Regulation (EU) No 525/2014</w:t>
      </w:r>
      <w:r w:rsidR="00B828CC">
        <w:rPr>
          <w:rStyle w:val="FootnoteReference"/>
        </w:rPr>
        <w:footnoteReference w:id="13"/>
      </w:r>
      <w:r w:rsidR="00C71B86" w:rsidRPr="00661595">
        <w:t>)</w:t>
      </w:r>
      <w:r w:rsidR="000B0B09" w:rsidRPr="00661595">
        <w:t>.</w:t>
      </w:r>
    </w:p>
    <w:p w:rsidR="000B0B09"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678" w:name="_Toc262566431"/>
      <w:bookmarkStart w:id="679" w:name="_Toc295830007"/>
      <w:bookmarkStart w:id="680" w:name="_Toc308426684"/>
      <w:bookmarkStart w:id="681" w:name="_Toc310415068"/>
      <w:bookmarkStart w:id="682" w:name="_Toc360188403"/>
      <w:bookmarkStart w:id="683" w:name="_Toc473561043"/>
      <w:bookmarkStart w:id="684" w:name="_Toc57831647"/>
      <w:r w:rsidRPr="00661595">
        <w:rPr>
          <w:rFonts w:ascii="Times New Roman" w:hAnsi="Times New Roman" w:cs="Times New Roman"/>
          <w:sz w:val="24"/>
          <w:u w:val="none"/>
          <w:lang w:val="en-GB"/>
        </w:rPr>
        <w:t>5.4.2.</w:t>
      </w:r>
      <w:r w:rsidRPr="00661595">
        <w:rPr>
          <w:rFonts w:ascii="Times New Roman" w:hAnsi="Times New Roman" w:cs="Times New Roman"/>
          <w:sz w:val="24"/>
          <w:u w:val="none"/>
          <w:lang w:val="en-GB"/>
        </w:rPr>
        <w:tab/>
      </w:r>
      <w:r w:rsidR="000B0B09" w:rsidRPr="00661595">
        <w:rPr>
          <w:rFonts w:ascii="Times New Roman" w:hAnsi="Times New Roman" w:cs="Times New Roman"/>
          <w:sz w:val="24"/>
          <w:lang w:val="en-GB"/>
        </w:rPr>
        <w:t>Instructions concerning specific positions</w:t>
      </w:r>
      <w:bookmarkEnd w:id="678"/>
      <w:bookmarkEnd w:id="679"/>
      <w:bookmarkEnd w:id="680"/>
      <w:bookmarkEnd w:id="681"/>
      <w:bookmarkEnd w:id="682"/>
      <w:bookmarkEnd w:id="683"/>
      <w:bookmarkEnd w:id="6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8"/>
        <w:gridCol w:w="7874"/>
      </w:tblGrid>
      <w:tr w:rsidR="000B0B09" w:rsidRPr="00661595" w:rsidTr="00672D2A">
        <w:trPr>
          <w:trHeight w:val="626"/>
        </w:trPr>
        <w:tc>
          <w:tcPr>
            <w:tcW w:w="8862" w:type="dxa"/>
            <w:gridSpan w:val="2"/>
            <w:shd w:val="clear" w:color="auto" w:fill="CCCCCC"/>
          </w:tcPr>
          <w:p w:rsidR="000B0B09" w:rsidRPr="00661595" w:rsidRDefault="000B0B09" w:rsidP="000B0B09">
            <w:pPr>
              <w:autoSpaceDE w:val="0"/>
              <w:autoSpaceDN w:val="0"/>
              <w:adjustRightInd w:val="0"/>
              <w:spacing w:after="0"/>
              <w:rPr>
                <w:rFonts w:ascii="Times New Roman" w:hAnsi="Times New Roman"/>
                <w:b/>
                <w:sz w:val="24"/>
                <w:lang w:eastAsia="nl-BE"/>
              </w:rPr>
            </w:pPr>
            <w:r w:rsidRPr="00661595">
              <w:rPr>
                <w:rFonts w:ascii="Times New Roman" w:hAnsi="Times New Roman"/>
                <w:b/>
                <w:sz w:val="24"/>
                <w:lang w:eastAsia="nl-BE"/>
              </w:rPr>
              <w:t>Columns</w:t>
            </w:r>
          </w:p>
        </w:tc>
      </w:tr>
      <w:tr w:rsidR="000B0B09" w:rsidRPr="00661595" w:rsidTr="00672D2A">
        <w:tc>
          <w:tcPr>
            <w:tcW w:w="988" w:type="dxa"/>
          </w:tcPr>
          <w:p w:rsidR="000B0B09" w:rsidRPr="00661595" w:rsidRDefault="002F79EA" w:rsidP="00B74792">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010</w:t>
            </w:r>
            <w:r w:rsidR="00B74792" w:rsidRPr="00661595">
              <w:rPr>
                <w:rFonts w:ascii="Times New Roman" w:hAnsi="Times New Roman"/>
                <w:sz w:val="24"/>
                <w:lang w:eastAsia="nl-BE"/>
              </w:rPr>
              <w:t>-</w:t>
            </w:r>
            <w:r w:rsidRPr="00661595">
              <w:rPr>
                <w:rFonts w:ascii="Times New Roman" w:hAnsi="Times New Roman"/>
                <w:sz w:val="24"/>
                <w:lang w:eastAsia="nl-BE"/>
              </w:rPr>
              <w:t>0</w:t>
            </w:r>
            <w:r w:rsidR="000B0B09" w:rsidRPr="00661595">
              <w:rPr>
                <w:rFonts w:ascii="Times New Roman" w:hAnsi="Times New Roman"/>
                <w:sz w:val="24"/>
                <w:lang w:eastAsia="nl-BE"/>
              </w:rPr>
              <w:t>020</w:t>
            </w:r>
          </w:p>
        </w:tc>
        <w:tc>
          <w:tcPr>
            <w:tcW w:w="7874" w:type="dxa"/>
          </w:tcPr>
          <w:p w:rsidR="000B0B09" w:rsidRPr="00661595" w:rsidRDefault="000B0B09" w:rsidP="005F3BBE">
            <w:pPr>
              <w:autoSpaceDE w:val="0"/>
              <w:autoSpaceDN w:val="0"/>
              <w:adjustRightInd w:val="0"/>
              <w:rPr>
                <w:rFonts w:ascii="Times New Roman" w:hAnsi="Times New Roman"/>
                <w:b/>
                <w:bCs/>
                <w:sz w:val="24"/>
                <w:u w:val="single"/>
                <w:lang w:eastAsia="nl-BE"/>
              </w:rPr>
            </w:pPr>
            <w:r w:rsidRPr="00661595">
              <w:rPr>
                <w:rFonts w:ascii="Times New Roman" w:hAnsi="Times New Roman"/>
                <w:b/>
                <w:bCs/>
                <w:sz w:val="24"/>
                <w:u w:val="single"/>
                <w:lang w:eastAsia="nl-BE"/>
              </w:rPr>
              <w:t>ALL POSITIONS (LONG AND SHORT)</w:t>
            </w:r>
          </w:p>
          <w:p w:rsidR="005C14B0" w:rsidRPr="00661595" w:rsidRDefault="000B0B09" w:rsidP="005F3BBE">
            <w:pPr>
              <w:autoSpaceDE w:val="0"/>
              <w:autoSpaceDN w:val="0"/>
              <w:adjustRightInd w:val="0"/>
              <w:spacing w:before="0"/>
              <w:rPr>
                <w:rFonts w:ascii="Times New Roman" w:hAnsi="Times New Roman"/>
                <w:sz w:val="24"/>
                <w:lang w:eastAsia="de-DE"/>
              </w:rPr>
            </w:pPr>
            <w:r w:rsidRPr="00661595">
              <w:rPr>
                <w:rFonts w:ascii="Times New Roman" w:hAnsi="Times New Roman"/>
                <w:sz w:val="24"/>
                <w:lang w:eastAsia="de-DE"/>
              </w:rPr>
              <w:t xml:space="preserve">Article </w:t>
            </w:r>
            <w:r w:rsidRPr="00661595">
              <w:rPr>
                <w:rFonts w:ascii="Times New Roman" w:hAnsi="Times New Roman"/>
                <w:sz w:val="24"/>
              </w:rPr>
              <w:t>102</w:t>
            </w:r>
            <w:r w:rsidRPr="00661595">
              <w:rPr>
                <w:rFonts w:ascii="Times New Roman" w:hAnsi="Times New Roman"/>
                <w:sz w:val="24"/>
                <w:lang w:eastAsia="de-DE"/>
              </w:rPr>
              <w:t xml:space="preserve"> and </w:t>
            </w:r>
            <w:r w:rsidR="008241B9" w:rsidRPr="00661595">
              <w:rPr>
                <w:rFonts w:ascii="Times New Roman" w:hAnsi="Times New Roman"/>
                <w:sz w:val="24"/>
                <w:lang w:eastAsia="de-DE"/>
              </w:rPr>
              <w:t xml:space="preserve">Article </w:t>
            </w:r>
            <w:r w:rsidRPr="00661595">
              <w:rPr>
                <w:rFonts w:ascii="Times New Roman" w:hAnsi="Times New Roman"/>
                <w:sz w:val="24"/>
                <w:lang w:eastAsia="de-DE"/>
              </w:rPr>
              <w:t xml:space="preserve">105(1) </w:t>
            </w:r>
            <w:r w:rsidR="00C7103D" w:rsidRPr="00661595">
              <w:rPr>
                <w:rFonts w:ascii="Times New Roman" w:hAnsi="Times New Roman"/>
                <w:sz w:val="24"/>
                <w:lang w:eastAsia="de-DE"/>
              </w:rPr>
              <w:t>CRR</w:t>
            </w:r>
            <w:r w:rsidR="005F3BBE" w:rsidRPr="00661595">
              <w:rPr>
                <w:rFonts w:ascii="Times New Roman" w:hAnsi="Times New Roman"/>
                <w:sz w:val="24"/>
                <w:lang w:eastAsia="de-DE"/>
              </w:rPr>
              <w:t>.</w:t>
            </w:r>
            <w:r w:rsidRPr="00661595">
              <w:rPr>
                <w:rFonts w:ascii="Times New Roman" w:hAnsi="Times New Roman"/>
                <w:sz w:val="24"/>
                <w:lang w:eastAsia="de-DE"/>
              </w:rPr>
              <w:t xml:space="preserve"> </w:t>
            </w:r>
          </w:p>
          <w:p w:rsidR="000B0B09" w:rsidRPr="00661595" w:rsidRDefault="000B0B09" w:rsidP="00E64BFE">
            <w:pPr>
              <w:autoSpaceDE w:val="0"/>
              <w:autoSpaceDN w:val="0"/>
              <w:adjustRightInd w:val="0"/>
              <w:spacing w:before="0"/>
              <w:rPr>
                <w:rFonts w:ascii="Times New Roman" w:hAnsi="Times New Roman"/>
                <w:sz w:val="24"/>
                <w:lang w:eastAsia="nl-BE"/>
              </w:rPr>
            </w:pPr>
            <w:r w:rsidRPr="00661595">
              <w:rPr>
                <w:rFonts w:ascii="Times New Roman" w:hAnsi="Times New Roman"/>
                <w:sz w:val="24"/>
                <w:lang w:eastAsia="de-DE"/>
              </w:rPr>
              <w:t xml:space="preserve">These are gross positions not netted by instruments but excluding underwriting positions subscribed or sub-underwritten by third parties </w:t>
            </w:r>
            <w:r w:rsidR="00E64BFE" w:rsidRPr="00661595">
              <w:rPr>
                <w:rFonts w:ascii="Times New Roman" w:hAnsi="Times New Roman"/>
                <w:sz w:val="24"/>
                <w:lang w:eastAsia="de-DE"/>
              </w:rPr>
              <w:t xml:space="preserve">as referred to in </w:t>
            </w:r>
            <w:r w:rsidR="00705025" w:rsidRPr="00661595">
              <w:rPr>
                <w:rFonts w:ascii="Times New Roman" w:hAnsi="Times New Roman"/>
                <w:sz w:val="24"/>
                <w:lang w:eastAsia="de-DE"/>
              </w:rPr>
              <w:t xml:space="preserve">the second sentence of </w:t>
            </w:r>
            <w:r w:rsidR="005F3BBE" w:rsidRPr="00661595">
              <w:rPr>
                <w:rFonts w:ascii="Times New Roman" w:hAnsi="Times New Roman"/>
                <w:sz w:val="24"/>
                <w:lang w:eastAsia="de-DE"/>
              </w:rPr>
              <w:t xml:space="preserve">the first subparagraph of </w:t>
            </w:r>
            <w:r w:rsidRPr="00661595">
              <w:rPr>
                <w:rFonts w:ascii="Times New Roman" w:hAnsi="Times New Roman"/>
                <w:sz w:val="24"/>
                <w:lang w:eastAsia="de-DE"/>
              </w:rPr>
              <w:t>Article 345</w:t>
            </w:r>
            <w:r w:rsidR="005F3BBE" w:rsidRPr="00661595">
              <w:rPr>
                <w:rFonts w:ascii="Times New Roman" w:hAnsi="Times New Roman"/>
                <w:sz w:val="24"/>
                <w:lang w:eastAsia="de-DE"/>
              </w:rPr>
              <w:t>(1)</w:t>
            </w:r>
            <w:r w:rsidRPr="00661595">
              <w:rPr>
                <w:rFonts w:ascii="Times New Roman" w:hAnsi="Times New Roman"/>
                <w:sz w:val="24"/>
                <w:lang w:eastAsia="de-DE"/>
              </w:rPr>
              <w:t xml:space="preserve"> </w:t>
            </w:r>
            <w:r w:rsidR="00C7103D" w:rsidRPr="00661595">
              <w:rPr>
                <w:rFonts w:ascii="Times New Roman" w:hAnsi="Times New Roman"/>
                <w:sz w:val="24"/>
                <w:lang w:eastAsia="de-DE"/>
              </w:rPr>
              <w:t>CRR</w:t>
            </w:r>
            <w:r w:rsidRPr="00661595">
              <w:rPr>
                <w:rFonts w:ascii="Times New Roman" w:hAnsi="Times New Roman"/>
                <w:sz w:val="24"/>
                <w:lang w:eastAsia="de-DE"/>
              </w:rPr>
              <w:t xml:space="preserve">. </w:t>
            </w:r>
          </w:p>
        </w:tc>
      </w:tr>
      <w:tr w:rsidR="000B0B09" w:rsidRPr="00661595" w:rsidTr="00672D2A">
        <w:tc>
          <w:tcPr>
            <w:tcW w:w="988" w:type="dxa"/>
          </w:tcPr>
          <w:p w:rsidR="000B0B09" w:rsidRPr="00661595" w:rsidRDefault="002F79EA" w:rsidP="00B74792">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030</w:t>
            </w:r>
            <w:r w:rsidR="00B74792" w:rsidRPr="00661595">
              <w:rPr>
                <w:rFonts w:ascii="Times New Roman" w:hAnsi="Times New Roman"/>
                <w:sz w:val="24"/>
                <w:lang w:eastAsia="nl-BE"/>
              </w:rPr>
              <w:t>-</w:t>
            </w:r>
            <w:r w:rsidRPr="00661595">
              <w:rPr>
                <w:rFonts w:ascii="Times New Roman" w:hAnsi="Times New Roman"/>
                <w:sz w:val="24"/>
                <w:lang w:eastAsia="nl-BE"/>
              </w:rPr>
              <w:t>0</w:t>
            </w:r>
            <w:r w:rsidR="000B0B09" w:rsidRPr="00661595">
              <w:rPr>
                <w:rFonts w:ascii="Times New Roman" w:hAnsi="Times New Roman"/>
                <w:sz w:val="24"/>
                <w:lang w:eastAsia="nl-BE"/>
              </w:rPr>
              <w:t xml:space="preserve">040 </w:t>
            </w:r>
          </w:p>
        </w:tc>
        <w:tc>
          <w:tcPr>
            <w:tcW w:w="7874"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NET POSITIONS (LONG AND SHORT)</w:t>
            </w:r>
          </w:p>
          <w:p w:rsidR="000B0B09" w:rsidRPr="00661595" w:rsidRDefault="000B0B09" w:rsidP="005F3BBE">
            <w:pPr>
              <w:autoSpaceDE w:val="0"/>
              <w:autoSpaceDN w:val="0"/>
              <w:adjustRightInd w:val="0"/>
              <w:rPr>
                <w:rFonts w:ascii="Times New Roman" w:hAnsi="Times New Roman"/>
                <w:sz w:val="24"/>
                <w:lang w:eastAsia="nl-BE"/>
              </w:rPr>
            </w:pPr>
            <w:r w:rsidRPr="00661595">
              <w:rPr>
                <w:rFonts w:ascii="Times New Roman" w:hAnsi="Times New Roman"/>
                <w:sz w:val="24"/>
                <w:lang w:eastAsia="de-DE"/>
              </w:rPr>
              <w:t xml:space="preserve">Articles 327, 329, 332, 341 and 345 </w:t>
            </w:r>
            <w:r w:rsidR="00C7103D" w:rsidRPr="00661595">
              <w:rPr>
                <w:rFonts w:ascii="Times New Roman" w:hAnsi="Times New Roman"/>
                <w:sz w:val="24"/>
                <w:lang w:eastAsia="de-DE"/>
              </w:rPr>
              <w:t>CRR</w:t>
            </w:r>
            <w:r w:rsidR="005F3BBE" w:rsidRPr="00661595">
              <w:rPr>
                <w:rFonts w:ascii="Times New Roman" w:hAnsi="Times New Roman"/>
                <w:sz w:val="24"/>
                <w:lang w:eastAsia="de-DE"/>
              </w:rPr>
              <w:t>.</w:t>
            </w:r>
            <w:r w:rsidRPr="00661595">
              <w:rPr>
                <w:rFonts w:ascii="Times New Roman" w:hAnsi="Times New Roman"/>
                <w:sz w:val="24"/>
                <w:lang w:eastAsia="de-DE"/>
              </w:rPr>
              <w:t xml:space="preserve"> </w:t>
            </w:r>
          </w:p>
        </w:tc>
      </w:tr>
      <w:tr w:rsidR="000B0B09" w:rsidRPr="00661595" w:rsidTr="00672D2A">
        <w:tc>
          <w:tcPr>
            <w:tcW w:w="988" w:type="dxa"/>
          </w:tcPr>
          <w:p w:rsidR="000B0B09" w:rsidRPr="00661595" w:rsidRDefault="002F79EA"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050</w:t>
            </w:r>
          </w:p>
        </w:tc>
        <w:tc>
          <w:tcPr>
            <w:tcW w:w="7874" w:type="dxa"/>
          </w:tcPr>
          <w:p w:rsidR="000B0B09" w:rsidRPr="00661595" w:rsidRDefault="000B0B09" w:rsidP="000B0B09">
            <w:pPr>
              <w:tabs>
                <w:tab w:val="left" w:pos="5795"/>
              </w:tabs>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POSITIONS SUBJECT TO CAPITAL CHARGE</w:t>
            </w:r>
          </w:p>
          <w:p w:rsidR="000B0B09" w:rsidRPr="00661595" w:rsidRDefault="000B0B09" w:rsidP="005F3BBE">
            <w:pPr>
              <w:autoSpaceDE w:val="0"/>
              <w:autoSpaceDN w:val="0"/>
              <w:adjustRightInd w:val="0"/>
              <w:spacing w:after="0"/>
              <w:rPr>
                <w:rFonts w:ascii="Times New Roman" w:hAnsi="Times New Roman"/>
                <w:sz w:val="24"/>
                <w:lang w:eastAsia="de-DE"/>
              </w:rPr>
            </w:pPr>
            <w:r w:rsidRPr="00661595">
              <w:rPr>
                <w:rFonts w:ascii="Times New Roman" w:hAnsi="Times New Roman"/>
                <w:sz w:val="24"/>
                <w:lang w:eastAsia="de-DE"/>
              </w:rPr>
              <w:t xml:space="preserve">Those net positions that, </w:t>
            </w:r>
            <w:r w:rsidR="00BB22D4" w:rsidRPr="00661595">
              <w:rPr>
                <w:rFonts w:ascii="Times New Roman" w:hAnsi="Times New Roman"/>
                <w:sz w:val="24"/>
                <w:lang w:eastAsia="de-DE"/>
              </w:rPr>
              <w:t>in accordance with</w:t>
            </w:r>
            <w:r w:rsidRPr="00661595">
              <w:rPr>
                <w:rFonts w:ascii="Times New Roman" w:hAnsi="Times New Roman"/>
                <w:sz w:val="24"/>
                <w:lang w:eastAsia="de-DE"/>
              </w:rPr>
              <w:t xml:space="preserve"> the different approaches considered in </w:t>
            </w:r>
            <w:r w:rsidR="005F3BBE" w:rsidRPr="00661595">
              <w:rPr>
                <w:rFonts w:ascii="Times New Roman" w:hAnsi="Times New Roman"/>
                <w:sz w:val="24"/>
                <w:lang w:eastAsia="de-DE"/>
              </w:rPr>
              <w:t xml:space="preserve">Chapter 2 of Title IV of </w:t>
            </w:r>
            <w:r w:rsidR="00097A17" w:rsidRPr="00661595">
              <w:rPr>
                <w:rFonts w:ascii="Times New Roman" w:hAnsi="Times New Roman"/>
                <w:sz w:val="24"/>
                <w:lang w:eastAsia="de-DE"/>
              </w:rPr>
              <w:t>Part Three</w:t>
            </w:r>
            <w:r w:rsidRPr="00661595">
              <w:rPr>
                <w:rFonts w:ascii="Times New Roman" w:hAnsi="Times New Roman"/>
                <w:sz w:val="24"/>
                <w:lang w:eastAsia="de-DE"/>
              </w:rPr>
              <w:t xml:space="preserve"> </w:t>
            </w:r>
            <w:r w:rsidR="00C7103D" w:rsidRPr="00661595">
              <w:rPr>
                <w:rFonts w:ascii="Times New Roman" w:hAnsi="Times New Roman"/>
                <w:sz w:val="24"/>
                <w:lang w:eastAsia="de-DE"/>
              </w:rPr>
              <w:t>CRR</w:t>
            </w:r>
            <w:r w:rsidRPr="00661595">
              <w:rPr>
                <w:rFonts w:ascii="Times New Roman" w:hAnsi="Times New Roman"/>
                <w:sz w:val="24"/>
                <w:lang w:eastAsia="de-DE"/>
              </w:rPr>
              <w:t xml:space="preserve"> receive a capital charge. The capital charge has to be calculated for each national market separately. </w:t>
            </w:r>
            <w:r w:rsidR="00201F3E" w:rsidRPr="00661595">
              <w:rPr>
                <w:rFonts w:ascii="Times New Roman" w:hAnsi="Times New Roman"/>
                <w:sz w:val="24"/>
                <w:lang w:eastAsia="de-DE"/>
              </w:rPr>
              <w:t xml:space="preserve">Positions in stock-index futures </w:t>
            </w:r>
            <w:r w:rsidR="00A11C6E" w:rsidRPr="00661595">
              <w:rPr>
                <w:rFonts w:ascii="Times New Roman" w:hAnsi="Times New Roman"/>
                <w:sz w:val="24"/>
                <w:lang w:eastAsia="de-DE"/>
              </w:rPr>
              <w:t>as referred to in</w:t>
            </w:r>
            <w:r w:rsidR="00201F3E" w:rsidRPr="00661595">
              <w:rPr>
                <w:rFonts w:ascii="Times New Roman" w:hAnsi="Times New Roman"/>
                <w:sz w:val="24"/>
                <w:lang w:eastAsia="de-DE"/>
              </w:rPr>
              <w:t xml:space="preserve"> the second sentence of Article 344(4) CRR shall not be included in this column.</w:t>
            </w:r>
          </w:p>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p>
        </w:tc>
      </w:tr>
      <w:tr w:rsidR="000B0B09" w:rsidRPr="00661595" w:rsidTr="00672D2A">
        <w:tc>
          <w:tcPr>
            <w:tcW w:w="988" w:type="dxa"/>
          </w:tcPr>
          <w:p w:rsidR="000B0B09" w:rsidRPr="00661595" w:rsidRDefault="002F79EA"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060</w:t>
            </w:r>
          </w:p>
        </w:tc>
        <w:tc>
          <w:tcPr>
            <w:tcW w:w="7874" w:type="dxa"/>
          </w:tcPr>
          <w:p w:rsidR="000B0B09" w:rsidRPr="00661595" w:rsidRDefault="000B0B09" w:rsidP="000B0B09">
            <w:pPr>
              <w:tabs>
                <w:tab w:val="left" w:pos="1665"/>
              </w:tabs>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OWN FUNDS REQUIREMENTS</w:t>
            </w:r>
          </w:p>
          <w:p w:rsidR="000B0B09" w:rsidRPr="00661595" w:rsidRDefault="000B0B09" w:rsidP="005F3BBE">
            <w:pPr>
              <w:autoSpaceDE w:val="0"/>
              <w:autoSpaceDN w:val="0"/>
              <w:adjustRightInd w:val="0"/>
              <w:spacing w:after="0"/>
              <w:rPr>
                <w:rFonts w:ascii="Times New Roman" w:hAnsi="Times New Roman"/>
                <w:sz w:val="24"/>
                <w:lang w:eastAsia="de-DE"/>
              </w:rPr>
            </w:pPr>
            <w:r w:rsidRPr="00661595">
              <w:rPr>
                <w:rFonts w:ascii="Times New Roman" w:hAnsi="Times New Roman"/>
                <w:sz w:val="24"/>
                <w:lang w:eastAsia="de-DE"/>
              </w:rPr>
              <w:t xml:space="preserve">The </w:t>
            </w:r>
            <w:r w:rsidR="00E64BFE" w:rsidRPr="00661595">
              <w:rPr>
                <w:rFonts w:ascii="Times New Roman" w:hAnsi="Times New Roman"/>
                <w:sz w:val="24"/>
                <w:lang w:eastAsia="de-DE"/>
              </w:rPr>
              <w:t>own funds requirement</w:t>
            </w:r>
            <w:r w:rsidRPr="00661595">
              <w:rPr>
                <w:rFonts w:ascii="Times New Roman" w:hAnsi="Times New Roman"/>
                <w:sz w:val="24"/>
                <w:lang w:eastAsia="de-DE"/>
              </w:rPr>
              <w:t xml:space="preserve"> </w:t>
            </w:r>
            <w:r w:rsidR="00E64BFE" w:rsidRPr="00661595">
              <w:rPr>
                <w:rFonts w:ascii="Times New Roman" w:hAnsi="Times New Roman"/>
                <w:sz w:val="24"/>
                <w:lang w:eastAsia="de-DE"/>
              </w:rPr>
              <w:t xml:space="preserve">in accordance with Chapter 2 of Title IV of </w:t>
            </w:r>
            <w:r w:rsidR="00097A17" w:rsidRPr="00661595">
              <w:rPr>
                <w:rFonts w:ascii="Times New Roman" w:hAnsi="Times New Roman"/>
                <w:sz w:val="24"/>
                <w:lang w:eastAsia="de-DE"/>
              </w:rPr>
              <w:t>Part Three CRR</w:t>
            </w:r>
            <w:r w:rsidR="00E64BFE" w:rsidRPr="00661595">
              <w:rPr>
                <w:rFonts w:ascii="Times New Roman" w:hAnsi="Times New Roman"/>
                <w:sz w:val="24"/>
                <w:lang w:eastAsia="de-DE"/>
              </w:rPr>
              <w:t xml:space="preserve"> </w:t>
            </w:r>
            <w:r w:rsidRPr="00661595">
              <w:rPr>
                <w:rFonts w:ascii="Times New Roman" w:hAnsi="Times New Roman"/>
                <w:sz w:val="24"/>
                <w:lang w:eastAsia="de-DE"/>
              </w:rPr>
              <w:t>for any relevant position</w:t>
            </w:r>
          </w:p>
          <w:p w:rsidR="000B0B09" w:rsidRPr="00661595" w:rsidRDefault="000B0B09" w:rsidP="000B0B09">
            <w:pPr>
              <w:tabs>
                <w:tab w:val="left" w:pos="1665"/>
              </w:tabs>
              <w:autoSpaceDE w:val="0"/>
              <w:autoSpaceDN w:val="0"/>
              <w:adjustRightInd w:val="0"/>
              <w:spacing w:before="0" w:after="0"/>
              <w:rPr>
                <w:rFonts w:ascii="Times New Roman" w:hAnsi="Times New Roman"/>
                <w:b/>
                <w:bCs/>
                <w:sz w:val="24"/>
                <w:u w:val="single"/>
                <w:lang w:eastAsia="nl-BE"/>
              </w:rPr>
            </w:pPr>
          </w:p>
        </w:tc>
      </w:tr>
      <w:tr w:rsidR="000B0B09" w:rsidRPr="00661595" w:rsidTr="00672D2A">
        <w:tc>
          <w:tcPr>
            <w:tcW w:w="988" w:type="dxa"/>
          </w:tcPr>
          <w:p w:rsidR="000B0B09" w:rsidRPr="00661595" w:rsidRDefault="002F79EA"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070</w:t>
            </w:r>
          </w:p>
        </w:tc>
        <w:tc>
          <w:tcPr>
            <w:tcW w:w="7874" w:type="dxa"/>
          </w:tcPr>
          <w:p w:rsidR="000B0B09" w:rsidRPr="00661595" w:rsidRDefault="000B0B09" w:rsidP="000B0B09">
            <w:pPr>
              <w:tabs>
                <w:tab w:val="left" w:pos="1665"/>
              </w:tabs>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TOTAL RISK EXPOSURE AMOUNT</w:t>
            </w:r>
          </w:p>
          <w:p w:rsidR="00E64BFE" w:rsidRPr="00661595" w:rsidRDefault="00D21B29" w:rsidP="005F3BBE">
            <w:pPr>
              <w:tabs>
                <w:tab w:val="left" w:pos="1665"/>
              </w:tabs>
              <w:autoSpaceDE w:val="0"/>
              <w:autoSpaceDN w:val="0"/>
              <w:adjustRightInd w:val="0"/>
              <w:spacing w:after="0"/>
              <w:rPr>
                <w:rFonts w:ascii="Times New Roman" w:hAnsi="Times New Roman"/>
                <w:sz w:val="24"/>
                <w:lang w:eastAsia="de-DE"/>
              </w:rPr>
            </w:pPr>
            <w:r w:rsidRPr="00661595">
              <w:rPr>
                <w:rFonts w:ascii="Times New Roman" w:hAnsi="Times New Roman"/>
                <w:sz w:val="24"/>
              </w:rPr>
              <w:t xml:space="preserve">Point (b) of </w:t>
            </w:r>
            <w:r w:rsidR="000B0B09" w:rsidRPr="00661595">
              <w:rPr>
                <w:rFonts w:ascii="Times New Roman" w:hAnsi="Times New Roman"/>
                <w:sz w:val="24"/>
                <w:lang w:eastAsia="de-DE"/>
              </w:rPr>
              <w:t xml:space="preserve">Article 92(4) </w:t>
            </w:r>
            <w:r w:rsidR="00C7103D" w:rsidRPr="00661595">
              <w:rPr>
                <w:rFonts w:ascii="Times New Roman" w:hAnsi="Times New Roman"/>
                <w:sz w:val="24"/>
                <w:lang w:eastAsia="de-DE"/>
              </w:rPr>
              <w:t>CRR</w:t>
            </w:r>
            <w:r w:rsidR="000B0B09" w:rsidRPr="00661595">
              <w:rPr>
                <w:rFonts w:ascii="Times New Roman" w:hAnsi="Times New Roman"/>
                <w:sz w:val="24"/>
                <w:lang w:eastAsia="de-DE"/>
              </w:rPr>
              <w:t xml:space="preserve">. </w:t>
            </w:r>
          </w:p>
          <w:p w:rsidR="000B0B09" w:rsidRPr="00661595" w:rsidRDefault="000B0B09" w:rsidP="00B828CC">
            <w:pPr>
              <w:tabs>
                <w:tab w:val="left" w:pos="1665"/>
              </w:tabs>
              <w:autoSpaceDE w:val="0"/>
              <w:autoSpaceDN w:val="0"/>
              <w:adjustRightInd w:val="0"/>
              <w:rPr>
                <w:rFonts w:ascii="Times New Roman" w:hAnsi="Times New Roman"/>
                <w:b/>
                <w:bCs/>
                <w:sz w:val="24"/>
                <w:u w:val="single"/>
                <w:lang w:eastAsia="nl-BE"/>
              </w:rPr>
            </w:pPr>
            <w:r w:rsidRPr="00661595">
              <w:rPr>
                <w:rFonts w:ascii="Times New Roman" w:hAnsi="Times New Roman"/>
                <w:sz w:val="24"/>
                <w:lang w:eastAsia="de-DE"/>
              </w:rPr>
              <w:t>Result of the multiplication of the own funds requirements by 12</w:t>
            </w:r>
            <w:r w:rsidR="005F3BBE" w:rsidRPr="00661595">
              <w:rPr>
                <w:rFonts w:ascii="Times New Roman" w:hAnsi="Times New Roman"/>
                <w:sz w:val="24"/>
                <w:lang w:eastAsia="de-DE"/>
              </w:rPr>
              <w:t>,</w:t>
            </w:r>
            <w:r w:rsidRPr="00661595">
              <w:rPr>
                <w:rFonts w:ascii="Times New Roman" w:hAnsi="Times New Roman"/>
                <w:sz w:val="24"/>
                <w:lang w:eastAsia="de-DE"/>
              </w:rPr>
              <w:t>5</w:t>
            </w:r>
            <w:r w:rsidR="005F3BBE" w:rsidRPr="00661595">
              <w:rPr>
                <w:rFonts w:ascii="Times New Roman" w:hAnsi="Times New Roman"/>
                <w:sz w:val="24"/>
                <w:lang w:eastAsia="de-DE"/>
              </w:rPr>
              <w:t>.</w:t>
            </w:r>
            <w:r w:rsidRPr="00661595">
              <w:rPr>
                <w:rFonts w:ascii="Times New Roman" w:hAnsi="Times New Roman"/>
                <w:sz w:val="24"/>
                <w:lang w:eastAsia="de-DE"/>
              </w:rPr>
              <w:t xml:space="preserve"> </w:t>
            </w:r>
          </w:p>
        </w:tc>
      </w:tr>
    </w:tbl>
    <w:p w:rsidR="000B0B09" w:rsidRPr="00661595" w:rsidRDefault="000B0B09" w:rsidP="000B0B09">
      <w:pPr>
        <w:autoSpaceDE w:val="0"/>
        <w:autoSpaceDN w:val="0"/>
        <w:adjustRightInd w:val="0"/>
        <w:spacing w:before="0" w:after="0"/>
        <w:rPr>
          <w:rFonts w:ascii="Times New Roman" w:hAnsi="Times New Roman"/>
          <w:sz w:val="24"/>
          <w:lang w:eastAsia="nl-B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
        <w:gridCol w:w="8059"/>
      </w:tblGrid>
      <w:tr w:rsidR="000B0B09" w:rsidRPr="00661595" w:rsidTr="00672D2A">
        <w:trPr>
          <w:trHeight w:val="662"/>
        </w:trPr>
        <w:tc>
          <w:tcPr>
            <w:tcW w:w="9212" w:type="dxa"/>
            <w:gridSpan w:val="2"/>
            <w:shd w:val="clear" w:color="auto" w:fill="CCCCCC"/>
          </w:tcPr>
          <w:p w:rsidR="000B0B09" w:rsidRPr="00661595" w:rsidRDefault="000B0B09" w:rsidP="000B0B09">
            <w:pPr>
              <w:autoSpaceDE w:val="0"/>
              <w:autoSpaceDN w:val="0"/>
              <w:adjustRightInd w:val="0"/>
              <w:spacing w:after="0"/>
              <w:rPr>
                <w:rFonts w:ascii="Times New Roman" w:hAnsi="Times New Roman"/>
                <w:b/>
                <w:sz w:val="24"/>
                <w:lang w:eastAsia="nl-BE"/>
              </w:rPr>
            </w:pPr>
            <w:r w:rsidRPr="00661595">
              <w:rPr>
                <w:rFonts w:ascii="Times New Roman" w:hAnsi="Times New Roman"/>
                <w:b/>
                <w:sz w:val="24"/>
                <w:lang w:eastAsia="nl-BE"/>
              </w:rPr>
              <w:t>Rows</w:t>
            </w:r>
          </w:p>
        </w:tc>
      </w:tr>
      <w:tr w:rsidR="000B0B09" w:rsidRPr="00661595" w:rsidTr="00672D2A">
        <w:tc>
          <w:tcPr>
            <w:tcW w:w="1008" w:type="dxa"/>
          </w:tcPr>
          <w:p w:rsidR="000B0B09" w:rsidRPr="00661595" w:rsidRDefault="002F79EA" w:rsidP="00B74792">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010-</w:t>
            </w:r>
            <w:r w:rsidRPr="00661595">
              <w:rPr>
                <w:rFonts w:ascii="Times New Roman" w:hAnsi="Times New Roman"/>
                <w:sz w:val="24"/>
                <w:lang w:eastAsia="nl-BE"/>
              </w:rPr>
              <w:t>0</w:t>
            </w:r>
            <w:r w:rsidR="000B0B09" w:rsidRPr="00661595">
              <w:rPr>
                <w:rFonts w:ascii="Times New Roman" w:hAnsi="Times New Roman"/>
                <w:sz w:val="24"/>
                <w:lang w:eastAsia="nl-BE"/>
              </w:rPr>
              <w:t>130</w:t>
            </w:r>
          </w:p>
        </w:tc>
        <w:tc>
          <w:tcPr>
            <w:tcW w:w="8204"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EQUITIES IN TRADING BOOK</w:t>
            </w:r>
          </w:p>
          <w:p w:rsidR="000B0B09" w:rsidRPr="00661595" w:rsidRDefault="000B0B09" w:rsidP="00B828CC">
            <w:pPr>
              <w:tabs>
                <w:tab w:val="left" w:pos="1665"/>
              </w:tabs>
              <w:autoSpaceDE w:val="0"/>
              <w:autoSpaceDN w:val="0"/>
              <w:adjustRightInd w:val="0"/>
              <w:rPr>
                <w:rFonts w:ascii="Times New Roman" w:hAnsi="Times New Roman"/>
                <w:sz w:val="24"/>
                <w:lang w:eastAsia="nl-BE"/>
              </w:rPr>
            </w:pPr>
            <w:r w:rsidRPr="00661595">
              <w:rPr>
                <w:rFonts w:ascii="Times New Roman" w:hAnsi="Times New Roman"/>
                <w:sz w:val="24"/>
              </w:rPr>
              <w:t xml:space="preserve">Own funds requirements for position risk </w:t>
            </w:r>
            <w:r w:rsidR="00A11C6E" w:rsidRPr="00661595">
              <w:rPr>
                <w:rFonts w:ascii="Times New Roman" w:hAnsi="Times New Roman"/>
                <w:sz w:val="24"/>
              </w:rPr>
              <w:t>as referred to in</w:t>
            </w:r>
            <w:r w:rsidRPr="00661595">
              <w:rPr>
                <w:rFonts w:ascii="Times New Roman" w:hAnsi="Times New Roman"/>
                <w:sz w:val="24"/>
              </w:rPr>
              <w:t xml:space="preserve"> </w:t>
            </w:r>
            <w:r w:rsidR="00705025" w:rsidRPr="00661595">
              <w:rPr>
                <w:rFonts w:ascii="Times New Roman" w:hAnsi="Times New Roman"/>
                <w:sz w:val="24"/>
              </w:rPr>
              <w:t xml:space="preserve">point </w:t>
            </w:r>
            <w:r w:rsidR="0015008C" w:rsidRPr="00661595">
              <w:rPr>
                <w:rFonts w:ascii="Times New Roman" w:hAnsi="Times New Roman"/>
                <w:sz w:val="24"/>
              </w:rPr>
              <w:t>(b)</w:t>
            </w:r>
            <w:r w:rsidR="00705025" w:rsidRPr="00661595">
              <w:rPr>
                <w:rFonts w:ascii="Times New Roman" w:hAnsi="Times New Roman"/>
                <w:sz w:val="24"/>
              </w:rPr>
              <w:t xml:space="preserve">(i) of </w:t>
            </w:r>
            <w:r w:rsidR="00D21B29" w:rsidRPr="00661595">
              <w:rPr>
                <w:rFonts w:ascii="Times New Roman" w:hAnsi="Times New Roman"/>
                <w:sz w:val="24"/>
              </w:rPr>
              <w:t>Article</w:t>
            </w:r>
            <w:r w:rsidRPr="00661595">
              <w:rPr>
                <w:rFonts w:ascii="Times New Roman" w:hAnsi="Times New Roman"/>
                <w:sz w:val="24"/>
              </w:rPr>
              <w:t xml:space="preserve"> 92(3) CRR </w:t>
            </w:r>
            <w:r w:rsidRPr="00661595">
              <w:rPr>
                <w:rFonts w:ascii="Times New Roman" w:hAnsi="Times New Roman"/>
                <w:sz w:val="24"/>
                <w:lang w:eastAsia="de-DE"/>
              </w:rPr>
              <w:t>and</w:t>
            </w:r>
            <w:r w:rsidRPr="00661595">
              <w:rPr>
                <w:rFonts w:ascii="Times New Roman" w:hAnsi="Times New Roman"/>
                <w:sz w:val="24"/>
              </w:rPr>
              <w:t xml:space="preserve"> </w:t>
            </w:r>
            <w:r w:rsidR="005C14B0" w:rsidRPr="00661595">
              <w:rPr>
                <w:rFonts w:ascii="Times New Roman" w:hAnsi="Times New Roman"/>
                <w:sz w:val="24"/>
              </w:rPr>
              <w:t xml:space="preserve">Section 3 of Chapter 2 of Title IV of </w:t>
            </w:r>
            <w:r w:rsidR="00097A17" w:rsidRPr="00661595">
              <w:rPr>
                <w:rFonts w:ascii="Times New Roman" w:hAnsi="Times New Roman"/>
                <w:sz w:val="24"/>
              </w:rPr>
              <w:t>Part Three</w:t>
            </w:r>
            <w:r w:rsidRPr="00661595">
              <w:rPr>
                <w:rFonts w:ascii="Times New Roman" w:hAnsi="Times New Roman"/>
                <w:sz w:val="24"/>
              </w:rPr>
              <w:t xml:space="preserve"> </w:t>
            </w:r>
            <w:r w:rsidR="00C7103D" w:rsidRPr="00661595">
              <w:rPr>
                <w:rFonts w:ascii="Times New Roman" w:hAnsi="Times New Roman"/>
                <w:sz w:val="24"/>
              </w:rPr>
              <w:t>CRR</w:t>
            </w:r>
            <w:r w:rsidR="005F3BBE" w:rsidRPr="00661595">
              <w:rPr>
                <w:rFonts w:ascii="Times New Roman" w:hAnsi="Times New Roman"/>
                <w:sz w:val="24"/>
              </w:rPr>
              <w:t>.</w:t>
            </w:r>
          </w:p>
        </w:tc>
      </w:tr>
      <w:tr w:rsidR="000B0B09" w:rsidRPr="00661595" w:rsidTr="00672D2A">
        <w:tc>
          <w:tcPr>
            <w:tcW w:w="1008" w:type="dxa"/>
          </w:tcPr>
          <w:p w:rsidR="000B0B09" w:rsidRPr="00661595" w:rsidRDefault="002F79EA" w:rsidP="00B74792">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020</w:t>
            </w:r>
            <w:r w:rsidR="00B74792" w:rsidRPr="00661595">
              <w:rPr>
                <w:rFonts w:ascii="Times New Roman" w:hAnsi="Times New Roman"/>
                <w:sz w:val="24"/>
                <w:lang w:eastAsia="nl-BE"/>
              </w:rPr>
              <w:t>-</w:t>
            </w:r>
            <w:r w:rsidRPr="00661595">
              <w:rPr>
                <w:rFonts w:ascii="Times New Roman" w:hAnsi="Times New Roman"/>
                <w:sz w:val="24"/>
                <w:lang w:eastAsia="nl-BE"/>
              </w:rPr>
              <w:t>0</w:t>
            </w:r>
            <w:r w:rsidR="000B0B09" w:rsidRPr="00661595">
              <w:rPr>
                <w:rFonts w:ascii="Times New Roman" w:hAnsi="Times New Roman"/>
                <w:sz w:val="24"/>
                <w:lang w:eastAsia="nl-BE"/>
              </w:rPr>
              <w:t>040</w:t>
            </w:r>
          </w:p>
        </w:tc>
        <w:tc>
          <w:tcPr>
            <w:tcW w:w="8204"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GENERAL RISK</w:t>
            </w:r>
          </w:p>
          <w:p w:rsidR="000B0B09" w:rsidRPr="00661595" w:rsidRDefault="000B0B09" w:rsidP="005F3BBE">
            <w:pPr>
              <w:autoSpaceDE w:val="0"/>
              <w:autoSpaceDN w:val="0"/>
              <w:adjustRightInd w:val="0"/>
              <w:rPr>
                <w:rFonts w:ascii="Times New Roman" w:hAnsi="Times New Roman"/>
                <w:sz w:val="24"/>
              </w:rPr>
            </w:pPr>
            <w:r w:rsidRPr="00661595">
              <w:rPr>
                <w:rFonts w:ascii="Times New Roman" w:hAnsi="Times New Roman"/>
                <w:sz w:val="24"/>
              </w:rPr>
              <w:t xml:space="preserve">Positions in equities subject to general risk (Article 343 </w:t>
            </w:r>
            <w:r w:rsidR="00C7103D" w:rsidRPr="00661595">
              <w:rPr>
                <w:rFonts w:ascii="Times New Roman" w:hAnsi="Times New Roman"/>
                <w:sz w:val="24"/>
              </w:rPr>
              <w:t>CRR</w:t>
            </w:r>
            <w:r w:rsidRPr="00661595">
              <w:rPr>
                <w:rFonts w:ascii="Times New Roman" w:hAnsi="Times New Roman"/>
                <w:sz w:val="24"/>
              </w:rPr>
              <w:t xml:space="preserve">) and their correspondent own funds requirement </w:t>
            </w:r>
            <w:r w:rsidR="00BB22D4" w:rsidRPr="00661595">
              <w:rPr>
                <w:rFonts w:ascii="Times New Roman" w:hAnsi="Times New Roman"/>
                <w:sz w:val="24"/>
              </w:rPr>
              <w:t>in accordance with</w:t>
            </w:r>
            <w:r w:rsidRPr="00661595">
              <w:rPr>
                <w:rFonts w:ascii="Times New Roman" w:hAnsi="Times New Roman"/>
                <w:sz w:val="24"/>
              </w:rPr>
              <w:t xml:space="preserve"> </w:t>
            </w:r>
            <w:r w:rsidR="005C14B0" w:rsidRPr="00661595">
              <w:rPr>
                <w:rFonts w:ascii="Times New Roman" w:hAnsi="Times New Roman"/>
                <w:sz w:val="24"/>
              </w:rPr>
              <w:t xml:space="preserve">Section 3 of Chapter 2 of Title IV of </w:t>
            </w:r>
            <w:r w:rsidR="00097A17" w:rsidRPr="00661595">
              <w:rPr>
                <w:rFonts w:ascii="Times New Roman" w:hAnsi="Times New Roman"/>
                <w:sz w:val="24"/>
              </w:rPr>
              <w:t>Part Three</w:t>
            </w:r>
            <w:r w:rsidR="005C14B0" w:rsidRPr="00661595">
              <w:rPr>
                <w:rFonts w:ascii="Times New Roman" w:hAnsi="Times New Roman"/>
                <w:sz w:val="24"/>
              </w:rPr>
              <w:t xml:space="preserve"> </w:t>
            </w:r>
            <w:r w:rsidR="00C7103D" w:rsidRPr="00661595">
              <w:rPr>
                <w:rFonts w:ascii="Times New Roman" w:hAnsi="Times New Roman"/>
                <w:sz w:val="24"/>
              </w:rPr>
              <w:t>CRR</w:t>
            </w:r>
          </w:p>
          <w:p w:rsidR="001E0C80" w:rsidRPr="00661595" w:rsidRDefault="000B0B09" w:rsidP="005F3BBE">
            <w:pPr>
              <w:autoSpaceDE w:val="0"/>
              <w:autoSpaceDN w:val="0"/>
              <w:adjustRightInd w:val="0"/>
              <w:spacing w:before="0"/>
              <w:rPr>
                <w:rFonts w:ascii="Times New Roman" w:hAnsi="Times New Roman"/>
                <w:sz w:val="24"/>
              </w:rPr>
            </w:pPr>
            <w:r w:rsidRPr="00661595">
              <w:rPr>
                <w:rFonts w:ascii="Times New Roman" w:hAnsi="Times New Roman"/>
                <w:sz w:val="24"/>
              </w:rPr>
              <w:t>Both breakdowns (</w:t>
            </w:r>
            <w:r w:rsidR="002F79EA" w:rsidRPr="00661595">
              <w:rPr>
                <w:rFonts w:ascii="Times New Roman" w:hAnsi="Times New Roman"/>
                <w:sz w:val="24"/>
              </w:rPr>
              <w:t>rows 0</w:t>
            </w:r>
            <w:r w:rsidRPr="00661595">
              <w:rPr>
                <w:rFonts w:ascii="Times New Roman" w:hAnsi="Times New Roman"/>
                <w:sz w:val="24"/>
              </w:rPr>
              <w:t>021/</w:t>
            </w:r>
            <w:r w:rsidR="002F79EA" w:rsidRPr="00661595">
              <w:rPr>
                <w:rFonts w:ascii="Times New Roman" w:hAnsi="Times New Roman"/>
                <w:sz w:val="24"/>
              </w:rPr>
              <w:t>0</w:t>
            </w:r>
            <w:r w:rsidRPr="00661595">
              <w:rPr>
                <w:rFonts w:ascii="Times New Roman" w:hAnsi="Times New Roman"/>
                <w:sz w:val="24"/>
              </w:rPr>
              <w:t xml:space="preserve">022 as well as </w:t>
            </w:r>
            <w:r w:rsidR="002F79EA" w:rsidRPr="00661595">
              <w:rPr>
                <w:rFonts w:ascii="Times New Roman" w:hAnsi="Times New Roman"/>
                <w:sz w:val="24"/>
              </w:rPr>
              <w:t>rows 0</w:t>
            </w:r>
            <w:r w:rsidRPr="00661595">
              <w:rPr>
                <w:rFonts w:ascii="Times New Roman" w:hAnsi="Times New Roman"/>
                <w:sz w:val="24"/>
              </w:rPr>
              <w:t>030/</w:t>
            </w:r>
            <w:r w:rsidR="002F79EA" w:rsidRPr="00661595">
              <w:rPr>
                <w:rFonts w:ascii="Times New Roman" w:hAnsi="Times New Roman"/>
                <w:sz w:val="24"/>
              </w:rPr>
              <w:t>0</w:t>
            </w:r>
            <w:r w:rsidRPr="00661595">
              <w:rPr>
                <w:rFonts w:ascii="Times New Roman" w:hAnsi="Times New Roman"/>
                <w:sz w:val="24"/>
              </w:rPr>
              <w:t>040) are a breakdown related to all positions subject to general risk.</w:t>
            </w:r>
          </w:p>
          <w:p w:rsidR="004E2725" w:rsidRPr="00661595" w:rsidRDefault="000B0B09">
            <w:pPr>
              <w:autoSpaceDE w:val="0"/>
              <w:autoSpaceDN w:val="0"/>
              <w:adjustRightInd w:val="0"/>
              <w:spacing w:before="0" w:after="0"/>
              <w:rPr>
                <w:rFonts w:ascii="Times New Roman" w:hAnsi="Times New Roman"/>
                <w:sz w:val="24"/>
              </w:rPr>
            </w:pPr>
            <w:r w:rsidRPr="00661595">
              <w:rPr>
                <w:rFonts w:ascii="Times New Roman" w:hAnsi="Times New Roman"/>
                <w:sz w:val="24"/>
              </w:rPr>
              <w:t xml:space="preserve">Rows </w:t>
            </w:r>
            <w:r w:rsidR="002F79EA" w:rsidRPr="00661595">
              <w:rPr>
                <w:rFonts w:ascii="Times New Roman" w:hAnsi="Times New Roman"/>
                <w:sz w:val="24"/>
              </w:rPr>
              <w:t>0</w:t>
            </w:r>
            <w:r w:rsidRPr="00661595">
              <w:rPr>
                <w:rFonts w:ascii="Times New Roman" w:hAnsi="Times New Roman"/>
                <w:sz w:val="24"/>
              </w:rPr>
              <w:t xml:space="preserve">021 and </w:t>
            </w:r>
            <w:r w:rsidR="002F79EA" w:rsidRPr="00661595">
              <w:rPr>
                <w:rFonts w:ascii="Times New Roman" w:hAnsi="Times New Roman"/>
                <w:sz w:val="24"/>
              </w:rPr>
              <w:t>0</w:t>
            </w:r>
            <w:r w:rsidRPr="00661595">
              <w:rPr>
                <w:rFonts w:ascii="Times New Roman" w:hAnsi="Times New Roman"/>
                <w:sz w:val="24"/>
              </w:rPr>
              <w:t xml:space="preserve">022 request information on the breakdown </w:t>
            </w:r>
            <w:r w:rsidR="004E2725" w:rsidRPr="00661595">
              <w:rPr>
                <w:rFonts w:ascii="Times New Roman" w:hAnsi="Times New Roman"/>
                <w:sz w:val="24"/>
              </w:rPr>
              <w:t>by</w:t>
            </w:r>
            <w:r w:rsidRPr="00661595">
              <w:rPr>
                <w:rFonts w:ascii="Times New Roman" w:hAnsi="Times New Roman"/>
                <w:sz w:val="24"/>
              </w:rPr>
              <w:t xml:space="preserve"> instruments. </w:t>
            </w:r>
          </w:p>
          <w:p w:rsidR="000B0B09" w:rsidRPr="00661595" w:rsidRDefault="000B0B09" w:rsidP="00B828CC">
            <w:pPr>
              <w:tabs>
                <w:tab w:val="left" w:pos="1665"/>
              </w:tabs>
              <w:autoSpaceDE w:val="0"/>
              <w:autoSpaceDN w:val="0"/>
              <w:adjustRightInd w:val="0"/>
              <w:rPr>
                <w:rFonts w:ascii="Times New Roman" w:hAnsi="Times New Roman"/>
                <w:sz w:val="24"/>
                <w:lang w:eastAsia="nl-BE"/>
              </w:rPr>
            </w:pPr>
            <w:r w:rsidRPr="00661595">
              <w:rPr>
                <w:rFonts w:ascii="Times New Roman" w:hAnsi="Times New Roman"/>
                <w:sz w:val="24"/>
              </w:rPr>
              <w:t xml:space="preserve">Only the breakdown in rows </w:t>
            </w:r>
            <w:r w:rsidR="002F79EA" w:rsidRPr="00661595">
              <w:rPr>
                <w:rFonts w:ascii="Times New Roman" w:hAnsi="Times New Roman"/>
                <w:sz w:val="24"/>
              </w:rPr>
              <w:t>0</w:t>
            </w:r>
            <w:r w:rsidRPr="00661595">
              <w:rPr>
                <w:rFonts w:ascii="Times New Roman" w:hAnsi="Times New Roman"/>
                <w:sz w:val="24"/>
              </w:rPr>
              <w:t xml:space="preserve">030 and </w:t>
            </w:r>
            <w:r w:rsidR="002F79EA" w:rsidRPr="00661595">
              <w:rPr>
                <w:rFonts w:ascii="Times New Roman" w:hAnsi="Times New Roman"/>
                <w:sz w:val="24"/>
              </w:rPr>
              <w:t>0</w:t>
            </w:r>
            <w:r w:rsidRPr="00661595">
              <w:rPr>
                <w:rFonts w:ascii="Times New Roman" w:hAnsi="Times New Roman"/>
                <w:sz w:val="24"/>
              </w:rPr>
              <w:t xml:space="preserve">040 </w:t>
            </w:r>
            <w:r w:rsidR="005F3BBE" w:rsidRPr="00661595">
              <w:rPr>
                <w:rFonts w:ascii="Times New Roman" w:hAnsi="Times New Roman"/>
                <w:sz w:val="24"/>
              </w:rPr>
              <w:t>shall be</w:t>
            </w:r>
            <w:r w:rsidRPr="00661595">
              <w:rPr>
                <w:rFonts w:ascii="Times New Roman" w:hAnsi="Times New Roman"/>
                <w:sz w:val="24"/>
              </w:rPr>
              <w:t xml:space="preserve"> used as a basis for the calculation of own funds requirements.</w:t>
            </w:r>
          </w:p>
        </w:tc>
      </w:tr>
      <w:tr w:rsidR="000B0B09" w:rsidRPr="00661595" w:rsidTr="00672D2A">
        <w:tc>
          <w:tcPr>
            <w:tcW w:w="1008" w:type="dxa"/>
          </w:tcPr>
          <w:p w:rsidR="000B0B09" w:rsidRPr="00661595" w:rsidRDefault="002F79EA"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021</w:t>
            </w:r>
          </w:p>
        </w:tc>
        <w:tc>
          <w:tcPr>
            <w:tcW w:w="8204" w:type="dxa"/>
          </w:tcPr>
          <w:p w:rsidR="000B0B09" w:rsidRPr="00661595" w:rsidRDefault="000B0B09" w:rsidP="000B0B09">
            <w:pPr>
              <w:autoSpaceDE w:val="0"/>
              <w:autoSpaceDN w:val="0"/>
              <w:adjustRightInd w:val="0"/>
              <w:spacing w:before="0" w:after="0"/>
              <w:rPr>
                <w:rFonts w:ascii="Times New Roman" w:hAnsi="Times New Roman"/>
                <w:b/>
                <w:sz w:val="24"/>
                <w:u w:val="single"/>
                <w:lang w:eastAsia="de-DE"/>
              </w:rPr>
            </w:pPr>
            <w:r w:rsidRPr="00661595">
              <w:rPr>
                <w:rFonts w:ascii="Times New Roman" w:hAnsi="Times New Roman"/>
                <w:b/>
                <w:sz w:val="24"/>
                <w:u w:val="single"/>
                <w:lang w:eastAsia="de-DE"/>
              </w:rPr>
              <w:t>Derivatives</w:t>
            </w:r>
          </w:p>
          <w:p w:rsidR="000B0B09" w:rsidRPr="00661595" w:rsidRDefault="000B0B09" w:rsidP="005F3BBE">
            <w:pPr>
              <w:autoSpaceDE w:val="0"/>
              <w:autoSpaceDN w:val="0"/>
              <w:adjustRightInd w:val="0"/>
              <w:rPr>
                <w:rFonts w:ascii="Times New Roman" w:hAnsi="Times New Roman"/>
                <w:b/>
                <w:bCs/>
                <w:sz w:val="24"/>
                <w:u w:val="single"/>
              </w:rPr>
            </w:pPr>
            <w:r w:rsidRPr="00661595">
              <w:rPr>
                <w:rFonts w:ascii="Times New Roman" w:hAnsi="Times New Roman"/>
                <w:sz w:val="24"/>
                <w:lang w:eastAsia="de-DE"/>
              </w:rPr>
              <w:t>Derivatives included in the calculation of equity risk of trading book positions taking into account Articles 329 and 332</w:t>
            </w:r>
            <w:r w:rsidR="004E2725" w:rsidRPr="00661595">
              <w:rPr>
                <w:rFonts w:ascii="Times New Roman" w:hAnsi="Times New Roman"/>
                <w:sz w:val="24"/>
                <w:lang w:eastAsia="de-DE"/>
              </w:rPr>
              <w:t xml:space="preserve"> CRR</w:t>
            </w:r>
            <w:r w:rsidRPr="00661595">
              <w:rPr>
                <w:rFonts w:ascii="Times New Roman" w:hAnsi="Times New Roman"/>
                <w:sz w:val="24"/>
                <w:lang w:eastAsia="de-DE"/>
              </w:rPr>
              <w:t xml:space="preserve">, </w:t>
            </w:r>
            <w:r w:rsidR="005F3BBE" w:rsidRPr="00661595">
              <w:rPr>
                <w:rFonts w:ascii="Times New Roman" w:hAnsi="Times New Roman"/>
                <w:sz w:val="24"/>
                <w:lang w:eastAsia="de-DE"/>
              </w:rPr>
              <w:t>where</w:t>
            </w:r>
            <w:r w:rsidRPr="00661595">
              <w:rPr>
                <w:rFonts w:ascii="Times New Roman" w:hAnsi="Times New Roman"/>
                <w:sz w:val="24"/>
                <w:lang w:eastAsia="de-DE"/>
              </w:rPr>
              <w:t xml:space="preserve"> applicable</w:t>
            </w:r>
          </w:p>
        </w:tc>
      </w:tr>
      <w:tr w:rsidR="000B0B09" w:rsidRPr="00661595" w:rsidTr="00672D2A">
        <w:tc>
          <w:tcPr>
            <w:tcW w:w="1008" w:type="dxa"/>
          </w:tcPr>
          <w:p w:rsidR="000B0B09" w:rsidRPr="00661595" w:rsidRDefault="002F79EA"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022</w:t>
            </w:r>
          </w:p>
        </w:tc>
        <w:tc>
          <w:tcPr>
            <w:tcW w:w="8204" w:type="dxa"/>
          </w:tcPr>
          <w:p w:rsidR="000B0B09" w:rsidRPr="00661595" w:rsidRDefault="000B0B09" w:rsidP="000B0B09">
            <w:pPr>
              <w:autoSpaceDE w:val="0"/>
              <w:autoSpaceDN w:val="0"/>
              <w:adjustRightInd w:val="0"/>
              <w:spacing w:before="0" w:after="0"/>
              <w:rPr>
                <w:rFonts w:ascii="Times New Roman" w:hAnsi="Times New Roman"/>
                <w:b/>
                <w:sz w:val="24"/>
                <w:u w:val="single"/>
                <w:lang w:eastAsia="de-DE"/>
              </w:rPr>
            </w:pPr>
            <w:r w:rsidRPr="00661595">
              <w:rPr>
                <w:rFonts w:ascii="Times New Roman" w:hAnsi="Times New Roman"/>
                <w:b/>
                <w:sz w:val="24"/>
                <w:u w:val="single"/>
                <w:lang w:eastAsia="de-DE"/>
              </w:rPr>
              <w:t>Other assets and liabilities</w:t>
            </w:r>
          </w:p>
          <w:p w:rsidR="000B0B09" w:rsidRPr="00661595" w:rsidRDefault="000B0B09" w:rsidP="005F3BBE">
            <w:pPr>
              <w:autoSpaceDE w:val="0"/>
              <w:autoSpaceDN w:val="0"/>
              <w:adjustRightInd w:val="0"/>
              <w:rPr>
                <w:rFonts w:ascii="Times New Roman" w:hAnsi="Times New Roman"/>
                <w:b/>
                <w:bCs/>
                <w:sz w:val="24"/>
                <w:u w:val="single"/>
              </w:rPr>
            </w:pPr>
            <w:r w:rsidRPr="00661595">
              <w:rPr>
                <w:rFonts w:ascii="Times New Roman" w:hAnsi="Times New Roman"/>
                <w:sz w:val="24"/>
                <w:lang w:eastAsia="de-DE"/>
              </w:rPr>
              <w:t>Instruments other than derivatives included in the calculation of equity risk of trading book positions</w:t>
            </w:r>
            <w:r w:rsidR="005F3BBE" w:rsidRPr="00661595">
              <w:rPr>
                <w:rFonts w:ascii="Times New Roman" w:hAnsi="Times New Roman"/>
                <w:sz w:val="24"/>
                <w:lang w:eastAsia="de-DE"/>
              </w:rPr>
              <w:t>.</w:t>
            </w:r>
            <w:r w:rsidRPr="00661595">
              <w:rPr>
                <w:rFonts w:ascii="Times New Roman" w:hAnsi="Times New Roman"/>
                <w:sz w:val="24"/>
                <w:lang w:eastAsia="de-DE"/>
              </w:rPr>
              <w:t xml:space="preserve"> </w:t>
            </w:r>
          </w:p>
        </w:tc>
      </w:tr>
      <w:tr w:rsidR="000B0B09" w:rsidRPr="00661595" w:rsidTr="00672D2A">
        <w:tc>
          <w:tcPr>
            <w:tcW w:w="1008" w:type="dxa"/>
          </w:tcPr>
          <w:p w:rsidR="000B0B09" w:rsidRPr="00661595" w:rsidRDefault="002F79EA"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030</w:t>
            </w:r>
          </w:p>
        </w:tc>
        <w:tc>
          <w:tcPr>
            <w:tcW w:w="8204" w:type="dxa"/>
          </w:tcPr>
          <w:p w:rsidR="000B0B09" w:rsidRPr="00661595" w:rsidRDefault="000B0B09" w:rsidP="000B0B09">
            <w:pPr>
              <w:autoSpaceDE w:val="0"/>
              <w:autoSpaceDN w:val="0"/>
              <w:adjustRightInd w:val="0"/>
              <w:spacing w:before="0" w:after="0"/>
              <w:rPr>
                <w:rFonts w:ascii="Times New Roman" w:hAnsi="Times New Roman"/>
                <w:b/>
                <w:bCs/>
                <w:sz w:val="24"/>
                <w:u w:val="single"/>
              </w:rPr>
            </w:pPr>
            <w:r w:rsidRPr="00661595">
              <w:rPr>
                <w:rFonts w:ascii="Times New Roman" w:hAnsi="Times New Roman"/>
                <w:b/>
                <w:bCs/>
                <w:sz w:val="24"/>
                <w:u w:val="single"/>
              </w:rPr>
              <w:t>Exchange traded stock-index futures broadly diversified and subject to a particular approach</w:t>
            </w:r>
          </w:p>
          <w:p w:rsidR="005C14B0" w:rsidRPr="00661595" w:rsidRDefault="000B0B09" w:rsidP="00B828CC">
            <w:pPr>
              <w:tabs>
                <w:tab w:val="left" w:pos="1665"/>
              </w:tabs>
              <w:autoSpaceDE w:val="0"/>
              <w:autoSpaceDN w:val="0"/>
              <w:adjustRightInd w:val="0"/>
              <w:rPr>
                <w:rFonts w:ascii="Times New Roman" w:hAnsi="Times New Roman"/>
                <w:sz w:val="24"/>
              </w:rPr>
            </w:pPr>
            <w:r w:rsidRPr="00661595">
              <w:rPr>
                <w:rFonts w:ascii="Times New Roman" w:hAnsi="Times New Roman"/>
                <w:sz w:val="24"/>
              </w:rPr>
              <w:t xml:space="preserve">Exchange traded stock-index futures broadly diversified and subject to a particular approach </w:t>
            </w:r>
            <w:r w:rsidR="00BB22D4" w:rsidRPr="00661595">
              <w:rPr>
                <w:rFonts w:ascii="Times New Roman" w:hAnsi="Times New Roman"/>
                <w:sz w:val="24"/>
              </w:rPr>
              <w:t>in accordance with</w:t>
            </w:r>
            <w:r w:rsidRPr="00661595">
              <w:rPr>
                <w:rFonts w:ascii="Times New Roman" w:hAnsi="Times New Roman"/>
                <w:sz w:val="24"/>
              </w:rPr>
              <w:t xml:space="preserve"> </w:t>
            </w:r>
            <w:r w:rsidR="00A11C6E" w:rsidRPr="00661595">
              <w:rPr>
                <w:rFonts w:ascii="Times New Roman" w:hAnsi="Times New Roman"/>
                <w:sz w:val="24"/>
              </w:rPr>
              <w:t>Commission Implementing Regulation (EU) No 945/2014</w:t>
            </w:r>
            <w:r w:rsidR="00A11C6E" w:rsidRPr="00661595">
              <w:rPr>
                <w:rStyle w:val="FootnoteReference"/>
              </w:rPr>
              <w:footnoteReference w:id="14"/>
            </w:r>
          </w:p>
          <w:p w:rsidR="000B0B09" w:rsidRPr="00661595" w:rsidRDefault="000B0B09" w:rsidP="00B828CC">
            <w:pPr>
              <w:tabs>
                <w:tab w:val="left" w:pos="1665"/>
              </w:tabs>
              <w:autoSpaceDE w:val="0"/>
              <w:autoSpaceDN w:val="0"/>
              <w:adjustRightInd w:val="0"/>
              <w:rPr>
                <w:rFonts w:ascii="Times New Roman" w:hAnsi="Times New Roman"/>
                <w:b/>
                <w:bCs/>
                <w:sz w:val="24"/>
                <w:u w:val="single"/>
                <w:lang w:eastAsia="nl-BE"/>
              </w:rPr>
            </w:pPr>
            <w:r w:rsidRPr="00661595">
              <w:rPr>
                <w:rFonts w:ascii="Times New Roman" w:hAnsi="Times New Roman"/>
                <w:sz w:val="24"/>
              </w:rPr>
              <w:t>Th</w:t>
            </w:r>
            <w:r w:rsidR="005F3BBE" w:rsidRPr="00661595">
              <w:rPr>
                <w:rFonts w:ascii="Times New Roman" w:hAnsi="Times New Roman"/>
                <w:sz w:val="24"/>
              </w:rPr>
              <w:t>o</w:t>
            </w:r>
            <w:r w:rsidRPr="00661595">
              <w:rPr>
                <w:rFonts w:ascii="Times New Roman" w:hAnsi="Times New Roman"/>
                <w:sz w:val="24"/>
              </w:rPr>
              <w:t xml:space="preserve">se positions </w:t>
            </w:r>
            <w:r w:rsidR="005C14B0" w:rsidRPr="00661595">
              <w:rPr>
                <w:rFonts w:ascii="Times New Roman" w:hAnsi="Times New Roman"/>
                <w:sz w:val="24"/>
              </w:rPr>
              <w:t xml:space="preserve">shall be </w:t>
            </w:r>
            <w:r w:rsidRPr="00661595">
              <w:rPr>
                <w:rFonts w:ascii="Times New Roman" w:hAnsi="Times New Roman"/>
                <w:sz w:val="24"/>
              </w:rPr>
              <w:t xml:space="preserve">only subject to general risk and, accordingly, must not be reported in row </w:t>
            </w:r>
            <w:r w:rsidR="002F79EA" w:rsidRPr="00661595">
              <w:rPr>
                <w:rFonts w:ascii="Times New Roman" w:hAnsi="Times New Roman"/>
                <w:sz w:val="24"/>
              </w:rPr>
              <w:t>0</w:t>
            </w:r>
            <w:r w:rsidRPr="00661595">
              <w:rPr>
                <w:rFonts w:ascii="Times New Roman" w:hAnsi="Times New Roman"/>
                <w:sz w:val="24"/>
              </w:rPr>
              <w:t>050.</w:t>
            </w:r>
          </w:p>
        </w:tc>
      </w:tr>
      <w:tr w:rsidR="000B0B09" w:rsidRPr="00661595" w:rsidTr="00672D2A">
        <w:tc>
          <w:tcPr>
            <w:tcW w:w="1008" w:type="dxa"/>
          </w:tcPr>
          <w:p w:rsidR="000B0B09" w:rsidRPr="00661595" w:rsidRDefault="002F79EA"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040</w:t>
            </w:r>
          </w:p>
        </w:tc>
        <w:tc>
          <w:tcPr>
            <w:tcW w:w="8204" w:type="dxa"/>
          </w:tcPr>
          <w:p w:rsidR="000B0B09" w:rsidRPr="00661595" w:rsidRDefault="000B0B09" w:rsidP="000B0B09">
            <w:pPr>
              <w:autoSpaceDE w:val="0"/>
              <w:autoSpaceDN w:val="0"/>
              <w:adjustRightInd w:val="0"/>
              <w:spacing w:before="0" w:after="0"/>
              <w:rPr>
                <w:rFonts w:ascii="Times New Roman" w:hAnsi="Times New Roman"/>
                <w:b/>
                <w:bCs/>
                <w:sz w:val="24"/>
                <w:u w:val="single"/>
              </w:rPr>
            </w:pPr>
            <w:r w:rsidRPr="00661595">
              <w:rPr>
                <w:rFonts w:ascii="Times New Roman" w:hAnsi="Times New Roman"/>
                <w:b/>
                <w:bCs/>
                <w:sz w:val="24"/>
                <w:u w:val="single"/>
              </w:rPr>
              <w:t>Other equities than exchange traded stock-index futures broadly diversified</w:t>
            </w:r>
          </w:p>
          <w:p w:rsidR="000B0B09" w:rsidRPr="00661595" w:rsidRDefault="000B0B09" w:rsidP="006259C7">
            <w:pPr>
              <w:autoSpaceDE w:val="0"/>
              <w:autoSpaceDN w:val="0"/>
              <w:adjustRightInd w:val="0"/>
              <w:rPr>
                <w:rFonts w:ascii="Times New Roman" w:hAnsi="Times New Roman"/>
                <w:sz w:val="24"/>
              </w:rPr>
            </w:pPr>
            <w:r w:rsidRPr="00661595">
              <w:rPr>
                <w:rFonts w:ascii="Times New Roman" w:hAnsi="Times New Roman"/>
                <w:sz w:val="24"/>
              </w:rPr>
              <w:t xml:space="preserve">Other positions in equities subject to specific risk </w:t>
            </w:r>
            <w:r w:rsidR="00A11C6E" w:rsidRPr="00661595">
              <w:rPr>
                <w:rFonts w:ascii="Times New Roman" w:hAnsi="Times New Roman"/>
                <w:sz w:val="24"/>
              </w:rPr>
              <w:t xml:space="preserve">as well as </w:t>
            </w:r>
            <w:r w:rsidRPr="00661595">
              <w:rPr>
                <w:rFonts w:ascii="Times New Roman" w:hAnsi="Times New Roman"/>
                <w:sz w:val="24"/>
              </w:rPr>
              <w:t xml:space="preserve">the correspondent own funds requirements </w:t>
            </w:r>
            <w:r w:rsidR="00BB22D4" w:rsidRPr="00661595">
              <w:rPr>
                <w:rFonts w:ascii="Times New Roman" w:hAnsi="Times New Roman"/>
                <w:sz w:val="24"/>
              </w:rPr>
              <w:t>in accordance with</w:t>
            </w:r>
            <w:r w:rsidRPr="00661595">
              <w:rPr>
                <w:rFonts w:ascii="Times New Roman" w:hAnsi="Times New Roman"/>
                <w:sz w:val="24"/>
              </w:rPr>
              <w:t xml:space="preserve"> Article 343</w:t>
            </w:r>
            <w:r w:rsidR="00364EBB" w:rsidRPr="00661595">
              <w:rPr>
                <w:rFonts w:ascii="Times New Roman" w:hAnsi="Times New Roman"/>
                <w:sz w:val="24"/>
              </w:rPr>
              <w:t xml:space="preserve"> CRR</w:t>
            </w:r>
            <w:r w:rsidR="006259C7" w:rsidRPr="00661595">
              <w:rPr>
                <w:rFonts w:ascii="Times New Roman" w:hAnsi="Times New Roman"/>
                <w:sz w:val="24"/>
              </w:rPr>
              <w:t xml:space="preserve">, including positions in stock index futures </w:t>
            </w:r>
            <w:r w:rsidR="00F2521E" w:rsidRPr="00661595">
              <w:rPr>
                <w:rFonts w:ascii="Times New Roman" w:hAnsi="Times New Roman"/>
                <w:sz w:val="24"/>
              </w:rPr>
              <w:t xml:space="preserve">treated in accordance with </w:t>
            </w:r>
            <w:r w:rsidR="008241B9" w:rsidRPr="00661595">
              <w:rPr>
                <w:rFonts w:ascii="Times New Roman" w:hAnsi="Times New Roman"/>
                <w:sz w:val="24"/>
              </w:rPr>
              <w:t xml:space="preserve">Article </w:t>
            </w:r>
            <w:r w:rsidRPr="00661595">
              <w:rPr>
                <w:rFonts w:ascii="Times New Roman" w:hAnsi="Times New Roman"/>
                <w:sz w:val="24"/>
              </w:rPr>
              <w:t xml:space="preserve">344(3) </w:t>
            </w:r>
            <w:r w:rsidR="00C7103D" w:rsidRPr="00661595">
              <w:rPr>
                <w:rFonts w:ascii="Times New Roman" w:hAnsi="Times New Roman"/>
                <w:sz w:val="24"/>
              </w:rPr>
              <w:t>CRR</w:t>
            </w:r>
            <w:r w:rsidRPr="00661595">
              <w:rPr>
                <w:rFonts w:ascii="Times New Roman" w:hAnsi="Times New Roman"/>
                <w:sz w:val="24"/>
              </w:rPr>
              <w:t xml:space="preserve"> </w:t>
            </w:r>
          </w:p>
        </w:tc>
      </w:tr>
      <w:tr w:rsidR="000B0B09" w:rsidRPr="00661595" w:rsidTr="00672D2A">
        <w:tc>
          <w:tcPr>
            <w:tcW w:w="1008" w:type="dxa"/>
          </w:tcPr>
          <w:p w:rsidR="000B0B09" w:rsidRPr="00661595" w:rsidRDefault="002F79EA" w:rsidP="00B74792">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 xml:space="preserve">050 </w:t>
            </w:r>
          </w:p>
        </w:tc>
        <w:tc>
          <w:tcPr>
            <w:tcW w:w="8204" w:type="dxa"/>
          </w:tcPr>
          <w:p w:rsidR="000B0B09" w:rsidRPr="00661595" w:rsidRDefault="000B0B09" w:rsidP="000B0B09">
            <w:pPr>
              <w:autoSpaceDE w:val="0"/>
              <w:autoSpaceDN w:val="0"/>
              <w:adjustRightInd w:val="0"/>
              <w:spacing w:before="0" w:after="0"/>
              <w:rPr>
                <w:rFonts w:ascii="Times New Roman" w:hAnsi="Times New Roman"/>
                <w:b/>
                <w:bCs/>
                <w:sz w:val="24"/>
                <w:u w:val="single"/>
              </w:rPr>
            </w:pPr>
            <w:r w:rsidRPr="00661595">
              <w:rPr>
                <w:rFonts w:ascii="Times New Roman" w:hAnsi="Times New Roman"/>
                <w:b/>
                <w:bCs/>
                <w:sz w:val="24"/>
                <w:u w:val="single"/>
              </w:rPr>
              <w:t>SPECIFIC RISK</w:t>
            </w:r>
          </w:p>
          <w:p w:rsidR="000B0B09" w:rsidRPr="00661595" w:rsidRDefault="000B0B09" w:rsidP="00F2521E">
            <w:pPr>
              <w:autoSpaceDE w:val="0"/>
              <w:autoSpaceDN w:val="0"/>
              <w:adjustRightInd w:val="0"/>
              <w:rPr>
                <w:rFonts w:ascii="Times New Roman" w:hAnsi="Times New Roman"/>
                <w:sz w:val="24"/>
              </w:rPr>
            </w:pPr>
            <w:r w:rsidRPr="00661595">
              <w:rPr>
                <w:rFonts w:ascii="Times New Roman" w:hAnsi="Times New Roman"/>
                <w:sz w:val="24"/>
                <w:lang w:eastAsia="fr-FR"/>
              </w:rPr>
              <w:t xml:space="preserve">Positions in equities subject to specific risk and the correspondent own funds requirement </w:t>
            </w:r>
            <w:r w:rsidR="00BB22D4" w:rsidRPr="00661595">
              <w:rPr>
                <w:rFonts w:ascii="Times New Roman" w:hAnsi="Times New Roman"/>
                <w:sz w:val="24"/>
                <w:lang w:eastAsia="fr-FR"/>
              </w:rPr>
              <w:t>in accordance with</w:t>
            </w:r>
            <w:r w:rsidRPr="00661595">
              <w:rPr>
                <w:rFonts w:ascii="Times New Roman" w:hAnsi="Times New Roman"/>
                <w:sz w:val="24"/>
                <w:lang w:eastAsia="fr-FR"/>
              </w:rPr>
              <w:t xml:space="preserve"> Article 342 </w:t>
            </w:r>
            <w:r w:rsidR="006259C7" w:rsidRPr="00661595">
              <w:rPr>
                <w:rFonts w:ascii="Times New Roman" w:hAnsi="Times New Roman"/>
                <w:sz w:val="24"/>
                <w:lang w:eastAsia="fr-FR"/>
              </w:rPr>
              <w:t xml:space="preserve">CRR, </w:t>
            </w:r>
            <w:r w:rsidR="00097A17" w:rsidRPr="00661595">
              <w:rPr>
                <w:rFonts w:ascii="Times New Roman" w:hAnsi="Times New Roman"/>
                <w:sz w:val="24"/>
                <w:lang w:eastAsia="fr-FR"/>
              </w:rPr>
              <w:t>ex</w:t>
            </w:r>
            <w:r w:rsidR="006259C7" w:rsidRPr="00661595">
              <w:rPr>
                <w:rFonts w:ascii="Times New Roman" w:hAnsi="Times New Roman"/>
                <w:sz w:val="24"/>
                <w:lang w:eastAsia="fr-FR"/>
              </w:rPr>
              <w:t xml:space="preserve">cluding positions in stock-index futures </w:t>
            </w:r>
            <w:r w:rsidR="00F2521E" w:rsidRPr="00661595">
              <w:rPr>
                <w:rFonts w:ascii="Times New Roman" w:hAnsi="Times New Roman"/>
                <w:sz w:val="24"/>
              </w:rPr>
              <w:t xml:space="preserve">treated in accordance with </w:t>
            </w:r>
            <w:r w:rsidR="006259C7" w:rsidRPr="00661595">
              <w:rPr>
                <w:rFonts w:ascii="Times New Roman" w:hAnsi="Times New Roman"/>
                <w:sz w:val="24"/>
              </w:rPr>
              <w:t xml:space="preserve">the </w:t>
            </w:r>
            <w:r w:rsidR="00097A17" w:rsidRPr="00661595">
              <w:rPr>
                <w:rFonts w:ascii="Times New Roman" w:hAnsi="Times New Roman"/>
                <w:sz w:val="24"/>
              </w:rPr>
              <w:t>second</w:t>
            </w:r>
            <w:r w:rsidR="006259C7" w:rsidRPr="00661595">
              <w:rPr>
                <w:rFonts w:ascii="Times New Roman" w:hAnsi="Times New Roman"/>
                <w:sz w:val="24"/>
              </w:rPr>
              <w:t xml:space="preserve"> sentence of </w:t>
            </w:r>
            <w:r w:rsidR="008241B9" w:rsidRPr="00661595">
              <w:rPr>
                <w:rFonts w:ascii="Times New Roman" w:hAnsi="Times New Roman"/>
                <w:sz w:val="24"/>
                <w:lang w:eastAsia="fr-FR"/>
              </w:rPr>
              <w:t xml:space="preserve">Article </w:t>
            </w:r>
            <w:r w:rsidRPr="00661595">
              <w:rPr>
                <w:rFonts w:ascii="Times New Roman" w:hAnsi="Times New Roman"/>
                <w:sz w:val="24"/>
                <w:lang w:eastAsia="fr-FR"/>
              </w:rPr>
              <w:t xml:space="preserve">344(4) CRR </w:t>
            </w:r>
          </w:p>
        </w:tc>
      </w:tr>
      <w:tr w:rsidR="000B0B09" w:rsidRPr="00661595" w:rsidTr="00672D2A">
        <w:tc>
          <w:tcPr>
            <w:tcW w:w="1008" w:type="dxa"/>
          </w:tcPr>
          <w:p w:rsidR="000B0B09" w:rsidRPr="00661595" w:rsidRDefault="002F79EA" w:rsidP="00B74792">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090-</w:t>
            </w:r>
            <w:r w:rsidRPr="00661595">
              <w:rPr>
                <w:rFonts w:ascii="Times New Roman" w:hAnsi="Times New Roman"/>
                <w:sz w:val="24"/>
                <w:lang w:eastAsia="nl-BE"/>
              </w:rPr>
              <w:t>0</w:t>
            </w:r>
            <w:r w:rsidR="000B0B09" w:rsidRPr="00661595">
              <w:rPr>
                <w:rFonts w:ascii="Times New Roman" w:hAnsi="Times New Roman"/>
                <w:sz w:val="24"/>
                <w:lang w:eastAsia="nl-BE"/>
              </w:rPr>
              <w:t>130</w:t>
            </w:r>
          </w:p>
        </w:tc>
        <w:tc>
          <w:tcPr>
            <w:tcW w:w="8204"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de-DE"/>
              </w:rPr>
            </w:pPr>
            <w:r w:rsidRPr="00661595">
              <w:rPr>
                <w:rStyle w:val="InstructionsTabelleberschrift"/>
                <w:rFonts w:ascii="Times New Roman" w:hAnsi="Times New Roman"/>
                <w:sz w:val="24"/>
              </w:rPr>
              <w:t>ADDITIONAL REQUIREMENTS FOR OPTIONS (NON-DELTA RISKS)</w:t>
            </w:r>
          </w:p>
          <w:p w:rsidR="000B0B09" w:rsidRPr="00661595" w:rsidRDefault="00F2521E" w:rsidP="00F2521E">
            <w:pPr>
              <w:autoSpaceDE w:val="0"/>
              <w:autoSpaceDN w:val="0"/>
              <w:adjustRightInd w:val="0"/>
              <w:rPr>
                <w:rFonts w:ascii="Times New Roman" w:hAnsi="Times New Roman"/>
                <w:sz w:val="24"/>
                <w:lang w:eastAsia="de-DE"/>
              </w:rPr>
            </w:pPr>
            <w:r w:rsidRPr="00661595">
              <w:rPr>
                <w:rFonts w:ascii="Times New Roman" w:hAnsi="Times New Roman"/>
                <w:sz w:val="24"/>
                <w:lang w:eastAsia="de-DE"/>
              </w:rPr>
              <w:t xml:space="preserve">Paragraphs 2 and 3 of </w:t>
            </w:r>
            <w:r w:rsidR="000B0B09" w:rsidRPr="00661595">
              <w:rPr>
                <w:rFonts w:ascii="Times New Roman" w:hAnsi="Times New Roman"/>
                <w:sz w:val="24"/>
                <w:lang w:eastAsia="de-DE"/>
              </w:rPr>
              <w:t xml:space="preserve">Article 329 </w:t>
            </w:r>
            <w:r w:rsidR="00C7103D" w:rsidRPr="00661595">
              <w:rPr>
                <w:rFonts w:ascii="Times New Roman" w:hAnsi="Times New Roman"/>
                <w:sz w:val="24"/>
                <w:lang w:eastAsia="de-DE"/>
              </w:rPr>
              <w:t>CRR</w:t>
            </w:r>
            <w:r w:rsidR="000B0B09" w:rsidRPr="00661595">
              <w:rPr>
                <w:rFonts w:ascii="Times New Roman" w:hAnsi="Times New Roman"/>
                <w:sz w:val="24"/>
                <w:lang w:eastAsia="de-DE"/>
              </w:rPr>
              <w:t xml:space="preserve"> </w:t>
            </w:r>
          </w:p>
          <w:p w:rsidR="000B0B09" w:rsidRPr="00661595" w:rsidRDefault="000B0B09">
            <w:pPr>
              <w:autoSpaceDE w:val="0"/>
              <w:autoSpaceDN w:val="0"/>
              <w:adjustRightInd w:val="0"/>
              <w:spacing w:before="0" w:after="0"/>
              <w:rPr>
                <w:rFonts w:ascii="Times New Roman" w:hAnsi="Times New Roman"/>
                <w:sz w:val="24"/>
              </w:rPr>
            </w:pPr>
            <w:r w:rsidRPr="00661595">
              <w:rPr>
                <w:rFonts w:ascii="Times New Roman" w:hAnsi="Times New Roman"/>
                <w:sz w:val="24"/>
                <w:lang w:eastAsia="de-DE"/>
              </w:rPr>
              <w:t>The additional requirements for options related to non-delta risks shall be reported in the method used for its calculation.</w:t>
            </w:r>
          </w:p>
        </w:tc>
      </w:tr>
    </w:tbl>
    <w:p w:rsidR="000B0B09" w:rsidRPr="00661595" w:rsidRDefault="000B0B09" w:rsidP="000B0B09">
      <w:pPr>
        <w:autoSpaceDE w:val="0"/>
        <w:autoSpaceDN w:val="0"/>
        <w:adjustRightInd w:val="0"/>
        <w:spacing w:before="0" w:after="0"/>
        <w:rPr>
          <w:rFonts w:ascii="Times New Roman" w:hAnsi="Times New Roman"/>
          <w:bCs/>
          <w:sz w:val="24"/>
          <w:lang w:eastAsia="nl-BE"/>
        </w:rPr>
      </w:pPr>
    </w:p>
    <w:p w:rsidR="000B0B09"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685" w:name="_Toc262566432"/>
      <w:bookmarkStart w:id="686" w:name="_Toc295830008"/>
      <w:bookmarkStart w:id="687" w:name="_Toc308426685"/>
      <w:bookmarkStart w:id="688" w:name="_Toc310415069"/>
      <w:bookmarkStart w:id="689" w:name="_Toc360188404"/>
      <w:bookmarkStart w:id="690" w:name="_Toc473561044"/>
      <w:bookmarkStart w:id="691" w:name="_Toc57831648"/>
      <w:r w:rsidRPr="00661595">
        <w:rPr>
          <w:rFonts w:ascii="Times New Roman" w:hAnsi="Times New Roman" w:cs="Times New Roman"/>
          <w:sz w:val="24"/>
          <w:u w:val="none"/>
          <w:lang w:val="en-GB"/>
        </w:rPr>
        <w:t>5.5.</w:t>
      </w:r>
      <w:r w:rsidRPr="00661595">
        <w:rPr>
          <w:rFonts w:ascii="Times New Roman" w:hAnsi="Times New Roman" w:cs="Times New Roman"/>
          <w:sz w:val="24"/>
          <w:u w:val="none"/>
          <w:lang w:val="en-GB"/>
        </w:rPr>
        <w:tab/>
      </w:r>
      <w:r w:rsidR="008B73EE" w:rsidRPr="00661595">
        <w:rPr>
          <w:rFonts w:ascii="Times New Roman" w:hAnsi="Times New Roman" w:cs="Times New Roman"/>
          <w:sz w:val="24"/>
          <w:lang w:val="en-GB"/>
        </w:rPr>
        <w:t xml:space="preserve">C 22.00 </w:t>
      </w:r>
      <w:r w:rsidR="000B0B09" w:rsidRPr="00661595">
        <w:rPr>
          <w:rFonts w:ascii="Times New Roman" w:hAnsi="Times New Roman" w:cs="Times New Roman"/>
          <w:sz w:val="24"/>
          <w:lang w:val="en-GB"/>
        </w:rPr>
        <w:t>- Market Risk: Standardised Approaches for Foreign Exchange Risk</w:t>
      </w:r>
      <w:bookmarkEnd w:id="685"/>
      <w:bookmarkEnd w:id="686"/>
      <w:bookmarkEnd w:id="687"/>
      <w:bookmarkEnd w:id="688"/>
      <w:bookmarkEnd w:id="689"/>
      <w:r w:rsidR="008B73EE" w:rsidRPr="00661595">
        <w:rPr>
          <w:rFonts w:ascii="Times New Roman" w:hAnsi="Times New Roman" w:cs="Times New Roman"/>
          <w:sz w:val="24"/>
          <w:lang w:val="en-GB"/>
        </w:rPr>
        <w:t xml:space="preserve"> (MKR SA FX)</w:t>
      </w:r>
      <w:bookmarkEnd w:id="690"/>
      <w:bookmarkEnd w:id="691"/>
    </w:p>
    <w:p w:rsidR="000B0B09"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692" w:name="_Toc262566433"/>
      <w:bookmarkStart w:id="693" w:name="_Toc295830009"/>
      <w:bookmarkStart w:id="694" w:name="_Toc308426686"/>
      <w:bookmarkStart w:id="695" w:name="_Toc310415070"/>
      <w:bookmarkStart w:id="696" w:name="_Toc360188405"/>
      <w:bookmarkStart w:id="697" w:name="_Toc473561045"/>
      <w:bookmarkStart w:id="698" w:name="_Toc57831649"/>
      <w:r w:rsidRPr="00661595">
        <w:rPr>
          <w:rFonts w:ascii="Times New Roman" w:hAnsi="Times New Roman" w:cs="Times New Roman"/>
          <w:sz w:val="24"/>
          <w:u w:val="none"/>
          <w:lang w:val="en-GB"/>
        </w:rPr>
        <w:t>5.5.1.</w:t>
      </w:r>
      <w:r w:rsidRPr="00661595">
        <w:rPr>
          <w:rFonts w:ascii="Times New Roman" w:hAnsi="Times New Roman" w:cs="Times New Roman"/>
          <w:sz w:val="24"/>
          <w:u w:val="none"/>
          <w:lang w:val="en-GB"/>
        </w:rPr>
        <w:tab/>
      </w:r>
      <w:r w:rsidR="000B0B09" w:rsidRPr="00661595">
        <w:rPr>
          <w:rFonts w:ascii="Times New Roman" w:hAnsi="Times New Roman" w:cs="Times New Roman"/>
          <w:sz w:val="24"/>
          <w:lang w:val="en-GB"/>
        </w:rPr>
        <w:t>General Remarks</w:t>
      </w:r>
      <w:bookmarkEnd w:id="692"/>
      <w:bookmarkEnd w:id="693"/>
      <w:bookmarkEnd w:id="694"/>
      <w:bookmarkEnd w:id="695"/>
      <w:bookmarkEnd w:id="696"/>
      <w:bookmarkEnd w:id="697"/>
      <w:bookmarkEnd w:id="698"/>
    </w:p>
    <w:p w:rsidR="00F71DF2" w:rsidRPr="00661595" w:rsidRDefault="00D11E4C" w:rsidP="00487A02">
      <w:pPr>
        <w:pStyle w:val="InstructionsText2"/>
        <w:numPr>
          <w:ilvl w:val="0"/>
          <w:numId w:val="0"/>
        </w:numPr>
        <w:ind w:left="1353" w:hanging="360"/>
      </w:pPr>
      <w:fldSimple w:instr=" seq paragraphs ">
        <w:r w:rsidR="00771068">
          <w:rPr>
            <w:noProof/>
          </w:rPr>
          <w:t>171</w:t>
        </w:r>
      </w:fldSimple>
      <w:r w:rsidR="00125707" w:rsidRPr="00661595">
        <w:t>.</w:t>
      </w:r>
      <w:r w:rsidR="005C14B0" w:rsidRPr="00661595">
        <w:t xml:space="preserve"> </w:t>
      </w:r>
      <w:r w:rsidR="00F1062E" w:rsidRPr="00661595">
        <w:t>Institutions shall report</w:t>
      </w:r>
      <w:r w:rsidR="000B0B09" w:rsidRPr="00661595">
        <w:t xml:space="preserve"> information on the positions in each currency (reporting currency included) and the corresponding own funds requirements for foreign exchange</w:t>
      </w:r>
      <w:r w:rsidR="006259C7" w:rsidRPr="00661595">
        <w:t xml:space="preserve"> risk</w:t>
      </w:r>
      <w:r w:rsidR="000B0B09" w:rsidRPr="00661595">
        <w:t xml:space="preserve"> treated under the </w:t>
      </w:r>
      <w:r w:rsidR="00CA21CA" w:rsidRPr="00661595">
        <w:t>Standardised Approach</w:t>
      </w:r>
      <w:r w:rsidR="000B0B09" w:rsidRPr="00661595">
        <w:t xml:space="preserve">. The position </w:t>
      </w:r>
      <w:r w:rsidR="00F2521E" w:rsidRPr="00661595">
        <w:t>shall be</w:t>
      </w:r>
      <w:r w:rsidR="000B0B09" w:rsidRPr="00661595">
        <w:t xml:space="preserve"> calculated for each currency (including </w:t>
      </w:r>
      <w:r w:rsidR="00F2521E" w:rsidRPr="00661595">
        <w:t>EUR</w:t>
      </w:r>
      <w:r w:rsidR="000B0B09" w:rsidRPr="00661595">
        <w:t>), gold, and positions to CIUs.</w:t>
      </w:r>
    </w:p>
    <w:p w:rsidR="000B0B09" w:rsidRPr="00661595" w:rsidRDefault="00D11E4C" w:rsidP="00487A02">
      <w:pPr>
        <w:pStyle w:val="InstructionsText2"/>
        <w:numPr>
          <w:ilvl w:val="0"/>
          <w:numId w:val="0"/>
        </w:numPr>
        <w:ind w:left="1353" w:hanging="360"/>
      </w:pPr>
      <w:fldSimple w:instr=" seq paragraphs ">
        <w:r w:rsidR="00771068">
          <w:rPr>
            <w:noProof/>
          </w:rPr>
          <w:t>172</w:t>
        </w:r>
      </w:fldSimple>
      <w:r w:rsidR="00125707" w:rsidRPr="00661595">
        <w:t>.</w:t>
      </w:r>
      <w:r w:rsidR="00125707" w:rsidRPr="00661595">
        <w:tab/>
      </w:r>
      <w:r w:rsidR="005C14B0" w:rsidRPr="00661595">
        <w:t xml:space="preserve"> </w:t>
      </w:r>
      <w:r w:rsidR="00B31D8A" w:rsidRPr="00661595">
        <w:t>R</w:t>
      </w:r>
      <w:r w:rsidR="00F1062E" w:rsidRPr="00661595">
        <w:t xml:space="preserve">ows </w:t>
      </w:r>
      <w:r w:rsidR="002F79EA" w:rsidRPr="00661595">
        <w:t>0</w:t>
      </w:r>
      <w:r w:rsidR="00F1062E" w:rsidRPr="00661595">
        <w:t xml:space="preserve">100 to </w:t>
      </w:r>
      <w:r w:rsidR="002F79EA" w:rsidRPr="00661595">
        <w:t>0</w:t>
      </w:r>
      <w:r w:rsidR="00F1062E" w:rsidRPr="00661595">
        <w:t>4</w:t>
      </w:r>
      <w:r w:rsidR="009E2BBD" w:rsidRPr="00661595">
        <w:t>8</w:t>
      </w:r>
      <w:r w:rsidR="00F1062E" w:rsidRPr="00661595">
        <w:t>0 of this template</w:t>
      </w:r>
      <w:r w:rsidR="00B31D8A" w:rsidRPr="00661595">
        <w:t xml:space="preserve"> shall be reported even </w:t>
      </w:r>
      <w:r w:rsidR="00F2521E" w:rsidRPr="00661595">
        <w:t>where</w:t>
      </w:r>
      <w:r w:rsidR="00B31D8A" w:rsidRPr="00661595">
        <w:t xml:space="preserve"> institutions are not required to calculate own funds requirements for foreign exchange risk </w:t>
      </w:r>
      <w:r w:rsidR="00BB22D4" w:rsidRPr="00661595">
        <w:t>in accordance with</w:t>
      </w:r>
      <w:r w:rsidR="00B31D8A" w:rsidRPr="00661595">
        <w:t xml:space="preserve"> Article 351 </w:t>
      </w:r>
      <w:r w:rsidR="00C7103D" w:rsidRPr="00661595">
        <w:t>CRR</w:t>
      </w:r>
      <w:r w:rsidR="00B31D8A" w:rsidRPr="00661595">
        <w:t>.</w:t>
      </w:r>
      <w:r w:rsidR="00F71DF2" w:rsidRPr="00661595">
        <w:t xml:space="preserve"> In those memorandum items, all the positions in the reporting currency are included, irrespective of </w:t>
      </w:r>
      <w:r w:rsidR="00F2521E" w:rsidRPr="00661595">
        <w:t xml:space="preserve">whether </w:t>
      </w:r>
      <w:r w:rsidR="00F71DF2" w:rsidRPr="00661595">
        <w:t xml:space="preserve">they are considered for the purposes of Article 354 CRR. Rows </w:t>
      </w:r>
      <w:r w:rsidR="002F79EA" w:rsidRPr="00661595">
        <w:t>0</w:t>
      </w:r>
      <w:r w:rsidR="00F71DF2" w:rsidRPr="00661595">
        <w:t xml:space="preserve">130 to </w:t>
      </w:r>
      <w:r w:rsidR="002F79EA" w:rsidRPr="00661595">
        <w:t>0</w:t>
      </w:r>
      <w:r w:rsidR="00F71DF2" w:rsidRPr="00661595">
        <w:t>480 of the</w:t>
      </w:r>
      <w:r w:rsidR="000B0B09" w:rsidRPr="00661595">
        <w:t xml:space="preserve"> memorandum items of the template </w:t>
      </w:r>
      <w:r w:rsidR="00C93697" w:rsidRPr="00661595">
        <w:t>shall</w:t>
      </w:r>
      <w:r w:rsidR="000B0B09" w:rsidRPr="00661595">
        <w:t xml:space="preserve"> be filled out separately for </w:t>
      </w:r>
      <w:r w:rsidR="00F71DF2" w:rsidRPr="00661595">
        <w:t>a</w:t>
      </w:r>
      <w:r w:rsidR="000B0B09" w:rsidRPr="00661595">
        <w:t xml:space="preserve">ll currencies of the </w:t>
      </w:r>
      <w:r w:rsidR="002F79EA" w:rsidRPr="00661595">
        <w:t>M</w:t>
      </w:r>
      <w:r w:rsidR="000B0B09" w:rsidRPr="00661595">
        <w:t xml:space="preserve">ember </w:t>
      </w:r>
      <w:r w:rsidR="002F79EA" w:rsidRPr="00661595">
        <w:t>S</w:t>
      </w:r>
      <w:r w:rsidR="000B0B09" w:rsidRPr="00661595">
        <w:t>tates of the Union</w:t>
      </w:r>
      <w:r w:rsidR="00A11C6E" w:rsidRPr="00661595">
        <w:t xml:space="preserve">, </w:t>
      </w:r>
      <w:r w:rsidR="000B0B09" w:rsidRPr="00661595">
        <w:t xml:space="preserve">the currencies </w:t>
      </w:r>
      <w:r w:rsidR="002F79EA" w:rsidRPr="00661595">
        <w:t xml:space="preserve">GBP, </w:t>
      </w:r>
      <w:r w:rsidR="000B0B09" w:rsidRPr="00661595">
        <w:t>USD, CHF, JPY, RUB, TRY, AUD, CAD, RSD, ALL, UAH, MKD, EGP, ARS, BRL, MXN, HKD, ICK, TWD, NZD, NOK, SGD, KRW, CNY and all other currencies.</w:t>
      </w:r>
    </w:p>
    <w:p w:rsidR="000B0B09"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699" w:name="_Toc262566434"/>
      <w:bookmarkStart w:id="700" w:name="_Toc295830010"/>
      <w:bookmarkStart w:id="701" w:name="_Toc308426687"/>
      <w:bookmarkStart w:id="702" w:name="_Toc310415071"/>
      <w:bookmarkStart w:id="703" w:name="_Toc360188406"/>
      <w:bookmarkStart w:id="704" w:name="_Toc473561046"/>
      <w:bookmarkStart w:id="705" w:name="_Toc57831650"/>
      <w:r w:rsidRPr="00661595">
        <w:rPr>
          <w:rFonts w:ascii="Times New Roman" w:hAnsi="Times New Roman" w:cs="Times New Roman"/>
          <w:sz w:val="24"/>
          <w:u w:val="none"/>
          <w:lang w:val="en-GB"/>
        </w:rPr>
        <w:t>5.5.2.</w:t>
      </w:r>
      <w:r w:rsidRPr="00661595">
        <w:rPr>
          <w:rFonts w:ascii="Times New Roman" w:hAnsi="Times New Roman" w:cs="Times New Roman"/>
          <w:sz w:val="24"/>
          <w:u w:val="none"/>
          <w:lang w:val="en-GB"/>
        </w:rPr>
        <w:tab/>
      </w:r>
      <w:r w:rsidR="000B0B09" w:rsidRPr="00661595">
        <w:rPr>
          <w:rFonts w:ascii="Times New Roman" w:hAnsi="Times New Roman" w:cs="Times New Roman"/>
          <w:sz w:val="24"/>
          <w:lang w:val="en-GB"/>
        </w:rPr>
        <w:t>Instructions concerning specific positions</w:t>
      </w:r>
      <w:bookmarkEnd w:id="699"/>
      <w:bookmarkEnd w:id="700"/>
      <w:bookmarkEnd w:id="701"/>
      <w:bookmarkEnd w:id="702"/>
      <w:bookmarkEnd w:id="703"/>
      <w:bookmarkEnd w:id="704"/>
      <w:bookmarkEnd w:id="7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8"/>
        <w:gridCol w:w="7874"/>
      </w:tblGrid>
      <w:tr w:rsidR="000B0B09" w:rsidRPr="00661595" w:rsidTr="00672D2A">
        <w:trPr>
          <w:trHeight w:val="595"/>
        </w:trPr>
        <w:tc>
          <w:tcPr>
            <w:tcW w:w="8862" w:type="dxa"/>
            <w:gridSpan w:val="2"/>
            <w:shd w:val="clear" w:color="auto" w:fill="CCCCCC"/>
          </w:tcPr>
          <w:p w:rsidR="000B0B09" w:rsidRPr="00661595" w:rsidRDefault="000B0B09" w:rsidP="000B0B09">
            <w:pPr>
              <w:autoSpaceDE w:val="0"/>
              <w:autoSpaceDN w:val="0"/>
              <w:adjustRightInd w:val="0"/>
              <w:spacing w:after="0"/>
              <w:rPr>
                <w:rFonts w:ascii="Times New Roman" w:hAnsi="Times New Roman"/>
                <w:b/>
                <w:sz w:val="24"/>
                <w:lang w:eastAsia="nl-BE"/>
              </w:rPr>
            </w:pPr>
            <w:r w:rsidRPr="00661595">
              <w:rPr>
                <w:rFonts w:ascii="Times New Roman" w:hAnsi="Times New Roman"/>
                <w:b/>
                <w:sz w:val="24"/>
                <w:lang w:eastAsia="nl-BE"/>
              </w:rPr>
              <w:t>Columns</w:t>
            </w:r>
          </w:p>
        </w:tc>
      </w:tr>
      <w:tr w:rsidR="000B0B09" w:rsidRPr="00661595" w:rsidTr="00672D2A">
        <w:tc>
          <w:tcPr>
            <w:tcW w:w="988" w:type="dxa"/>
          </w:tcPr>
          <w:p w:rsidR="000B0B09" w:rsidRPr="00661595" w:rsidRDefault="002F79EA"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020-</w:t>
            </w:r>
            <w:r w:rsidRPr="00661595">
              <w:rPr>
                <w:rFonts w:ascii="Times New Roman" w:hAnsi="Times New Roman"/>
                <w:sz w:val="24"/>
                <w:lang w:eastAsia="nl-BE"/>
              </w:rPr>
              <w:t>0</w:t>
            </w:r>
            <w:r w:rsidR="000B0B09" w:rsidRPr="00661595">
              <w:rPr>
                <w:rFonts w:ascii="Times New Roman" w:hAnsi="Times New Roman"/>
                <w:sz w:val="24"/>
                <w:lang w:eastAsia="nl-BE"/>
              </w:rPr>
              <w:t>030</w:t>
            </w:r>
          </w:p>
        </w:tc>
        <w:tc>
          <w:tcPr>
            <w:tcW w:w="7874"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ALL POSITIONS (LONG AND SHORT)</w:t>
            </w:r>
          </w:p>
          <w:p w:rsidR="000B0B09" w:rsidRPr="00661595" w:rsidRDefault="000B0B09" w:rsidP="00283B5F">
            <w:pPr>
              <w:autoSpaceDE w:val="0"/>
              <w:autoSpaceDN w:val="0"/>
              <w:adjustRightInd w:val="0"/>
              <w:spacing w:before="0" w:after="0"/>
              <w:rPr>
                <w:rFonts w:ascii="Times New Roman" w:hAnsi="Times New Roman"/>
                <w:sz w:val="24"/>
                <w:lang w:eastAsia="nl-BE"/>
              </w:rPr>
            </w:pPr>
          </w:p>
          <w:p w:rsidR="005C14B0" w:rsidRPr="00661595" w:rsidRDefault="000B0B09" w:rsidP="00F2521E">
            <w:pPr>
              <w:autoSpaceDE w:val="0"/>
              <w:autoSpaceDN w:val="0"/>
              <w:adjustRightInd w:val="0"/>
              <w:spacing w:before="0"/>
              <w:rPr>
                <w:rFonts w:ascii="Times New Roman" w:hAnsi="Times New Roman"/>
                <w:sz w:val="24"/>
                <w:lang w:eastAsia="de-DE"/>
              </w:rPr>
            </w:pPr>
            <w:r w:rsidRPr="00661595">
              <w:rPr>
                <w:rFonts w:ascii="Times New Roman" w:hAnsi="Times New Roman"/>
                <w:sz w:val="24"/>
                <w:lang w:eastAsia="de-DE"/>
              </w:rPr>
              <w:t xml:space="preserve">Gross positions due to assets, amounts to be received and similar items referred to in Article 352(1) </w:t>
            </w:r>
            <w:r w:rsidR="00C7103D" w:rsidRPr="00661595">
              <w:rPr>
                <w:rFonts w:ascii="Times New Roman" w:hAnsi="Times New Roman"/>
                <w:sz w:val="24"/>
                <w:lang w:eastAsia="de-DE"/>
              </w:rPr>
              <w:t>CRR</w:t>
            </w:r>
          </w:p>
          <w:p w:rsidR="000B0B09" w:rsidRPr="00661595" w:rsidRDefault="00BB22D4" w:rsidP="00D1690D">
            <w:pPr>
              <w:autoSpaceDE w:val="0"/>
              <w:autoSpaceDN w:val="0"/>
              <w:adjustRightInd w:val="0"/>
              <w:spacing w:before="0" w:after="0"/>
              <w:rPr>
                <w:rFonts w:ascii="Times New Roman" w:hAnsi="Times New Roman"/>
                <w:sz w:val="24"/>
                <w:lang w:eastAsia="de-DE"/>
              </w:rPr>
            </w:pPr>
            <w:r w:rsidRPr="00661595">
              <w:rPr>
                <w:rFonts w:ascii="Times New Roman" w:hAnsi="Times New Roman"/>
                <w:sz w:val="24"/>
                <w:lang w:eastAsia="de-DE"/>
              </w:rPr>
              <w:t>In accordance with</w:t>
            </w:r>
            <w:r w:rsidR="006D35FC" w:rsidRPr="00661595">
              <w:rPr>
                <w:rFonts w:ascii="Times New Roman" w:hAnsi="Times New Roman"/>
                <w:sz w:val="24"/>
                <w:lang w:eastAsia="de-DE"/>
              </w:rPr>
              <w:t xml:space="preserve"> Article 352(2) </w:t>
            </w:r>
            <w:r w:rsidR="00F23247" w:rsidRPr="00661595">
              <w:rPr>
                <w:rFonts w:ascii="Times New Roman" w:hAnsi="Times New Roman"/>
                <w:sz w:val="24"/>
                <w:lang w:eastAsia="de-DE"/>
              </w:rPr>
              <w:t xml:space="preserve">CRR </w:t>
            </w:r>
            <w:r w:rsidR="006D35FC" w:rsidRPr="00661595">
              <w:rPr>
                <w:rFonts w:ascii="Times New Roman" w:hAnsi="Times New Roman"/>
                <w:sz w:val="24"/>
                <w:lang w:eastAsia="de-DE"/>
              </w:rPr>
              <w:t xml:space="preserve">and subject to permission </w:t>
            </w:r>
            <w:r w:rsidR="000A7D27" w:rsidRPr="00661595">
              <w:rPr>
                <w:rFonts w:ascii="Times New Roman" w:hAnsi="Times New Roman"/>
                <w:sz w:val="24"/>
                <w:lang w:eastAsia="de-DE"/>
              </w:rPr>
              <w:t>from</w:t>
            </w:r>
            <w:r w:rsidR="006D35FC" w:rsidRPr="00661595">
              <w:rPr>
                <w:rFonts w:ascii="Times New Roman" w:hAnsi="Times New Roman"/>
                <w:sz w:val="24"/>
                <w:lang w:eastAsia="de-DE"/>
              </w:rPr>
              <w:t xml:space="preserve"> competent authorities, positions taken to hedge against the adverse effect of the exchange rate on their ratios in accordance with Article 92(1) </w:t>
            </w:r>
            <w:r w:rsidR="00F23247" w:rsidRPr="00661595">
              <w:rPr>
                <w:rFonts w:ascii="Times New Roman" w:hAnsi="Times New Roman"/>
                <w:sz w:val="24"/>
                <w:lang w:eastAsia="de-DE"/>
              </w:rPr>
              <w:t xml:space="preserve">CRR </w:t>
            </w:r>
            <w:r w:rsidR="006D35FC" w:rsidRPr="00661595">
              <w:rPr>
                <w:rFonts w:ascii="Times New Roman" w:hAnsi="Times New Roman"/>
                <w:sz w:val="24"/>
                <w:lang w:eastAsia="de-DE"/>
              </w:rPr>
              <w:t>and positions related to items that are already deducted in the calculation of own funds shall not be reported.</w:t>
            </w:r>
          </w:p>
          <w:p w:rsidR="000B0B09" w:rsidRPr="00661595" w:rsidRDefault="000B0B09" w:rsidP="000B0B09">
            <w:pPr>
              <w:autoSpaceDE w:val="0"/>
              <w:autoSpaceDN w:val="0"/>
              <w:adjustRightInd w:val="0"/>
              <w:spacing w:before="0" w:after="0"/>
              <w:rPr>
                <w:rFonts w:ascii="Times New Roman" w:hAnsi="Times New Roman"/>
                <w:sz w:val="24"/>
                <w:lang w:eastAsia="nl-BE"/>
              </w:rPr>
            </w:pPr>
          </w:p>
        </w:tc>
      </w:tr>
      <w:tr w:rsidR="000B0B09" w:rsidRPr="00661595" w:rsidTr="00672D2A">
        <w:tc>
          <w:tcPr>
            <w:tcW w:w="988" w:type="dxa"/>
          </w:tcPr>
          <w:p w:rsidR="000B0B09" w:rsidRPr="00661595" w:rsidRDefault="002F79EA" w:rsidP="00B74792">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040-</w:t>
            </w:r>
            <w:r w:rsidRPr="00661595">
              <w:rPr>
                <w:rFonts w:ascii="Times New Roman" w:hAnsi="Times New Roman"/>
                <w:sz w:val="24"/>
                <w:lang w:eastAsia="nl-BE"/>
              </w:rPr>
              <w:t>0</w:t>
            </w:r>
            <w:r w:rsidR="000B0B09" w:rsidRPr="00661595">
              <w:rPr>
                <w:rFonts w:ascii="Times New Roman" w:hAnsi="Times New Roman"/>
                <w:sz w:val="24"/>
                <w:lang w:eastAsia="nl-BE"/>
              </w:rPr>
              <w:t>050</w:t>
            </w:r>
          </w:p>
        </w:tc>
        <w:tc>
          <w:tcPr>
            <w:tcW w:w="7874"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NET POSITIONS (LONG AND SHORT)</w:t>
            </w:r>
          </w:p>
          <w:p w:rsidR="000B0B09" w:rsidRPr="00661595" w:rsidRDefault="000B0B09" w:rsidP="000B0B09">
            <w:pPr>
              <w:autoSpaceDE w:val="0"/>
              <w:autoSpaceDN w:val="0"/>
              <w:adjustRightInd w:val="0"/>
              <w:spacing w:before="0" w:after="0"/>
              <w:rPr>
                <w:rFonts w:ascii="Times New Roman" w:hAnsi="Times New Roman"/>
                <w:sz w:val="24"/>
                <w:lang w:eastAsia="de-DE"/>
              </w:rPr>
            </w:pPr>
          </w:p>
          <w:p w:rsidR="00283B5F" w:rsidRPr="00661595" w:rsidRDefault="000B0B09" w:rsidP="00F2521E">
            <w:pPr>
              <w:autoSpaceDE w:val="0"/>
              <w:autoSpaceDN w:val="0"/>
              <w:adjustRightInd w:val="0"/>
              <w:spacing w:before="0"/>
              <w:rPr>
                <w:rFonts w:ascii="Times New Roman" w:hAnsi="Times New Roman"/>
                <w:sz w:val="24"/>
                <w:lang w:eastAsia="de-DE"/>
              </w:rPr>
            </w:pPr>
            <w:r w:rsidRPr="00661595">
              <w:rPr>
                <w:rFonts w:ascii="Times New Roman" w:hAnsi="Times New Roman"/>
                <w:sz w:val="24"/>
                <w:lang w:eastAsia="de-DE"/>
              </w:rPr>
              <w:t>Article 352(3)</w:t>
            </w:r>
            <w:r w:rsidR="00F2521E" w:rsidRPr="00661595">
              <w:rPr>
                <w:rFonts w:ascii="Times New Roman" w:hAnsi="Times New Roman"/>
                <w:sz w:val="24"/>
                <w:lang w:eastAsia="de-DE"/>
              </w:rPr>
              <w:t>,</w:t>
            </w:r>
            <w:r w:rsidR="00AC6570" w:rsidRPr="00661595">
              <w:rPr>
                <w:rFonts w:ascii="Times New Roman" w:hAnsi="Times New Roman"/>
                <w:sz w:val="24"/>
                <w:lang w:eastAsia="de-DE"/>
              </w:rPr>
              <w:t xml:space="preserve"> </w:t>
            </w:r>
            <w:r w:rsidR="00705025" w:rsidRPr="00661595">
              <w:rPr>
                <w:rFonts w:ascii="Times New Roman" w:hAnsi="Times New Roman"/>
                <w:sz w:val="24"/>
                <w:lang w:eastAsia="de-DE"/>
              </w:rPr>
              <w:t xml:space="preserve">the first </w:t>
            </w:r>
            <w:r w:rsidR="00F2521E" w:rsidRPr="00661595">
              <w:rPr>
                <w:rFonts w:ascii="Times New Roman" w:hAnsi="Times New Roman"/>
                <w:sz w:val="24"/>
                <w:lang w:eastAsia="de-DE"/>
              </w:rPr>
              <w:t>two</w:t>
            </w:r>
            <w:r w:rsidR="00705025" w:rsidRPr="00661595">
              <w:rPr>
                <w:rFonts w:ascii="Times New Roman" w:hAnsi="Times New Roman"/>
                <w:sz w:val="24"/>
                <w:lang w:eastAsia="de-DE"/>
              </w:rPr>
              <w:t xml:space="preserve"> sentences of Article 352</w:t>
            </w:r>
            <w:r w:rsidR="00283B5F" w:rsidRPr="00661595">
              <w:rPr>
                <w:rFonts w:ascii="Times New Roman" w:hAnsi="Times New Roman"/>
                <w:sz w:val="24"/>
                <w:lang w:eastAsia="de-DE"/>
              </w:rPr>
              <w:t>(4)</w:t>
            </w:r>
            <w:r w:rsidR="00AC6570" w:rsidRPr="00661595">
              <w:rPr>
                <w:rFonts w:ascii="Times New Roman" w:hAnsi="Times New Roman"/>
                <w:sz w:val="24"/>
                <w:lang w:eastAsia="de-DE"/>
              </w:rPr>
              <w:t xml:space="preserve">, </w:t>
            </w:r>
            <w:r w:rsidRPr="00661595">
              <w:rPr>
                <w:rFonts w:ascii="Times New Roman" w:hAnsi="Times New Roman"/>
                <w:sz w:val="24"/>
                <w:lang w:eastAsia="de-DE"/>
              </w:rPr>
              <w:t xml:space="preserve">and </w:t>
            </w:r>
            <w:r w:rsidR="005C14B0" w:rsidRPr="00661595">
              <w:rPr>
                <w:rFonts w:ascii="Times New Roman" w:hAnsi="Times New Roman"/>
                <w:sz w:val="24"/>
                <w:lang w:eastAsia="de-DE"/>
              </w:rPr>
              <w:t xml:space="preserve">Article </w:t>
            </w:r>
            <w:r w:rsidRPr="00661595">
              <w:rPr>
                <w:rFonts w:ascii="Times New Roman" w:hAnsi="Times New Roman"/>
                <w:sz w:val="24"/>
                <w:lang w:eastAsia="de-DE"/>
              </w:rPr>
              <w:t xml:space="preserve">353 </w:t>
            </w:r>
            <w:r w:rsidR="00C7103D" w:rsidRPr="00661595">
              <w:rPr>
                <w:rFonts w:ascii="Times New Roman" w:hAnsi="Times New Roman"/>
                <w:sz w:val="24"/>
                <w:lang w:eastAsia="de-DE"/>
              </w:rPr>
              <w:t>CRR</w:t>
            </w:r>
          </w:p>
          <w:p w:rsidR="000B0B09" w:rsidRPr="00661595" w:rsidRDefault="000B0B09" w:rsidP="000B0B09">
            <w:pPr>
              <w:autoSpaceDE w:val="0"/>
              <w:autoSpaceDN w:val="0"/>
              <w:adjustRightInd w:val="0"/>
              <w:spacing w:before="0" w:after="0"/>
              <w:rPr>
                <w:rFonts w:ascii="Times New Roman" w:hAnsi="Times New Roman"/>
                <w:sz w:val="24"/>
                <w:lang w:eastAsia="de-DE"/>
              </w:rPr>
            </w:pPr>
            <w:r w:rsidRPr="00661595">
              <w:rPr>
                <w:rFonts w:ascii="Times New Roman" w:hAnsi="Times New Roman"/>
                <w:sz w:val="24"/>
                <w:lang w:eastAsia="de-DE"/>
              </w:rPr>
              <w:t>The net positions are calculated by each currency</w:t>
            </w:r>
            <w:r w:rsidR="00F23247" w:rsidRPr="00661595">
              <w:rPr>
                <w:rFonts w:ascii="Times New Roman" w:hAnsi="Times New Roman"/>
                <w:sz w:val="24"/>
                <w:lang w:eastAsia="de-DE"/>
              </w:rPr>
              <w:t xml:space="preserve"> in accordance with Article 35</w:t>
            </w:r>
            <w:r w:rsidR="00097A17" w:rsidRPr="00661595">
              <w:rPr>
                <w:rFonts w:ascii="Times New Roman" w:hAnsi="Times New Roman"/>
                <w:sz w:val="24"/>
                <w:lang w:eastAsia="de-DE"/>
              </w:rPr>
              <w:t>2</w:t>
            </w:r>
            <w:r w:rsidR="00F23247" w:rsidRPr="00661595">
              <w:rPr>
                <w:rFonts w:ascii="Times New Roman" w:hAnsi="Times New Roman"/>
                <w:sz w:val="24"/>
                <w:lang w:eastAsia="de-DE"/>
              </w:rPr>
              <w:t xml:space="preserve"> (1) CRR</w:t>
            </w:r>
            <w:r w:rsidR="00F2521E" w:rsidRPr="00661595">
              <w:rPr>
                <w:rFonts w:ascii="Times New Roman" w:hAnsi="Times New Roman"/>
                <w:sz w:val="24"/>
                <w:lang w:eastAsia="de-DE"/>
              </w:rPr>
              <w:t xml:space="preserve">. </w:t>
            </w:r>
            <w:r w:rsidR="00F23247" w:rsidRPr="00661595">
              <w:rPr>
                <w:rFonts w:ascii="Times New Roman" w:hAnsi="Times New Roman"/>
                <w:sz w:val="24"/>
                <w:lang w:eastAsia="de-DE"/>
              </w:rPr>
              <w:t xml:space="preserve">Consequently, both </w:t>
            </w:r>
            <w:r w:rsidRPr="00661595">
              <w:rPr>
                <w:rFonts w:ascii="Times New Roman" w:hAnsi="Times New Roman"/>
                <w:sz w:val="24"/>
                <w:lang w:eastAsia="de-DE"/>
              </w:rPr>
              <w:t>long and short positions</w:t>
            </w:r>
            <w:r w:rsidR="00F23247" w:rsidRPr="00661595">
              <w:rPr>
                <w:rFonts w:ascii="Times New Roman" w:hAnsi="Times New Roman"/>
                <w:sz w:val="24"/>
                <w:lang w:eastAsia="de-DE"/>
              </w:rPr>
              <w:t xml:space="preserve"> may be reported at the same time.</w:t>
            </w:r>
          </w:p>
          <w:p w:rsidR="000B0B09" w:rsidRPr="00661595" w:rsidRDefault="000B0B09" w:rsidP="000B0B09">
            <w:pPr>
              <w:autoSpaceDE w:val="0"/>
              <w:autoSpaceDN w:val="0"/>
              <w:adjustRightInd w:val="0"/>
              <w:spacing w:before="0" w:after="0"/>
              <w:rPr>
                <w:rFonts w:ascii="Times New Roman" w:hAnsi="Times New Roman"/>
                <w:sz w:val="24"/>
                <w:lang w:eastAsia="nl-BE"/>
              </w:rPr>
            </w:pPr>
          </w:p>
        </w:tc>
      </w:tr>
      <w:tr w:rsidR="000B0B09" w:rsidRPr="00661595" w:rsidTr="00672D2A">
        <w:tc>
          <w:tcPr>
            <w:tcW w:w="988" w:type="dxa"/>
          </w:tcPr>
          <w:p w:rsidR="000B0B09" w:rsidRPr="00661595" w:rsidRDefault="002F79EA"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060-</w:t>
            </w:r>
            <w:r w:rsidRPr="00661595">
              <w:rPr>
                <w:rFonts w:ascii="Times New Roman" w:hAnsi="Times New Roman"/>
                <w:sz w:val="24"/>
                <w:lang w:eastAsia="nl-BE"/>
              </w:rPr>
              <w:t>0</w:t>
            </w:r>
            <w:r w:rsidR="000B0B09" w:rsidRPr="00661595">
              <w:rPr>
                <w:rFonts w:ascii="Times New Roman" w:hAnsi="Times New Roman"/>
                <w:sz w:val="24"/>
                <w:lang w:eastAsia="nl-BE"/>
              </w:rPr>
              <w:t>080</w:t>
            </w:r>
          </w:p>
        </w:tc>
        <w:tc>
          <w:tcPr>
            <w:tcW w:w="7874"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de-DE"/>
              </w:rPr>
            </w:pPr>
            <w:r w:rsidRPr="00661595">
              <w:rPr>
                <w:rFonts w:ascii="Times New Roman" w:hAnsi="Times New Roman"/>
                <w:b/>
                <w:bCs/>
                <w:sz w:val="24"/>
                <w:u w:val="single"/>
                <w:lang w:eastAsia="de-DE"/>
              </w:rPr>
              <w:t>POSITIONS SUBJECT TO CAPITAL CHARGE</w:t>
            </w:r>
          </w:p>
          <w:p w:rsidR="000B0B09" w:rsidRPr="00661595" w:rsidRDefault="000B0B09" w:rsidP="000B0B09">
            <w:pPr>
              <w:autoSpaceDE w:val="0"/>
              <w:autoSpaceDN w:val="0"/>
              <w:adjustRightInd w:val="0"/>
              <w:spacing w:before="0" w:after="0"/>
              <w:rPr>
                <w:rFonts w:ascii="Times New Roman" w:hAnsi="Times New Roman"/>
                <w:sz w:val="24"/>
                <w:lang w:eastAsia="de-DE"/>
              </w:rPr>
            </w:pPr>
          </w:p>
          <w:p w:rsidR="000B0B09" w:rsidRPr="00661595" w:rsidRDefault="00705025" w:rsidP="000B0B09">
            <w:pPr>
              <w:autoSpaceDE w:val="0"/>
              <w:autoSpaceDN w:val="0"/>
              <w:adjustRightInd w:val="0"/>
              <w:spacing w:before="0" w:after="0"/>
              <w:rPr>
                <w:rFonts w:ascii="Times New Roman" w:hAnsi="Times New Roman"/>
                <w:sz w:val="24"/>
                <w:lang w:eastAsia="de-DE"/>
              </w:rPr>
            </w:pPr>
            <w:r w:rsidRPr="00661595">
              <w:rPr>
                <w:rFonts w:ascii="Times New Roman" w:hAnsi="Times New Roman"/>
                <w:sz w:val="24"/>
                <w:lang w:eastAsia="de-DE"/>
              </w:rPr>
              <w:t xml:space="preserve">The third sentence of </w:t>
            </w:r>
            <w:r w:rsidR="000B0B09" w:rsidRPr="00661595">
              <w:rPr>
                <w:rFonts w:ascii="Times New Roman" w:hAnsi="Times New Roman"/>
                <w:sz w:val="24"/>
                <w:lang w:eastAsia="de-DE"/>
              </w:rPr>
              <w:t>Article 352(</w:t>
            </w:r>
            <w:r w:rsidR="00283B5F" w:rsidRPr="00661595">
              <w:rPr>
                <w:rFonts w:ascii="Times New Roman" w:hAnsi="Times New Roman"/>
                <w:sz w:val="24"/>
                <w:lang w:eastAsia="de-DE"/>
              </w:rPr>
              <w:t>4</w:t>
            </w:r>
            <w:r w:rsidR="000B0B09" w:rsidRPr="00661595">
              <w:rPr>
                <w:rFonts w:ascii="Times New Roman" w:hAnsi="Times New Roman"/>
                <w:sz w:val="24"/>
                <w:lang w:eastAsia="de-DE"/>
              </w:rPr>
              <w:t>)</w:t>
            </w:r>
            <w:r w:rsidR="00AC6570" w:rsidRPr="00661595">
              <w:rPr>
                <w:rFonts w:ascii="Times New Roman" w:hAnsi="Times New Roman"/>
                <w:sz w:val="24"/>
                <w:lang w:eastAsia="de-DE"/>
              </w:rPr>
              <w:t xml:space="preserve"> </w:t>
            </w:r>
            <w:r w:rsidR="00F2521E" w:rsidRPr="00661595">
              <w:rPr>
                <w:rFonts w:ascii="Times New Roman" w:hAnsi="Times New Roman"/>
                <w:sz w:val="24"/>
                <w:lang w:eastAsia="de-DE"/>
              </w:rPr>
              <w:t xml:space="preserve">and </w:t>
            </w:r>
            <w:r w:rsidRPr="00661595">
              <w:rPr>
                <w:rFonts w:ascii="Times New Roman" w:hAnsi="Times New Roman"/>
                <w:sz w:val="24"/>
                <w:lang w:eastAsia="de-DE"/>
              </w:rPr>
              <w:t xml:space="preserve">Articles </w:t>
            </w:r>
            <w:r w:rsidR="000B0B09" w:rsidRPr="00661595">
              <w:rPr>
                <w:rFonts w:ascii="Times New Roman" w:hAnsi="Times New Roman"/>
                <w:sz w:val="24"/>
                <w:lang w:eastAsia="de-DE"/>
              </w:rPr>
              <w:t xml:space="preserve">353 and 354 </w:t>
            </w:r>
            <w:r w:rsidR="00C7103D" w:rsidRPr="00661595">
              <w:rPr>
                <w:rFonts w:ascii="Times New Roman" w:hAnsi="Times New Roman"/>
                <w:sz w:val="24"/>
                <w:lang w:eastAsia="de-DE"/>
              </w:rPr>
              <w:t>CRR</w:t>
            </w:r>
            <w:r w:rsidR="000B0B09" w:rsidRPr="00661595">
              <w:rPr>
                <w:rFonts w:ascii="Times New Roman" w:hAnsi="Times New Roman"/>
                <w:sz w:val="24"/>
                <w:lang w:eastAsia="de-DE"/>
              </w:rPr>
              <w:t xml:space="preserve"> </w:t>
            </w:r>
          </w:p>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p>
        </w:tc>
      </w:tr>
      <w:tr w:rsidR="000B0B09" w:rsidRPr="00661595" w:rsidTr="00672D2A">
        <w:tc>
          <w:tcPr>
            <w:tcW w:w="988" w:type="dxa"/>
          </w:tcPr>
          <w:p w:rsidR="000B0B09" w:rsidRPr="00661595" w:rsidRDefault="002F79EA"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060-</w:t>
            </w:r>
            <w:r w:rsidRPr="00661595">
              <w:rPr>
                <w:rFonts w:ascii="Times New Roman" w:hAnsi="Times New Roman"/>
                <w:sz w:val="24"/>
                <w:lang w:eastAsia="nl-BE"/>
              </w:rPr>
              <w:t>0</w:t>
            </w:r>
            <w:r w:rsidR="000B0B09" w:rsidRPr="00661595">
              <w:rPr>
                <w:rFonts w:ascii="Times New Roman" w:hAnsi="Times New Roman"/>
                <w:sz w:val="24"/>
                <w:lang w:eastAsia="nl-BE"/>
              </w:rPr>
              <w:t>070</w:t>
            </w:r>
          </w:p>
        </w:tc>
        <w:tc>
          <w:tcPr>
            <w:tcW w:w="7874" w:type="dxa"/>
          </w:tcPr>
          <w:p w:rsidR="000B0B09" w:rsidRPr="00661595" w:rsidRDefault="000B0B09" w:rsidP="000B0B09">
            <w:pPr>
              <w:autoSpaceDE w:val="0"/>
              <w:autoSpaceDN w:val="0"/>
              <w:adjustRightInd w:val="0"/>
              <w:spacing w:before="0" w:after="0"/>
              <w:rPr>
                <w:rFonts w:ascii="Times New Roman" w:hAnsi="Times New Roman"/>
                <w:sz w:val="24"/>
                <w:lang w:eastAsia="de-DE"/>
              </w:rPr>
            </w:pPr>
            <w:r w:rsidRPr="00661595">
              <w:rPr>
                <w:rFonts w:ascii="Times New Roman" w:hAnsi="Times New Roman"/>
                <w:b/>
                <w:bCs/>
                <w:sz w:val="24"/>
                <w:u w:val="single"/>
                <w:lang w:eastAsia="de-DE"/>
              </w:rPr>
              <w:t>POSITIONS SUBJECT TO CAPITAL CHARGE</w:t>
            </w:r>
            <w:r w:rsidRPr="00661595">
              <w:rPr>
                <w:rFonts w:ascii="Times New Roman" w:hAnsi="Times New Roman"/>
                <w:b/>
                <w:bCs/>
                <w:sz w:val="24"/>
                <w:u w:val="single"/>
                <w:lang w:eastAsia="nl-BE"/>
              </w:rPr>
              <w:t xml:space="preserve"> (LONG AND SHORT)</w:t>
            </w:r>
          </w:p>
          <w:p w:rsidR="000B0B09" w:rsidRPr="00661595" w:rsidRDefault="000B0B09" w:rsidP="00F2521E">
            <w:pPr>
              <w:autoSpaceDE w:val="0"/>
              <w:autoSpaceDN w:val="0"/>
              <w:adjustRightInd w:val="0"/>
              <w:spacing w:after="0"/>
              <w:rPr>
                <w:rFonts w:ascii="Times New Roman" w:hAnsi="Times New Roman"/>
                <w:sz w:val="24"/>
                <w:lang w:eastAsia="de-DE"/>
              </w:rPr>
            </w:pPr>
            <w:r w:rsidRPr="00661595">
              <w:rPr>
                <w:rFonts w:ascii="Times New Roman" w:hAnsi="Times New Roman"/>
                <w:sz w:val="24"/>
                <w:lang w:eastAsia="de-DE"/>
              </w:rPr>
              <w:t xml:space="preserve">The long and short net positions for each currency </w:t>
            </w:r>
            <w:r w:rsidR="005C14B0" w:rsidRPr="00661595">
              <w:rPr>
                <w:rFonts w:ascii="Times New Roman" w:hAnsi="Times New Roman"/>
                <w:sz w:val="24"/>
                <w:lang w:eastAsia="de-DE"/>
              </w:rPr>
              <w:t xml:space="preserve">shall be </w:t>
            </w:r>
            <w:r w:rsidRPr="00661595">
              <w:rPr>
                <w:rFonts w:ascii="Times New Roman" w:hAnsi="Times New Roman"/>
                <w:sz w:val="24"/>
                <w:lang w:eastAsia="de-DE"/>
              </w:rPr>
              <w:t>calculated by deducting the total of short positions from the total of long positions.</w:t>
            </w:r>
          </w:p>
          <w:p w:rsidR="000B0B09" w:rsidRPr="00661595" w:rsidRDefault="000B0B09" w:rsidP="00F2521E">
            <w:pPr>
              <w:autoSpaceDE w:val="0"/>
              <w:autoSpaceDN w:val="0"/>
              <w:adjustRightInd w:val="0"/>
              <w:spacing w:after="0"/>
              <w:rPr>
                <w:rFonts w:ascii="Times New Roman" w:hAnsi="Times New Roman"/>
                <w:sz w:val="24"/>
                <w:lang w:eastAsia="de-DE"/>
              </w:rPr>
            </w:pPr>
            <w:r w:rsidRPr="00661595">
              <w:rPr>
                <w:rFonts w:ascii="Times New Roman" w:hAnsi="Times New Roman"/>
                <w:sz w:val="24"/>
                <w:lang w:eastAsia="de-DE"/>
              </w:rPr>
              <w:t xml:space="preserve">Long net positions for each operation in a currency </w:t>
            </w:r>
            <w:r w:rsidR="005C14B0" w:rsidRPr="00661595">
              <w:rPr>
                <w:rFonts w:ascii="Times New Roman" w:hAnsi="Times New Roman"/>
                <w:sz w:val="24"/>
                <w:lang w:eastAsia="de-DE"/>
              </w:rPr>
              <w:t xml:space="preserve">shall be </w:t>
            </w:r>
            <w:r w:rsidRPr="00661595">
              <w:rPr>
                <w:rFonts w:ascii="Times New Roman" w:hAnsi="Times New Roman"/>
                <w:sz w:val="24"/>
                <w:lang w:eastAsia="de-DE"/>
              </w:rPr>
              <w:t>added to obtain the long net position in that currency.</w:t>
            </w:r>
          </w:p>
          <w:p w:rsidR="000B0B09" w:rsidRPr="00661595" w:rsidRDefault="000B0B09" w:rsidP="00F2521E">
            <w:pPr>
              <w:autoSpaceDE w:val="0"/>
              <w:autoSpaceDN w:val="0"/>
              <w:adjustRightInd w:val="0"/>
              <w:spacing w:after="0"/>
              <w:rPr>
                <w:rFonts w:ascii="Times New Roman" w:hAnsi="Times New Roman"/>
                <w:sz w:val="24"/>
                <w:lang w:eastAsia="de-DE"/>
              </w:rPr>
            </w:pPr>
            <w:r w:rsidRPr="00661595">
              <w:rPr>
                <w:rFonts w:ascii="Times New Roman" w:hAnsi="Times New Roman"/>
                <w:sz w:val="24"/>
                <w:lang w:eastAsia="de-DE"/>
              </w:rPr>
              <w:t xml:space="preserve">Short net positions for each operation in a currency </w:t>
            </w:r>
            <w:r w:rsidR="005C14B0" w:rsidRPr="00661595">
              <w:rPr>
                <w:rFonts w:ascii="Times New Roman" w:hAnsi="Times New Roman"/>
                <w:sz w:val="24"/>
                <w:lang w:eastAsia="de-DE"/>
              </w:rPr>
              <w:t xml:space="preserve">shall be </w:t>
            </w:r>
            <w:r w:rsidRPr="00661595">
              <w:rPr>
                <w:rFonts w:ascii="Times New Roman" w:hAnsi="Times New Roman"/>
                <w:sz w:val="24"/>
                <w:lang w:eastAsia="de-DE"/>
              </w:rPr>
              <w:t>added to obtain the short net position in that currency.</w:t>
            </w:r>
          </w:p>
          <w:p w:rsidR="000B0B09" w:rsidRPr="00661595" w:rsidRDefault="000B0B09" w:rsidP="00F2521E">
            <w:pPr>
              <w:autoSpaceDE w:val="0"/>
              <w:autoSpaceDN w:val="0"/>
              <w:adjustRightInd w:val="0"/>
              <w:spacing w:after="0"/>
              <w:rPr>
                <w:rFonts w:ascii="Times New Roman" w:hAnsi="Times New Roman"/>
                <w:sz w:val="24"/>
                <w:lang w:eastAsia="de-DE"/>
              </w:rPr>
            </w:pPr>
            <w:r w:rsidRPr="00661595">
              <w:rPr>
                <w:rFonts w:ascii="Times New Roman" w:hAnsi="Times New Roman"/>
                <w:sz w:val="24"/>
                <w:lang w:eastAsia="de-DE"/>
              </w:rPr>
              <w:t xml:space="preserve">Unmatched positions </w:t>
            </w:r>
            <w:r w:rsidR="00491F4D" w:rsidRPr="00661595">
              <w:rPr>
                <w:rFonts w:ascii="Times New Roman" w:hAnsi="Times New Roman"/>
                <w:sz w:val="24"/>
                <w:lang w:eastAsia="de-DE"/>
              </w:rPr>
              <w:t xml:space="preserve">in non-reporting currencies </w:t>
            </w:r>
            <w:r w:rsidR="005C14B0" w:rsidRPr="00661595">
              <w:rPr>
                <w:rFonts w:ascii="Times New Roman" w:hAnsi="Times New Roman"/>
                <w:sz w:val="24"/>
                <w:lang w:eastAsia="de-DE"/>
              </w:rPr>
              <w:t xml:space="preserve">shall be </w:t>
            </w:r>
            <w:r w:rsidRPr="00661595">
              <w:rPr>
                <w:rFonts w:ascii="Times New Roman" w:hAnsi="Times New Roman"/>
                <w:sz w:val="24"/>
                <w:lang w:eastAsia="de-DE"/>
              </w:rPr>
              <w:t>added to positions subject to capital charges for other currencies (row 030) in column 0</w:t>
            </w:r>
            <w:r w:rsidR="00283B5F" w:rsidRPr="00661595">
              <w:rPr>
                <w:rFonts w:ascii="Times New Roman" w:hAnsi="Times New Roman"/>
                <w:sz w:val="24"/>
                <w:lang w:eastAsia="de-DE"/>
              </w:rPr>
              <w:t>6</w:t>
            </w:r>
            <w:r w:rsidRPr="00661595">
              <w:rPr>
                <w:rFonts w:ascii="Times New Roman" w:hAnsi="Times New Roman"/>
                <w:sz w:val="24"/>
                <w:lang w:eastAsia="de-DE"/>
              </w:rPr>
              <w:t>0 or 0</w:t>
            </w:r>
            <w:r w:rsidR="00283B5F" w:rsidRPr="00661595">
              <w:rPr>
                <w:rFonts w:ascii="Times New Roman" w:hAnsi="Times New Roman"/>
                <w:sz w:val="24"/>
                <w:lang w:eastAsia="de-DE"/>
              </w:rPr>
              <w:t>7</w:t>
            </w:r>
            <w:r w:rsidRPr="00661595">
              <w:rPr>
                <w:rFonts w:ascii="Times New Roman" w:hAnsi="Times New Roman"/>
                <w:sz w:val="24"/>
                <w:lang w:eastAsia="de-DE"/>
              </w:rPr>
              <w:t>0</w:t>
            </w:r>
            <w:r w:rsidR="00F2521E" w:rsidRPr="00661595">
              <w:rPr>
                <w:rFonts w:ascii="Times New Roman" w:hAnsi="Times New Roman"/>
                <w:sz w:val="24"/>
                <w:lang w:eastAsia="de-DE"/>
              </w:rPr>
              <w:t>,</w:t>
            </w:r>
            <w:r w:rsidRPr="00661595">
              <w:rPr>
                <w:rFonts w:ascii="Times New Roman" w:hAnsi="Times New Roman"/>
                <w:sz w:val="24"/>
                <w:lang w:eastAsia="de-DE"/>
              </w:rPr>
              <w:t xml:space="preserve"> depending on their short or long arrangement.</w:t>
            </w:r>
          </w:p>
          <w:p w:rsidR="00DE48EF" w:rsidRPr="00661595" w:rsidRDefault="00DE48EF" w:rsidP="00283B5F">
            <w:pPr>
              <w:autoSpaceDE w:val="0"/>
              <w:autoSpaceDN w:val="0"/>
              <w:adjustRightInd w:val="0"/>
              <w:spacing w:before="0" w:after="0"/>
              <w:rPr>
                <w:rFonts w:ascii="Times New Roman" w:hAnsi="Times New Roman"/>
                <w:b/>
                <w:bCs/>
                <w:sz w:val="24"/>
                <w:u w:val="single"/>
                <w:lang w:eastAsia="nl-BE"/>
              </w:rPr>
            </w:pPr>
          </w:p>
        </w:tc>
      </w:tr>
      <w:tr w:rsidR="000B0B09" w:rsidRPr="00661595" w:rsidTr="00672D2A">
        <w:tc>
          <w:tcPr>
            <w:tcW w:w="988" w:type="dxa"/>
          </w:tcPr>
          <w:p w:rsidR="000B0B09" w:rsidRPr="00661595" w:rsidRDefault="002F79EA"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080</w:t>
            </w:r>
          </w:p>
        </w:tc>
        <w:tc>
          <w:tcPr>
            <w:tcW w:w="7874"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de-DE"/>
              </w:rPr>
            </w:pPr>
            <w:r w:rsidRPr="00661595">
              <w:rPr>
                <w:rFonts w:ascii="Times New Roman" w:hAnsi="Times New Roman"/>
                <w:b/>
                <w:bCs/>
                <w:sz w:val="24"/>
                <w:u w:val="single"/>
                <w:lang w:eastAsia="de-DE"/>
              </w:rPr>
              <w:t>POSITIONS SUBJECT TO CAPITAL CHARGE (MATCHED)</w:t>
            </w:r>
          </w:p>
          <w:p w:rsidR="000B0B09" w:rsidRPr="00661595" w:rsidRDefault="000B0B09" w:rsidP="000B0B09">
            <w:pPr>
              <w:autoSpaceDE w:val="0"/>
              <w:autoSpaceDN w:val="0"/>
              <w:adjustRightInd w:val="0"/>
              <w:spacing w:before="0" w:after="0"/>
              <w:rPr>
                <w:rFonts w:ascii="Times New Roman" w:hAnsi="Times New Roman"/>
                <w:sz w:val="24"/>
                <w:lang w:eastAsia="de-DE"/>
              </w:rPr>
            </w:pPr>
          </w:p>
          <w:p w:rsidR="000B0B09" w:rsidRPr="00661595" w:rsidRDefault="000B0B09" w:rsidP="000B0B09">
            <w:pPr>
              <w:autoSpaceDE w:val="0"/>
              <w:autoSpaceDN w:val="0"/>
              <w:adjustRightInd w:val="0"/>
              <w:spacing w:before="0" w:after="0"/>
              <w:rPr>
                <w:rFonts w:ascii="Times New Roman" w:hAnsi="Times New Roman"/>
                <w:sz w:val="24"/>
                <w:lang w:eastAsia="de-DE"/>
              </w:rPr>
            </w:pPr>
            <w:r w:rsidRPr="00661595">
              <w:rPr>
                <w:rFonts w:ascii="Times New Roman" w:hAnsi="Times New Roman"/>
                <w:sz w:val="24"/>
                <w:lang w:eastAsia="de-DE"/>
              </w:rPr>
              <w:t>Matched positions for closely correlated currencies</w:t>
            </w:r>
            <w:r w:rsidR="00F2521E" w:rsidRPr="00661595">
              <w:rPr>
                <w:rFonts w:ascii="Times New Roman" w:hAnsi="Times New Roman"/>
                <w:sz w:val="24"/>
                <w:lang w:eastAsia="de-DE"/>
              </w:rPr>
              <w:t>.</w:t>
            </w:r>
          </w:p>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p>
        </w:tc>
      </w:tr>
      <w:tr w:rsidR="000B0B09" w:rsidRPr="00661595" w:rsidTr="00672D2A">
        <w:tc>
          <w:tcPr>
            <w:tcW w:w="988" w:type="dxa"/>
          </w:tcPr>
          <w:p w:rsidR="000B0B09" w:rsidRPr="00661595" w:rsidRDefault="002F79EA"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090</w:t>
            </w:r>
          </w:p>
        </w:tc>
        <w:tc>
          <w:tcPr>
            <w:tcW w:w="7874"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OWN FUNDS REQUIREMENTS</w:t>
            </w:r>
          </w:p>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p>
          <w:p w:rsidR="000B0B09" w:rsidRPr="00661595" w:rsidRDefault="000B0B09" w:rsidP="000B0B09">
            <w:pPr>
              <w:autoSpaceDE w:val="0"/>
              <w:autoSpaceDN w:val="0"/>
              <w:adjustRightInd w:val="0"/>
              <w:spacing w:before="0" w:after="0"/>
              <w:rPr>
                <w:rFonts w:ascii="Times New Roman" w:hAnsi="Times New Roman"/>
                <w:sz w:val="24"/>
                <w:lang w:eastAsia="de-DE"/>
              </w:rPr>
            </w:pPr>
            <w:r w:rsidRPr="00661595">
              <w:rPr>
                <w:rFonts w:ascii="Times New Roman" w:hAnsi="Times New Roman"/>
                <w:sz w:val="24"/>
                <w:lang w:eastAsia="de-DE"/>
              </w:rPr>
              <w:t xml:space="preserve">The capital charge for any relevant position </w:t>
            </w:r>
            <w:r w:rsidR="00BB22D4" w:rsidRPr="00661595">
              <w:rPr>
                <w:rFonts w:ascii="Times New Roman" w:hAnsi="Times New Roman"/>
                <w:sz w:val="24"/>
                <w:lang w:eastAsia="de-DE"/>
              </w:rPr>
              <w:t>in accordance with</w:t>
            </w:r>
            <w:r w:rsidRPr="00661595">
              <w:rPr>
                <w:rFonts w:ascii="Times New Roman" w:hAnsi="Times New Roman"/>
                <w:sz w:val="24"/>
                <w:lang w:eastAsia="de-DE"/>
              </w:rPr>
              <w:t xml:space="preserve"> </w:t>
            </w:r>
            <w:r w:rsidR="005C14B0" w:rsidRPr="00661595">
              <w:rPr>
                <w:rFonts w:ascii="Times New Roman" w:hAnsi="Times New Roman"/>
                <w:sz w:val="24"/>
                <w:lang w:eastAsia="de-DE"/>
              </w:rPr>
              <w:t xml:space="preserve">Chapter 3 of Title IV of </w:t>
            </w:r>
            <w:r w:rsidR="00097A17" w:rsidRPr="00661595">
              <w:rPr>
                <w:rFonts w:ascii="Times New Roman" w:hAnsi="Times New Roman"/>
                <w:sz w:val="24"/>
                <w:lang w:eastAsia="de-DE"/>
              </w:rPr>
              <w:t>Part Three</w:t>
            </w:r>
            <w:r w:rsidRPr="00661595">
              <w:rPr>
                <w:rFonts w:ascii="Times New Roman" w:hAnsi="Times New Roman"/>
                <w:sz w:val="24"/>
                <w:lang w:eastAsia="de-DE"/>
              </w:rPr>
              <w:t xml:space="preserve"> </w:t>
            </w:r>
            <w:r w:rsidR="00C7103D" w:rsidRPr="00661595">
              <w:rPr>
                <w:rFonts w:ascii="Times New Roman" w:hAnsi="Times New Roman"/>
                <w:sz w:val="24"/>
                <w:lang w:eastAsia="de-DE"/>
              </w:rPr>
              <w:t>CRR</w:t>
            </w:r>
            <w:r w:rsidRPr="00661595">
              <w:rPr>
                <w:rFonts w:ascii="Times New Roman" w:hAnsi="Times New Roman"/>
                <w:sz w:val="24"/>
                <w:lang w:eastAsia="de-DE"/>
              </w:rPr>
              <w:t xml:space="preserve"> </w:t>
            </w:r>
          </w:p>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p>
        </w:tc>
      </w:tr>
      <w:tr w:rsidR="000B0B09" w:rsidRPr="00661595" w:rsidTr="00672D2A">
        <w:tc>
          <w:tcPr>
            <w:tcW w:w="988" w:type="dxa"/>
          </w:tcPr>
          <w:p w:rsidR="000B0B09" w:rsidRPr="00661595" w:rsidRDefault="002F79EA"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100</w:t>
            </w:r>
          </w:p>
        </w:tc>
        <w:tc>
          <w:tcPr>
            <w:tcW w:w="7874" w:type="dxa"/>
          </w:tcPr>
          <w:p w:rsidR="000B0B09" w:rsidRPr="00661595" w:rsidRDefault="000B0B09" w:rsidP="000B0B09">
            <w:pPr>
              <w:tabs>
                <w:tab w:val="left" w:pos="1665"/>
              </w:tabs>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TOTAL RISK EXPOSURE AMOUNT</w:t>
            </w:r>
          </w:p>
          <w:p w:rsidR="000B0B09" w:rsidRPr="00661595" w:rsidRDefault="000B0B09" w:rsidP="000B0B09">
            <w:pPr>
              <w:tabs>
                <w:tab w:val="left" w:pos="1665"/>
              </w:tabs>
              <w:autoSpaceDE w:val="0"/>
              <w:autoSpaceDN w:val="0"/>
              <w:adjustRightInd w:val="0"/>
              <w:spacing w:before="0" w:after="0"/>
              <w:rPr>
                <w:rFonts w:ascii="Times New Roman" w:hAnsi="Times New Roman"/>
                <w:b/>
                <w:bCs/>
                <w:sz w:val="24"/>
                <w:u w:val="single"/>
                <w:lang w:eastAsia="nl-BE"/>
              </w:rPr>
            </w:pPr>
          </w:p>
          <w:p w:rsidR="005C14B0" w:rsidRPr="00661595" w:rsidRDefault="00D21B29" w:rsidP="00F2521E">
            <w:pPr>
              <w:tabs>
                <w:tab w:val="left" w:pos="1665"/>
              </w:tabs>
              <w:autoSpaceDE w:val="0"/>
              <w:autoSpaceDN w:val="0"/>
              <w:adjustRightInd w:val="0"/>
              <w:spacing w:before="0"/>
              <w:rPr>
                <w:rFonts w:ascii="Times New Roman" w:hAnsi="Times New Roman"/>
                <w:sz w:val="24"/>
                <w:lang w:eastAsia="de-DE"/>
              </w:rPr>
            </w:pPr>
            <w:r w:rsidRPr="00661595">
              <w:rPr>
                <w:rFonts w:ascii="Times New Roman" w:hAnsi="Times New Roman"/>
                <w:sz w:val="24"/>
              </w:rPr>
              <w:t xml:space="preserve">Point (b) of </w:t>
            </w:r>
            <w:r w:rsidR="000B0B09" w:rsidRPr="00661595">
              <w:rPr>
                <w:rFonts w:ascii="Times New Roman" w:hAnsi="Times New Roman"/>
                <w:sz w:val="24"/>
                <w:lang w:eastAsia="de-DE"/>
              </w:rPr>
              <w:t xml:space="preserve">Article 92(4) </w:t>
            </w:r>
            <w:r w:rsidR="00C7103D" w:rsidRPr="00661595">
              <w:rPr>
                <w:rFonts w:ascii="Times New Roman" w:hAnsi="Times New Roman"/>
                <w:sz w:val="24"/>
                <w:lang w:eastAsia="de-DE"/>
              </w:rPr>
              <w:t>CRR</w:t>
            </w:r>
            <w:r w:rsidR="00F2521E" w:rsidRPr="00661595">
              <w:rPr>
                <w:rFonts w:ascii="Times New Roman" w:hAnsi="Times New Roman"/>
                <w:sz w:val="24"/>
                <w:lang w:eastAsia="de-DE"/>
              </w:rPr>
              <w:t>.</w:t>
            </w:r>
          </w:p>
          <w:p w:rsidR="000B0B09" w:rsidRPr="00661595" w:rsidRDefault="000B0B09" w:rsidP="000B0B09">
            <w:pPr>
              <w:tabs>
                <w:tab w:val="left" w:pos="1665"/>
              </w:tabs>
              <w:autoSpaceDE w:val="0"/>
              <w:autoSpaceDN w:val="0"/>
              <w:adjustRightInd w:val="0"/>
              <w:spacing w:before="0" w:after="0"/>
              <w:rPr>
                <w:rFonts w:ascii="Times New Roman" w:hAnsi="Times New Roman"/>
                <w:sz w:val="24"/>
                <w:lang w:eastAsia="de-DE"/>
              </w:rPr>
            </w:pPr>
            <w:r w:rsidRPr="00661595">
              <w:rPr>
                <w:rFonts w:ascii="Times New Roman" w:hAnsi="Times New Roman"/>
                <w:sz w:val="24"/>
                <w:lang w:eastAsia="de-DE"/>
              </w:rPr>
              <w:t>Result of the multiplication of the own funds requirements by 12</w:t>
            </w:r>
            <w:r w:rsidR="00F2521E" w:rsidRPr="00661595">
              <w:rPr>
                <w:rFonts w:ascii="Times New Roman" w:hAnsi="Times New Roman"/>
                <w:sz w:val="24"/>
                <w:lang w:eastAsia="de-DE"/>
              </w:rPr>
              <w:t>,</w:t>
            </w:r>
            <w:r w:rsidRPr="00661595">
              <w:rPr>
                <w:rFonts w:ascii="Times New Roman" w:hAnsi="Times New Roman"/>
                <w:sz w:val="24"/>
                <w:lang w:eastAsia="de-DE"/>
              </w:rPr>
              <w:t xml:space="preserve">5. </w:t>
            </w:r>
          </w:p>
          <w:p w:rsidR="00DE48EF" w:rsidRPr="00661595" w:rsidRDefault="00DE48EF" w:rsidP="000B0B09">
            <w:pPr>
              <w:tabs>
                <w:tab w:val="left" w:pos="1665"/>
              </w:tabs>
              <w:autoSpaceDE w:val="0"/>
              <w:autoSpaceDN w:val="0"/>
              <w:adjustRightInd w:val="0"/>
              <w:spacing w:before="0" w:after="0"/>
              <w:rPr>
                <w:rFonts w:ascii="Times New Roman" w:hAnsi="Times New Roman"/>
                <w:b/>
                <w:bCs/>
                <w:sz w:val="24"/>
                <w:u w:val="single"/>
                <w:lang w:eastAsia="nl-BE"/>
              </w:rPr>
            </w:pPr>
          </w:p>
        </w:tc>
      </w:tr>
    </w:tbl>
    <w:p w:rsidR="000B0B09" w:rsidRPr="00661595" w:rsidRDefault="000B0B09" w:rsidP="000B0B09">
      <w:pPr>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1"/>
        <w:gridCol w:w="7871"/>
      </w:tblGrid>
      <w:tr w:rsidR="000B0B09" w:rsidRPr="00661595" w:rsidTr="00672D2A">
        <w:trPr>
          <w:trHeight w:val="497"/>
        </w:trPr>
        <w:tc>
          <w:tcPr>
            <w:tcW w:w="8862" w:type="dxa"/>
            <w:gridSpan w:val="2"/>
            <w:shd w:val="clear" w:color="auto" w:fill="CCCCCC"/>
          </w:tcPr>
          <w:p w:rsidR="000B0B09" w:rsidRPr="00661595" w:rsidRDefault="000B0B09" w:rsidP="000B0B09">
            <w:pPr>
              <w:autoSpaceDE w:val="0"/>
              <w:autoSpaceDN w:val="0"/>
              <w:adjustRightInd w:val="0"/>
              <w:spacing w:after="0"/>
              <w:rPr>
                <w:rFonts w:ascii="Times New Roman" w:hAnsi="Times New Roman"/>
                <w:b/>
                <w:sz w:val="24"/>
                <w:lang w:eastAsia="nl-BE"/>
              </w:rPr>
            </w:pPr>
            <w:r w:rsidRPr="00661595">
              <w:rPr>
                <w:rFonts w:ascii="Times New Roman" w:hAnsi="Times New Roman"/>
                <w:b/>
                <w:sz w:val="24"/>
                <w:lang w:eastAsia="nl-BE"/>
              </w:rPr>
              <w:t>Rows</w:t>
            </w:r>
          </w:p>
        </w:tc>
      </w:tr>
      <w:tr w:rsidR="000B0B09" w:rsidRPr="00661595" w:rsidTr="00672D2A">
        <w:tc>
          <w:tcPr>
            <w:tcW w:w="991" w:type="dxa"/>
          </w:tcPr>
          <w:p w:rsidR="000B0B09" w:rsidRPr="00661595" w:rsidRDefault="002F79EA"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010</w:t>
            </w:r>
          </w:p>
        </w:tc>
        <w:tc>
          <w:tcPr>
            <w:tcW w:w="7871"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rPr>
              <w:t>TOTAL POSITIONS</w:t>
            </w:r>
          </w:p>
          <w:p w:rsidR="000B0B09" w:rsidRPr="00661595" w:rsidRDefault="000B0B09" w:rsidP="000B0B09">
            <w:pPr>
              <w:autoSpaceDE w:val="0"/>
              <w:autoSpaceDN w:val="0"/>
              <w:adjustRightInd w:val="0"/>
              <w:spacing w:before="0" w:after="0"/>
              <w:rPr>
                <w:rFonts w:ascii="Times New Roman" w:hAnsi="Times New Roman"/>
                <w:sz w:val="24"/>
                <w:lang w:eastAsia="nl-BE"/>
              </w:rPr>
            </w:pPr>
          </w:p>
          <w:p w:rsidR="000B0B09" w:rsidRPr="00661595" w:rsidRDefault="00491F4D" w:rsidP="000B0B09">
            <w:pPr>
              <w:autoSpaceDE w:val="0"/>
              <w:autoSpaceDN w:val="0"/>
              <w:adjustRightInd w:val="0"/>
              <w:spacing w:before="0" w:after="0"/>
              <w:rPr>
                <w:rFonts w:ascii="Times New Roman" w:hAnsi="Times New Roman"/>
                <w:sz w:val="24"/>
              </w:rPr>
            </w:pPr>
            <w:r w:rsidRPr="00661595">
              <w:rPr>
                <w:rFonts w:ascii="Times New Roman" w:hAnsi="Times New Roman"/>
                <w:sz w:val="24"/>
              </w:rPr>
              <w:t>All p</w:t>
            </w:r>
            <w:r w:rsidR="000B0B09" w:rsidRPr="00661595">
              <w:rPr>
                <w:rFonts w:ascii="Times New Roman" w:hAnsi="Times New Roman"/>
                <w:sz w:val="24"/>
              </w:rPr>
              <w:t xml:space="preserve">ositions in non-reporting currencies </w:t>
            </w:r>
            <w:r w:rsidRPr="00661595">
              <w:rPr>
                <w:rFonts w:ascii="Times New Roman" w:hAnsi="Times New Roman"/>
                <w:sz w:val="24"/>
              </w:rPr>
              <w:t>and those positions in the reporting currency that are considered for the purposes of Article 354 CRR as well as</w:t>
            </w:r>
            <w:r w:rsidR="000B0B09" w:rsidRPr="00661595">
              <w:rPr>
                <w:rFonts w:ascii="Times New Roman" w:hAnsi="Times New Roman"/>
                <w:sz w:val="24"/>
              </w:rPr>
              <w:t xml:space="preserve"> their correspondent own funds requirements </w:t>
            </w:r>
            <w:r w:rsidR="00F2521E" w:rsidRPr="00661595">
              <w:rPr>
                <w:rFonts w:ascii="Times New Roman" w:hAnsi="Times New Roman"/>
                <w:sz w:val="24"/>
              </w:rPr>
              <w:t xml:space="preserve">for the foreign-exchange risk referred to in </w:t>
            </w:r>
            <w:r w:rsidR="00705025" w:rsidRPr="00661595">
              <w:rPr>
                <w:rFonts w:ascii="Times New Roman" w:hAnsi="Times New Roman"/>
                <w:sz w:val="24"/>
              </w:rPr>
              <w:t>point</w:t>
            </w:r>
            <w:r w:rsidR="00F2521E" w:rsidRPr="00661595">
              <w:rPr>
                <w:rFonts w:ascii="Times New Roman" w:hAnsi="Times New Roman"/>
                <w:sz w:val="24"/>
              </w:rPr>
              <w:t> </w:t>
            </w:r>
            <w:r w:rsidR="00F23247" w:rsidRPr="00661595">
              <w:rPr>
                <w:rFonts w:ascii="Times New Roman" w:hAnsi="Times New Roman"/>
                <w:sz w:val="24"/>
              </w:rPr>
              <w:t>(c)</w:t>
            </w:r>
            <w:r w:rsidR="00F2521E" w:rsidRPr="00661595">
              <w:rPr>
                <w:rFonts w:ascii="Times New Roman" w:hAnsi="Times New Roman"/>
                <w:sz w:val="24"/>
              </w:rPr>
              <w:t>(i) of</w:t>
            </w:r>
            <w:r w:rsidR="00705025" w:rsidRPr="00661595">
              <w:rPr>
                <w:rFonts w:ascii="Times New Roman" w:hAnsi="Times New Roman"/>
                <w:sz w:val="24"/>
              </w:rPr>
              <w:t xml:space="preserve"> </w:t>
            </w:r>
            <w:r w:rsidR="00D21B29" w:rsidRPr="00661595">
              <w:rPr>
                <w:rFonts w:ascii="Times New Roman" w:hAnsi="Times New Roman"/>
                <w:sz w:val="24"/>
              </w:rPr>
              <w:t>Article</w:t>
            </w:r>
            <w:r w:rsidR="000B0B09" w:rsidRPr="00661595">
              <w:rPr>
                <w:rFonts w:ascii="Times New Roman" w:hAnsi="Times New Roman"/>
                <w:sz w:val="24"/>
              </w:rPr>
              <w:t xml:space="preserve"> 92(3)</w:t>
            </w:r>
            <w:r w:rsidR="00DE73B4" w:rsidRPr="00661595">
              <w:rPr>
                <w:rFonts w:ascii="Times New Roman" w:hAnsi="Times New Roman"/>
                <w:sz w:val="24"/>
              </w:rPr>
              <w:t xml:space="preserve">, </w:t>
            </w:r>
            <w:r w:rsidR="0019088A" w:rsidRPr="00661595">
              <w:rPr>
                <w:rFonts w:ascii="Times New Roman" w:hAnsi="Times New Roman"/>
                <w:sz w:val="24"/>
              </w:rPr>
              <w:t>taking into account</w:t>
            </w:r>
            <w:r w:rsidR="00F2521E" w:rsidRPr="00661595">
              <w:rPr>
                <w:rFonts w:ascii="Times New Roman" w:hAnsi="Times New Roman"/>
                <w:sz w:val="24"/>
              </w:rPr>
              <w:t xml:space="preserve"> paragraphs 2 and 4 of </w:t>
            </w:r>
            <w:r w:rsidR="000B0B09" w:rsidRPr="00661595">
              <w:rPr>
                <w:rFonts w:ascii="Times New Roman" w:hAnsi="Times New Roman"/>
                <w:sz w:val="24"/>
              </w:rPr>
              <w:t xml:space="preserve">Article 352 </w:t>
            </w:r>
            <w:r w:rsidR="00C7103D" w:rsidRPr="00661595">
              <w:rPr>
                <w:rFonts w:ascii="Times New Roman" w:hAnsi="Times New Roman"/>
                <w:sz w:val="24"/>
              </w:rPr>
              <w:t>CRR</w:t>
            </w:r>
            <w:r w:rsidR="000B0B09" w:rsidRPr="00661595">
              <w:rPr>
                <w:rFonts w:ascii="Times New Roman" w:hAnsi="Times New Roman"/>
                <w:sz w:val="24"/>
              </w:rPr>
              <w:t xml:space="preserve"> (for conversion into the reporting currency).</w:t>
            </w:r>
          </w:p>
          <w:p w:rsidR="000B0B09" w:rsidRPr="00661595" w:rsidRDefault="000B0B09" w:rsidP="000B0B09">
            <w:pPr>
              <w:autoSpaceDE w:val="0"/>
              <w:autoSpaceDN w:val="0"/>
              <w:adjustRightInd w:val="0"/>
              <w:spacing w:before="0" w:after="0"/>
              <w:rPr>
                <w:rFonts w:ascii="Times New Roman" w:hAnsi="Times New Roman"/>
                <w:sz w:val="24"/>
                <w:lang w:eastAsia="nl-BE"/>
              </w:rPr>
            </w:pPr>
          </w:p>
        </w:tc>
      </w:tr>
      <w:tr w:rsidR="000B0B09" w:rsidRPr="00661595" w:rsidTr="00672D2A">
        <w:tc>
          <w:tcPr>
            <w:tcW w:w="991" w:type="dxa"/>
          </w:tcPr>
          <w:p w:rsidR="000B0B09" w:rsidRPr="00661595" w:rsidRDefault="002F79EA"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020</w:t>
            </w:r>
          </w:p>
        </w:tc>
        <w:tc>
          <w:tcPr>
            <w:tcW w:w="7871"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CURRENCIES CLOSELY CORRELATED</w:t>
            </w:r>
          </w:p>
          <w:p w:rsidR="000B0B09" w:rsidRPr="00661595" w:rsidRDefault="000B0B09" w:rsidP="000B0B09">
            <w:pPr>
              <w:autoSpaceDE w:val="0"/>
              <w:autoSpaceDN w:val="0"/>
              <w:adjustRightInd w:val="0"/>
              <w:spacing w:before="0" w:after="0"/>
              <w:rPr>
                <w:rFonts w:ascii="Times New Roman" w:hAnsi="Times New Roman"/>
                <w:sz w:val="24"/>
                <w:lang w:eastAsia="de-DE"/>
              </w:rPr>
            </w:pPr>
          </w:p>
          <w:p w:rsidR="000B0B09" w:rsidRPr="00661595" w:rsidRDefault="000B0B09" w:rsidP="000B0B09">
            <w:pPr>
              <w:autoSpaceDE w:val="0"/>
              <w:autoSpaceDN w:val="0"/>
              <w:adjustRightInd w:val="0"/>
              <w:spacing w:before="0" w:after="0"/>
              <w:rPr>
                <w:rFonts w:ascii="Times New Roman" w:hAnsi="Times New Roman"/>
                <w:sz w:val="24"/>
              </w:rPr>
            </w:pPr>
            <w:r w:rsidRPr="00661595">
              <w:rPr>
                <w:rFonts w:ascii="Times New Roman" w:hAnsi="Times New Roman"/>
                <w:sz w:val="24"/>
              </w:rPr>
              <w:t xml:space="preserve">Positions and their correspondent own funds requirements for </w:t>
            </w:r>
            <w:r w:rsidR="00F2521E" w:rsidRPr="00661595">
              <w:rPr>
                <w:rFonts w:ascii="Times New Roman" w:hAnsi="Times New Roman"/>
                <w:sz w:val="24"/>
              </w:rPr>
              <w:t xml:space="preserve">closely correlated </w:t>
            </w:r>
            <w:r w:rsidRPr="00661595">
              <w:rPr>
                <w:rFonts w:ascii="Times New Roman" w:hAnsi="Times New Roman"/>
                <w:sz w:val="24"/>
              </w:rPr>
              <w:t xml:space="preserve">currencies </w:t>
            </w:r>
            <w:r w:rsidR="00F2521E" w:rsidRPr="00661595">
              <w:rPr>
                <w:rFonts w:ascii="Times New Roman" w:hAnsi="Times New Roman"/>
                <w:sz w:val="24"/>
              </w:rPr>
              <w:t xml:space="preserve">as </w:t>
            </w:r>
            <w:r w:rsidRPr="00661595">
              <w:rPr>
                <w:rFonts w:ascii="Times New Roman" w:hAnsi="Times New Roman"/>
                <w:sz w:val="24"/>
              </w:rPr>
              <w:t xml:space="preserve">referred to in Article 354 </w:t>
            </w:r>
            <w:r w:rsidR="00C7103D" w:rsidRPr="00661595">
              <w:rPr>
                <w:rFonts w:ascii="Times New Roman" w:hAnsi="Times New Roman"/>
                <w:sz w:val="24"/>
              </w:rPr>
              <w:t>CRR</w:t>
            </w:r>
            <w:r w:rsidRPr="00661595">
              <w:rPr>
                <w:rFonts w:ascii="Times New Roman" w:hAnsi="Times New Roman"/>
                <w:sz w:val="24"/>
              </w:rPr>
              <w:t>.</w:t>
            </w:r>
          </w:p>
          <w:p w:rsidR="000B0B09" w:rsidRPr="00661595" w:rsidRDefault="000B0B09" w:rsidP="000B0B09">
            <w:pPr>
              <w:autoSpaceDE w:val="0"/>
              <w:autoSpaceDN w:val="0"/>
              <w:adjustRightInd w:val="0"/>
              <w:spacing w:before="0" w:after="0"/>
              <w:rPr>
                <w:rFonts w:ascii="Times New Roman" w:hAnsi="Times New Roman"/>
                <w:sz w:val="24"/>
                <w:lang w:eastAsia="nl-BE"/>
              </w:rPr>
            </w:pPr>
          </w:p>
        </w:tc>
      </w:tr>
      <w:tr w:rsidR="00491F4D" w:rsidRPr="00661595" w:rsidTr="00672D2A">
        <w:tc>
          <w:tcPr>
            <w:tcW w:w="991" w:type="dxa"/>
          </w:tcPr>
          <w:p w:rsidR="00491F4D" w:rsidRPr="00661595" w:rsidRDefault="002F79EA"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491F4D" w:rsidRPr="00661595">
              <w:rPr>
                <w:rFonts w:ascii="Times New Roman" w:hAnsi="Times New Roman"/>
                <w:sz w:val="24"/>
                <w:lang w:eastAsia="nl-BE"/>
              </w:rPr>
              <w:t>025</w:t>
            </w:r>
          </w:p>
        </w:tc>
        <w:tc>
          <w:tcPr>
            <w:tcW w:w="7871" w:type="dxa"/>
          </w:tcPr>
          <w:p w:rsidR="00491F4D" w:rsidRPr="00661595" w:rsidRDefault="00491F4D" w:rsidP="000B0B09">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 xml:space="preserve">Currencies closely correlated: </w:t>
            </w:r>
            <w:r w:rsidRPr="00661595">
              <w:rPr>
                <w:rFonts w:ascii="Times New Roman" w:hAnsi="Times New Roman"/>
                <w:b/>
                <w:bCs/>
                <w:i/>
                <w:sz w:val="24"/>
                <w:u w:val="single"/>
                <w:lang w:eastAsia="nl-BE"/>
              </w:rPr>
              <w:t>of which</w:t>
            </w:r>
            <w:r w:rsidRPr="00661595">
              <w:rPr>
                <w:rFonts w:ascii="Times New Roman" w:hAnsi="Times New Roman"/>
                <w:b/>
                <w:bCs/>
                <w:sz w:val="24"/>
                <w:u w:val="single"/>
                <w:lang w:eastAsia="nl-BE"/>
              </w:rPr>
              <w:t>: reporting currency</w:t>
            </w:r>
          </w:p>
          <w:p w:rsidR="00491F4D" w:rsidRPr="00661595" w:rsidRDefault="00491F4D" w:rsidP="000B0B09">
            <w:pPr>
              <w:autoSpaceDE w:val="0"/>
              <w:autoSpaceDN w:val="0"/>
              <w:adjustRightInd w:val="0"/>
              <w:spacing w:before="0" w:after="0"/>
              <w:rPr>
                <w:rFonts w:ascii="Times New Roman" w:hAnsi="Times New Roman"/>
                <w:sz w:val="24"/>
              </w:rPr>
            </w:pPr>
          </w:p>
          <w:p w:rsidR="00491F4D" w:rsidRPr="00661595" w:rsidRDefault="00491F4D" w:rsidP="000B0B09">
            <w:pPr>
              <w:autoSpaceDE w:val="0"/>
              <w:autoSpaceDN w:val="0"/>
              <w:adjustRightInd w:val="0"/>
              <w:spacing w:before="0" w:after="0"/>
              <w:rPr>
                <w:rFonts w:ascii="Times New Roman" w:hAnsi="Times New Roman"/>
                <w:sz w:val="24"/>
              </w:rPr>
            </w:pPr>
            <w:r w:rsidRPr="00661595">
              <w:rPr>
                <w:rFonts w:ascii="Times New Roman" w:hAnsi="Times New Roman"/>
                <w:sz w:val="24"/>
              </w:rPr>
              <w:t xml:space="preserve">Positions in the reporting currency which contribute to the calculation of the capital requirements </w:t>
            </w:r>
            <w:r w:rsidR="00BB22D4" w:rsidRPr="00661595">
              <w:rPr>
                <w:rFonts w:ascii="Times New Roman" w:hAnsi="Times New Roman"/>
                <w:sz w:val="24"/>
              </w:rPr>
              <w:t>in accordance with</w:t>
            </w:r>
            <w:r w:rsidRPr="00661595">
              <w:rPr>
                <w:rFonts w:ascii="Times New Roman" w:hAnsi="Times New Roman"/>
                <w:sz w:val="24"/>
              </w:rPr>
              <w:t xml:space="preserve"> Article 354 CRR</w:t>
            </w:r>
            <w:r w:rsidR="00F2521E" w:rsidRPr="00661595">
              <w:rPr>
                <w:rFonts w:ascii="Times New Roman" w:hAnsi="Times New Roman"/>
                <w:sz w:val="24"/>
              </w:rPr>
              <w:t>.</w:t>
            </w:r>
          </w:p>
          <w:p w:rsidR="00491F4D" w:rsidRPr="00661595" w:rsidRDefault="00491F4D" w:rsidP="000B0B09">
            <w:pPr>
              <w:autoSpaceDE w:val="0"/>
              <w:autoSpaceDN w:val="0"/>
              <w:adjustRightInd w:val="0"/>
              <w:spacing w:before="0" w:after="0"/>
              <w:rPr>
                <w:rFonts w:ascii="Times New Roman" w:hAnsi="Times New Roman"/>
                <w:b/>
                <w:bCs/>
                <w:sz w:val="24"/>
                <w:u w:val="single"/>
                <w:lang w:eastAsia="nl-BE"/>
              </w:rPr>
            </w:pPr>
          </w:p>
        </w:tc>
      </w:tr>
      <w:tr w:rsidR="000B0B09" w:rsidRPr="00661595" w:rsidTr="00672D2A">
        <w:tc>
          <w:tcPr>
            <w:tcW w:w="991" w:type="dxa"/>
          </w:tcPr>
          <w:p w:rsidR="000B0B09" w:rsidRPr="00661595" w:rsidRDefault="002F79EA"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030</w:t>
            </w:r>
          </w:p>
        </w:tc>
        <w:tc>
          <w:tcPr>
            <w:tcW w:w="7871"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ALL OTHER CURRENCIES (including CIU´s treated as different currencies)</w:t>
            </w:r>
          </w:p>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p>
          <w:p w:rsidR="000B0B09" w:rsidRPr="00661595" w:rsidRDefault="000B0B09" w:rsidP="000B0B09">
            <w:pPr>
              <w:autoSpaceDE w:val="0"/>
              <w:autoSpaceDN w:val="0"/>
              <w:adjustRightInd w:val="0"/>
              <w:spacing w:before="0" w:after="0"/>
              <w:rPr>
                <w:rFonts w:ascii="Times New Roman" w:hAnsi="Times New Roman"/>
                <w:sz w:val="24"/>
              </w:rPr>
            </w:pPr>
            <w:r w:rsidRPr="00661595">
              <w:rPr>
                <w:rFonts w:ascii="Times New Roman" w:hAnsi="Times New Roman"/>
                <w:sz w:val="24"/>
              </w:rPr>
              <w:t xml:space="preserve">Positions and their correspondent own funds requirements for currencies subject to the general procedure referred to in Article 351 and </w:t>
            </w:r>
            <w:r w:rsidR="004319EB" w:rsidRPr="00661595">
              <w:rPr>
                <w:rFonts w:ascii="Times New Roman" w:hAnsi="Times New Roman"/>
                <w:sz w:val="24"/>
              </w:rPr>
              <w:t xml:space="preserve">paragraphs 2 and 4 of </w:t>
            </w:r>
            <w:r w:rsidR="008241B9" w:rsidRPr="00661595">
              <w:rPr>
                <w:rFonts w:ascii="Times New Roman" w:hAnsi="Times New Roman"/>
                <w:sz w:val="24"/>
              </w:rPr>
              <w:t xml:space="preserve">Article </w:t>
            </w:r>
            <w:r w:rsidRPr="00661595">
              <w:rPr>
                <w:rFonts w:ascii="Times New Roman" w:hAnsi="Times New Roman"/>
                <w:sz w:val="24"/>
              </w:rPr>
              <w:t xml:space="preserve">352 </w:t>
            </w:r>
            <w:r w:rsidR="00C7103D" w:rsidRPr="00661595">
              <w:rPr>
                <w:rFonts w:ascii="Times New Roman" w:hAnsi="Times New Roman"/>
                <w:sz w:val="24"/>
              </w:rPr>
              <w:t>CRR</w:t>
            </w:r>
            <w:r w:rsidR="004319EB" w:rsidRPr="00661595">
              <w:rPr>
                <w:rFonts w:ascii="Times New Roman" w:hAnsi="Times New Roman"/>
                <w:sz w:val="24"/>
              </w:rPr>
              <w:t>.</w:t>
            </w:r>
          </w:p>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p>
          <w:p w:rsidR="000B0B09" w:rsidRPr="00661595" w:rsidRDefault="000B0B09" w:rsidP="000B0B09">
            <w:pPr>
              <w:autoSpaceDE w:val="0"/>
              <w:autoSpaceDN w:val="0"/>
              <w:adjustRightInd w:val="0"/>
              <w:spacing w:before="0" w:after="0"/>
              <w:rPr>
                <w:rFonts w:ascii="Times New Roman" w:hAnsi="Times New Roman"/>
                <w:bCs/>
                <w:sz w:val="24"/>
                <w:u w:val="single"/>
                <w:lang w:eastAsia="nl-BE"/>
              </w:rPr>
            </w:pPr>
            <w:r w:rsidRPr="00661595">
              <w:rPr>
                <w:rFonts w:ascii="Times New Roman" w:hAnsi="Times New Roman"/>
                <w:bCs/>
                <w:sz w:val="24"/>
                <w:u w:val="single"/>
                <w:lang w:eastAsia="nl-BE"/>
              </w:rPr>
              <w:t xml:space="preserve">Reporting of CIU´s treated as separate currencies </w:t>
            </w:r>
            <w:r w:rsidR="00BB22D4" w:rsidRPr="00661595">
              <w:rPr>
                <w:rFonts w:ascii="Times New Roman" w:hAnsi="Times New Roman"/>
                <w:bCs/>
                <w:sz w:val="24"/>
                <w:u w:val="single"/>
                <w:lang w:eastAsia="nl-BE"/>
              </w:rPr>
              <w:t>in accordance with</w:t>
            </w:r>
            <w:r w:rsidRPr="00661595">
              <w:rPr>
                <w:rFonts w:ascii="Times New Roman" w:hAnsi="Times New Roman"/>
                <w:bCs/>
                <w:sz w:val="24"/>
                <w:u w:val="single"/>
                <w:lang w:eastAsia="nl-BE"/>
              </w:rPr>
              <w:t xml:space="preserve"> Article 353 CRR:</w:t>
            </w:r>
          </w:p>
          <w:p w:rsidR="000B0B09" w:rsidRPr="00661595" w:rsidRDefault="000B0B09" w:rsidP="000B0B09">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There are two different treatments of CIUs treated as separate currencies for calculating the capital requirements:</w:t>
            </w:r>
          </w:p>
          <w:p w:rsidR="000B0B09" w:rsidRPr="00661595" w:rsidRDefault="00125707" w:rsidP="0023700C">
            <w:pPr>
              <w:autoSpaceDE w:val="0"/>
              <w:autoSpaceDN w:val="0"/>
              <w:adjustRightInd w:val="0"/>
              <w:spacing w:before="0" w:after="0"/>
              <w:ind w:left="720" w:hanging="360"/>
              <w:rPr>
                <w:rFonts w:ascii="Times New Roman" w:hAnsi="Times New Roman"/>
                <w:bCs/>
                <w:sz w:val="24"/>
                <w:lang w:eastAsia="nl-BE"/>
              </w:rPr>
            </w:pPr>
            <w:r w:rsidRPr="00661595">
              <w:rPr>
                <w:rFonts w:ascii="Times New Roman" w:hAnsi="Times New Roman"/>
                <w:bCs/>
                <w:sz w:val="24"/>
                <w:lang w:eastAsia="nl-BE"/>
              </w:rPr>
              <w:t>1.</w:t>
            </w:r>
            <w:r w:rsidRPr="00661595">
              <w:rPr>
                <w:rFonts w:ascii="Times New Roman" w:hAnsi="Times New Roman"/>
                <w:bCs/>
                <w:sz w:val="24"/>
                <w:lang w:eastAsia="nl-BE"/>
              </w:rPr>
              <w:tab/>
            </w:r>
            <w:r w:rsidR="000B0B09" w:rsidRPr="00661595">
              <w:rPr>
                <w:rFonts w:ascii="Times New Roman" w:hAnsi="Times New Roman"/>
                <w:bCs/>
                <w:sz w:val="24"/>
                <w:lang w:eastAsia="nl-BE"/>
              </w:rPr>
              <w:t xml:space="preserve">The modified gold method, </w:t>
            </w:r>
            <w:r w:rsidR="00A8318E" w:rsidRPr="00661595">
              <w:rPr>
                <w:rFonts w:ascii="Times New Roman" w:hAnsi="Times New Roman"/>
                <w:bCs/>
                <w:sz w:val="24"/>
                <w:lang w:eastAsia="nl-BE"/>
              </w:rPr>
              <w:t>where</w:t>
            </w:r>
            <w:r w:rsidR="000B0B09" w:rsidRPr="00661595">
              <w:rPr>
                <w:rFonts w:ascii="Times New Roman" w:hAnsi="Times New Roman"/>
                <w:bCs/>
                <w:sz w:val="24"/>
                <w:lang w:eastAsia="nl-BE"/>
              </w:rPr>
              <w:t xml:space="preserve"> the direction of the CIUs investment is not available (those CIUs </w:t>
            </w:r>
            <w:r w:rsidR="00B811B0" w:rsidRPr="00661595">
              <w:rPr>
                <w:rFonts w:ascii="Times New Roman" w:hAnsi="Times New Roman"/>
                <w:bCs/>
                <w:sz w:val="24"/>
                <w:lang w:eastAsia="nl-BE"/>
              </w:rPr>
              <w:t>shall</w:t>
            </w:r>
            <w:r w:rsidR="000B0B09" w:rsidRPr="00661595">
              <w:rPr>
                <w:rFonts w:ascii="Times New Roman" w:hAnsi="Times New Roman"/>
                <w:bCs/>
                <w:sz w:val="24"/>
                <w:lang w:eastAsia="nl-BE"/>
              </w:rPr>
              <w:t xml:space="preserve"> be added to an institution</w:t>
            </w:r>
            <w:r w:rsidR="00DE73B4" w:rsidRPr="00661595">
              <w:rPr>
                <w:rFonts w:ascii="Times New Roman" w:hAnsi="Times New Roman"/>
                <w:bCs/>
                <w:sz w:val="24"/>
                <w:lang w:eastAsia="nl-BE"/>
              </w:rPr>
              <w:t>’</w:t>
            </w:r>
            <w:r w:rsidR="000B0B09" w:rsidRPr="00661595">
              <w:rPr>
                <w:rFonts w:ascii="Times New Roman" w:hAnsi="Times New Roman"/>
                <w:bCs/>
                <w:sz w:val="24"/>
                <w:lang w:eastAsia="nl-BE"/>
              </w:rPr>
              <w:t>s overall net foreign-exchange position)</w:t>
            </w:r>
            <w:r w:rsidR="00A8318E" w:rsidRPr="00661595">
              <w:rPr>
                <w:rFonts w:ascii="Times New Roman" w:hAnsi="Times New Roman"/>
                <w:bCs/>
                <w:sz w:val="24"/>
                <w:lang w:eastAsia="nl-BE"/>
              </w:rPr>
              <w:t>;</w:t>
            </w:r>
          </w:p>
          <w:p w:rsidR="000B0B09" w:rsidRPr="00661595" w:rsidRDefault="00125707" w:rsidP="0023700C">
            <w:pPr>
              <w:autoSpaceDE w:val="0"/>
              <w:autoSpaceDN w:val="0"/>
              <w:adjustRightInd w:val="0"/>
              <w:spacing w:before="0" w:after="0"/>
              <w:ind w:left="720" w:hanging="360"/>
              <w:rPr>
                <w:rFonts w:ascii="Times New Roman" w:hAnsi="Times New Roman"/>
                <w:bCs/>
                <w:sz w:val="24"/>
                <w:lang w:eastAsia="nl-BE"/>
              </w:rPr>
            </w:pPr>
            <w:r w:rsidRPr="00661595">
              <w:rPr>
                <w:rFonts w:ascii="Times New Roman" w:hAnsi="Times New Roman"/>
                <w:bCs/>
                <w:sz w:val="24"/>
                <w:lang w:eastAsia="nl-BE"/>
              </w:rPr>
              <w:t>2.</w:t>
            </w:r>
            <w:r w:rsidRPr="00661595">
              <w:rPr>
                <w:rFonts w:ascii="Times New Roman" w:hAnsi="Times New Roman"/>
                <w:bCs/>
                <w:sz w:val="24"/>
                <w:lang w:eastAsia="nl-BE"/>
              </w:rPr>
              <w:tab/>
            </w:r>
            <w:r w:rsidR="00A8318E" w:rsidRPr="00661595">
              <w:rPr>
                <w:rFonts w:ascii="Times New Roman" w:hAnsi="Times New Roman"/>
                <w:bCs/>
                <w:sz w:val="24"/>
                <w:lang w:eastAsia="nl-BE"/>
              </w:rPr>
              <w:t>Where</w:t>
            </w:r>
            <w:r w:rsidR="000B0B09" w:rsidRPr="00661595">
              <w:rPr>
                <w:rFonts w:ascii="Times New Roman" w:hAnsi="Times New Roman"/>
                <w:bCs/>
                <w:sz w:val="24"/>
                <w:lang w:eastAsia="nl-BE"/>
              </w:rPr>
              <w:t xml:space="preserve"> the direction of the CIU´s investment is available, those CIUs </w:t>
            </w:r>
            <w:r w:rsidR="00B811B0" w:rsidRPr="00661595">
              <w:rPr>
                <w:rFonts w:ascii="Times New Roman" w:hAnsi="Times New Roman"/>
                <w:bCs/>
                <w:sz w:val="24"/>
                <w:lang w:eastAsia="nl-BE"/>
              </w:rPr>
              <w:t>shall</w:t>
            </w:r>
            <w:r w:rsidR="000B0B09" w:rsidRPr="00661595">
              <w:rPr>
                <w:rFonts w:ascii="Times New Roman" w:hAnsi="Times New Roman"/>
                <w:bCs/>
                <w:sz w:val="24"/>
                <w:lang w:eastAsia="nl-BE"/>
              </w:rPr>
              <w:t xml:space="preserve"> be added to the total open foreign exchange position (long or short, depending on the direction of the CIU)</w:t>
            </w:r>
            <w:r w:rsidR="001A0143" w:rsidRPr="00661595">
              <w:rPr>
                <w:rFonts w:ascii="Times New Roman" w:hAnsi="Times New Roman"/>
                <w:bCs/>
                <w:sz w:val="24"/>
                <w:lang w:eastAsia="nl-BE"/>
              </w:rPr>
              <w:t>.</w:t>
            </w:r>
          </w:p>
          <w:p w:rsidR="000B0B09" w:rsidRPr="00661595" w:rsidRDefault="000B0B09" w:rsidP="000B0B09">
            <w:pPr>
              <w:autoSpaceDE w:val="0"/>
              <w:autoSpaceDN w:val="0"/>
              <w:adjustRightInd w:val="0"/>
              <w:spacing w:before="0" w:after="0"/>
              <w:rPr>
                <w:rFonts w:ascii="Times New Roman" w:hAnsi="Times New Roman"/>
                <w:bCs/>
                <w:sz w:val="24"/>
                <w:u w:val="single"/>
                <w:lang w:eastAsia="nl-BE"/>
              </w:rPr>
            </w:pPr>
            <w:r w:rsidRPr="00661595">
              <w:rPr>
                <w:rFonts w:ascii="Times New Roman" w:hAnsi="Times New Roman"/>
                <w:bCs/>
                <w:sz w:val="24"/>
                <w:lang w:eastAsia="nl-BE"/>
              </w:rPr>
              <w:t xml:space="preserve">The reporting of those CIU´s </w:t>
            </w:r>
            <w:r w:rsidR="001A0143" w:rsidRPr="00661595">
              <w:rPr>
                <w:rFonts w:ascii="Times New Roman" w:hAnsi="Times New Roman"/>
                <w:bCs/>
                <w:sz w:val="24"/>
                <w:lang w:eastAsia="nl-BE"/>
              </w:rPr>
              <w:t xml:space="preserve">shall </w:t>
            </w:r>
            <w:r w:rsidRPr="00661595">
              <w:rPr>
                <w:rFonts w:ascii="Times New Roman" w:hAnsi="Times New Roman"/>
                <w:bCs/>
                <w:sz w:val="24"/>
                <w:lang w:eastAsia="nl-BE"/>
              </w:rPr>
              <w:t>follow the calculation of the capital requirements.</w:t>
            </w:r>
          </w:p>
          <w:p w:rsidR="00DE48EF" w:rsidRPr="00661595" w:rsidRDefault="00DE48EF" w:rsidP="000B0B09">
            <w:pPr>
              <w:autoSpaceDE w:val="0"/>
              <w:autoSpaceDN w:val="0"/>
              <w:adjustRightInd w:val="0"/>
              <w:spacing w:before="0" w:after="0"/>
              <w:rPr>
                <w:rFonts w:ascii="Times New Roman" w:hAnsi="Times New Roman"/>
                <w:b/>
                <w:bCs/>
                <w:sz w:val="24"/>
                <w:u w:val="single"/>
                <w:lang w:eastAsia="nl-BE"/>
              </w:rPr>
            </w:pPr>
          </w:p>
        </w:tc>
      </w:tr>
      <w:tr w:rsidR="000B0B09" w:rsidRPr="00661595" w:rsidTr="00672D2A">
        <w:tc>
          <w:tcPr>
            <w:tcW w:w="991" w:type="dxa"/>
          </w:tcPr>
          <w:p w:rsidR="000B0B09" w:rsidRPr="00661595" w:rsidRDefault="002F79EA"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040</w:t>
            </w:r>
          </w:p>
        </w:tc>
        <w:tc>
          <w:tcPr>
            <w:tcW w:w="7871"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GOLD</w:t>
            </w:r>
          </w:p>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p>
          <w:p w:rsidR="000B0B09" w:rsidRPr="00661595" w:rsidRDefault="000B0B09" w:rsidP="000B0B09">
            <w:pPr>
              <w:autoSpaceDE w:val="0"/>
              <w:autoSpaceDN w:val="0"/>
              <w:adjustRightInd w:val="0"/>
              <w:spacing w:before="0" w:after="0"/>
              <w:rPr>
                <w:rFonts w:ascii="Times New Roman" w:hAnsi="Times New Roman"/>
                <w:sz w:val="24"/>
              </w:rPr>
            </w:pPr>
            <w:r w:rsidRPr="00661595">
              <w:rPr>
                <w:rFonts w:ascii="Times New Roman" w:hAnsi="Times New Roman"/>
                <w:sz w:val="24"/>
              </w:rPr>
              <w:t xml:space="preserve">Positions and their correspondent own funds requirements for currencies subject to the general procedure referred to in Article 351 and </w:t>
            </w:r>
            <w:r w:rsidR="001A0143" w:rsidRPr="00661595">
              <w:rPr>
                <w:rFonts w:ascii="Times New Roman" w:hAnsi="Times New Roman"/>
                <w:sz w:val="24"/>
              </w:rPr>
              <w:t xml:space="preserve">paragraphs 2 and 4 of </w:t>
            </w:r>
            <w:r w:rsidR="008241B9" w:rsidRPr="00661595">
              <w:rPr>
                <w:rFonts w:ascii="Times New Roman" w:hAnsi="Times New Roman"/>
                <w:sz w:val="24"/>
              </w:rPr>
              <w:t xml:space="preserve">Article </w:t>
            </w:r>
            <w:r w:rsidRPr="00661595">
              <w:rPr>
                <w:rFonts w:ascii="Times New Roman" w:hAnsi="Times New Roman"/>
                <w:sz w:val="24"/>
              </w:rPr>
              <w:t>352</w:t>
            </w:r>
            <w:r w:rsidR="00DE73B4" w:rsidRPr="00661595">
              <w:rPr>
                <w:rFonts w:ascii="Times New Roman" w:hAnsi="Times New Roman"/>
                <w:sz w:val="24"/>
              </w:rPr>
              <w:t xml:space="preserve"> </w:t>
            </w:r>
            <w:r w:rsidR="00C7103D" w:rsidRPr="00661595">
              <w:rPr>
                <w:rFonts w:ascii="Times New Roman" w:hAnsi="Times New Roman"/>
                <w:sz w:val="24"/>
              </w:rPr>
              <w:t>CRR</w:t>
            </w:r>
            <w:r w:rsidRPr="00661595">
              <w:rPr>
                <w:rFonts w:ascii="Times New Roman" w:hAnsi="Times New Roman"/>
                <w:sz w:val="24"/>
              </w:rPr>
              <w:t xml:space="preserve"> </w:t>
            </w:r>
          </w:p>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p>
        </w:tc>
      </w:tr>
      <w:tr w:rsidR="000B0B09" w:rsidRPr="00661595" w:rsidTr="00672D2A">
        <w:tc>
          <w:tcPr>
            <w:tcW w:w="991" w:type="dxa"/>
          </w:tcPr>
          <w:p w:rsidR="000B0B09" w:rsidRPr="00661595" w:rsidRDefault="002F79EA"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 xml:space="preserve">050 - </w:t>
            </w:r>
            <w:r w:rsidRPr="00661595">
              <w:rPr>
                <w:rFonts w:ascii="Times New Roman" w:hAnsi="Times New Roman"/>
                <w:sz w:val="24"/>
                <w:lang w:eastAsia="nl-BE"/>
              </w:rPr>
              <w:t>0</w:t>
            </w:r>
            <w:r w:rsidR="000B0B09" w:rsidRPr="00661595">
              <w:rPr>
                <w:rFonts w:ascii="Times New Roman" w:hAnsi="Times New Roman"/>
                <w:sz w:val="24"/>
                <w:lang w:eastAsia="nl-BE"/>
              </w:rPr>
              <w:t>090</w:t>
            </w:r>
          </w:p>
        </w:tc>
        <w:tc>
          <w:tcPr>
            <w:tcW w:w="7871"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r w:rsidRPr="00661595">
              <w:rPr>
                <w:rStyle w:val="InstructionsTabelleberschrift"/>
                <w:rFonts w:ascii="Times New Roman" w:hAnsi="Times New Roman"/>
                <w:sz w:val="24"/>
              </w:rPr>
              <w:t>ADDITIONAL REQUIREMENTS FOR OPTIONS (NON-DELTA RISKS)</w:t>
            </w:r>
          </w:p>
          <w:p w:rsidR="000B0B09" w:rsidRPr="00661595" w:rsidRDefault="001A0143" w:rsidP="001A0143">
            <w:pPr>
              <w:autoSpaceDE w:val="0"/>
              <w:autoSpaceDN w:val="0"/>
              <w:adjustRightInd w:val="0"/>
              <w:spacing w:after="0"/>
              <w:rPr>
                <w:rFonts w:ascii="Times New Roman" w:hAnsi="Times New Roman"/>
                <w:sz w:val="24"/>
                <w:lang w:eastAsia="de-DE"/>
              </w:rPr>
            </w:pPr>
            <w:r w:rsidRPr="00661595">
              <w:rPr>
                <w:rFonts w:ascii="Times New Roman" w:hAnsi="Times New Roman"/>
                <w:sz w:val="24"/>
                <w:lang w:eastAsia="de-DE"/>
              </w:rPr>
              <w:t xml:space="preserve">Paragraphs 5 and 6 of </w:t>
            </w:r>
            <w:r w:rsidR="000B0B09" w:rsidRPr="00661595">
              <w:rPr>
                <w:rFonts w:ascii="Times New Roman" w:hAnsi="Times New Roman"/>
                <w:sz w:val="24"/>
                <w:lang w:eastAsia="de-DE"/>
              </w:rPr>
              <w:t xml:space="preserve">Article 352 </w:t>
            </w:r>
            <w:r w:rsidR="00C7103D" w:rsidRPr="00661595">
              <w:rPr>
                <w:rFonts w:ascii="Times New Roman" w:hAnsi="Times New Roman"/>
                <w:sz w:val="24"/>
                <w:lang w:eastAsia="de-DE"/>
              </w:rPr>
              <w:t>CRR</w:t>
            </w:r>
            <w:r w:rsidR="000B0B09" w:rsidRPr="00661595">
              <w:rPr>
                <w:rFonts w:ascii="Times New Roman" w:hAnsi="Times New Roman"/>
                <w:sz w:val="24"/>
                <w:lang w:eastAsia="de-DE"/>
              </w:rPr>
              <w:t xml:space="preserve"> </w:t>
            </w:r>
          </w:p>
          <w:p w:rsidR="000B0B09" w:rsidRPr="00661595" w:rsidRDefault="000B0B09" w:rsidP="000B0B09">
            <w:pPr>
              <w:autoSpaceDE w:val="0"/>
              <w:autoSpaceDN w:val="0"/>
              <w:adjustRightInd w:val="0"/>
              <w:spacing w:before="0" w:after="0"/>
              <w:rPr>
                <w:rFonts w:ascii="Times New Roman" w:hAnsi="Times New Roman"/>
                <w:sz w:val="24"/>
                <w:lang w:eastAsia="de-DE"/>
              </w:rPr>
            </w:pPr>
          </w:p>
          <w:p w:rsidR="000B0B09" w:rsidRPr="00661595" w:rsidRDefault="000B0B09" w:rsidP="000B0B09">
            <w:pPr>
              <w:autoSpaceDE w:val="0"/>
              <w:autoSpaceDN w:val="0"/>
              <w:adjustRightInd w:val="0"/>
              <w:spacing w:before="0" w:after="0"/>
              <w:rPr>
                <w:rFonts w:ascii="Times New Roman" w:hAnsi="Times New Roman"/>
                <w:sz w:val="24"/>
                <w:lang w:eastAsia="de-DE"/>
              </w:rPr>
            </w:pPr>
            <w:r w:rsidRPr="00661595">
              <w:rPr>
                <w:rFonts w:ascii="Times New Roman" w:hAnsi="Times New Roman"/>
                <w:sz w:val="24"/>
                <w:lang w:eastAsia="de-DE"/>
              </w:rPr>
              <w:t xml:space="preserve">The additional requirements for options related to non-delta risks shall be reported </w:t>
            </w:r>
            <w:r w:rsidR="00DE73B4" w:rsidRPr="00661595">
              <w:rPr>
                <w:rFonts w:ascii="Times New Roman" w:hAnsi="Times New Roman"/>
                <w:sz w:val="24"/>
                <w:lang w:eastAsia="de-DE"/>
              </w:rPr>
              <w:t>broken down by</w:t>
            </w:r>
            <w:r w:rsidRPr="00661595">
              <w:rPr>
                <w:rFonts w:ascii="Times New Roman" w:hAnsi="Times New Roman"/>
                <w:sz w:val="24"/>
                <w:lang w:eastAsia="de-DE"/>
              </w:rPr>
              <w:t xml:space="preserve"> the method used for </w:t>
            </w:r>
            <w:r w:rsidR="00DE73B4" w:rsidRPr="00661595">
              <w:rPr>
                <w:rFonts w:ascii="Times New Roman" w:hAnsi="Times New Roman"/>
                <w:sz w:val="24"/>
                <w:lang w:eastAsia="de-DE"/>
              </w:rPr>
              <w:t>their</w:t>
            </w:r>
            <w:r w:rsidR="002300C6" w:rsidRPr="00661595">
              <w:rPr>
                <w:rFonts w:ascii="Times New Roman" w:hAnsi="Times New Roman"/>
                <w:sz w:val="24"/>
                <w:lang w:eastAsia="de-DE"/>
              </w:rPr>
              <w:t xml:space="preserve"> </w:t>
            </w:r>
            <w:r w:rsidRPr="00661595">
              <w:rPr>
                <w:rFonts w:ascii="Times New Roman" w:hAnsi="Times New Roman"/>
                <w:sz w:val="24"/>
                <w:lang w:eastAsia="de-DE"/>
              </w:rPr>
              <w:t>calculation</w:t>
            </w:r>
            <w:r w:rsidR="00DE73B4" w:rsidRPr="00661595">
              <w:rPr>
                <w:rFonts w:ascii="Times New Roman" w:hAnsi="Times New Roman"/>
                <w:sz w:val="24"/>
                <w:lang w:eastAsia="de-DE"/>
              </w:rPr>
              <w:t>.</w:t>
            </w:r>
            <w:r w:rsidR="002300C6" w:rsidRPr="00661595">
              <w:rPr>
                <w:rFonts w:ascii="Times New Roman" w:hAnsi="Times New Roman"/>
                <w:sz w:val="24"/>
                <w:lang w:eastAsia="de-DE"/>
              </w:rPr>
              <w:t xml:space="preserve"> </w:t>
            </w:r>
          </w:p>
          <w:p w:rsidR="000B0B09" w:rsidRPr="00661595" w:rsidRDefault="000B0B09" w:rsidP="00DE73B4">
            <w:pPr>
              <w:autoSpaceDE w:val="0"/>
              <w:autoSpaceDN w:val="0"/>
              <w:adjustRightInd w:val="0"/>
              <w:spacing w:before="0" w:after="0"/>
              <w:rPr>
                <w:rFonts w:ascii="Times New Roman" w:hAnsi="Times New Roman"/>
                <w:b/>
                <w:bCs/>
                <w:sz w:val="24"/>
                <w:u w:val="single"/>
                <w:lang w:eastAsia="nl-BE"/>
              </w:rPr>
            </w:pPr>
          </w:p>
        </w:tc>
      </w:tr>
      <w:tr w:rsidR="000B0B09" w:rsidRPr="00661595" w:rsidTr="00672D2A">
        <w:tc>
          <w:tcPr>
            <w:tcW w:w="991" w:type="dxa"/>
          </w:tcPr>
          <w:p w:rsidR="000B0B09" w:rsidRPr="00661595" w:rsidRDefault="002F79EA"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100-</w:t>
            </w:r>
            <w:r w:rsidRPr="00661595">
              <w:rPr>
                <w:rFonts w:ascii="Times New Roman" w:hAnsi="Times New Roman"/>
                <w:sz w:val="24"/>
                <w:lang w:eastAsia="nl-BE"/>
              </w:rPr>
              <w:t>0</w:t>
            </w:r>
            <w:r w:rsidR="000B0B09" w:rsidRPr="00661595">
              <w:rPr>
                <w:rFonts w:ascii="Times New Roman" w:hAnsi="Times New Roman"/>
                <w:sz w:val="24"/>
                <w:lang w:eastAsia="nl-BE"/>
              </w:rPr>
              <w:t>120</w:t>
            </w:r>
          </w:p>
        </w:tc>
        <w:tc>
          <w:tcPr>
            <w:tcW w:w="7871"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Breakdown of total positions (reporting currency included) by exposure types</w:t>
            </w:r>
          </w:p>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p>
          <w:p w:rsidR="000B0B09" w:rsidRPr="00661595" w:rsidRDefault="000B0B09" w:rsidP="000B0B09">
            <w:pPr>
              <w:autoSpaceDE w:val="0"/>
              <w:autoSpaceDN w:val="0"/>
              <w:adjustRightInd w:val="0"/>
              <w:spacing w:before="0" w:after="0"/>
              <w:rPr>
                <w:rFonts w:ascii="Times New Roman" w:hAnsi="Times New Roman"/>
                <w:sz w:val="24"/>
                <w:lang w:eastAsia="de-DE"/>
              </w:rPr>
            </w:pPr>
            <w:r w:rsidRPr="00661595">
              <w:rPr>
                <w:rFonts w:ascii="Times New Roman" w:hAnsi="Times New Roman"/>
                <w:sz w:val="24"/>
                <w:lang w:eastAsia="de-DE"/>
              </w:rPr>
              <w:t xml:space="preserve">Total positions shall be broken down </w:t>
            </w:r>
            <w:r w:rsidR="001A0143" w:rsidRPr="00661595">
              <w:rPr>
                <w:rFonts w:ascii="Times New Roman" w:hAnsi="Times New Roman"/>
                <w:sz w:val="24"/>
                <w:lang w:eastAsia="de-DE"/>
              </w:rPr>
              <w:t xml:space="preserve">into </w:t>
            </w:r>
            <w:r w:rsidRPr="00661595">
              <w:rPr>
                <w:rFonts w:ascii="Times New Roman" w:hAnsi="Times New Roman"/>
                <w:sz w:val="24"/>
                <w:lang w:eastAsia="de-DE"/>
              </w:rPr>
              <w:t>derivatives, other assets and liabilities</w:t>
            </w:r>
            <w:r w:rsidR="001A0143" w:rsidRPr="00661595">
              <w:rPr>
                <w:rFonts w:ascii="Times New Roman" w:hAnsi="Times New Roman"/>
                <w:sz w:val="24"/>
                <w:lang w:eastAsia="de-DE"/>
              </w:rPr>
              <w:t>,</w:t>
            </w:r>
            <w:r w:rsidRPr="00661595">
              <w:rPr>
                <w:rFonts w:ascii="Times New Roman" w:hAnsi="Times New Roman"/>
                <w:sz w:val="24"/>
                <w:lang w:eastAsia="de-DE"/>
              </w:rPr>
              <w:t xml:space="preserve"> and off-balance sheet items.</w:t>
            </w:r>
          </w:p>
          <w:p w:rsidR="00DE48EF" w:rsidRPr="00661595" w:rsidRDefault="00DE48EF" w:rsidP="000B0B09">
            <w:pPr>
              <w:autoSpaceDE w:val="0"/>
              <w:autoSpaceDN w:val="0"/>
              <w:adjustRightInd w:val="0"/>
              <w:spacing w:before="0" w:after="0"/>
              <w:rPr>
                <w:rFonts w:ascii="Times New Roman" w:hAnsi="Times New Roman"/>
                <w:b/>
                <w:bCs/>
                <w:sz w:val="24"/>
                <w:u w:val="single"/>
                <w:lang w:eastAsia="nl-BE"/>
              </w:rPr>
            </w:pPr>
          </w:p>
        </w:tc>
      </w:tr>
      <w:tr w:rsidR="000B0B09" w:rsidRPr="00661595" w:rsidTr="00672D2A">
        <w:tc>
          <w:tcPr>
            <w:tcW w:w="991" w:type="dxa"/>
          </w:tcPr>
          <w:p w:rsidR="000B0B09" w:rsidRPr="00661595" w:rsidRDefault="002F79EA"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100</w:t>
            </w:r>
          </w:p>
        </w:tc>
        <w:tc>
          <w:tcPr>
            <w:tcW w:w="7871"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Other assets and liabilities other than off-balance sheet items and derivatives</w:t>
            </w:r>
          </w:p>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p>
          <w:p w:rsidR="00DE48EF" w:rsidRPr="00661595" w:rsidRDefault="000B0B09" w:rsidP="000B0B09">
            <w:pPr>
              <w:autoSpaceDE w:val="0"/>
              <w:autoSpaceDN w:val="0"/>
              <w:adjustRightInd w:val="0"/>
              <w:spacing w:before="0" w:after="0"/>
              <w:rPr>
                <w:rFonts w:ascii="Times New Roman" w:hAnsi="Times New Roman"/>
                <w:sz w:val="24"/>
                <w:lang w:eastAsia="de-DE"/>
              </w:rPr>
            </w:pPr>
            <w:r w:rsidRPr="00661595">
              <w:rPr>
                <w:rFonts w:ascii="Times New Roman" w:hAnsi="Times New Roman"/>
                <w:sz w:val="24"/>
                <w:lang w:eastAsia="de-DE"/>
              </w:rPr>
              <w:t xml:space="preserve">Positions not included in row </w:t>
            </w:r>
            <w:r w:rsidR="002F79EA" w:rsidRPr="00661595">
              <w:rPr>
                <w:rFonts w:ascii="Times New Roman" w:hAnsi="Times New Roman"/>
                <w:sz w:val="24"/>
                <w:lang w:eastAsia="de-DE"/>
              </w:rPr>
              <w:t>0</w:t>
            </w:r>
            <w:r w:rsidRPr="00661595">
              <w:rPr>
                <w:rFonts w:ascii="Times New Roman" w:hAnsi="Times New Roman"/>
                <w:sz w:val="24"/>
                <w:lang w:eastAsia="de-DE"/>
              </w:rPr>
              <w:t xml:space="preserve">110 or </w:t>
            </w:r>
            <w:r w:rsidR="002F79EA" w:rsidRPr="00661595">
              <w:rPr>
                <w:rFonts w:ascii="Times New Roman" w:hAnsi="Times New Roman"/>
                <w:sz w:val="24"/>
                <w:lang w:eastAsia="de-DE"/>
              </w:rPr>
              <w:t>0</w:t>
            </w:r>
            <w:r w:rsidRPr="00661595">
              <w:rPr>
                <w:rFonts w:ascii="Times New Roman" w:hAnsi="Times New Roman"/>
                <w:sz w:val="24"/>
                <w:lang w:eastAsia="de-DE"/>
              </w:rPr>
              <w:t xml:space="preserve">120 shall be included here. </w:t>
            </w:r>
          </w:p>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sz w:val="24"/>
                <w:lang w:eastAsia="de-DE"/>
              </w:rPr>
              <w:t xml:space="preserve"> </w:t>
            </w:r>
          </w:p>
        </w:tc>
      </w:tr>
      <w:tr w:rsidR="000B0B09" w:rsidRPr="00661595" w:rsidTr="00672D2A">
        <w:tc>
          <w:tcPr>
            <w:tcW w:w="991" w:type="dxa"/>
          </w:tcPr>
          <w:p w:rsidR="000B0B09" w:rsidRPr="00661595" w:rsidRDefault="002F79EA"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110</w:t>
            </w:r>
          </w:p>
        </w:tc>
        <w:tc>
          <w:tcPr>
            <w:tcW w:w="7871"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Off-balance sheet items</w:t>
            </w:r>
          </w:p>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p>
          <w:p w:rsidR="000B0B09" w:rsidRPr="00661595" w:rsidRDefault="000B0B09" w:rsidP="000B0B09">
            <w:pPr>
              <w:autoSpaceDE w:val="0"/>
              <w:autoSpaceDN w:val="0"/>
              <w:adjustRightInd w:val="0"/>
              <w:spacing w:before="0" w:after="0"/>
              <w:rPr>
                <w:rFonts w:ascii="Times New Roman" w:hAnsi="Times New Roman"/>
                <w:sz w:val="24"/>
                <w:lang w:eastAsia="de-DE"/>
              </w:rPr>
            </w:pPr>
            <w:r w:rsidRPr="00661595">
              <w:rPr>
                <w:rFonts w:ascii="Times New Roman" w:hAnsi="Times New Roman"/>
                <w:sz w:val="24"/>
                <w:lang w:eastAsia="de-DE"/>
              </w:rPr>
              <w:t xml:space="preserve">Items </w:t>
            </w:r>
            <w:r w:rsidR="00D95045" w:rsidRPr="00661595">
              <w:rPr>
                <w:rFonts w:ascii="Times New Roman" w:hAnsi="Times New Roman"/>
                <w:sz w:val="24"/>
                <w:lang w:eastAsia="de-DE"/>
              </w:rPr>
              <w:t xml:space="preserve">within the scope of Article 352 CRR, irrespective of the currency of denomination, which are </w:t>
            </w:r>
            <w:r w:rsidRPr="00661595">
              <w:rPr>
                <w:rFonts w:ascii="Times New Roman" w:hAnsi="Times New Roman"/>
                <w:sz w:val="24"/>
                <w:lang w:eastAsia="de-DE"/>
              </w:rPr>
              <w:t xml:space="preserve">included in Annex I </w:t>
            </w:r>
            <w:r w:rsidR="001A0143" w:rsidRPr="00661595">
              <w:rPr>
                <w:rFonts w:ascii="Times New Roman" w:hAnsi="Times New Roman"/>
                <w:sz w:val="24"/>
                <w:lang w:eastAsia="de-DE"/>
              </w:rPr>
              <w:t xml:space="preserve">to </w:t>
            </w:r>
            <w:r w:rsidR="00C7103D" w:rsidRPr="00661595">
              <w:rPr>
                <w:rFonts w:ascii="Times New Roman" w:hAnsi="Times New Roman"/>
                <w:sz w:val="24"/>
                <w:lang w:eastAsia="de-DE"/>
              </w:rPr>
              <w:t>CRR</w:t>
            </w:r>
            <w:r w:rsidR="001A0143" w:rsidRPr="00661595">
              <w:rPr>
                <w:rFonts w:ascii="Times New Roman" w:hAnsi="Times New Roman"/>
                <w:sz w:val="24"/>
                <w:lang w:eastAsia="de-DE"/>
              </w:rPr>
              <w:t>,</w:t>
            </w:r>
            <w:r w:rsidRPr="00661595">
              <w:rPr>
                <w:rFonts w:ascii="Times New Roman" w:hAnsi="Times New Roman"/>
                <w:sz w:val="24"/>
                <w:lang w:eastAsia="de-DE"/>
              </w:rPr>
              <w:t xml:space="preserve"> except those included as Securities Financing Transactions &amp; Long Settlement Transactions or from Contractual Cross Product Netting</w:t>
            </w:r>
            <w:r w:rsidR="001A0143" w:rsidRPr="00661595">
              <w:rPr>
                <w:rFonts w:ascii="Times New Roman" w:hAnsi="Times New Roman"/>
                <w:sz w:val="24"/>
                <w:lang w:eastAsia="de-DE"/>
              </w:rPr>
              <w:t>.</w:t>
            </w:r>
          </w:p>
          <w:p w:rsidR="00DE48EF" w:rsidRPr="00661595" w:rsidRDefault="00DE48EF" w:rsidP="000B0B09">
            <w:pPr>
              <w:autoSpaceDE w:val="0"/>
              <w:autoSpaceDN w:val="0"/>
              <w:adjustRightInd w:val="0"/>
              <w:spacing w:before="0" w:after="0"/>
              <w:rPr>
                <w:rFonts w:ascii="Times New Roman" w:hAnsi="Times New Roman"/>
                <w:b/>
                <w:bCs/>
                <w:sz w:val="24"/>
                <w:u w:val="single"/>
                <w:lang w:eastAsia="nl-BE"/>
              </w:rPr>
            </w:pPr>
          </w:p>
        </w:tc>
      </w:tr>
      <w:tr w:rsidR="000B0B09" w:rsidRPr="00661595" w:rsidTr="00672D2A">
        <w:tc>
          <w:tcPr>
            <w:tcW w:w="991" w:type="dxa"/>
          </w:tcPr>
          <w:p w:rsidR="000B0B09" w:rsidRPr="00661595" w:rsidRDefault="002F79EA" w:rsidP="002F79EA">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120</w:t>
            </w:r>
          </w:p>
        </w:tc>
        <w:tc>
          <w:tcPr>
            <w:tcW w:w="7871"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Derivatives</w:t>
            </w:r>
          </w:p>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p>
          <w:p w:rsidR="000B0B09" w:rsidRPr="00661595" w:rsidRDefault="000B0B09" w:rsidP="000B0B09">
            <w:pPr>
              <w:autoSpaceDE w:val="0"/>
              <w:autoSpaceDN w:val="0"/>
              <w:adjustRightInd w:val="0"/>
              <w:spacing w:before="0" w:after="0"/>
              <w:rPr>
                <w:rFonts w:ascii="Times New Roman" w:hAnsi="Times New Roman"/>
                <w:sz w:val="24"/>
                <w:lang w:eastAsia="de-DE"/>
              </w:rPr>
            </w:pPr>
            <w:r w:rsidRPr="00661595">
              <w:rPr>
                <w:rFonts w:ascii="Times New Roman" w:hAnsi="Times New Roman"/>
                <w:sz w:val="24"/>
                <w:lang w:eastAsia="de-DE"/>
              </w:rPr>
              <w:t xml:space="preserve">Positions valued </w:t>
            </w:r>
            <w:r w:rsidR="00A2757B" w:rsidRPr="00661595">
              <w:rPr>
                <w:rFonts w:ascii="Times New Roman" w:hAnsi="Times New Roman"/>
                <w:sz w:val="24"/>
                <w:lang w:eastAsia="de-DE"/>
              </w:rPr>
              <w:t xml:space="preserve">in </w:t>
            </w:r>
            <w:r w:rsidRPr="00661595">
              <w:rPr>
                <w:rFonts w:ascii="Times New Roman" w:hAnsi="Times New Roman"/>
                <w:sz w:val="24"/>
                <w:lang w:eastAsia="de-DE"/>
              </w:rPr>
              <w:t>accord</w:t>
            </w:r>
            <w:r w:rsidR="00A2757B" w:rsidRPr="00661595">
              <w:rPr>
                <w:rFonts w:ascii="Times New Roman" w:hAnsi="Times New Roman"/>
                <w:sz w:val="24"/>
                <w:lang w:eastAsia="de-DE"/>
              </w:rPr>
              <w:t>ance with</w:t>
            </w:r>
            <w:r w:rsidRPr="00661595">
              <w:rPr>
                <w:rFonts w:ascii="Times New Roman" w:hAnsi="Times New Roman"/>
                <w:sz w:val="24"/>
                <w:lang w:eastAsia="de-DE"/>
              </w:rPr>
              <w:t xml:space="preserve"> Article 352 CRR.</w:t>
            </w:r>
          </w:p>
          <w:p w:rsidR="00902EFC" w:rsidRPr="00661595" w:rsidRDefault="00902EFC" w:rsidP="000B0B09">
            <w:pPr>
              <w:autoSpaceDE w:val="0"/>
              <w:autoSpaceDN w:val="0"/>
              <w:adjustRightInd w:val="0"/>
              <w:spacing w:before="0" w:after="0"/>
              <w:rPr>
                <w:rFonts w:ascii="Times New Roman" w:hAnsi="Times New Roman"/>
                <w:b/>
                <w:bCs/>
                <w:sz w:val="24"/>
                <w:u w:val="single"/>
                <w:lang w:eastAsia="nl-BE"/>
              </w:rPr>
            </w:pPr>
          </w:p>
        </w:tc>
      </w:tr>
      <w:tr w:rsidR="000B0B09" w:rsidRPr="00661595" w:rsidTr="00672D2A">
        <w:tc>
          <w:tcPr>
            <w:tcW w:w="991" w:type="dxa"/>
          </w:tcPr>
          <w:p w:rsidR="000B0B09" w:rsidRPr="00661595" w:rsidRDefault="002F79EA" w:rsidP="002F79EA">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130-</w:t>
            </w:r>
            <w:r w:rsidRPr="00661595">
              <w:rPr>
                <w:rFonts w:ascii="Times New Roman" w:hAnsi="Times New Roman"/>
                <w:sz w:val="24"/>
                <w:lang w:eastAsia="nl-BE"/>
              </w:rPr>
              <w:t>0</w:t>
            </w:r>
            <w:r w:rsidR="00B431BD" w:rsidRPr="00661595">
              <w:rPr>
                <w:rFonts w:ascii="Times New Roman" w:hAnsi="Times New Roman"/>
                <w:sz w:val="24"/>
                <w:lang w:eastAsia="nl-BE"/>
              </w:rPr>
              <w:t>480</w:t>
            </w:r>
          </w:p>
        </w:tc>
        <w:tc>
          <w:tcPr>
            <w:tcW w:w="7871" w:type="dxa"/>
          </w:tcPr>
          <w:p w:rsidR="000B0B09" w:rsidRPr="00661595" w:rsidRDefault="000B0B09" w:rsidP="000B0B09">
            <w:pPr>
              <w:autoSpaceDE w:val="0"/>
              <w:autoSpaceDN w:val="0"/>
              <w:adjustRightInd w:val="0"/>
              <w:spacing w:before="0" w:after="0"/>
              <w:rPr>
                <w:rFonts w:ascii="Times New Roman" w:hAnsi="Times New Roman"/>
                <w:sz w:val="24"/>
                <w:lang w:eastAsia="de-DE"/>
              </w:rPr>
            </w:pPr>
            <w:r w:rsidRPr="00661595">
              <w:rPr>
                <w:rFonts w:ascii="Times New Roman" w:hAnsi="Times New Roman"/>
                <w:b/>
                <w:bCs/>
                <w:sz w:val="24"/>
                <w:u w:val="single"/>
                <w:lang w:eastAsia="nl-BE"/>
              </w:rPr>
              <w:t>MEMORANDUM ITEMS : CURRENCY POSITIONS</w:t>
            </w:r>
          </w:p>
          <w:p w:rsidR="000B0B09" w:rsidRPr="00661595" w:rsidRDefault="000B0B09" w:rsidP="000B0B09">
            <w:pPr>
              <w:autoSpaceDE w:val="0"/>
              <w:autoSpaceDN w:val="0"/>
              <w:adjustRightInd w:val="0"/>
              <w:spacing w:before="0" w:after="0"/>
              <w:rPr>
                <w:rFonts w:ascii="Times New Roman" w:hAnsi="Times New Roman"/>
                <w:b/>
                <w:bCs/>
                <w:sz w:val="24"/>
                <w:lang w:eastAsia="de-DE"/>
              </w:rPr>
            </w:pPr>
          </w:p>
          <w:p w:rsidR="000B0B09" w:rsidRPr="00661595" w:rsidRDefault="000B0B09" w:rsidP="00A2757B">
            <w:pPr>
              <w:autoSpaceDE w:val="0"/>
              <w:autoSpaceDN w:val="0"/>
              <w:adjustRightInd w:val="0"/>
              <w:spacing w:before="0" w:after="0"/>
              <w:rPr>
                <w:rStyle w:val="InstructionsTabelleText"/>
                <w:rFonts w:ascii="Times New Roman" w:hAnsi="Times New Roman"/>
                <w:sz w:val="24"/>
              </w:rPr>
            </w:pPr>
            <w:r w:rsidRPr="00661595">
              <w:rPr>
                <w:rFonts w:ascii="Times New Roman" w:hAnsi="Times New Roman"/>
                <w:sz w:val="24"/>
                <w:lang w:eastAsia="de-DE"/>
              </w:rPr>
              <w:t xml:space="preserve">The memorandum items of the template </w:t>
            </w:r>
            <w:r w:rsidR="00C93697" w:rsidRPr="00661595">
              <w:rPr>
                <w:rFonts w:ascii="Times New Roman" w:hAnsi="Times New Roman"/>
                <w:sz w:val="24"/>
                <w:lang w:eastAsia="de-DE"/>
              </w:rPr>
              <w:t>shall</w:t>
            </w:r>
            <w:r w:rsidRPr="00661595">
              <w:rPr>
                <w:rFonts w:ascii="Times New Roman" w:hAnsi="Times New Roman"/>
                <w:sz w:val="24"/>
                <w:lang w:eastAsia="de-DE"/>
              </w:rPr>
              <w:t xml:space="preserve"> be filled </w:t>
            </w:r>
            <w:r w:rsidR="00A2757B" w:rsidRPr="00661595">
              <w:rPr>
                <w:rFonts w:ascii="Times New Roman" w:hAnsi="Times New Roman"/>
                <w:sz w:val="24"/>
                <w:lang w:eastAsia="de-DE"/>
              </w:rPr>
              <w:t>in</w:t>
            </w:r>
            <w:r w:rsidRPr="00661595">
              <w:rPr>
                <w:rFonts w:ascii="Times New Roman" w:hAnsi="Times New Roman"/>
                <w:sz w:val="24"/>
                <w:lang w:eastAsia="de-DE"/>
              </w:rPr>
              <w:t xml:space="preserve"> separately for </w:t>
            </w:r>
            <w:r w:rsidR="001A0143" w:rsidRPr="00661595">
              <w:rPr>
                <w:rFonts w:ascii="Times New Roman" w:hAnsi="Times New Roman"/>
                <w:sz w:val="24"/>
                <w:lang w:eastAsia="de-DE"/>
              </w:rPr>
              <w:t>a</w:t>
            </w:r>
            <w:r w:rsidRPr="00661595">
              <w:rPr>
                <w:rFonts w:ascii="Times New Roman" w:hAnsi="Times New Roman"/>
                <w:sz w:val="24"/>
                <w:lang w:eastAsia="de-DE"/>
              </w:rPr>
              <w:t>ll currencies of the member states of the Union</w:t>
            </w:r>
            <w:r w:rsidR="002300C6" w:rsidRPr="00661595">
              <w:rPr>
                <w:rFonts w:ascii="Times New Roman" w:hAnsi="Times New Roman"/>
                <w:sz w:val="24"/>
                <w:lang w:eastAsia="de-DE"/>
              </w:rPr>
              <w:t>,</w:t>
            </w:r>
            <w:r w:rsidRPr="00661595">
              <w:rPr>
                <w:rFonts w:ascii="Times New Roman" w:hAnsi="Times New Roman"/>
                <w:sz w:val="24"/>
                <w:lang w:eastAsia="de-DE"/>
              </w:rPr>
              <w:t xml:space="preserve"> </w:t>
            </w:r>
            <w:r w:rsidR="002F79EA" w:rsidRPr="00661595">
              <w:rPr>
                <w:rFonts w:ascii="Times New Roman" w:hAnsi="Times New Roman"/>
                <w:sz w:val="24"/>
                <w:lang w:eastAsia="de-DE"/>
              </w:rPr>
              <w:t xml:space="preserve">GBP, </w:t>
            </w:r>
            <w:r w:rsidRPr="00661595">
              <w:rPr>
                <w:rFonts w:ascii="Times New Roman" w:hAnsi="Times New Roman"/>
                <w:sz w:val="24"/>
                <w:lang w:eastAsia="de-DE"/>
              </w:rPr>
              <w:t xml:space="preserve">USD, CHF, JPY, RUB, TRY, AUD, CAD, RSD, ALL, UAH, MKD, EGP, ARS, BRL, MXN, HKD, ICK, TWD, NZD, NOK, SGD, KRW, CNY and all other currencies. </w:t>
            </w:r>
          </w:p>
        </w:tc>
      </w:tr>
    </w:tbl>
    <w:p w:rsidR="000B0B09" w:rsidRPr="00661595" w:rsidRDefault="000B0B09" w:rsidP="000B0B09">
      <w:pPr>
        <w:rPr>
          <w:rFonts w:ascii="Times New Roman" w:hAnsi="Times New Roman"/>
          <w:sz w:val="24"/>
        </w:rPr>
      </w:pPr>
    </w:p>
    <w:p w:rsidR="000B0B09"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706" w:name="_Toc262566435"/>
      <w:bookmarkStart w:id="707" w:name="_Toc295830011"/>
      <w:bookmarkStart w:id="708" w:name="_Toc308426688"/>
      <w:bookmarkStart w:id="709" w:name="_Toc310415072"/>
      <w:bookmarkStart w:id="710" w:name="_Toc360188407"/>
      <w:bookmarkStart w:id="711" w:name="_Toc473561047"/>
      <w:bookmarkStart w:id="712" w:name="_Toc57831651"/>
      <w:r w:rsidRPr="00661595">
        <w:rPr>
          <w:rFonts w:ascii="Times New Roman" w:hAnsi="Times New Roman" w:cs="Times New Roman"/>
          <w:sz w:val="24"/>
          <w:u w:val="none"/>
          <w:lang w:val="en-GB"/>
        </w:rPr>
        <w:t>5.6.</w:t>
      </w:r>
      <w:r w:rsidRPr="00661595">
        <w:rPr>
          <w:rFonts w:ascii="Times New Roman" w:hAnsi="Times New Roman" w:cs="Times New Roman"/>
          <w:sz w:val="24"/>
          <w:u w:val="none"/>
          <w:lang w:val="en-GB"/>
        </w:rPr>
        <w:tab/>
      </w:r>
      <w:r w:rsidR="008B73EE" w:rsidRPr="00661595">
        <w:rPr>
          <w:rFonts w:ascii="Times New Roman" w:hAnsi="Times New Roman" w:cs="Times New Roman"/>
          <w:sz w:val="24"/>
          <w:lang w:val="en-GB"/>
        </w:rPr>
        <w:t xml:space="preserve">C 23.00 </w:t>
      </w:r>
      <w:r w:rsidR="000B0B09" w:rsidRPr="00661595">
        <w:rPr>
          <w:rFonts w:ascii="Times New Roman" w:hAnsi="Times New Roman" w:cs="Times New Roman"/>
          <w:sz w:val="24"/>
          <w:lang w:val="en-GB"/>
        </w:rPr>
        <w:t>- Market Risk: Standardised Approaches for Commodities</w:t>
      </w:r>
      <w:bookmarkEnd w:id="706"/>
      <w:bookmarkEnd w:id="707"/>
      <w:bookmarkEnd w:id="708"/>
      <w:bookmarkEnd w:id="709"/>
      <w:bookmarkEnd w:id="710"/>
      <w:r w:rsidR="008B73EE" w:rsidRPr="00661595">
        <w:rPr>
          <w:rFonts w:ascii="Times New Roman" w:hAnsi="Times New Roman" w:cs="Times New Roman"/>
          <w:sz w:val="24"/>
          <w:lang w:val="en-GB"/>
        </w:rPr>
        <w:t xml:space="preserve"> (MKR SA COM)</w:t>
      </w:r>
      <w:bookmarkEnd w:id="711"/>
      <w:bookmarkEnd w:id="712"/>
    </w:p>
    <w:p w:rsidR="000B0B09"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713" w:name="_Toc262566436"/>
      <w:bookmarkStart w:id="714" w:name="_Toc295830012"/>
      <w:bookmarkStart w:id="715" w:name="_Toc308426689"/>
      <w:bookmarkStart w:id="716" w:name="_Toc310415073"/>
      <w:bookmarkStart w:id="717" w:name="_Toc360188408"/>
      <w:bookmarkStart w:id="718" w:name="_Toc473561048"/>
      <w:bookmarkStart w:id="719" w:name="_Toc57831652"/>
      <w:r w:rsidRPr="00661595">
        <w:rPr>
          <w:rFonts w:ascii="Times New Roman" w:hAnsi="Times New Roman" w:cs="Times New Roman"/>
          <w:sz w:val="24"/>
          <w:u w:val="none"/>
          <w:lang w:val="en-GB"/>
        </w:rPr>
        <w:t>5.6.1.</w:t>
      </w:r>
      <w:r w:rsidRPr="00661595">
        <w:rPr>
          <w:rFonts w:ascii="Times New Roman" w:hAnsi="Times New Roman" w:cs="Times New Roman"/>
          <w:sz w:val="24"/>
          <w:u w:val="none"/>
          <w:lang w:val="en-GB"/>
        </w:rPr>
        <w:tab/>
      </w:r>
      <w:r w:rsidR="000B0B09" w:rsidRPr="00661595">
        <w:rPr>
          <w:rFonts w:ascii="Times New Roman" w:hAnsi="Times New Roman" w:cs="Times New Roman"/>
          <w:sz w:val="24"/>
          <w:lang w:val="en-GB"/>
        </w:rPr>
        <w:t>General Remarks</w:t>
      </w:r>
      <w:bookmarkEnd w:id="713"/>
      <w:bookmarkEnd w:id="714"/>
      <w:bookmarkEnd w:id="715"/>
      <w:bookmarkEnd w:id="716"/>
      <w:bookmarkEnd w:id="717"/>
      <w:bookmarkEnd w:id="718"/>
      <w:bookmarkEnd w:id="719"/>
    </w:p>
    <w:p w:rsidR="000B0B09" w:rsidRPr="00661595" w:rsidRDefault="00D11E4C" w:rsidP="00487A02">
      <w:pPr>
        <w:pStyle w:val="InstructionsText2"/>
        <w:numPr>
          <w:ilvl w:val="0"/>
          <w:numId w:val="0"/>
        </w:numPr>
        <w:ind w:left="1353" w:hanging="360"/>
      </w:pPr>
      <w:fldSimple w:instr=" seq paragraphs ">
        <w:r w:rsidR="00771068">
          <w:rPr>
            <w:noProof/>
          </w:rPr>
          <w:t>173</w:t>
        </w:r>
      </w:fldSimple>
      <w:r w:rsidR="00125707" w:rsidRPr="00661595">
        <w:t>.</w:t>
      </w:r>
      <w:r w:rsidR="00125707" w:rsidRPr="00661595">
        <w:tab/>
      </w:r>
      <w:r w:rsidR="005C14B0" w:rsidRPr="00661595">
        <w:t xml:space="preserve"> </w:t>
      </w:r>
      <w:r w:rsidR="000B0B09" w:rsidRPr="00661595">
        <w:t xml:space="preserve">This template request information on the positions in commodities and the corresponding own funds requirements treated under the </w:t>
      </w:r>
      <w:r w:rsidR="00CA21CA" w:rsidRPr="00661595">
        <w:t>Standardised Approach</w:t>
      </w:r>
      <w:r w:rsidR="000B0B09" w:rsidRPr="00661595">
        <w:t>.</w:t>
      </w:r>
    </w:p>
    <w:p w:rsidR="000B0B09"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720" w:name="_Toc262566437"/>
      <w:bookmarkStart w:id="721" w:name="_Toc295830013"/>
      <w:bookmarkStart w:id="722" w:name="_Toc308426690"/>
      <w:bookmarkStart w:id="723" w:name="_Toc310415074"/>
      <w:bookmarkStart w:id="724" w:name="_Toc360188409"/>
      <w:bookmarkStart w:id="725" w:name="_Toc473561049"/>
      <w:bookmarkStart w:id="726" w:name="_Toc57831653"/>
      <w:r w:rsidRPr="00661595">
        <w:rPr>
          <w:rFonts w:ascii="Times New Roman" w:hAnsi="Times New Roman" w:cs="Times New Roman"/>
          <w:sz w:val="24"/>
          <w:u w:val="none"/>
          <w:lang w:val="en-GB"/>
        </w:rPr>
        <w:t>5.6.2.</w:t>
      </w:r>
      <w:r w:rsidRPr="00661595">
        <w:rPr>
          <w:rFonts w:ascii="Times New Roman" w:hAnsi="Times New Roman" w:cs="Times New Roman"/>
          <w:sz w:val="24"/>
          <w:u w:val="none"/>
          <w:lang w:val="en-GB"/>
        </w:rPr>
        <w:tab/>
      </w:r>
      <w:r w:rsidR="000B0B09" w:rsidRPr="00661595">
        <w:rPr>
          <w:rFonts w:ascii="Times New Roman" w:hAnsi="Times New Roman" w:cs="Times New Roman"/>
          <w:sz w:val="24"/>
          <w:lang w:val="en-GB"/>
        </w:rPr>
        <w:t>Instructions concerning specific positions</w:t>
      </w:r>
      <w:bookmarkEnd w:id="720"/>
      <w:bookmarkEnd w:id="721"/>
      <w:bookmarkEnd w:id="722"/>
      <w:bookmarkEnd w:id="723"/>
      <w:bookmarkEnd w:id="724"/>
      <w:bookmarkEnd w:id="725"/>
      <w:bookmarkEnd w:id="7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6"/>
        <w:gridCol w:w="7876"/>
      </w:tblGrid>
      <w:tr w:rsidR="000B0B09" w:rsidRPr="00661595" w:rsidTr="00672D2A">
        <w:trPr>
          <w:trHeight w:val="591"/>
        </w:trPr>
        <w:tc>
          <w:tcPr>
            <w:tcW w:w="8862" w:type="dxa"/>
            <w:gridSpan w:val="2"/>
            <w:shd w:val="clear" w:color="auto" w:fill="CCCCCC"/>
          </w:tcPr>
          <w:p w:rsidR="000B0B09" w:rsidRPr="00661595" w:rsidRDefault="000B0B09" w:rsidP="000B0B09">
            <w:pPr>
              <w:autoSpaceDE w:val="0"/>
              <w:autoSpaceDN w:val="0"/>
              <w:adjustRightInd w:val="0"/>
              <w:spacing w:after="0"/>
              <w:rPr>
                <w:rFonts w:ascii="Times New Roman" w:hAnsi="Times New Roman"/>
                <w:b/>
                <w:sz w:val="24"/>
                <w:lang w:eastAsia="nl-BE"/>
              </w:rPr>
            </w:pPr>
            <w:r w:rsidRPr="00661595">
              <w:rPr>
                <w:rFonts w:ascii="Times New Roman" w:hAnsi="Times New Roman"/>
                <w:b/>
                <w:sz w:val="24"/>
                <w:lang w:eastAsia="nl-BE"/>
              </w:rPr>
              <w:t>Columns</w:t>
            </w:r>
          </w:p>
        </w:tc>
      </w:tr>
      <w:tr w:rsidR="000B0B09" w:rsidRPr="00661595" w:rsidTr="00672D2A">
        <w:tc>
          <w:tcPr>
            <w:tcW w:w="986" w:type="dxa"/>
          </w:tcPr>
          <w:p w:rsidR="000B0B09" w:rsidRPr="00661595" w:rsidRDefault="002F79EA" w:rsidP="00B74792">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010-</w:t>
            </w:r>
            <w:r w:rsidRPr="00661595">
              <w:rPr>
                <w:rFonts w:ascii="Times New Roman" w:hAnsi="Times New Roman"/>
                <w:sz w:val="24"/>
                <w:lang w:eastAsia="nl-BE"/>
              </w:rPr>
              <w:t>0</w:t>
            </w:r>
            <w:r w:rsidR="000B0B09" w:rsidRPr="00661595">
              <w:rPr>
                <w:rFonts w:ascii="Times New Roman" w:hAnsi="Times New Roman"/>
                <w:sz w:val="24"/>
                <w:lang w:eastAsia="nl-BE"/>
              </w:rPr>
              <w:t>020</w:t>
            </w:r>
          </w:p>
        </w:tc>
        <w:tc>
          <w:tcPr>
            <w:tcW w:w="7876"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All POSITIONS (LONG AND SHORT)</w:t>
            </w:r>
          </w:p>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p>
          <w:p w:rsidR="000B0B09" w:rsidRPr="00661595" w:rsidRDefault="000B0B09" w:rsidP="000B0B09">
            <w:pPr>
              <w:autoSpaceDE w:val="0"/>
              <w:autoSpaceDN w:val="0"/>
              <w:adjustRightInd w:val="0"/>
              <w:spacing w:before="0" w:after="0"/>
              <w:rPr>
                <w:rFonts w:ascii="Times New Roman" w:hAnsi="Times New Roman"/>
                <w:sz w:val="24"/>
                <w:lang w:eastAsia="de-DE"/>
              </w:rPr>
            </w:pPr>
            <w:r w:rsidRPr="00661595">
              <w:rPr>
                <w:rFonts w:ascii="Times New Roman" w:hAnsi="Times New Roman"/>
                <w:sz w:val="24"/>
                <w:lang w:eastAsia="de-DE"/>
              </w:rPr>
              <w:t xml:space="preserve">Gross long/short positions considered positions in the same commodity </w:t>
            </w:r>
            <w:r w:rsidR="00BB22D4" w:rsidRPr="00661595">
              <w:rPr>
                <w:rFonts w:ascii="Times New Roman" w:hAnsi="Times New Roman"/>
                <w:sz w:val="24"/>
                <w:lang w:eastAsia="de-DE"/>
              </w:rPr>
              <w:t>in accordance with</w:t>
            </w:r>
            <w:r w:rsidRPr="00661595">
              <w:rPr>
                <w:rFonts w:ascii="Times New Roman" w:hAnsi="Times New Roman"/>
                <w:sz w:val="24"/>
                <w:lang w:eastAsia="de-DE"/>
              </w:rPr>
              <w:t xml:space="preserve"> Article 357(</w:t>
            </w:r>
            <w:r w:rsidR="00D1690D" w:rsidRPr="00661595">
              <w:rPr>
                <w:rFonts w:ascii="Times New Roman" w:hAnsi="Times New Roman"/>
                <w:sz w:val="24"/>
                <w:lang w:eastAsia="de-DE"/>
              </w:rPr>
              <w:t>4</w:t>
            </w:r>
            <w:r w:rsidRPr="00661595">
              <w:rPr>
                <w:rFonts w:ascii="Times New Roman" w:hAnsi="Times New Roman"/>
                <w:sz w:val="24"/>
                <w:lang w:eastAsia="de-DE"/>
              </w:rPr>
              <w:t xml:space="preserve">) </w:t>
            </w:r>
            <w:r w:rsidR="00C7103D" w:rsidRPr="00661595">
              <w:rPr>
                <w:rFonts w:ascii="Times New Roman" w:hAnsi="Times New Roman"/>
                <w:sz w:val="24"/>
                <w:lang w:eastAsia="de-DE"/>
              </w:rPr>
              <w:t>CRR</w:t>
            </w:r>
            <w:r w:rsidRPr="00661595">
              <w:rPr>
                <w:rFonts w:ascii="Times New Roman" w:hAnsi="Times New Roman"/>
                <w:sz w:val="24"/>
                <w:lang w:eastAsia="de-DE"/>
              </w:rPr>
              <w:t xml:space="preserve"> (see also Article 359(1) </w:t>
            </w:r>
            <w:r w:rsidR="00C7103D" w:rsidRPr="00661595">
              <w:rPr>
                <w:rFonts w:ascii="Times New Roman" w:hAnsi="Times New Roman"/>
                <w:sz w:val="24"/>
                <w:lang w:eastAsia="de-DE"/>
              </w:rPr>
              <w:t>CRR</w:t>
            </w:r>
            <w:r w:rsidRPr="00661595">
              <w:rPr>
                <w:rFonts w:ascii="Times New Roman" w:hAnsi="Times New Roman"/>
                <w:sz w:val="24"/>
                <w:lang w:eastAsia="de-DE"/>
              </w:rPr>
              <w:t>)</w:t>
            </w:r>
          </w:p>
          <w:p w:rsidR="000B0B09" w:rsidRPr="00661595" w:rsidRDefault="000B0B09"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de-DE"/>
              </w:rPr>
              <w:t xml:space="preserve"> </w:t>
            </w:r>
          </w:p>
        </w:tc>
      </w:tr>
      <w:tr w:rsidR="000B0B09" w:rsidRPr="00661595" w:rsidTr="00672D2A">
        <w:tc>
          <w:tcPr>
            <w:tcW w:w="986" w:type="dxa"/>
          </w:tcPr>
          <w:p w:rsidR="000B0B09" w:rsidRPr="00661595" w:rsidRDefault="002F79EA" w:rsidP="00B74792">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030</w:t>
            </w:r>
            <w:r w:rsidR="00B74792" w:rsidRPr="00661595">
              <w:rPr>
                <w:rFonts w:ascii="Times New Roman" w:hAnsi="Times New Roman"/>
                <w:sz w:val="24"/>
                <w:lang w:eastAsia="nl-BE"/>
              </w:rPr>
              <w:t>-</w:t>
            </w:r>
            <w:r w:rsidRPr="00661595">
              <w:rPr>
                <w:rFonts w:ascii="Times New Roman" w:hAnsi="Times New Roman"/>
                <w:sz w:val="24"/>
                <w:lang w:eastAsia="nl-BE"/>
              </w:rPr>
              <w:t>0</w:t>
            </w:r>
            <w:r w:rsidR="000B0B09" w:rsidRPr="00661595">
              <w:rPr>
                <w:rFonts w:ascii="Times New Roman" w:hAnsi="Times New Roman"/>
                <w:sz w:val="24"/>
                <w:lang w:eastAsia="nl-BE"/>
              </w:rPr>
              <w:t xml:space="preserve">040 </w:t>
            </w:r>
          </w:p>
        </w:tc>
        <w:tc>
          <w:tcPr>
            <w:tcW w:w="7876"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NET POSITIONS (LONG AND SHORT)</w:t>
            </w:r>
          </w:p>
          <w:p w:rsidR="000B0B09" w:rsidRPr="00661595" w:rsidRDefault="000B0B09" w:rsidP="000B0B09">
            <w:pPr>
              <w:autoSpaceDE w:val="0"/>
              <w:autoSpaceDN w:val="0"/>
              <w:adjustRightInd w:val="0"/>
              <w:spacing w:before="0" w:after="0"/>
              <w:rPr>
                <w:rFonts w:ascii="Times New Roman" w:hAnsi="Times New Roman"/>
                <w:sz w:val="24"/>
                <w:lang w:eastAsia="de-DE"/>
              </w:rPr>
            </w:pPr>
          </w:p>
          <w:p w:rsidR="000B0B09" w:rsidRPr="00661595" w:rsidRDefault="000B0B09" w:rsidP="001A0143">
            <w:pPr>
              <w:autoSpaceDE w:val="0"/>
              <w:autoSpaceDN w:val="0"/>
              <w:adjustRightInd w:val="0"/>
              <w:spacing w:before="0"/>
              <w:rPr>
                <w:rFonts w:ascii="Times New Roman" w:hAnsi="Times New Roman"/>
                <w:sz w:val="24"/>
                <w:lang w:eastAsia="nl-BE"/>
              </w:rPr>
            </w:pPr>
            <w:r w:rsidRPr="00661595">
              <w:rPr>
                <w:rFonts w:ascii="Times New Roman" w:hAnsi="Times New Roman"/>
                <w:sz w:val="24"/>
                <w:lang w:eastAsia="de-DE"/>
              </w:rPr>
              <w:t>As defined in Article 357(</w:t>
            </w:r>
            <w:r w:rsidR="00D1690D" w:rsidRPr="00661595">
              <w:rPr>
                <w:rFonts w:ascii="Times New Roman" w:hAnsi="Times New Roman"/>
                <w:sz w:val="24"/>
                <w:lang w:eastAsia="de-DE"/>
              </w:rPr>
              <w:t>3</w:t>
            </w:r>
            <w:r w:rsidRPr="00661595">
              <w:rPr>
                <w:rFonts w:ascii="Times New Roman" w:hAnsi="Times New Roman"/>
                <w:sz w:val="24"/>
                <w:lang w:eastAsia="de-DE"/>
              </w:rPr>
              <w:t xml:space="preserve">) </w:t>
            </w:r>
            <w:r w:rsidR="00C7103D" w:rsidRPr="00661595">
              <w:rPr>
                <w:rFonts w:ascii="Times New Roman" w:hAnsi="Times New Roman"/>
                <w:sz w:val="24"/>
                <w:lang w:eastAsia="de-DE"/>
              </w:rPr>
              <w:t>CRR</w:t>
            </w:r>
            <w:r w:rsidRPr="00661595">
              <w:rPr>
                <w:rFonts w:ascii="Times New Roman" w:hAnsi="Times New Roman"/>
                <w:sz w:val="24"/>
                <w:lang w:eastAsia="de-DE"/>
              </w:rPr>
              <w:t xml:space="preserve"> </w:t>
            </w:r>
          </w:p>
        </w:tc>
      </w:tr>
      <w:tr w:rsidR="000B0B09" w:rsidRPr="00661595" w:rsidTr="00672D2A">
        <w:tc>
          <w:tcPr>
            <w:tcW w:w="986" w:type="dxa"/>
          </w:tcPr>
          <w:p w:rsidR="000B0B09" w:rsidRPr="00661595" w:rsidRDefault="002F79EA"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050</w:t>
            </w:r>
          </w:p>
        </w:tc>
        <w:tc>
          <w:tcPr>
            <w:tcW w:w="7876"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de-DE"/>
              </w:rPr>
            </w:pPr>
            <w:r w:rsidRPr="00661595">
              <w:rPr>
                <w:rFonts w:ascii="Times New Roman" w:hAnsi="Times New Roman"/>
                <w:b/>
                <w:bCs/>
                <w:sz w:val="24"/>
                <w:u w:val="single"/>
                <w:lang w:eastAsia="de-DE"/>
              </w:rPr>
              <w:t>POSITIONS SUBJECT TO CAPITAL CHARGE</w:t>
            </w:r>
          </w:p>
          <w:p w:rsidR="000B0B09" w:rsidRPr="00661595" w:rsidRDefault="000B0B09" w:rsidP="000B0B09">
            <w:pPr>
              <w:autoSpaceDE w:val="0"/>
              <w:autoSpaceDN w:val="0"/>
              <w:adjustRightInd w:val="0"/>
              <w:spacing w:before="0" w:after="0"/>
              <w:rPr>
                <w:rFonts w:ascii="Times New Roman" w:hAnsi="Times New Roman"/>
                <w:sz w:val="24"/>
                <w:lang w:eastAsia="de-DE"/>
              </w:rPr>
            </w:pPr>
          </w:p>
          <w:p w:rsidR="000B0B09" w:rsidRPr="00661595" w:rsidRDefault="000B0B09" w:rsidP="000B0B09">
            <w:pPr>
              <w:autoSpaceDE w:val="0"/>
              <w:autoSpaceDN w:val="0"/>
              <w:adjustRightInd w:val="0"/>
              <w:spacing w:before="0" w:after="0"/>
              <w:rPr>
                <w:rFonts w:ascii="Times New Roman" w:hAnsi="Times New Roman"/>
                <w:sz w:val="24"/>
                <w:lang w:eastAsia="de-DE"/>
              </w:rPr>
            </w:pPr>
            <w:r w:rsidRPr="00661595">
              <w:rPr>
                <w:rFonts w:ascii="Times New Roman" w:hAnsi="Times New Roman"/>
                <w:sz w:val="24"/>
                <w:lang w:eastAsia="de-DE"/>
              </w:rPr>
              <w:t xml:space="preserve">Those net positions that, </w:t>
            </w:r>
            <w:r w:rsidR="00BB22D4" w:rsidRPr="00661595">
              <w:rPr>
                <w:rFonts w:ascii="Times New Roman" w:hAnsi="Times New Roman"/>
                <w:sz w:val="24"/>
                <w:lang w:eastAsia="de-DE"/>
              </w:rPr>
              <w:t>in accordance with</w:t>
            </w:r>
            <w:r w:rsidRPr="00661595">
              <w:rPr>
                <w:rFonts w:ascii="Times New Roman" w:hAnsi="Times New Roman"/>
                <w:sz w:val="24"/>
                <w:lang w:eastAsia="de-DE"/>
              </w:rPr>
              <w:t xml:space="preserve"> the different approaches considered in </w:t>
            </w:r>
            <w:r w:rsidR="005C14B0" w:rsidRPr="00661595">
              <w:rPr>
                <w:rFonts w:ascii="Times New Roman" w:hAnsi="Times New Roman"/>
                <w:sz w:val="24"/>
                <w:lang w:eastAsia="de-DE"/>
              </w:rPr>
              <w:t xml:space="preserve">Chapter 4 of Title IV of </w:t>
            </w:r>
            <w:r w:rsidRPr="00661595">
              <w:rPr>
                <w:rFonts w:ascii="Times New Roman" w:hAnsi="Times New Roman"/>
                <w:sz w:val="24"/>
                <w:lang w:eastAsia="de-DE"/>
              </w:rPr>
              <w:t xml:space="preserve">Part </w:t>
            </w:r>
            <w:r w:rsidR="005C14B0" w:rsidRPr="00661595">
              <w:rPr>
                <w:rFonts w:ascii="Times New Roman" w:hAnsi="Times New Roman"/>
                <w:sz w:val="24"/>
                <w:lang w:eastAsia="de-DE"/>
              </w:rPr>
              <w:t>Three</w:t>
            </w:r>
            <w:r w:rsidRPr="00661595">
              <w:rPr>
                <w:rFonts w:ascii="Times New Roman" w:hAnsi="Times New Roman"/>
                <w:sz w:val="24"/>
                <w:lang w:eastAsia="de-DE"/>
              </w:rPr>
              <w:t xml:space="preserve"> </w:t>
            </w:r>
            <w:r w:rsidR="00C7103D" w:rsidRPr="00661595">
              <w:rPr>
                <w:rFonts w:ascii="Times New Roman" w:hAnsi="Times New Roman"/>
                <w:sz w:val="24"/>
                <w:lang w:eastAsia="de-DE"/>
              </w:rPr>
              <w:t>CRR</w:t>
            </w:r>
            <w:r w:rsidRPr="00661595">
              <w:rPr>
                <w:rFonts w:ascii="Times New Roman" w:hAnsi="Times New Roman"/>
                <w:sz w:val="24"/>
                <w:lang w:eastAsia="de-DE"/>
              </w:rPr>
              <w:t xml:space="preserve"> receive a capital charge</w:t>
            </w:r>
            <w:r w:rsidR="002F79EA" w:rsidRPr="00661595">
              <w:rPr>
                <w:rFonts w:ascii="Times New Roman" w:hAnsi="Times New Roman"/>
                <w:sz w:val="24"/>
                <w:lang w:eastAsia="de-DE"/>
              </w:rPr>
              <w:t>.</w:t>
            </w:r>
          </w:p>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p>
        </w:tc>
      </w:tr>
      <w:tr w:rsidR="000B0B09" w:rsidRPr="00661595" w:rsidTr="00672D2A">
        <w:tc>
          <w:tcPr>
            <w:tcW w:w="986" w:type="dxa"/>
          </w:tcPr>
          <w:p w:rsidR="000B0B09" w:rsidRPr="00661595" w:rsidRDefault="002F79EA"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060</w:t>
            </w:r>
          </w:p>
        </w:tc>
        <w:tc>
          <w:tcPr>
            <w:tcW w:w="7876"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OWN FUNDS REQUIREMENTS</w:t>
            </w:r>
          </w:p>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p>
          <w:p w:rsidR="000B0B09" w:rsidRPr="00661595" w:rsidRDefault="000B0B09" w:rsidP="00A2757B">
            <w:pPr>
              <w:autoSpaceDE w:val="0"/>
              <w:autoSpaceDN w:val="0"/>
              <w:adjustRightInd w:val="0"/>
              <w:spacing w:before="0"/>
              <w:rPr>
                <w:rFonts w:ascii="Times New Roman" w:hAnsi="Times New Roman"/>
                <w:b/>
                <w:bCs/>
                <w:sz w:val="24"/>
                <w:u w:val="single"/>
                <w:lang w:eastAsia="nl-BE"/>
              </w:rPr>
            </w:pPr>
            <w:r w:rsidRPr="00661595">
              <w:rPr>
                <w:rFonts w:ascii="Times New Roman" w:hAnsi="Times New Roman"/>
                <w:sz w:val="24"/>
                <w:lang w:eastAsia="de-DE"/>
              </w:rPr>
              <w:t xml:space="preserve">The </w:t>
            </w:r>
            <w:r w:rsidR="00A2757B" w:rsidRPr="00661595">
              <w:rPr>
                <w:rFonts w:ascii="Times New Roman" w:hAnsi="Times New Roman"/>
                <w:sz w:val="24"/>
                <w:lang w:eastAsia="de-DE"/>
              </w:rPr>
              <w:t>own funds requirement</w:t>
            </w:r>
            <w:r w:rsidRPr="00661595">
              <w:rPr>
                <w:rFonts w:ascii="Times New Roman" w:hAnsi="Times New Roman"/>
                <w:sz w:val="24"/>
                <w:lang w:eastAsia="de-DE"/>
              </w:rPr>
              <w:t xml:space="preserve"> </w:t>
            </w:r>
            <w:r w:rsidR="001A0143" w:rsidRPr="00661595">
              <w:rPr>
                <w:rFonts w:ascii="Times New Roman" w:hAnsi="Times New Roman"/>
                <w:sz w:val="24"/>
                <w:lang w:eastAsia="de-DE"/>
              </w:rPr>
              <w:t xml:space="preserve">calculated </w:t>
            </w:r>
            <w:r w:rsidR="00BB22D4" w:rsidRPr="00661595">
              <w:rPr>
                <w:rFonts w:ascii="Times New Roman" w:hAnsi="Times New Roman"/>
                <w:sz w:val="24"/>
                <w:lang w:eastAsia="de-DE"/>
              </w:rPr>
              <w:t>in accordance with</w:t>
            </w:r>
            <w:r w:rsidRPr="00661595">
              <w:rPr>
                <w:rFonts w:ascii="Times New Roman" w:hAnsi="Times New Roman"/>
                <w:sz w:val="24"/>
                <w:lang w:eastAsia="de-DE"/>
              </w:rPr>
              <w:t xml:space="preserve"> </w:t>
            </w:r>
            <w:r w:rsidR="005C14B0" w:rsidRPr="00661595">
              <w:rPr>
                <w:rFonts w:ascii="Times New Roman" w:hAnsi="Times New Roman"/>
                <w:sz w:val="24"/>
                <w:lang w:eastAsia="de-DE"/>
              </w:rPr>
              <w:t>Chapter 4 of Title IV of Part Three</w:t>
            </w:r>
            <w:r w:rsidRPr="00661595">
              <w:rPr>
                <w:rFonts w:ascii="Times New Roman" w:hAnsi="Times New Roman"/>
                <w:sz w:val="24"/>
                <w:lang w:eastAsia="de-DE"/>
              </w:rPr>
              <w:t xml:space="preserve"> </w:t>
            </w:r>
            <w:r w:rsidR="00C7103D" w:rsidRPr="00661595">
              <w:rPr>
                <w:rFonts w:ascii="Times New Roman" w:hAnsi="Times New Roman"/>
                <w:sz w:val="24"/>
                <w:lang w:eastAsia="de-DE"/>
              </w:rPr>
              <w:t>CRR</w:t>
            </w:r>
            <w:r w:rsidR="00A2757B" w:rsidRPr="00661595">
              <w:rPr>
                <w:rFonts w:ascii="Times New Roman" w:hAnsi="Times New Roman"/>
                <w:sz w:val="24"/>
                <w:lang w:eastAsia="de-DE"/>
              </w:rPr>
              <w:t xml:space="preserve"> for any relevant position</w:t>
            </w:r>
          </w:p>
        </w:tc>
      </w:tr>
      <w:tr w:rsidR="000B0B09" w:rsidRPr="00661595" w:rsidTr="00672D2A">
        <w:tc>
          <w:tcPr>
            <w:tcW w:w="986" w:type="dxa"/>
          </w:tcPr>
          <w:p w:rsidR="000B0B09" w:rsidRPr="00661595" w:rsidRDefault="002F79EA"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070</w:t>
            </w:r>
          </w:p>
        </w:tc>
        <w:tc>
          <w:tcPr>
            <w:tcW w:w="7876" w:type="dxa"/>
          </w:tcPr>
          <w:p w:rsidR="000B0B09" w:rsidRPr="00661595" w:rsidRDefault="000B0B09" w:rsidP="000B0B09">
            <w:pPr>
              <w:tabs>
                <w:tab w:val="left" w:pos="1665"/>
              </w:tabs>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TOTAL RISK EXPOSURE AMOUNT</w:t>
            </w:r>
          </w:p>
          <w:p w:rsidR="000B0B09" w:rsidRPr="00661595" w:rsidRDefault="000B0B09" w:rsidP="000B0B09">
            <w:pPr>
              <w:tabs>
                <w:tab w:val="left" w:pos="1665"/>
              </w:tabs>
              <w:autoSpaceDE w:val="0"/>
              <w:autoSpaceDN w:val="0"/>
              <w:adjustRightInd w:val="0"/>
              <w:spacing w:before="0" w:after="0"/>
              <w:rPr>
                <w:rFonts w:ascii="Times New Roman" w:hAnsi="Times New Roman"/>
                <w:b/>
                <w:bCs/>
                <w:sz w:val="24"/>
                <w:u w:val="single"/>
                <w:lang w:eastAsia="nl-BE"/>
              </w:rPr>
            </w:pPr>
          </w:p>
          <w:p w:rsidR="00A2757B" w:rsidRPr="00661595" w:rsidRDefault="00D21B29" w:rsidP="001A0143">
            <w:pPr>
              <w:tabs>
                <w:tab w:val="left" w:pos="1665"/>
              </w:tabs>
              <w:autoSpaceDE w:val="0"/>
              <w:autoSpaceDN w:val="0"/>
              <w:adjustRightInd w:val="0"/>
              <w:spacing w:before="0"/>
              <w:rPr>
                <w:rFonts w:ascii="Times New Roman" w:hAnsi="Times New Roman"/>
                <w:sz w:val="24"/>
                <w:lang w:eastAsia="de-DE"/>
              </w:rPr>
            </w:pPr>
            <w:r w:rsidRPr="00661595">
              <w:rPr>
                <w:rFonts w:ascii="Times New Roman" w:hAnsi="Times New Roman"/>
                <w:sz w:val="24"/>
              </w:rPr>
              <w:t xml:space="preserve">Point (b) of </w:t>
            </w:r>
            <w:r w:rsidR="000B0B09" w:rsidRPr="00661595">
              <w:rPr>
                <w:rFonts w:ascii="Times New Roman" w:hAnsi="Times New Roman"/>
                <w:sz w:val="24"/>
                <w:lang w:eastAsia="de-DE"/>
              </w:rPr>
              <w:t xml:space="preserve">Article 92(4) </w:t>
            </w:r>
            <w:r w:rsidR="00C7103D" w:rsidRPr="00661595">
              <w:rPr>
                <w:rFonts w:ascii="Times New Roman" w:hAnsi="Times New Roman"/>
                <w:sz w:val="24"/>
                <w:lang w:eastAsia="de-DE"/>
              </w:rPr>
              <w:t>CRR</w:t>
            </w:r>
            <w:r w:rsidR="005C14B0" w:rsidRPr="00661595">
              <w:rPr>
                <w:rFonts w:ascii="Times New Roman" w:hAnsi="Times New Roman"/>
                <w:sz w:val="24"/>
                <w:lang w:eastAsia="de-DE"/>
              </w:rPr>
              <w:t xml:space="preserve">. </w:t>
            </w:r>
          </w:p>
          <w:p w:rsidR="000B0B09" w:rsidRPr="00661595" w:rsidRDefault="000B0B09" w:rsidP="001A0143">
            <w:pPr>
              <w:tabs>
                <w:tab w:val="left" w:pos="1665"/>
              </w:tabs>
              <w:autoSpaceDE w:val="0"/>
              <w:autoSpaceDN w:val="0"/>
              <w:adjustRightInd w:val="0"/>
              <w:spacing w:before="0"/>
              <w:rPr>
                <w:rFonts w:ascii="Times New Roman" w:hAnsi="Times New Roman"/>
                <w:b/>
                <w:bCs/>
                <w:sz w:val="24"/>
                <w:u w:val="single"/>
                <w:lang w:eastAsia="nl-BE"/>
              </w:rPr>
            </w:pPr>
            <w:r w:rsidRPr="00661595">
              <w:rPr>
                <w:rFonts w:ascii="Times New Roman" w:hAnsi="Times New Roman"/>
                <w:sz w:val="24"/>
                <w:lang w:eastAsia="de-DE"/>
              </w:rPr>
              <w:t xml:space="preserve">Result of the multiplication of the own funds requirements </w:t>
            </w:r>
            <w:r w:rsidR="00D21B29" w:rsidRPr="00661595">
              <w:rPr>
                <w:rFonts w:ascii="Times New Roman" w:hAnsi="Times New Roman"/>
                <w:sz w:val="24"/>
                <w:lang w:eastAsia="de-DE"/>
              </w:rPr>
              <w:t xml:space="preserve">by </w:t>
            </w:r>
            <w:r w:rsidRPr="00661595">
              <w:rPr>
                <w:rFonts w:ascii="Times New Roman" w:hAnsi="Times New Roman"/>
                <w:sz w:val="24"/>
                <w:lang w:eastAsia="de-DE"/>
              </w:rPr>
              <w:t>12</w:t>
            </w:r>
            <w:r w:rsidR="001A0143" w:rsidRPr="00661595">
              <w:rPr>
                <w:rFonts w:ascii="Times New Roman" w:hAnsi="Times New Roman"/>
                <w:sz w:val="24"/>
                <w:lang w:eastAsia="de-DE"/>
              </w:rPr>
              <w:t>,</w:t>
            </w:r>
            <w:r w:rsidRPr="00661595">
              <w:rPr>
                <w:rFonts w:ascii="Times New Roman" w:hAnsi="Times New Roman"/>
                <w:sz w:val="24"/>
                <w:lang w:eastAsia="de-DE"/>
              </w:rPr>
              <w:t>5</w:t>
            </w:r>
          </w:p>
        </w:tc>
      </w:tr>
    </w:tbl>
    <w:p w:rsidR="000B0B09" w:rsidRPr="00661595" w:rsidRDefault="000B0B09" w:rsidP="000B0B09">
      <w:pPr>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7"/>
        <w:gridCol w:w="7875"/>
      </w:tblGrid>
      <w:tr w:rsidR="000B0B09" w:rsidRPr="00661595" w:rsidTr="00672D2A">
        <w:trPr>
          <w:trHeight w:val="483"/>
        </w:trPr>
        <w:tc>
          <w:tcPr>
            <w:tcW w:w="8862" w:type="dxa"/>
            <w:gridSpan w:val="2"/>
            <w:shd w:val="clear" w:color="auto" w:fill="CCCCCC"/>
          </w:tcPr>
          <w:p w:rsidR="000B0B09" w:rsidRPr="00661595" w:rsidRDefault="000B0B09" w:rsidP="000B0B09">
            <w:pPr>
              <w:autoSpaceDE w:val="0"/>
              <w:autoSpaceDN w:val="0"/>
              <w:adjustRightInd w:val="0"/>
              <w:spacing w:after="0"/>
              <w:rPr>
                <w:rFonts w:ascii="Times New Roman" w:hAnsi="Times New Roman"/>
                <w:b/>
                <w:sz w:val="24"/>
                <w:lang w:eastAsia="nl-BE"/>
              </w:rPr>
            </w:pPr>
            <w:r w:rsidRPr="00661595">
              <w:rPr>
                <w:rFonts w:ascii="Times New Roman" w:hAnsi="Times New Roman"/>
                <w:b/>
                <w:sz w:val="24"/>
                <w:lang w:eastAsia="nl-BE"/>
              </w:rPr>
              <w:t>Rows</w:t>
            </w:r>
          </w:p>
        </w:tc>
      </w:tr>
      <w:tr w:rsidR="000B0B09" w:rsidRPr="00661595" w:rsidTr="00672D2A">
        <w:tc>
          <w:tcPr>
            <w:tcW w:w="987" w:type="dxa"/>
          </w:tcPr>
          <w:p w:rsidR="000B0B09" w:rsidRPr="00661595" w:rsidRDefault="002F79EA"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010</w:t>
            </w:r>
          </w:p>
        </w:tc>
        <w:tc>
          <w:tcPr>
            <w:tcW w:w="7875" w:type="dxa"/>
          </w:tcPr>
          <w:p w:rsidR="000B0B09" w:rsidRPr="00661595" w:rsidRDefault="000B0B09" w:rsidP="000B0B09">
            <w:pPr>
              <w:autoSpaceDE w:val="0"/>
              <w:autoSpaceDN w:val="0"/>
              <w:adjustRightInd w:val="0"/>
              <w:spacing w:before="0" w:after="0"/>
              <w:rPr>
                <w:rFonts w:ascii="Times New Roman" w:hAnsi="Times New Roman"/>
                <w:b/>
                <w:bCs/>
                <w:sz w:val="24"/>
                <w:u w:val="single"/>
              </w:rPr>
            </w:pPr>
            <w:r w:rsidRPr="00661595">
              <w:rPr>
                <w:rFonts w:ascii="Times New Roman" w:hAnsi="Times New Roman"/>
                <w:b/>
                <w:bCs/>
                <w:sz w:val="24"/>
                <w:u w:val="single"/>
              </w:rPr>
              <w:t>TOTAL POSITIONS IN COMMODITIES</w:t>
            </w:r>
          </w:p>
          <w:p w:rsidR="000B0B09" w:rsidRPr="00661595" w:rsidRDefault="000B0B09" w:rsidP="000B0B09">
            <w:pPr>
              <w:autoSpaceDE w:val="0"/>
              <w:autoSpaceDN w:val="0"/>
              <w:adjustRightInd w:val="0"/>
              <w:spacing w:before="0" w:after="0"/>
              <w:rPr>
                <w:rFonts w:ascii="Times New Roman" w:hAnsi="Times New Roman"/>
                <w:sz w:val="24"/>
              </w:rPr>
            </w:pPr>
          </w:p>
          <w:p w:rsidR="000B0B09" w:rsidRPr="00661595" w:rsidRDefault="000B0B09" w:rsidP="00A2757B">
            <w:pPr>
              <w:autoSpaceDE w:val="0"/>
              <w:autoSpaceDN w:val="0"/>
              <w:adjustRightInd w:val="0"/>
              <w:spacing w:before="0"/>
              <w:rPr>
                <w:rFonts w:ascii="Times New Roman" w:hAnsi="Times New Roman"/>
                <w:sz w:val="24"/>
                <w:lang w:eastAsia="nl-BE"/>
              </w:rPr>
            </w:pPr>
            <w:r w:rsidRPr="00661595">
              <w:rPr>
                <w:rFonts w:ascii="Times New Roman" w:hAnsi="Times New Roman"/>
                <w:sz w:val="24"/>
              </w:rPr>
              <w:t xml:space="preserve">Positions in commodities and their correspondent own funds requirements for market risk </w:t>
            </w:r>
            <w:r w:rsidR="001A0143" w:rsidRPr="00661595">
              <w:rPr>
                <w:rFonts w:ascii="Times New Roman" w:hAnsi="Times New Roman"/>
                <w:sz w:val="24"/>
              </w:rPr>
              <w:t xml:space="preserve">calculated </w:t>
            </w:r>
            <w:r w:rsidR="00BB22D4" w:rsidRPr="00661595">
              <w:rPr>
                <w:rFonts w:ascii="Times New Roman" w:hAnsi="Times New Roman"/>
                <w:sz w:val="24"/>
              </w:rPr>
              <w:t>in accordance with</w:t>
            </w:r>
            <w:r w:rsidRPr="00661595">
              <w:rPr>
                <w:rFonts w:ascii="Times New Roman" w:hAnsi="Times New Roman"/>
                <w:sz w:val="24"/>
              </w:rPr>
              <w:t xml:space="preserve"> </w:t>
            </w:r>
            <w:r w:rsidR="00705025" w:rsidRPr="00661595">
              <w:rPr>
                <w:rFonts w:ascii="Times New Roman" w:hAnsi="Times New Roman"/>
                <w:sz w:val="24"/>
              </w:rPr>
              <w:t>point</w:t>
            </w:r>
            <w:r w:rsidR="001A0143" w:rsidRPr="00661595">
              <w:rPr>
                <w:rFonts w:ascii="Times New Roman" w:hAnsi="Times New Roman"/>
                <w:sz w:val="24"/>
              </w:rPr>
              <w:t xml:space="preserve"> </w:t>
            </w:r>
            <w:r w:rsidR="00A2757B" w:rsidRPr="00661595">
              <w:rPr>
                <w:rFonts w:ascii="Times New Roman" w:hAnsi="Times New Roman"/>
                <w:sz w:val="24"/>
              </w:rPr>
              <w:t>(c)</w:t>
            </w:r>
            <w:r w:rsidR="00705025" w:rsidRPr="00661595">
              <w:rPr>
                <w:rFonts w:ascii="Times New Roman" w:hAnsi="Times New Roman"/>
                <w:sz w:val="24"/>
              </w:rPr>
              <w:t xml:space="preserve">(iii) of </w:t>
            </w:r>
            <w:r w:rsidR="00D21B29" w:rsidRPr="00661595">
              <w:rPr>
                <w:rFonts w:ascii="Times New Roman" w:hAnsi="Times New Roman"/>
                <w:sz w:val="24"/>
              </w:rPr>
              <w:t>Article</w:t>
            </w:r>
            <w:r w:rsidRPr="00661595">
              <w:rPr>
                <w:rFonts w:ascii="Times New Roman" w:hAnsi="Times New Roman"/>
                <w:sz w:val="24"/>
              </w:rPr>
              <w:t xml:space="preserve"> 92(3) CRR and </w:t>
            </w:r>
            <w:r w:rsidR="005C14B0" w:rsidRPr="00661595">
              <w:rPr>
                <w:rFonts w:ascii="Times New Roman" w:hAnsi="Times New Roman"/>
                <w:sz w:val="24"/>
                <w:lang w:eastAsia="de-DE"/>
              </w:rPr>
              <w:t xml:space="preserve">Chapter 4 of Title IV of Part Three </w:t>
            </w:r>
            <w:r w:rsidR="00C7103D" w:rsidRPr="00661595">
              <w:rPr>
                <w:rFonts w:ascii="Times New Roman" w:hAnsi="Times New Roman"/>
                <w:sz w:val="24"/>
              </w:rPr>
              <w:t>CRR</w:t>
            </w:r>
            <w:r w:rsidRPr="00661595">
              <w:rPr>
                <w:rFonts w:ascii="Times New Roman" w:hAnsi="Times New Roman"/>
                <w:sz w:val="24"/>
              </w:rPr>
              <w:t xml:space="preserve"> </w:t>
            </w:r>
          </w:p>
        </w:tc>
      </w:tr>
      <w:tr w:rsidR="000B0B09" w:rsidRPr="00661595" w:rsidTr="00672D2A">
        <w:tc>
          <w:tcPr>
            <w:tcW w:w="987" w:type="dxa"/>
          </w:tcPr>
          <w:p w:rsidR="000B0B09" w:rsidRPr="00661595" w:rsidRDefault="002F79EA" w:rsidP="00B74792">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020</w:t>
            </w:r>
            <w:r w:rsidR="00B74792" w:rsidRPr="00661595">
              <w:rPr>
                <w:rFonts w:ascii="Times New Roman" w:hAnsi="Times New Roman"/>
                <w:sz w:val="24"/>
                <w:lang w:eastAsia="nl-BE"/>
              </w:rPr>
              <w:t>-</w:t>
            </w:r>
            <w:r w:rsidRPr="00661595">
              <w:rPr>
                <w:rFonts w:ascii="Times New Roman" w:hAnsi="Times New Roman"/>
                <w:sz w:val="24"/>
                <w:lang w:eastAsia="nl-BE"/>
              </w:rPr>
              <w:t>0</w:t>
            </w:r>
            <w:r w:rsidR="000B0B09" w:rsidRPr="00661595">
              <w:rPr>
                <w:rFonts w:ascii="Times New Roman" w:hAnsi="Times New Roman"/>
                <w:sz w:val="24"/>
                <w:lang w:eastAsia="nl-BE"/>
              </w:rPr>
              <w:t>060</w:t>
            </w:r>
          </w:p>
        </w:tc>
        <w:tc>
          <w:tcPr>
            <w:tcW w:w="7875"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POSITIONS BY CATEGORY OF COMMODITY</w:t>
            </w:r>
          </w:p>
          <w:p w:rsidR="000B0B09" w:rsidRPr="00661595" w:rsidRDefault="000B0B09" w:rsidP="000B0B09">
            <w:pPr>
              <w:autoSpaceDE w:val="0"/>
              <w:autoSpaceDN w:val="0"/>
              <w:adjustRightInd w:val="0"/>
              <w:spacing w:before="0" w:after="0"/>
              <w:rPr>
                <w:rFonts w:ascii="Times New Roman" w:hAnsi="Times New Roman"/>
                <w:sz w:val="24"/>
                <w:lang w:eastAsia="de-DE"/>
              </w:rPr>
            </w:pPr>
          </w:p>
          <w:p w:rsidR="000B0B09" w:rsidRPr="00661595" w:rsidRDefault="000B0B09" w:rsidP="000B0B09">
            <w:pPr>
              <w:autoSpaceDE w:val="0"/>
              <w:autoSpaceDN w:val="0"/>
              <w:adjustRightInd w:val="0"/>
              <w:spacing w:before="0" w:after="0"/>
              <w:rPr>
                <w:rFonts w:ascii="Times New Roman" w:hAnsi="Times New Roman"/>
                <w:sz w:val="24"/>
              </w:rPr>
            </w:pPr>
            <w:r w:rsidRPr="00661595">
              <w:rPr>
                <w:rFonts w:ascii="Times New Roman" w:hAnsi="Times New Roman"/>
                <w:sz w:val="24"/>
              </w:rPr>
              <w:t>For reporting purposes</w:t>
            </w:r>
            <w:r w:rsidR="001A0143" w:rsidRPr="00661595">
              <w:rPr>
                <w:rFonts w:ascii="Times New Roman" w:hAnsi="Times New Roman"/>
                <w:sz w:val="24"/>
              </w:rPr>
              <w:t>,</w:t>
            </w:r>
            <w:r w:rsidRPr="00661595">
              <w:rPr>
                <w:rFonts w:ascii="Times New Roman" w:hAnsi="Times New Roman"/>
                <w:sz w:val="24"/>
              </w:rPr>
              <w:t xml:space="preserve"> commodities </w:t>
            </w:r>
            <w:r w:rsidR="005C14B0" w:rsidRPr="00661595">
              <w:rPr>
                <w:rFonts w:ascii="Times New Roman" w:hAnsi="Times New Roman"/>
                <w:sz w:val="24"/>
              </w:rPr>
              <w:t xml:space="preserve">shall be </w:t>
            </w:r>
            <w:r w:rsidRPr="00661595">
              <w:rPr>
                <w:rFonts w:ascii="Times New Roman" w:hAnsi="Times New Roman"/>
                <w:sz w:val="24"/>
              </w:rPr>
              <w:t>grouped in the four groups of commodities referred to in Table 2 of Article 361 CRR.</w:t>
            </w:r>
          </w:p>
          <w:p w:rsidR="000B0B09" w:rsidRPr="00661595" w:rsidRDefault="000B0B09"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rPr>
              <w:t xml:space="preserve"> </w:t>
            </w:r>
          </w:p>
        </w:tc>
      </w:tr>
      <w:tr w:rsidR="000B0B09" w:rsidRPr="00661595" w:rsidTr="00672D2A">
        <w:tc>
          <w:tcPr>
            <w:tcW w:w="987" w:type="dxa"/>
          </w:tcPr>
          <w:p w:rsidR="000B0B09" w:rsidRPr="00661595" w:rsidRDefault="002F79EA"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070</w:t>
            </w:r>
          </w:p>
        </w:tc>
        <w:tc>
          <w:tcPr>
            <w:tcW w:w="7875"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de-DE"/>
              </w:rPr>
            </w:pPr>
            <w:r w:rsidRPr="00661595">
              <w:rPr>
                <w:rFonts w:ascii="Times New Roman" w:hAnsi="Times New Roman"/>
                <w:b/>
                <w:bCs/>
                <w:sz w:val="24"/>
                <w:u w:val="single"/>
                <w:lang w:eastAsia="de-DE"/>
              </w:rPr>
              <w:t>MATURITY LADDER APPROACH</w:t>
            </w:r>
          </w:p>
          <w:p w:rsidR="000B0B09" w:rsidRPr="00661595" w:rsidRDefault="000B0B09" w:rsidP="000B0B09">
            <w:pPr>
              <w:autoSpaceDE w:val="0"/>
              <w:autoSpaceDN w:val="0"/>
              <w:adjustRightInd w:val="0"/>
              <w:spacing w:before="0" w:after="0"/>
              <w:rPr>
                <w:rFonts w:ascii="Times New Roman" w:hAnsi="Times New Roman"/>
                <w:sz w:val="24"/>
                <w:lang w:eastAsia="de-DE"/>
              </w:rPr>
            </w:pPr>
          </w:p>
          <w:p w:rsidR="000B0B09" w:rsidRPr="00661595" w:rsidRDefault="000B0B09" w:rsidP="000B0B09">
            <w:pPr>
              <w:autoSpaceDE w:val="0"/>
              <w:autoSpaceDN w:val="0"/>
              <w:adjustRightInd w:val="0"/>
              <w:spacing w:before="0" w:after="0"/>
              <w:rPr>
                <w:rFonts w:ascii="Times New Roman" w:hAnsi="Times New Roman"/>
                <w:sz w:val="24"/>
              </w:rPr>
            </w:pPr>
            <w:r w:rsidRPr="00661595">
              <w:rPr>
                <w:rFonts w:ascii="Times New Roman" w:hAnsi="Times New Roman"/>
                <w:sz w:val="24"/>
              </w:rPr>
              <w:t xml:space="preserve">Positions in commodities subject to the </w:t>
            </w:r>
            <w:r w:rsidR="001A0143" w:rsidRPr="00661595">
              <w:rPr>
                <w:rFonts w:ascii="Times New Roman" w:hAnsi="Times New Roman"/>
                <w:sz w:val="24"/>
              </w:rPr>
              <w:t>m</w:t>
            </w:r>
            <w:r w:rsidRPr="00661595">
              <w:rPr>
                <w:rFonts w:ascii="Times New Roman" w:hAnsi="Times New Roman"/>
                <w:sz w:val="24"/>
              </w:rPr>
              <w:t xml:space="preserve">aturity </w:t>
            </w:r>
            <w:r w:rsidR="001A0143" w:rsidRPr="00661595">
              <w:rPr>
                <w:rFonts w:ascii="Times New Roman" w:hAnsi="Times New Roman"/>
                <w:sz w:val="24"/>
              </w:rPr>
              <w:t>l</w:t>
            </w:r>
            <w:r w:rsidRPr="00661595">
              <w:rPr>
                <w:rFonts w:ascii="Times New Roman" w:hAnsi="Times New Roman"/>
                <w:sz w:val="24"/>
              </w:rPr>
              <w:t xml:space="preserve">adder approach referred to in Article 359 </w:t>
            </w:r>
            <w:r w:rsidR="00C7103D" w:rsidRPr="00661595">
              <w:rPr>
                <w:rFonts w:ascii="Times New Roman" w:hAnsi="Times New Roman"/>
                <w:sz w:val="24"/>
              </w:rPr>
              <w:t>CRR</w:t>
            </w:r>
          </w:p>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p>
        </w:tc>
      </w:tr>
      <w:tr w:rsidR="000B0B09" w:rsidRPr="00661595" w:rsidTr="00672D2A">
        <w:tc>
          <w:tcPr>
            <w:tcW w:w="987" w:type="dxa"/>
          </w:tcPr>
          <w:p w:rsidR="000B0B09" w:rsidRPr="00661595" w:rsidRDefault="002F79EA"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080</w:t>
            </w:r>
          </w:p>
        </w:tc>
        <w:tc>
          <w:tcPr>
            <w:tcW w:w="7875"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de-DE"/>
              </w:rPr>
            </w:pPr>
            <w:r w:rsidRPr="00661595">
              <w:rPr>
                <w:rFonts w:ascii="Times New Roman" w:hAnsi="Times New Roman"/>
                <w:b/>
                <w:bCs/>
                <w:sz w:val="24"/>
                <w:u w:val="single"/>
                <w:lang w:eastAsia="de-DE"/>
              </w:rPr>
              <w:t>EXTENDED MATURITY LADDER APPROACH</w:t>
            </w:r>
          </w:p>
          <w:p w:rsidR="000B0B09" w:rsidRPr="00661595" w:rsidRDefault="000B0B09" w:rsidP="000B0B09">
            <w:pPr>
              <w:autoSpaceDE w:val="0"/>
              <w:autoSpaceDN w:val="0"/>
              <w:adjustRightInd w:val="0"/>
              <w:spacing w:before="0" w:after="0"/>
              <w:rPr>
                <w:rFonts w:ascii="Times New Roman" w:hAnsi="Times New Roman"/>
                <w:sz w:val="24"/>
                <w:lang w:eastAsia="de-DE"/>
              </w:rPr>
            </w:pPr>
          </w:p>
          <w:p w:rsidR="000B0B09" w:rsidRPr="00661595" w:rsidRDefault="000B0B09" w:rsidP="000B0B09">
            <w:pPr>
              <w:autoSpaceDE w:val="0"/>
              <w:autoSpaceDN w:val="0"/>
              <w:adjustRightInd w:val="0"/>
              <w:spacing w:before="0" w:after="0"/>
              <w:rPr>
                <w:rFonts w:ascii="Times New Roman" w:hAnsi="Times New Roman"/>
                <w:sz w:val="24"/>
              </w:rPr>
            </w:pPr>
            <w:r w:rsidRPr="00661595">
              <w:rPr>
                <w:rFonts w:ascii="Times New Roman" w:hAnsi="Times New Roman"/>
                <w:sz w:val="24"/>
              </w:rPr>
              <w:t xml:space="preserve">Positions in commodities subject to the </w:t>
            </w:r>
            <w:r w:rsidR="001A0143" w:rsidRPr="00661595">
              <w:rPr>
                <w:rFonts w:ascii="Times New Roman" w:hAnsi="Times New Roman"/>
                <w:sz w:val="24"/>
              </w:rPr>
              <w:t>e</w:t>
            </w:r>
            <w:r w:rsidRPr="00661595">
              <w:rPr>
                <w:rFonts w:ascii="Times New Roman" w:hAnsi="Times New Roman"/>
                <w:sz w:val="24"/>
              </w:rPr>
              <w:t xml:space="preserve">xtended </w:t>
            </w:r>
            <w:r w:rsidR="001A0143" w:rsidRPr="00661595">
              <w:rPr>
                <w:rFonts w:ascii="Times New Roman" w:hAnsi="Times New Roman"/>
                <w:sz w:val="24"/>
              </w:rPr>
              <w:t>m</w:t>
            </w:r>
            <w:r w:rsidRPr="00661595">
              <w:rPr>
                <w:rFonts w:ascii="Times New Roman" w:hAnsi="Times New Roman"/>
                <w:sz w:val="24"/>
              </w:rPr>
              <w:t xml:space="preserve">aturity </w:t>
            </w:r>
            <w:r w:rsidR="001A0143" w:rsidRPr="00661595">
              <w:rPr>
                <w:rFonts w:ascii="Times New Roman" w:hAnsi="Times New Roman"/>
                <w:sz w:val="24"/>
              </w:rPr>
              <w:t>l</w:t>
            </w:r>
            <w:r w:rsidRPr="00661595">
              <w:rPr>
                <w:rFonts w:ascii="Times New Roman" w:hAnsi="Times New Roman"/>
                <w:sz w:val="24"/>
              </w:rPr>
              <w:t xml:space="preserve">adder approach referred to in Article 361 </w:t>
            </w:r>
            <w:r w:rsidR="00C7103D" w:rsidRPr="00661595">
              <w:rPr>
                <w:rFonts w:ascii="Times New Roman" w:hAnsi="Times New Roman"/>
                <w:sz w:val="24"/>
              </w:rPr>
              <w:t>CRR</w:t>
            </w:r>
          </w:p>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p>
        </w:tc>
      </w:tr>
      <w:tr w:rsidR="000B0B09" w:rsidRPr="00661595" w:rsidTr="00672D2A">
        <w:tc>
          <w:tcPr>
            <w:tcW w:w="987" w:type="dxa"/>
          </w:tcPr>
          <w:p w:rsidR="000B0B09" w:rsidRPr="00661595" w:rsidRDefault="002F79EA"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090</w:t>
            </w:r>
          </w:p>
        </w:tc>
        <w:tc>
          <w:tcPr>
            <w:tcW w:w="7875"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SIMPLIFIED APPROACH</w:t>
            </w:r>
          </w:p>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p>
          <w:p w:rsidR="000B0B09" w:rsidRPr="00661595" w:rsidRDefault="000B0B09" w:rsidP="000B0B09">
            <w:pPr>
              <w:autoSpaceDE w:val="0"/>
              <w:autoSpaceDN w:val="0"/>
              <w:adjustRightInd w:val="0"/>
              <w:spacing w:before="0" w:after="0"/>
              <w:rPr>
                <w:rFonts w:ascii="Times New Roman" w:hAnsi="Times New Roman"/>
                <w:sz w:val="24"/>
              </w:rPr>
            </w:pPr>
            <w:r w:rsidRPr="00661595">
              <w:rPr>
                <w:rFonts w:ascii="Times New Roman" w:hAnsi="Times New Roman"/>
                <w:sz w:val="24"/>
              </w:rPr>
              <w:t xml:space="preserve">Positions in commodities subject to the </w:t>
            </w:r>
            <w:r w:rsidR="001A0143" w:rsidRPr="00661595">
              <w:rPr>
                <w:rFonts w:ascii="Times New Roman" w:hAnsi="Times New Roman"/>
                <w:sz w:val="24"/>
              </w:rPr>
              <w:t>s</w:t>
            </w:r>
            <w:r w:rsidRPr="00661595">
              <w:rPr>
                <w:rFonts w:ascii="Times New Roman" w:hAnsi="Times New Roman"/>
                <w:sz w:val="24"/>
              </w:rPr>
              <w:t xml:space="preserve">implified approach  referred to in Article 360 </w:t>
            </w:r>
            <w:r w:rsidR="00C7103D" w:rsidRPr="00661595">
              <w:rPr>
                <w:rFonts w:ascii="Times New Roman" w:hAnsi="Times New Roman"/>
                <w:sz w:val="24"/>
              </w:rPr>
              <w:t>CRR</w:t>
            </w:r>
            <w:r w:rsidRPr="00661595">
              <w:rPr>
                <w:rFonts w:ascii="Times New Roman" w:hAnsi="Times New Roman"/>
                <w:sz w:val="24"/>
              </w:rPr>
              <w:t xml:space="preserve"> </w:t>
            </w:r>
          </w:p>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p>
        </w:tc>
      </w:tr>
      <w:tr w:rsidR="000B0B09" w:rsidRPr="00661595" w:rsidTr="00672D2A">
        <w:tc>
          <w:tcPr>
            <w:tcW w:w="987" w:type="dxa"/>
          </w:tcPr>
          <w:p w:rsidR="000B0B09" w:rsidRPr="00661595" w:rsidRDefault="002F79EA"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100-</w:t>
            </w:r>
            <w:r w:rsidRPr="00661595">
              <w:rPr>
                <w:rFonts w:ascii="Times New Roman" w:hAnsi="Times New Roman"/>
                <w:sz w:val="24"/>
                <w:lang w:eastAsia="nl-BE"/>
              </w:rPr>
              <w:t>0</w:t>
            </w:r>
            <w:r w:rsidR="000B0B09" w:rsidRPr="00661595">
              <w:rPr>
                <w:rFonts w:ascii="Times New Roman" w:hAnsi="Times New Roman"/>
                <w:sz w:val="24"/>
                <w:lang w:eastAsia="nl-BE"/>
              </w:rPr>
              <w:t>140</w:t>
            </w:r>
          </w:p>
        </w:tc>
        <w:tc>
          <w:tcPr>
            <w:tcW w:w="7875"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r w:rsidRPr="00661595">
              <w:rPr>
                <w:rStyle w:val="InstructionsTabelleberschrift"/>
                <w:rFonts w:ascii="Times New Roman" w:hAnsi="Times New Roman"/>
                <w:sz w:val="24"/>
              </w:rPr>
              <w:t>ADDITIONAL REQUIREMENTS FOR OPTIONS (NON-DELTA RISKS)</w:t>
            </w:r>
          </w:p>
          <w:p w:rsidR="000B0B09" w:rsidRPr="00661595" w:rsidRDefault="000B0B09" w:rsidP="001A0143">
            <w:pPr>
              <w:autoSpaceDE w:val="0"/>
              <w:autoSpaceDN w:val="0"/>
              <w:adjustRightInd w:val="0"/>
              <w:rPr>
                <w:rFonts w:ascii="Times New Roman" w:hAnsi="Times New Roman"/>
                <w:sz w:val="24"/>
                <w:lang w:eastAsia="de-DE"/>
              </w:rPr>
            </w:pPr>
            <w:r w:rsidRPr="00661595">
              <w:rPr>
                <w:rFonts w:ascii="Times New Roman" w:hAnsi="Times New Roman"/>
                <w:sz w:val="24"/>
                <w:lang w:eastAsia="de-DE"/>
              </w:rPr>
              <w:t xml:space="preserve">Article 358(4) </w:t>
            </w:r>
            <w:r w:rsidR="00C7103D" w:rsidRPr="00661595">
              <w:rPr>
                <w:rFonts w:ascii="Times New Roman" w:hAnsi="Times New Roman"/>
                <w:sz w:val="24"/>
                <w:lang w:eastAsia="de-DE"/>
              </w:rPr>
              <w:t>CRR</w:t>
            </w:r>
            <w:r w:rsidRPr="00661595">
              <w:rPr>
                <w:rFonts w:ascii="Times New Roman" w:hAnsi="Times New Roman"/>
                <w:sz w:val="24"/>
                <w:lang w:eastAsia="de-DE"/>
              </w:rPr>
              <w:t xml:space="preserve"> </w:t>
            </w:r>
          </w:p>
          <w:p w:rsidR="000B0B09" w:rsidRPr="00661595" w:rsidRDefault="000B0B09" w:rsidP="000B0B09">
            <w:pPr>
              <w:autoSpaceDE w:val="0"/>
              <w:autoSpaceDN w:val="0"/>
              <w:adjustRightInd w:val="0"/>
              <w:spacing w:before="0" w:after="0"/>
              <w:rPr>
                <w:rFonts w:ascii="Times New Roman" w:hAnsi="Times New Roman"/>
                <w:sz w:val="24"/>
                <w:lang w:eastAsia="de-DE"/>
              </w:rPr>
            </w:pPr>
            <w:r w:rsidRPr="00661595">
              <w:rPr>
                <w:rFonts w:ascii="Times New Roman" w:hAnsi="Times New Roman"/>
                <w:sz w:val="24"/>
                <w:lang w:eastAsia="de-DE"/>
              </w:rPr>
              <w:t>The additional requirements for options related to non-delta risks shall be reported in the method used for its calculation</w:t>
            </w:r>
            <w:r w:rsidR="005C14B0" w:rsidRPr="00661595">
              <w:rPr>
                <w:rFonts w:ascii="Times New Roman" w:hAnsi="Times New Roman"/>
                <w:sz w:val="24"/>
                <w:lang w:eastAsia="de-DE"/>
              </w:rPr>
              <w:t>.</w:t>
            </w:r>
          </w:p>
          <w:p w:rsidR="000B0B09" w:rsidRPr="00661595" w:rsidRDefault="000B0B09" w:rsidP="000B0B09">
            <w:pPr>
              <w:autoSpaceDE w:val="0"/>
              <w:autoSpaceDN w:val="0"/>
              <w:adjustRightInd w:val="0"/>
              <w:spacing w:before="0" w:after="0"/>
              <w:rPr>
                <w:rFonts w:ascii="Times New Roman" w:hAnsi="Times New Roman"/>
                <w:sz w:val="24"/>
                <w:lang w:eastAsia="de-DE"/>
              </w:rPr>
            </w:pPr>
          </w:p>
        </w:tc>
      </w:tr>
    </w:tbl>
    <w:p w:rsidR="000B0B09" w:rsidRPr="00661595" w:rsidRDefault="000B0B09" w:rsidP="000B0B09">
      <w:pPr>
        <w:rPr>
          <w:rFonts w:ascii="Times New Roman" w:hAnsi="Times New Roman"/>
          <w:sz w:val="24"/>
        </w:rPr>
      </w:pPr>
    </w:p>
    <w:p w:rsidR="000B0B09" w:rsidRPr="00661595" w:rsidRDefault="00125707" w:rsidP="0023700C">
      <w:pPr>
        <w:pStyle w:val="Instructionsberschrift2"/>
        <w:numPr>
          <w:ilvl w:val="0"/>
          <w:numId w:val="0"/>
        </w:numPr>
        <w:ind w:left="357" w:hanging="357"/>
        <w:rPr>
          <w:rFonts w:ascii="Times New Roman" w:hAnsi="Times New Roman"/>
          <w:sz w:val="24"/>
          <w:lang w:val="en-GB"/>
        </w:rPr>
      </w:pPr>
      <w:bookmarkStart w:id="727" w:name="_Toc262566438"/>
      <w:bookmarkStart w:id="728" w:name="_Toc295830014"/>
      <w:bookmarkStart w:id="729" w:name="_Toc308426691"/>
      <w:bookmarkStart w:id="730" w:name="_Toc310415075"/>
      <w:bookmarkStart w:id="731" w:name="_Toc360188410"/>
      <w:bookmarkStart w:id="732" w:name="_Toc473561050"/>
      <w:bookmarkStart w:id="733" w:name="_Toc57831654"/>
      <w:r w:rsidRPr="00661595">
        <w:rPr>
          <w:rFonts w:ascii="Times New Roman" w:hAnsi="Times New Roman" w:cs="Times New Roman"/>
          <w:sz w:val="24"/>
          <w:u w:val="none"/>
          <w:lang w:val="en-GB"/>
        </w:rPr>
        <w:t>5.7.</w:t>
      </w:r>
      <w:r w:rsidRPr="00661595">
        <w:rPr>
          <w:rFonts w:ascii="Times New Roman" w:hAnsi="Times New Roman" w:cs="Times New Roman"/>
          <w:sz w:val="24"/>
          <w:u w:val="none"/>
          <w:lang w:val="en-GB"/>
        </w:rPr>
        <w:tab/>
      </w:r>
      <w:r w:rsidR="008B73EE" w:rsidRPr="00661595">
        <w:rPr>
          <w:rFonts w:ascii="Times New Roman" w:hAnsi="Times New Roman"/>
          <w:sz w:val="24"/>
          <w:lang w:val="en-GB"/>
        </w:rPr>
        <w:t xml:space="preserve">C 24.00 </w:t>
      </w:r>
      <w:r w:rsidR="000B0B09" w:rsidRPr="00661595">
        <w:rPr>
          <w:rFonts w:ascii="Times New Roman" w:hAnsi="Times New Roman"/>
          <w:sz w:val="24"/>
          <w:lang w:val="en-GB"/>
        </w:rPr>
        <w:t>- Market Risk Internal Model</w:t>
      </w:r>
      <w:bookmarkEnd w:id="727"/>
      <w:bookmarkEnd w:id="728"/>
      <w:bookmarkEnd w:id="729"/>
      <w:bookmarkEnd w:id="730"/>
      <w:bookmarkEnd w:id="731"/>
      <w:r w:rsidR="008B73EE" w:rsidRPr="00661595">
        <w:rPr>
          <w:rFonts w:ascii="Times New Roman" w:hAnsi="Times New Roman"/>
          <w:sz w:val="24"/>
          <w:lang w:val="en-GB"/>
        </w:rPr>
        <w:t xml:space="preserve"> (MKR IM)</w:t>
      </w:r>
      <w:bookmarkEnd w:id="732"/>
      <w:bookmarkEnd w:id="733"/>
    </w:p>
    <w:p w:rsidR="000B0B09"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734" w:name="_Toc262566439"/>
      <w:bookmarkStart w:id="735" w:name="_Toc295830015"/>
      <w:bookmarkStart w:id="736" w:name="_Toc308426692"/>
      <w:bookmarkStart w:id="737" w:name="_Toc310415076"/>
      <w:bookmarkStart w:id="738" w:name="_Toc360188411"/>
      <w:bookmarkStart w:id="739" w:name="_Toc473561051"/>
      <w:bookmarkStart w:id="740" w:name="_Toc57831655"/>
      <w:r w:rsidRPr="00661595">
        <w:rPr>
          <w:rFonts w:ascii="Times New Roman" w:hAnsi="Times New Roman" w:cs="Times New Roman"/>
          <w:sz w:val="24"/>
          <w:u w:val="none"/>
          <w:lang w:val="en-GB"/>
        </w:rPr>
        <w:t>5.7.1.</w:t>
      </w:r>
      <w:r w:rsidRPr="00661595">
        <w:rPr>
          <w:rFonts w:ascii="Times New Roman" w:hAnsi="Times New Roman" w:cs="Times New Roman"/>
          <w:sz w:val="24"/>
          <w:u w:val="none"/>
          <w:lang w:val="en-GB"/>
        </w:rPr>
        <w:tab/>
      </w:r>
      <w:r w:rsidR="000B0B09" w:rsidRPr="00661595">
        <w:rPr>
          <w:rFonts w:ascii="Times New Roman" w:hAnsi="Times New Roman" w:cs="Times New Roman"/>
          <w:sz w:val="24"/>
          <w:lang w:val="en-GB"/>
        </w:rPr>
        <w:t>General Remarks</w:t>
      </w:r>
      <w:bookmarkEnd w:id="734"/>
      <w:bookmarkEnd w:id="735"/>
      <w:bookmarkEnd w:id="736"/>
      <w:bookmarkEnd w:id="737"/>
      <w:bookmarkEnd w:id="738"/>
      <w:bookmarkEnd w:id="739"/>
      <w:bookmarkEnd w:id="740"/>
    </w:p>
    <w:p w:rsidR="000B0B09" w:rsidRPr="00661595" w:rsidRDefault="00D11E4C" w:rsidP="00487A02">
      <w:pPr>
        <w:pStyle w:val="InstructionsText2"/>
        <w:numPr>
          <w:ilvl w:val="0"/>
          <w:numId w:val="0"/>
        </w:numPr>
        <w:ind w:left="1353" w:hanging="360"/>
      </w:pPr>
      <w:fldSimple w:instr=" seq paragraphs ">
        <w:r w:rsidR="00771068">
          <w:rPr>
            <w:noProof/>
          </w:rPr>
          <w:t>174</w:t>
        </w:r>
      </w:fldSimple>
      <w:r w:rsidR="00125707" w:rsidRPr="00661595">
        <w:t>.</w:t>
      </w:r>
      <w:r w:rsidR="00125707" w:rsidRPr="00661595">
        <w:tab/>
      </w:r>
      <w:r w:rsidR="005C14B0" w:rsidRPr="00661595">
        <w:t xml:space="preserve"> </w:t>
      </w:r>
      <w:r w:rsidR="000B0B09" w:rsidRPr="00661595">
        <w:t xml:space="preserve">This template provides a breakdown of VaR and stressed VaR (sVaR) figures </w:t>
      </w:r>
      <w:r w:rsidR="00001AF1" w:rsidRPr="00661595">
        <w:t>by</w:t>
      </w:r>
      <w:r w:rsidR="000B0B09" w:rsidRPr="00661595">
        <w:t xml:space="preserve"> the different market risks (debt, equity, FX, commodities) and other information relevant for the calculation of the own funds requirements.</w:t>
      </w:r>
    </w:p>
    <w:p w:rsidR="000B0B09" w:rsidRPr="00661595" w:rsidRDefault="00D11E4C" w:rsidP="00487A02">
      <w:pPr>
        <w:pStyle w:val="InstructionsText2"/>
        <w:numPr>
          <w:ilvl w:val="0"/>
          <w:numId w:val="0"/>
        </w:numPr>
        <w:ind w:left="1353" w:hanging="360"/>
      </w:pPr>
      <w:fldSimple w:instr=" seq paragraphs ">
        <w:r w:rsidR="00771068">
          <w:rPr>
            <w:noProof/>
          </w:rPr>
          <w:t>175</w:t>
        </w:r>
      </w:fldSimple>
      <w:r w:rsidR="00125707" w:rsidRPr="00661595">
        <w:t>.</w:t>
      </w:r>
      <w:r w:rsidR="00125707" w:rsidRPr="00661595">
        <w:tab/>
      </w:r>
      <w:r w:rsidR="005C14B0" w:rsidRPr="00661595">
        <w:t xml:space="preserve"> </w:t>
      </w:r>
      <w:r w:rsidR="000B0B09" w:rsidRPr="00661595">
        <w:t>Generally</w:t>
      </w:r>
      <w:r w:rsidR="0016282F" w:rsidRPr="00661595">
        <w:t>,</w:t>
      </w:r>
      <w:r w:rsidR="000B0B09" w:rsidRPr="00661595">
        <w:t xml:space="preserve"> </w:t>
      </w:r>
      <w:r w:rsidR="00001AF1" w:rsidRPr="00661595">
        <w:t>it</w:t>
      </w:r>
      <w:r w:rsidR="0016282F" w:rsidRPr="00661595">
        <w:t xml:space="preserve"> </w:t>
      </w:r>
      <w:r w:rsidR="000B0B09" w:rsidRPr="00661595">
        <w:t>depends on the structure of the model of the institutions</w:t>
      </w:r>
      <w:r w:rsidR="002300C6" w:rsidRPr="00661595">
        <w:t xml:space="preserve"> </w:t>
      </w:r>
      <w:r w:rsidR="000B0B09" w:rsidRPr="00661595">
        <w:t xml:space="preserve">whether the figures for general and specific risk </w:t>
      </w:r>
      <w:r w:rsidR="00CD35F2" w:rsidRPr="00661595">
        <w:t xml:space="preserve">can be determined and reported </w:t>
      </w:r>
      <w:r w:rsidR="000B0B09" w:rsidRPr="00661595">
        <w:t xml:space="preserve">separately or </w:t>
      </w:r>
      <w:r w:rsidR="00CD35F2" w:rsidRPr="00661595">
        <w:t>only as a total</w:t>
      </w:r>
      <w:r w:rsidR="000B0B09" w:rsidRPr="00661595">
        <w:t>. The same holds true for the decomposition of the V</w:t>
      </w:r>
      <w:r w:rsidR="00CD35F2" w:rsidRPr="00661595">
        <w:t>a</w:t>
      </w:r>
      <w:r w:rsidR="000B0B09" w:rsidRPr="00661595">
        <w:t>R /Stress-Va</w:t>
      </w:r>
      <w:r w:rsidR="00CD35F2" w:rsidRPr="00661595">
        <w:t>R</w:t>
      </w:r>
      <w:r w:rsidR="000B0B09" w:rsidRPr="00661595">
        <w:t xml:space="preserve"> into the risk categories (interest rate risk, equity risk, commodities risk and foreign exchange risk). An institution can </w:t>
      </w:r>
      <w:r w:rsidR="00CD35F2" w:rsidRPr="00661595">
        <w:t xml:space="preserve">refrain from </w:t>
      </w:r>
      <w:r w:rsidR="000B0B09" w:rsidRPr="00661595">
        <w:t>report</w:t>
      </w:r>
      <w:r w:rsidR="00CD35F2" w:rsidRPr="00661595">
        <w:t>ing</w:t>
      </w:r>
      <w:r w:rsidR="000B0B09" w:rsidRPr="00661595">
        <w:t xml:space="preserve"> th</w:t>
      </w:r>
      <w:r w:rsidR="0016282F" w:rsidRPr="00661595">
        <w:t>ose</w:t>
      </w:r>
      <w:r w:rsidR="000B0B09" w:rsidRPr="00661595">
        <w:t xml:space="preserve"> decompositions if it proves that reporting th</w:t>
      </w:r>
      <w:r w:rsidR="0016282F" w:rsidRPr="00661595">
        <w:t>o</w:t>
      </w:r>
      <w:r w:rsidR="000B0B09" w:rsidRPr="00661595">
        <w:t>se figures would be unduly burdensome.</w:t>
      </w:r>
      <w:r w:rsidR="00730040" w:rsidRPr="00661595">
        <w:t xml:space="preserve"> </w:t>
      </w:r>
    </w:p>
    <w:p w:rsidR="000B0B09"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741" w:name="_Toc262566440"/>
      <w:bookmarkStart w:id="742" w:name="_Toc295830016"/>
      <w:bookmarkStart w:id="743" w:name="_Toc308426693"/>
      <w:bookmarkStart w:id="744" w:name="_Toc310415077"/>
      <w:bookmarkStart w:id="745" w:name="_Toc360188412"/>
      <w:bookmarkStart w:id="746" w:name="_Toc473561052"/>
      <w:bookmarkStart w:id="747" w:name="_Toc57831656"/>
      <w:r w:rsidRPr="00661595">
        <w:rPr>
          <w:rFonts w:ascii="Times New Roman" w:hAnsi="Times New Roman" w:cs="Times New Roman"/>
          <w:sz w:val="24"/>
          <w:u w:val="none"/>
          <w:lang w:val="en-GB"/>
        </w:rPr>
        <w:t>5.7.2.</w:t>
      </w:r>
      <w:r w:rsidRPr="00661595">
        <w:rPr>
          <w:rFonts w:ascii="Times New Roman" w:hAnsi="Times New Roman" w:cs="Times New Roman"/>
          <w:sz w:val="24"/>
          <w:u w:val="none"/>
          <w:lang w:val="en-GB"/>
        </w:rPr>
        <w:tab/>
      </w:r>
      <w:r w:rsidR="000B0B09" w:rsidRPr="00661595">
        <w:rPr>
          <w:rFonts w:ascii="Times New Roman" w:hAnsi="Times New Roman" w:cs="Times New Roman"/>
          <w:sz w:val="24"/>
          <w:lang w:val="en-GB"/>
        </w:rPr>
        <w:t>Instructions concerning specific positions</w:t>
      </w:r>
      <w:bookmarkEnd w:id="741"/>
      <w:bookmarkEnd w:id="742"/>
      <w:bookmarkEnd w:id="743"/>
      <w:bookmarkEnd w:id="744"/>
      <w:bookmarkEnd w:id="745"/>
      <w:bookmarkEnd w:id="746"/>
      <w:bookmarkEnd w:id="7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7869"/>
      </w:tblGrid>
      <w:tr w:rsidR="000B0B09" w:rsidRPr="00661595" w:rsidTr="00672D2A">
        <w:tc>
          <w:tcPr>
            <w:tcW w:w="8862" w:type="dxa"/>
            <w:gridSpan w:val="2"/>
            <w:shd w:val="clear" w:color="auto" w:fill="BFBFBF"/>
          </w:tcPr>
          <w:p w:rsidR="000B0B09" w:rsidRPr="00661595" w:rsidRDefault="0034786E"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C</w:t>
            </w:r>
            <w:r w:rsidR="000B0B09" w:rsidRPr="00661595">
              <w:rPr>
                <w:rFonts w:ascii="Times New Roman" w:hAnsi="Times New Roman"/>
                <w:sz w:val="24"/>
                <w:lang w:eastAsia="nl-BE"/>
              </w:rPr>
              <w:t>olumns</w:t>
            </w:r>
          </w:p>
        </w:tc>
      </w:tr>
      <w:tr w:rsidR="000B0B09" w:rsidRPr="00661595" w:rsidTr="00672D2A">
        <w:tc>
          <w:tcPr>
            <w:tcW w:w="993" w:type="dxa"/>
          </w:tcPr>
          <w:p w:rsidR="000B0B09" w:rsidRPr="00661595" w:rsidRDefault="002F79EA"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030-</w:t>
            </w:r>
            <w:r w:rsidRPr="00661595">
              <w:rPr>
                <w:rFonts w:ascii="Times New Roman" w:hAnsi="Times New Roman"/>
                <w:sz w:val="24"/>
                <w:lang w:eastAsia="nl-BE"/>
              </w:rPr>
              <w:t>0</w:t>
            </w:r>
            <w:r w:rsidR="000B0B09" w:rsidRPr="00661595">
              <w:rPr>
                <w:rFonts w:ascii="Times New Roman" w:hAnsi="Times New Roman"/>
                <w:sz w:val="24"/>
                <w:lang w:eastAsia="nl-BE"/>
              </w:rPr>
              <w:t>040</w:t>
            </w:r>
          </w:p>
        </w:tc>
        <w:tc>
          <w:tcPr>
            <w:tcW w:w="7869" w:type="dxa"/>
          </w:tcPr>
          <w:p w:rsidR="000B0B09" w:rsidRPr="00661595" w:rsidRDefault="0016282F" w:rsidP="000B0B09">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Value at Risk (</w:t>
            </w:r>
            <w:r w:rsidR="000B0B09" w:rsidRPr="00661595">
              <w:rPr>
                <w:rFonts w:ascii="Times New Roman" w:hAnsi="Times New Roman"/>
                <w:b/>
                <w:bCs/>
                <w:sz w:val="24"/>
                <w:u w:val="single"/>
                <w:lang w:eastAsia="nl-BE"/>
              </w:rPr>
              <w:t>VaR</w:t>
            </w:r>
            <w:r w:rsidRPr="00661595">
              <w:rPr>
                <w:rFonts w:ascii="Times New Roman" w:hAnsi="Times New Roman"/>
                <w:b/>
                <w:bCs/>
                <w:sz w:val="24"/>
                <w:u w:val="single"/>
                <w:lang w:eastAsia="nl-BE"/>
              </w:rPr>
              <w:t>)</w:t>
            </w:r>
          </w:p>
          <w:p w:rsidR="000B0B09" w:rsidRPr="00661595" w:rsidRDefault="0016282F" w:rsidP="002300C6">
            <w:pPr>
              <w:autoSpaceDE w:val="0"/>
              <w:autoSpaceDN w:val="0"/>
              <w:adjustRightInd w:val="0"/>
              <w:rPr>
                <w:rFonts w:ascii="Times New Roman" w:hAnsi="Times New Roman"/>
                <w:b/>
                <w:bCs/>
                <w:sz w:val="24"/>
                <w:u w:val="single"/>
                <w:lang w:eastAsia="nl-BE"/>
              </w:rPr>
            </w:pPr>
            <w:r w:rsidRPr="00661595">
              <w:rPr>
                <w:rFonts w:ascii="Times New Roman" w:hAnsi="Times New Roman"/>
                <w:sz w:val="24"/>
                <w:lang w:eastAsia="fr-FR"/>
              </w:rPr>
              <w:t>VaR</w:t>
            </w:r>
            <w:r w:rsidR="005C14B0" w:rsidRPr="00661595">
              <w:rPr>
                <w:rFonts w:ascii="Times New Roman" w:hAnsi="Times New Roman"/>
                <w:sz w:val="24"/>
                <w:lang w:eastAsia="fr-FR"/>
              </w:rPr>
              <w:t xml:space="preserve"> </w:t>
            </w:r>
            <w:r w:rsidR="000B0B09" w:rsidRPr="00661595">
              <w:rPr>
                <w:rFonts w:ascii="Times New Roman" w:hAnsi="Times New Roman"/>
                <w:sz w:val="24"/>
                <w:lang w:eastAsia="fr-FR"/>
              </w:rPr>
              <w:t xml:space="preserve">means the maximum potential loss that would result from a price change with a given probability over a </w:t>
            </w:r>
            <w:r w:rsidR="002300C6" w:rsidRPr="00661595">
              <w:rPr>
                <w:rFonts w:ascii="Times New Roman" w:hAnsi="Times New Roman"/>
                <w:sz w:val="24"/>
                <w:lang w:eastAsia="fr-FR"/>
              </w:rPr>
              <w:t xml:space="preserve">specific </w:t>
            </w:r>
            <w:r w:rsidR="000B0B09" w:rsidRPr="00661595">
              <w:rPr>
                <w:rFonts w:ascii="Times New Roman" w:hAnsi="Times New Roman"/>
                <w:sz w:val="24"/>
                <w:lang w:eastAsia="fr-FR"/>
              </w:rPr>
              <w:t>time horizon.</w:t>
            </w:r>
          </w:p>
        </w:tc>
      </w:tr>
      <w:tr w:rsidR="000B0B09" w:rsidRPr="00661595" w:rsidTr="00672D2A">
        <w:tc>
          <w:tcPr>
            <w:tcW w:w="993" w:type="dxa"/>
          </w:tcPr>
          <w:p w:rsidR="000B0B09" w:rsidRPr="00661595" w:rsidRDefault="002F79EA"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030</w:t>
            </w:r>
          </w:p>
        </w:tc>
        <w:tc>
          <w:tcPr>
            <w:tcW w:w="7869"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Multiplication factor (mc) x Average of previous 60 working days VaR (VaRavg)</w:t>
            </w:r>
          </w:p>
          <w:p w:rsidR="000B0B09" w:rsidRPr="00661595" w:rsidRDefault="000B0B09" w:rsidP="000B0B09">
            <w:pPr>
              <w:autoSpaceDE w:val="0"/>
              <w:autoSpaceDN w:val="0"/>
              <w:adjustRightInd w:val="0"/>
              <w:spacing w:before="0" w:after="0"/>
              <w:rPr>
                <w:rFonts w:ascii="Times New Roman" w:hAnsi="Times New Roman"/>
                <w:b/>
                <w:bCs/>
                <w:sz w:val="24"/>
                <w:u w:val="single"/>
                <w:lang w:eastAsia="fr-FR"/>
              </w:rPr>
            </w:pPr>
          </w:p>
          <w:p w:rsidR="000B0B09" w:rsidRPr="00661595" w:rsidRDefault="00705025" w:rsidP="005F1095">
            <w:pPr>
              <w:autoSpaceDE w:val="0"/>
              <w:autoSpaceDN w:val="0"/>
              <w:adjustRightInd w:val="0"/>
              <w:spacing w:before="0" w:after="0"/>
              <w:rPr>
                <w:rFonts w:ascii="Times New Roman" w:hAnsi="Times New Roman"/>
                <w:sz w:val="24"/>
                <w:lang w:eastAsia="fr-FR"/>
              </w:rPr>
            </w:pPr>
            <w:r w:rsidRPr="00661595">
              <w:rPr>
                <w:rFonts w:ascii="Times New Roman" w:hAnsi="Times New Roman"/>
                <w:sz w:val="24"/>
                <w:lang w:eastAsia="fr-FR"/>
              </w:rPr>
              <w:t xml:space="preserve">Point </w:t>
            </w:r>
            <w:r w:rsidR="00CD35F2" w:rsidRPr="00661595">
              <w:rPr>
                <w:rFonts w:ascii="Times New Roman" w:hAnsi="Times New Roman"/>
                <w:sz w:val="24"/>
                <w:lang w:eastAsia="fr-FR"/>
              </w:rPr>
              <w:t>(a)</w:t>
            </w:r>
            <w:r w:rsidRPr="00661595">
              <w:rPr>
                <w:rFonts w:ascii="Times New Roman" w:hAnsi="Times New Roman"/>
                <w:sz w:val="24"/>
                <w:lang w:eastAsia="fr-FR"/>
              </w:rPr>
              <w:t>(</w:t>
            </w:r>
            <w:r w:rsidR="0016282F" w:rsidRPr="00661595">
              <w:rPr>
                <w:rFonts w:ascii="Times New Roman" w:hAnsi="Times New Roman"/>
                <w:sz w:val="24"/>
                <w:lang w:eastAsia="fr-FR"/>
              </w:rPr>
              <w:t>ii</w:t>
            </w:r>
            <w:r w:rsidRPr="00661595">
              <w:rPr>
                <w:rFonts w:ascii="Times New Roman" w:hAnsi="Times New Roman"/>
                <w:sz w:val="24"/>
                <w:lang w:eastAsia="fr-FR"/>
              </w:rPr>
              <w:t xml:space="preserve">) of </w:t>
            </w:r>
            <w:r w:rsidR="000B0B09" w:rsidRPr="00661595">
              <w:rPr>
                <w:rFonts w:ascii="Times New Roman" w:hAnsi="Times New Roman"/>
                <w:sz w:val="24"/>
                <w:lang w:eastAsia="fr-FR"/>
              </w:rPr>
              <w:t xml:space="preserve">Article 364(1) and </w:t>
            </w:r>
            <w:r w:rsidRPr="00661595">
              <w:rPr>
                <w:rFonts w:ascii="Times New Roman" w:hAnsi="Times New Roman"/>
                <w:sz w:val="24"/>
                <w:lang w:eastAsia="fr-FR"/>
              </w:rPr>
              <w:t xml:space="preserve">Article </w:t>
            </w:r>
            <w:r w:rsidR="000B0B09" w:rsidRPr="00661595">
              <w:rPr>
                <w:rFonts w:ascii="Times New Roman" w:hAnsi="Times New Roman"/>
                <w:sz w:val="24"/>
                <w:lang w:eastAsia="fr-FR"/>
              </w:rPr>
              <w:t xml:space="preserve">365(1) </w:t>
            </w:r>
            <w:r w:rsidR="00C7103D" w:rsidRPr="00661595">
              <w:rPr>
                <w:rFonts w:ascii="Times New Roman" w:hAnsi="Times New Roman"/>
                <w:sz w:val="24"/>
                <w:lang w:eastAsia="fr-FR"/>
              </w:rPr>
              <w:t>CRR</w:t>
            </w:r>
            <w:r w:rsidR="000B0B09" w:rsidRPr="00661595">
              <w:rPr>
                <w:rFonts w:ascii="Times New Roman" w:hAnsi="Times New Roman"/>
                <w:sz w:val="24"/>
                <w:lang w:eastAsia="fr-FR"/>
              </w:rPr>
              <w:t xml:space="preserve"> </w:t>
            </w:r>
          </w:p>
          <w:p w:rsidR="000B0B09" w:rsidRPr="00661595" w:rsidRDefault="000B0B09" w:rsidP="000B0B09">
            <w:pPr>
              <w:autoSpaceDE w:val="0"/>
              <w:autoSpaceDN w:val="0"/>
              <w:adjustRightInd w:val="0"/>
              <w:spacing w:before="0" w:after="0"/>
              <w:rPr>
                <w:rFonts w:ascii="Times New Roman" w:hAnsi="Times New Roman"/>
                <w:sz w:val="24"/>
                <w:lang w:eastAsia="nl-BE"/>
              </w:rPr>
            </w:pPr>
          </w:p>
        </w:tc>
      </w:tr>
      <w:tr w:rsidR="000B0B09" w:rsidRPr="00661595" w:rsidTr="00672D2A">
        <w:tc>
          <w:tcPr>
            <w:tcW w:w="993" w:type="dxa"/>
          </w:tcPr>
          <w:p w:rsidR="000B0B09" w:rsidRPr="00661595" w:rsidRDefault="002F79EA"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040</w:t>
            </w:r>
          </w:p>
        </w:tc>
        <w:tc>
          <w:tcPr>
            <w:tcW w:w="7869"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Previous day VaR (VaRt-1)</w:t>
            </w:r>
          </w:p>
          <w:p w:rsidR="000B0B09" w:rsidRPr="00661595" w:rsidRDefault="000B0B09" w:rsidP="000B0B09">
            <w:pPr>
              <w:autoSpaceDE w:val="0"/>
              <w:autoSpaceDN w:val="0"/>
              <w:adjustRightInd w:val="0"/>
              <w:spacing w:before="0" w:after="0"/>
              <w:rPr>
                <w:rFonts w:ascii="Times New Roman" w:hAnsi="Times New Roman"/>
                <w:b/>
                <w:bCs/>
                <w:sz w:val="24"/>
                <w:u w:val="single"/>
                <w:lang w:eastAsia="fr-FR"/>
              </w:rPr>
            </w:pPr>
          </w:p>
          <w:p w:rsidR="000B0B09" w:rsidRPr="00661595" w:rsidRDefault="00705025" w:rsidP="000B0B09">
            <w:pPr>
              <w:autoSpaceDE w:val="0"/>
              <w:autoSpaceDN w:val="0"/>
              <w:adjustRightInd w:val="0"/>
              <w:spacing w:before="0" w:after="0"/>
              <w:rPr>
                <w:rFonts w:ascii="Times New Roman" w:hAnsi="Times New Roman"/>
                <w:sz w:val="24"/>
                <w:lang w:eastAsia="fr-FR"/>
              </w:rPr>
            </w:pPr>
            <w:r w:rsidRPr="00661595">
              <w:rPr>
                <w:rFonts w:ascii="Times New Roman" w:hAnsi="Times New Roman"/>
                <w:sz w:val="24"/>
                <w:lang w:eastAsia="fr-FR"/>
              </w:rPr>
              <w:t xml:space="preserve">Point </w:t>
            </w:r>
            <w:r w:rsidR="00CD35F2" w:rsidRPr="00661595">
              <w:rPr>
                <w:rFonts w:ascii="Times New Roman" w:hAnsi="Times New Roman"/>
                <w:sz w:val="24"/>
                <w:lang w:eastAsia="fr-FR"/>
              </w:rPr>
              <w:t>(a)</w:t>
            </w:r>
            <w:r w:rsidRPr="00661595">
              <w:rPr>
                <w:rFonts w:ascii="Times New Roman" w:hAnsi="Times New Roman"/>
                <w:sz w:val="24"/>
                <w:lang w:eastAsia="fr-FR"/>
              </w:rPr>
              <w:t xml:space="preserve">(i) of </w:t>
            </w:r>
            <w:r w:rsidR="000B0B09" w:rsidRPr="00661595">
              <w:rPr>
                <w:rFonts w:ascii="Times New Roman" w:hAnsi="Times New Roman"/>
                <w:sz w:val="24"/>
                <w:lang w:eastAsia="fr-FR"/>
              </w:rPr>
              <w:t xml:space="preserve">Article 364(1) and </w:t>
            </w:r>
            <w:r w:rsidRPr="00661595">
              <w:rPr>
                <w:rFonts w:ascii="Times New Roman" w:hAnsi="Times New Roman"/>
                <w:sz w:val="24"/>
                <w:lang w:eastAsia="fr-FR"/>
              </w:rPr>
              <w:t xml:space="preserve">Article </w:t>
            </w:r>
            <w:r w:rsidR="000B0B09" w:rsidRPr="00661595">
              <w:rPr>
                <w:rFonts w:ascii="Times New Roman" w:hAnsi="Times New Roman"/>
                <w:sz w:val="24"/>
                <w:lang w:eastAsia="fr-FR"/>
              </w:rPr>
              <w:t xml:space="preserve">365(1) </w:t>
            </w:r>
            <w:r w:rsidR="00C7103D" w:rsidRPr="00661595">
              <w:rPr>
                <w:rFonts w:ascii="Times New Roman" w:hAnsi="Times New Roman"/>
                <w:sz w:val="24"/>
                <w:lang w:eastAsia="fr-FR"/>
              </w:rPr>
              <w:t>CRR</w:t>
            </w:r>
            <w:r w:rsidR="000B0B09" w:rsidRPr="00661595">
              <w:rPr>
                <w:rFonts w:ascii="Times New Roman" w:hAnsi="Times New Roman"/>
                <w:sz w:val="24"/>
                <w:lang w:eastAsia="fr-FR"/>
              </w:rPr>
              <w:t xml:space="preserve"> </w:t>
            </w:r>
          </w:p>
          <w:p w:rsidR="000B0B09" w:rsidRPr="00661595" w:rsidRDefault="000B0B09" w:rsidP="000B0B09">
            <w:pPr>
              <w:autoSpaceDE w:val="0"/>
              <w:autoSpaceDN w:val="0"/>
              <w:adjustRightInd w:val="0"/>
              <w:spacing w:before="0" w:after="0"/>
              <w:rPr>
                <w:rFonts w:ascii="Times New Roman" w:hAnsi="Times New Roman"/>
                <w:sz w:val="24"/>
                <w:lang w:eastAsia="nl-BE"/>
              </w:rPr>
            </w:pPr>
          </w:p>
        </w:tc>
      </w:tr>
      <w:tr w:rsidR="000B0B09" w:rsidRPr="00661595" w:rsidTr="00672D2A">
        <w:tc>
          <w:tcPr>
            <w:tcW w:w="993" w:type="dxa"/>
          </w:tcPr>
          <w:p w:rsidR="000B0B09" w:rsidRPr="00661595" w:rsidRDefault="002F79EA"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050-</w:t>
            </w:r>
            <w:r w:rsidRPr="00661595">
              <w:rPr>
                <w:rFonts w:ascii="Times New Roman" w:hAnsi="Times New Roman"/>
                <w:sz w:val="24"/>
                <w:lang w:eastAsia="nl-BE"/>
              </w:rPr>
              <w:t>0</w:t>
            </w:r>
            <w:r w:rsidR="000B0B09" w:rsidRPr="00661595">
              <w:rPr>
                <w:rFonts w:ascii="Times New Roman" w:hAnsi="Times New Roman"/>
                <w:sz w:val="24"/>
                <w:lang w:eastAsia="nl-BE"/>
              </w:rPr>
              <w:t>060</w:t>
            </w:r>
          </w:p>
        </w:tc>
        <w:tc>
          <w:tcPr>
            <w:tcW w:w="7869"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Stressed VaR</w:t>
            </w:r>
          </w:p>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p>
          <w:p w:rsidR="000B0B09" w:rsidRPr="00661595" w:rsidRDefault="0016282F" w:rsidP="002300C6">
            <w:pPr>
              <w:autoSpaceDE w:val="0"/>
              <w:autoSpaceDN w:val="0"/>
              <w:adjustRightInd w:val="0"/>
              <w:spacing w:before="0"/>
              <w:rPr>
                <w:rFonts w:ascii="Times New Roman" w:hAnsi="Times New Roman"/>
                <w:sz w:val="24"/>
              </w:rPr>
            </w:pPr>
            <w:r w:rsidRPr="00661595">
              <w:rPr>
                <w:rFonts w:ascii="Times New Roman" w:hAnsi="Times New Roman"/>
                <w:sz w:val="24"/>
                <w:lang w:eastAsia="fr-FR"/>
              </w:rPr>
              <w:t xml:space="preserve">Stressed VaR </w:t>
            </w:r>
            <w:r w:rsidR="000B0B09" w:rsidRPr="00661595">
              <w:rPr>
                <w:rFonts w:ascii="Times New Roman" w:hAnsi="Times New Roman"/>
                <w:sz w:val="24"/>
                <w:lang w:eastAsia="fr-FR"/>
              </w:rPr>
              <w:t xml:space="preserve">means the maximum potential loss that would result from a price change with a given probability over a </w:t>
            </w:r>
            <w:r w:rsidR="002300C6" w:rsidRPr="00661595">
              <w:rPr>
                <w:rFonts w:ascii="Times New Roman" w:hAnsi="Times New Roman"/>
                <w:sz w:val="24"/>
                <w:lang w:eastAsia="fr-FR"/>
              </w:rPr>
              <w:t xml:space="preserve">specific </w:t>
            </w:r>
            <w:r w:rsidR="000B0B09" w:rsidRPr="00661595">
              <w:rPr>
                <w:rFonts w:ascii="Times New Roman" w:hAnsi="Times New Roman"/>
                <w:sz w:val="24"/>
                <w:lang w:eastAsia="fr-FR"/>
              </w:rPr>
              <w:t>time horizon obtained by using input calibrated to historical data from a continuous 12-months period of financial stress relevant to the institution’s portfolio.</w:t>
            </w:r>
          </w:p>
        </w:tc>
      </w:tr>
      <w:tr w:rsidR="000B0B09" w:rsidRPr="00661595" w:rsidTr="00672D2A">
        <w:tc>
          <w:tcPr>
            <w:tcW w:w="993" w:type="dxa"/>
          </w:tcPr>
          <w:p w:rsidR="000B0B09" w:rsidRPr="00661595" w:rsidRDefault="002F79EA"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050</w:t>
            </w:r>
          </w:p>
        </w:tc>
        <w:tc>
          <w:tcPr>
            <w:tcW w:w="7869"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Multiplication factor (ms) x Average of previous 60 working days (SVaRavg)</w:t>
            </w:r>
          </w:p>
          <w:p w:rsidR="000B0B09" w:rsidRPr="00661595" w:rsidRDefault="000B0B09" w:rsidP="000B0B09">
            <w:pPr>
              <w:autoSpaceDE w:val="0"/>
              <w:autoSpaceDN w:val="0"/>
              <w:adjustRightInd w:val="0"/>
              <w:spacing w:before="0" w:after="0"/>
              <w:rPr>
                <w:rStyle w:val="InstructionsTabelleberschrift"/>
                <w:rFonts w:ascii="Times New Roman" w:hAnsi="Times New Roman"/>
                <w:sz w:val="24"/>
              </w:rPr>
            </w:pPr>
          </w:p>
          <w:p w:rsidR="000B0B09" w:rsidRPr="00661595" w:rsidRDefault="00705025" w:rsidP="000B0B09">
            <w:pPr>
              <w:autoSpaceDE w:val="0"/>
              <w:autoSpaceDN w:val="0"/>
              <w:adjustRightInd w:val="0"/>
              <w:spacing w:before="0" w:after="0"/>
              <w:rPr>
                <w:rStyle w:val="InstructionsTabelleberschrift"/>
                <w:rFonts w:ascii="Times New Roman" w:hAnsi="Times New Roman"/>
                <w:b w:val="0"/>
                <w:bCs w:val="0"/>
                <w:sz w:val="24"/>
              </w:rPr>
            </w:pPr>
            <w:r w:rsidRPr="00661595">
              <w:rPr>
                <w:rFonts w:ascii="Times New Roman" w:hAnsi="Times New Roman"/>
                <w:sz w:val="24"/>
              </w:rPr>
              <w:t>Point</w:t>
            </w:r>
            <w:r w:rsidR="0016282F" w:rsidRPr="00661595">
              <w:rPr>
                <w:rFonts w:ascii="Times New Roman" w:hAnsi="Times New Roman"/>
                <w:sz w:val="24"/>
              </w:rPr>
              <w:t xml:space="preserve"> </w:t>
            </w:r>
            <w:r w:rsidR="00CD35F2" w:rsidRPr="00661595">
              <w:rPr>
                <w:rFonts w:ascii="Times New Roman" w:hAnsi="Times New Roman"/>
                <w:sz w:val="24"/>
              </w:rPr>
              <w:t>(b)</w:t>
            </w:r>
            <w:r w:rsidRPr="00661595">
              <w:rPr>
                <w:rFonts w:ascii="Times New Roman" w:hAnsi="Times New Roman"/>
                <w:sz w:val="24"/>
              </w:rPr>
              <w:t xml:space="preserve">(ii) of </w:t>
            </w:r>
            <w:r w:rsidR="000B0B09" w:rsidRPr="00661595">
              <w:rPr>
                <w:rFonts w:ascii="Times New Roman" w:hAnsi="Times New Roman"/>
                <w:sz w:val="24"/>
              </w:rPr>
              <w:t xml:space="preserve">Article 364(1) and </w:t>
            </w:r>
            <w:r w:rsidRPr="00661595">
              <w:rPr>
                <w:rFonts w:ascii="Times New Roman" w:hAnsi="Times New Roman"/>
                <w:sz w:val="24"/>
              </w:rPr>
              <w:t xml:space="preserve">Article </w:t>
            </w:r>
            <w:r w:rsidR="000B0B09" w:rsidRPr="00661595">
              <w:rPr>
                <w:rFonts w:ascii="Times New Roman" w:hAnsi="Times New Roman"/>
                <w:sz w:val="24"/>
              </w:rPr>
              <w:t xml:space="preserve">365(1) </w:t>
            </w:r>
            <w:r w:rsidR="00C7103D" w:rsidRPr="00661595">
              <w:rPr>
                <w:rFonts w:ascii="Times New Roman" w:hAnsi="Times New Roman"/>
                <w:sz w:val="24"/>
              </w:rPr>
              <w:t>CRR</w:t>
            </w:r>
            <w:r w:rsidR="000B0B09" w:rsidRPr="00661595">
              <w:rPr>
                <w:rStyle w:val="InstructionsTabelleberschrift"/>
                <w:rFonts w:ascii="Times New Roman" w:hAnsi="Times New Roman"/>
                <w:bCs w:val="0"/>
                <w:sz w:val="24"/>
              </w:rPr>
              <w:t xml:space="preserve"> </w:t>
            </w:r>
          </w:p>
          <w:p w:rsidR="000B0B09" w:rsidRPr="00661595" w:rsidRDefault="000B0B09" w:rsidP="000B0B09">
            <w:pPr>
              <w:autoSpaceDE w:val="0"/>
              <w:autoSpaceDN w:val="0"/>
              <w:adjustRightInd w:val="0"/>
              <w:spacing w:before="0" w:after="0"/>
              <w:rPr>
                <w:rStyle w:val="InstructionsTabelleberschrift"/>
                <w:rFonts w:ascii="Times New Roman" w:hAnsi="Times New Roman"/>
                <w:sz w:val="24"/>
              </w:rPr>
            </w:pPr>
          </w:p>
        </w:tc>
      </w:tr>
      <w:tr w:rsidR="000B0B09" w:rsidRPr="00661595" w:rsidTr="00672D2A">
        <w:tc>
          <w:tcPr>
            <w:tcW w:w="993" w:type="dxa"/>
          </w:tcPr>
          <w:p w:rsidR="000B0B09" w:rsidRPr="00661595" w:rsidRDefault="002F79EA"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060</w:t>
            </w:r>
          </w:p>
        </w:tc>
        <w:tc>
          <w:tcPr>
            <w:tcW w:w="7869"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Latest available (SVaRt-1)</w:t>
            </w:r>
          </w:p>
          <w:p w:rsidR="000B0B09" w:rsidRPr="00661595" w:rsidRDefault="000B0B09" w:rsidP="000B0B09">
            <w:pPr>
              <w:autoSpaceDE w:val="0"/>
              <w:autoSpaceDN w:val="0"/>
              <w:adjustRightInd w:val="0"/>
              <w:spacing w:before="0" w:after="0"/>
              <w:rPr>
                <w:rFonts w:ascii="Times New Roman" w:hAnsi="Times New Roman"/>
                <w:sz w:val="24"/>
              </w:rPr>
            </w:pPr>
          </w:p>
          <w:p w:rsidR="000B0B09" w:rsidRPr="00661595" w:rsidRDefault="00705025" w:rsidP="000B0B09">
            <w:pPr>
              <w:autoSpaceDE w:val="0"/>
              <w:autoSpaceDN w:val="0"/>
              <w:adjustRightInd w:val="0"/>
              <w:spacing w:before="0" w:after="0"/>
              <w:rPr>
                <w:rFonts w:ascii="Times New Roman" w:hAnsi="Times New Roman"/>
                <w:sz w:val="24"/>
              </w:rPr>
            </w:pPr>
            <w:r w:rsidRPr="00661595">
              <w:rPr>
                <w:rFonts w:ascii="Times New Roman" w:hAnsi="Times New Roman"/>
                <w:sz w:val="24"/>
              </w:rPr>
              <w:t xml:space="preserve">Point </w:t>
            </w:r>
            <w:r w:rsidR="00CD35F2" w:rsidRPr="00661595">
              <w:rPr>
                <w:rFonts w:ascii="Times New Roman" w:hAnsi="Times New Roman"/>
                <w:sz w:val="24"/>
              </w:rPr>
              <w:t>(b)</w:t>
            </w:r>
            <w:r w:rsidRPr="00661595">
              <w:rPr>
                <w:rFonts w:ascii="Times New Roman" w:hAnsi="Times New Roman"/>
                <w:sz w:val="24"/>
              </w:rPr>
              <w:t>(i) of Article 364(1) and Article 365(1) CRR</w:t>
            </w:r>
            <w:r w:rsidR="000B0B09" w:rsidRPr="00661595">
              <w:rPr>
                <w:rFonts w:ascii="Times New Roman" w:hAnsi="Times New Roman"/>
                <w:sz w:val="24"/>
              </w:rPr>
              <w:t xml:space="preserve"> </w:t>
            </w:r>
          </w:p>
          <w:p w:rsidR="000B0B09" w:rsidRPr="00661595" w:rsidRDefault="000B0B09" w:rsidP="000B0B09">
            <w:pPr>
              <w:autoSpaceDE w:val="0"/>
              <w:autoSpaceDN w:val="0"/>
              <w:adjustRightInd w:val="0"/>
              <w:spacing w:before="0" w:after="0"/>
              <w:rPr>
                <w:rFonts w:ascii="Times New Roman" w:hAnsi="Times New Roman"/>
                <w:b/>
                <w:bCs/>
                <w:sz w:val="24"/>
                <w:u w:val="single"/>
                <w:lang w:eastAsia="de-DE"/>
              </w:rPr>
            </w:pPr>
          </w:p>
        </w:tc>
      </w:tr>
      <w:tr w:rsidR="000B0B09" w:rsidRPr="00661595" w:rsidTr="00672D2A">
        <w:tc>
          <w:tcPr>
            <w:tcW w:w="993" w:type="dxa"/>
          </w:tcPr>
          <w:p w:rsidR="000B0B09" w:rsidRPr="00661595" w:rsidRDefault="002F79EA"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070-</w:t>
            </w:r>
            <w:r w:rsidRPr="00661595">
              <w:rPr>
                <w:rFonts w:ascii="Times New Roman" w:hAnsi="Times New Roman"/>
                <w:sz w:val="24"/>
                <w:lang w:eastAsia="nl-BE"/>
              </w:rPr>
              <w:t>0</w:t>
            </w:r>
            <w:r w:rsidR="000B0B09" w:rsidRPr="00661595">
              <w:rPr>
                <w:rFonts w:ascii="Times New Roman" w:hAnsi="Times New Roman"/>
                <w:sz w:val="24"/>
                <w:lang w:eastAsia="nl-BE"/>
              </w:rPr>
              <w:t>080</w:t>
            </w:r>
          </w:p>
        </w:tc>
        <w:tc>
          <w:tcPr>
            <w:tcW w:w="7869"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INCREMENTAL DEFAULT AND MIGRATION RISK CAPITAL CHARGE</w:t>
            </w:r>
          </w:p>
          <w:p w:rsidR="000B0B09" w:rsidRPr="00661595" w:rsidRDefault="0016282F" w:rsidP="0016282F">
            <w:pPr>
              <w:rPr>
                <w:rFonts w:ascii="Times New Roman" w:hAnsi="Times New Roman"/>
                <w:b/>
                <w:bCs/>
                <w:sz w:val="24"/>
                <w:u w:val="single"/>
                <w:lang w:eastAsia="nl-BE"/>
              </w:rPr>
            </w:pPr>
            <w:r w:rsidRPr="00661595">
              <w:rPr>
                <w:rFonts w:ascii="Times New Roman" w:hAnsi="Times New Roman"/>
                <w:sz w:val="24"/>
                <w:lang w:eastAsia="fr-FR"/>
              </w:rPr>
              <w:t>Incremental default and migration risk capital charge</w:t>
            </w:r>
            <w:r w:rsidR="000B0B09" w:rsidRPr="00661595">
              <w:rPr>
                <w:rFonts w:ascii="Times New Roman" w:hAnsi="Times New Roman"/>
                <w:sz w:val="24"/>
                <w:lang w:eastAsia="fr-FR"/>
              </w:rPr>
              <w:t xml:space="preserve"> means the maximum potential loss that would result from a price change linked to default and migration risks calculated </w:t>
            </w:r>
            <w:r w:rsidRPr="00661595">
              <w:rPr>
                <w:rFonts w:ascii="Times New Roman" w:hAnsi="Times New Roman"/>
                <w:sz w:val="24"/>
                <w:lang w:eastAsia="fr-FR"/>
              </w:rPr>
              <w:t xml:space="preserve">in accordance with </w:t>
            </w:r>
            <w:r w:rsidR="00705025" w:rsidRPr="00661595">
              <w:rPr>
                <w:rFonts w:ascii="Times New Roman" w:hAnsi="Times New Roman"/>
                <w:sz w:val="24"/>
                <w:lang w:eastAsia="fr-FR"/>
              </w:rPr>
              <w:t xml:space="preserve">point (b) of </w:t>
            </w:r>
            <w:r w:rsidR="000B0B09" w:rsidRPr="00661595">
              <w:rPr>
                <w:rFonts w:ascii="Times New Roman" w:hAnsi="Times New Roman"/>
                <w:sz w:val="24"/>
              </w:rPr>
              <w:t xml:space="preserve">Article 364(2) in </w:t>
            </w:r>
            <w:r w:rsidR="002300C6" w:rsidRPr="00661595">
              <w:rPr>
                <w:rFonts w:ascii="Times New Roman" w:hAnsi="Times New Roman"/>
                <w:sz w:val="24"/>
              </w:rPr>
              <w:t xml:space="preserve">conjunction </w:t>
            </w:r>
            <w:r w:rsidR="000B0B09" w:rsidRPr="00661595">
              <w:rPr>
                <w:rFonts w:ascii="Times New Roman" w:hAnsi="Times New Roman"/>
                <w:sz w:val="24"/>
              </w:rPr>
              <w:t xml:space="preserve">with </w:t>
            </w:r>
            <w:r w:rsidR="005C14B0" w:rsidRPr="00661595">
              <w:rPr>
                <w:rFonts w:ascii="Times New Roman" w:hAnsi="Times New Roman"/>
                <w:sz w:val="24"/>
              </w:rPr>
              <w:t xml:space="preserve">Section 4 of </w:t>
            </w:r>
            <w:r w:rsidR="005C14B0" w:rsidRPr="00661595">
              <w:rPr>
                <w:rFonts w:ascii="Times New Roman" w:hAnsi="Times New Roman"/>
                <w:sz w:val="24"/>
                <w:lang w:eastAsia="de-DE"/>
              </w:rPr>
              <w:t xml:space="preserve">Chapter 5 of Title IV of Part Three </w:t>
            </w:r>
            <w:r w:rsidR="00C7103D" w:rsidRPr="00661595">
              <w:rPr>
                <w:rFonts w:ascii="Times New Roman" w:hAnsi="Times New Roman"/>
                <w:sz w:val="24"/>
              </w:rPr>
              <w:t>CRR</w:t>
            </w:r>
            <w:r w:rsidR="000B0B09" w:rsidRPr="00661595">
              <w:rPr>
                <w:rFonts w:ascii="Times New Roman" w:hAnsi="Times New Roman"/>
                <w:sz w:val="24"/>
              </w:rPr>
              <w:t xml:space="preserve">. </w:t>
            </w:r>
          </w:p>
        </w:tc>
      </w:tr>
      <w:tr w:rsidR="000B0B09" w:rsidRPr="00661595" w:rsidTr="00672D2A">
        <w:tc>
          <w:tcPr>
            <w:tcW w:w="993" w:type="dxa"/>
          </w:tcPr>
          <w:p w:rsidR="000B0B09" w:rsidRPr="00661595" w:rsidRDefault="002F79EA"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070</w:t>
            </w:r>
          </w:p>
        </w:tc>
        <w:tc>
          <w:tcPr>
            <w:tcW w:w="7869"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12 weeks average measure</w:t>
            </w:r>
          </w:p>
          <w:p w:rsidR="005C14B0" w:rsidRPr="00661595" w:rsidRDefault="005C14B0">
            <w:pPr>
              <w:autoSpaceDE w:val="0"/>
              <w:autoSpaceDN w:val="0"/>
              <w:adjustRightInd w:val="0"/>
              <w:spacing w:before="0" w:after="0"/>
              <w:rPr>
                <w:rFonts w:ascii="Times New Roman" w:hAnsi="Times New Roman"/>
                <w:sz w:val="24"/>
              </w:rPr>
            </w:pPr>
          </w:p>
          <w:p w:rsidR="005C14B0" w:rsidRPr="00661595" w:rsidRDefault="00705025">
            <w:pPr>
              <w:autoSpaceDE w:val="0"/>
              <w:autoSpaceDN w:val="0"/>
              <w:adjustRightInd w:val="0"/>
              <w:spacing w:before="0" w:after="0"/>
              <w:rPr>
                <w:rFonts w:ascii="Times New Roman" w:hAnsi="Times New Roman"/>
                <w:sz w:val="24"/>
              </w:rPr>
            </w:pPr>
            <w:r w:rsidRPr="00661595">
              <w:rPr>
                <w:rFonts w:ascii="Times New Roman" w:hAnsi="Times New Roman"/>
                <w:sz w:val="24"/>
              </w:rPr>
              <w:t xml:space="preserve">Point </w:t>
            </w:r>
            <w:r w:rsidR="00CD35F2" w:rsidRPr="00661595">
              <w:rPr>
                <w:rFonts w:ascii="Times New Roman" w:hAnsi="Times New Roman"/>
                <w:sz w:val="24"/>
              </w:rPr>
              <w:t>(b)</w:t>
            </w:r>
            <w:r w:rsidRPr="00661595">
              <w:rPr>
                <w:rFonts w:ascii="Times New Roman" w:hAnsi="Times New Roman"/>
                <w:sz w:val="24"/>
              </w:rPr>
              <w:t xml:space="preserve">(ii) of </w:t>
            </w:r>
            <w:r w:rsidR="000B0B09" w:rsidRPr="00661595">
              <w:rPr>
                <w:rFonts w:ascii="Times New Roman" w:hAnsi="Times New Roman"/>
                <w:sz w:val="24"/>
              </w:rPr>
              <w:t xml:space="preserve">Article 364(2) in </w:t>
            </w:r>
            <w:r w:rsidR="002300C6" w:rsidRPr="00661595">
              <w:rPr>
                <w:rFonts w:ascii="Times New Roman" w:hAnsi="Times New Roman"/>
                <w:sz w:val="24"/>
              </w:rPr>
              <w:t xml:space="preserve">conjunction </w:t>
            </w:r>
            <w:r w:rsidR="000B0B09" w:rsidRPr="00661595">
              <w:rPr>
                <w:rFonts w:ascii="Times New Roman" w:hAnsi="Times New Roman"/>
                <w:sz w:val="24"/>
              </w:rPr>
              <w:t xml:space="preserve">with </w:t>
            </w:r>
            <w:r w:rsidR="00306163" w:rsidRPr="00661595">
              <w:rPr>
                <w:rFonts w:ascii="Times New Roman" w:hAnsi="Times New Roman"/>
                <w:sz w:val="24"/>
              </w:rPr>
              <w:t xml:space="preserve">Section 4 of Chapter 5 of Title IV of </w:t>
            </w:r>
            <w:r w:rsidR="000B0B09" w:rsidRPr="00661595">
              <w:rPr>
                <w:rFonts w:ascii="Times New Roman" w:hAnsi="Times New Roman"/>
                <w:sz w:val="24"/>
              </w:rPr>
              <w:t xml:space="preserve">Part Three </w:t>
            </w:r>
            <w:r w:rsidR="00C7103D" w:rsidRPr="00661595">
              <w:rPr>
                <w:rFonts w:ascii="Times New Roman" w:hAnsi="Times New Roman"/>
                <w:sz w:val="24"/>
              </w:rPr>
              <w:t>CRR</w:t>
            </w:r>
          </w:p>
          <w:p w:rsidR="000B0B09" w:rsidRPr="00661595" w:rsidRDefault="000B0B09">
            <w:pPr>
              <w:autoSpaceDE w:val="0"/>
              <w:autoSpaceDN w:val="0"/>
              <w:adjustRightInd w:val="0"/>
              <w:spacing w:before="0" w:after="0"/>
              <w:rPr>
                <w:rFonts w:ascii="Times New Roman" w:hAnsi="Times New Roman"/>
                <w:b/>
                <w:bCs/>
                <w:sz w:val="24"/>
                <w:u w:val="single"/>
                <w:lang w:eastAsia="nl-BE"/>
              </w:rPr>
            </w:pPr>
          </w:p>
        </w:tc>
      </w:tr>
      <w:tr w:rsidR="000B0B09" w:rsidRPr="00661595" w:rsidTr="00672D2A">
        <w:tc>
          <w:tcPr>
            <w:tcW w:w="993" w:type="dxa"/>
          </w:tcPr>
          <w:p w:rsidR="000B0B09" w:rsidRPr="00661595" w:rsidRDefault="002F79EA"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080</w:t>
            </w:r>
          </w:p>
        </w:tc>
        <w:tc>
          <w:tcPr>
            <w:tcW w:w="7869"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Last Measure</w:t>
            </w:r>
          </w:p>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p>
          <w:p w:rsidR="000B0B09" w:rsidRPr="00661595" w:rsidRDefault="00705025" w:rsidP="000B0B09">
            <w:pPr>
              <w:autoSpaceDE w:val="0"/>
              <w:autoSpaceDN w:val="0"/>
              <w:adjustRightInd w:val="0"/>
              <w:spacing w:before="0" w:after="0"/>
              <w:rPr>
                <w:rFonts w:ascii="Times New Roman" w:hAnsi="Times New Roman"/>
                <w:sz w:val="24"/>
              </w:rPr>
            </w:pPr>
            <w:r w:rsidRPr="00661595">
              <w:rPr>
                <w:rFonts w:ascii="Times New Roman" w:hAnsi="Times New Roman"/>
                <w:sz w:val="24"/>
              </w:rPr>
              <w:t xml:space="preserve">Point </w:t>
            </w:r>
            <w:r w:rsidR="00CD35F2" w:rsidRPr="00661595">
              <w:rPr>
                <w:rFonts w:ascii="Times New Roman" w:hAnsi="Times New Roman"/>
                <w:sz w:val="24"/>
              </w:rPr>
              <w:t>(b)</w:t>
            </w:r>
            <w:r w:rsidRPr="00661595">
              <w:rPr>
                <w:rFonts w:ascii="Times New Roman" w:hAnsi="Times New Roman"/>
                <w:sz w:val="24"/>
              </w:rPr>
              <w:t xml:space="preserve">(i) of Article 364(2) </w:t>
            </w:r>
            <w:r w:rsidR="000B0B09" w:rsidRPr="00661595">
              <w:rPr>
                <w:rFonts w:ascii="Times New Roman" w:hAnsi="Times New Roman"/>
                <w:sz w:val="24"/>
              </w:rPr>
              <w:t xml:space="preserve">in </w:t>
            </w:r>
            <w:r w:rsidR="002300C6" w:rsidRPr="00661595">
              <w:rPr>
                <w:rFonts w:ascii="Times New Roman" w:hAnsi="Times New Roman"/>
                <w:sz w:val="24"/>
              </w:rPr>
              <w:t xml:space="preserve">conjunction </w:t>
            </w:r>
            <w:r w:rsidR="000B0B09" w:rsidRPr="00661595">
              <w:rPr>
                <w:rFonts w:ascii="Times New Roman" w:hAnsi="Times New Roman"/>
                <w:sz w:val="24"/>
              </w:rPr>
              <w:t xml:space="preserve">with </w:t>
            </w:r>
            <w:r w:rsidR="00306163" w:rsidRPr="00661595">
              <w:rPr>
                <w:rFonts w:ascii="Times New Roman" w:hAnsi="Times New Roman"/>
                <w:sz w:val="24"/>
              </w:rPr>
              <w:t xml:space="preserve">Section 4 of Chapter 5 of Title IV of Part Three </w:t>
            </w:r>
            <w:r w:rsidR="00C7103D" w:rsidRPr="00661595">
              <w:rPr>
                <w:rFonts w:ascii="Times New Roman" w:hAnsi="Times New Roman"/>
                <w:sz w:val="24"/>
              </w:rPr>
              <w:t>CRR</w:t>
            </w:r>
          </w:p>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p>
        </w:tc>
      </w:tr>
      <w:tr w:rsidR="000B0B09" w:rsidRPr="00661595" w:rsidTr="00672D2A">
        <w:tc>
          <w:tcPr>
            <w:tcW w:w="993" w:type="dxa"/>
          </w:tcPr>
          <w:p w:rsidR="000B0B09" w:rsidRPr="00661595" w:rsidRDefault="002F79EA"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090-</w:t>
            </w:r>
            <w:r w:rsidRPr="00661595">
              <w:rPr>
                <w:rFonts w:ascii="Times New Roman" w:hAnsi="Times New Roman"/>
                <w:sz w:val="24"/>
                <w:lang w:eastAsia="nl-BE"/>
              </w:rPr>
              <w:t>0</w:t>
            </w:r>
            <w:r w:rsidR="000B0B09" w:rsidRPr="00661595">
              <w:rPr>
                <w:rFonts w:ascii="Times New Roman" w:hAnsi="Times New Roman"/>
                <w:sz w:val="24"/>
                <w:lang w:eastAsia="nl-BE"/>
              </w:rPr>
              <w:t>110</w:t>
            </w:r>
          </w:p>
        </w:tc>
        <w:tc>
          <w:tcPr>
            <w:tcW w:w="7869"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ALL PRICE RISKS CAPITAL CHARGE FOR CTP</w:t>
            </w:r>
          </w:p>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p>
        </w:tc>
      </w:tr>
      <w:tr w:rsidR="000B0B09" w:rsidRPr="00661595" w:rsidTr="00672D2A">
        <w:tc>
          <w:tcPr>
            <w:tcW w:w="993" w:type="dxa"/>
          </w:tcPr>
          <w:p w:rsidR="000B0B09" w:rsidRPr="00661595" w:rsidRDefault="002F79EA"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090</w:t>
            </w:r>
          </w:p>
        </w:tc>
        <w:tc>
          <w:tcPr>
            <w:tcW w:w="7869"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FLOOR</w:t>
            </w:r>
          </w:p>
          <w:p w:rsidR="000B0B09" w:rsidRPr="00661595" w:rsidRDefault="00705025" w:rsidP="000B0B09">
            <w:pPr>
              <w:rPr>
                <w:rFonts w:ascii="Times New Roman" w:hAnsi="Times New Roman"/>
                <w:sz w:val="24"/>
              </w:rPr>
            </w:pPr>
            <w:r w:rsidRPr="00661595">
              <w:rPr>
                <w:rFonts w:ascii="Times New Roman" w:hAnsi="Times New Roman"/>
                <w:sz w:val="24"/>
              </w:rPr>
              <w:t xml:space="preserve">Point (c) of </w:t>
            </w:r>
            <w:r w:rsidR="000B0B09" w:rsidRPr="00661595">
              <w:rPr>
                <w:rFonts w:ascii="Times New Roman" w:hAnsi="Times New Roman"/>
                <w:sz w:val="24"/>
              </w:rPr>
              <w:t xml:space="preserve">Article 364(3) </w:t>
            </w:r>
            <w:r w:rsidR="00C7103D" w:rsidRPr="00661595">
              <w:rPr>
                <w:rFonts w:ascii="Times New Roman" w:hAnsi="Times New Roman"/>
                <w:sz w:val="24"/>
              </w:rPr>
              <w:t>CRR</w:t>
            </w:r>
          </w:p>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sz w:val="24"/>
              </w:rPr>
              <w:t xml:space="preserve">= 8% of the capital charge that would be calculated in accordance with Article 338(1) </w:t>
            </w:r>
            <w:r w:rsidR="00C7103D" w:rsidRPr="00661595">
              <w:rPr>
                <w:rFonts w:ascii="Times New Roman" w:hAnsi="Times New Roman"/>
                <w:sz w:val="24"/>
              </w:rPr>
              <w:t>CRR</w:t>
            </w:r>
            <w:r w:rsidRPr="00661595">
              <w:rPr>
                <w:rFonts w:ascii="Times New Roman" w:hAnsi="Times New Roman"/>
                <w:sz w:val="24"/>
              </w:rPr>
              <w:t xml:space="preserve"> for all positions in the ‘all price risks’ capital charge.</w:t>
            </w:r>
            <w:r w:rsidRPr="00661595">
              <w:rPr>
                <w:rFonts w:ascii="Times New Roman" w:hAnsi="Times New Roman"/>
                <w:b/>
                <w:bCs/>
                <w:sz w:val="24"/>
                <w:u w:val="single"/>
                <w:lang w:eastAsia="nl-BE"/>
              </w:rPr>
              <w:t xml:space="preserve"> </w:t>
            </w:r>
          </w:p>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p>
        </w:tc>
      </w:tr>
      <w:tr w:rsidR="000B0B09" w:rsidRPr="00661595" w:rsidTr="00672D2A">
        <w:tc>
          <w:tcPr>
            <w:tcW w:w="993" w:type="dxa"/>
          </w:tcPr>
          <w:p w:rsidR="000B0B09" w:rsidRPr="00661595" w:rsidRDefault="002F79EA"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100-</w:t>
            </w:r>
            <w:r w:rsidRPr="00661595">
              <w:rPr>
                <w:rFonts w:ascii="Times New Roman" w:hAnsi="Times New Roman"/>
                <w:sz w:val="24"/>
                <w:lang w:eastAsia="nl-BE"/>
              </w:rPr>
              <w:t>0</w:t>
            </w:r>
            <w:r w:rsidR="000B0B09" w:rsidRPr="00661595">
              <w:rPr>
                <w:rFonts w:ascii="Times New Roman" w:hAnsi="Times New Roman"/>
                <w:sz w:val="24"/>
                <w:lang w:eastAsia="nl-BE"/>
              </w:rPr>
              <w:t>110</w:t>
            </w:r>
          </w:p>
        </w:tc>
        <w:tc>
          <w:tcPr>
            <w:tcW w:w="7869"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12 WEEKS AVERAGE MEASURE AND LAST MEASURE</w:t>
            </w:r>
          </w:p>
          <w:p w:rsidR="000B0B09" w:rsidRPr="00661595" w:rsidRDefault="00705025" w:rsidP="0016282F">
            <w:pPr>
              <w:autoSpaceDE w:val="0"/>
              <w:autoSpaceDN w:val="0"/>
              <w:adjustRightInd w:val="0"/>
              <w:spacing w:after="0"/>
              <w:rPr>
                <w:rFonts w:ascii="Times New Roman" w:hAnsi="Times New Roman"/>
                <w:bCs/>
                <w:sz w:val="24"/>
                <w:lang w:eastAsia="nl-BE"/>
              </w:rPr>
            </w:pPr>
            <w:r w:rsidRPr="00661595">
              <w:rPr>
                <w:rFonts w:ascii="Times New Roman" w:hAnsi="Times New Roman"/>
                <w:bCs/>
                <w:sz w:val="24"/>
                <w:lang w:eastAsia="nl-BE"/>
              </w:rPr>
              <w:t xml:space="preserve">Point (b) of </w:t>
            </w:r>
            <w:r w:rsidR="000B0B09" w:rsidRPr="00661595">
              <w:rPr>
                <w:rFonts w:ascii="Times New Roman" w:hAnsi="Times New Roman"/>
                <w:bCs/>
                <w:sz w:val="24"/>
                <w:lang w:eastAsia="nl-BE"/>
              </w:rPr>
              <w:t xml:space="preserve">Article 364(3) </w:t>
            </w:r>
            <w:r w:rsidRPr="00661595">
              <w:rPr>
                <w:rFonts w:ascii="Times New Roman" w:hAnsi="Times New Roman"/>
                <w:bCs/>
                <w:sz w:val="24"/>
                <w:lang w:eastAsia="nl-BE"/>
              </w:rPr>
              <w:t>CRR</w:t>
            </w:r>
          </w:p>
          <w:p w:rsidR="000B0B09" w:rsidRPr="00661595" w:rsidRDefault="000B0B09" w:rsidP="000B0B09">
            <w:pPr>
              <w:autoSpaceDE w:val="0"/>
              <w:autoSpaceDN w:val="0"/>
              <w:adjustRightInd w:val="0"/>
              <w:spacing w:before="0" w:after="0"/>
              <w:rPr>
                <w:rFonts w:ascii="Times New Roman" w:hAnsi="Times New Roman"/>
                <w:bCs/>
                <w:sz w:val="24"/>
                <w:u w:val="single"/>
                <w:lang w:eastAsia="nl-BE"/>
              </w:rPr>
            </w:pPr>
          </w:p>
        </w:tc>
      </w:tr>
      <w:tr w:rsidR="000B0B09" w:rsidRPr="00661595" w:rsidTr="00672D2A">
        <w:tc>
          <w:tcPr>
            <w:tcW w:w="993" w:type="dxa"/>
          </w:tcPr>
          <w:p w:rsidR="000B0B09" w:rsidRPr="00661595" w:rsidRDefault="002F79EA"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110</w:t>
            </w:r>
          </w:p>
        </w:tc>
        <w:tc>
          <w:tcPr>
            <w:tcW w:w="7869" w:type="dxa"/>
          </w:tcPr>
          <w:p w:rsidR="000B0B09" w:rsidRPr="00661595" w:rsidRDefault="000B0B09" w:rsidP="0016282F">
            <w:pPr>
              <w:autoSpaceDE w:val="0"/>
              <w:autoSpaceDN w:val="0"/>
              <w:adjustRightInd w:val="0"/>
              <w:spacing w:before="0"/>
              <w:rPr>
                <w:rFonts w:ascii="Times New Roman" w:hAnsi="Times New Roman"/>
                <w:b/>
                <w:bCs/>
                <w:sz w:val="24"/>
                <w:u w:val="single"/>
                <w:lang w:eastAsia="nl-BE"/>
              </w:rPr>
            </w:pPr>
            <w:r w:rsidRPr="00661595">
              <w:rPr>
                <w:rFonts w:ascii="Times New Roman" w:hAnsi="Times New Roman"/>
                <w:b/>
                <w:bCs/>
                <w:sz w:val="24"/>
                <w:u w:val="single"/>
                <w:lang w:eastAsia="nl-BE"/>
              </w:rPr>
              <w:t>LAST MEASURE</w:t>
            </w:r>
          </w:p>
          <w:p w:rsidR="005C14B0" w:rsidRPr="00661595" w:rsidRDefault="00705025" w:rsidP="000B0B09">
            <w:pPr>
              <w:autoSpaceDE w:val="0"/>
              <w:autoSpaceDN w:val="0"/>
              <w:adjustRightInd w:val="0"/>
              <w:spacing w:before="0" w:after="0"/>
              <w:rPr>
                <w:rFonts w:ascii="Times New Roman" w:hAnsi="Times New Roman"/>
                <w:bCs/>
                <w:sz w:val="24"/>
                <w:lang w:eastAsia="nl-BE"/>
              </w:rPr>
            </w:pPr>
            <w:r w:rsidRPr="00661595">
              <w:rPr>
                <w:rFonts w:ascii="Times New Roman" w:hAnsi="Times New Roman"/>
                <w:bCs/>
                <w:sz w:val="24"/>
                <w:lang w:eastAsia="nl-BE"/>
              </w:rPr>
              <w:t>Point (a) of Article 364(3) CRR</w:t>
            </w:r>
          </w:p>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p>
        </w:tc>
      </w:tr>
      <w:tr w:rsidR="000B0B09" w:rsidRPr="00661595" w:rsidTr="00672D2A">
        <w:tc>
          <w:tcPr>
            <w:tcW w:w="993" w:type="dxa"/>
          </w:tcPr>
          <w:p w:rsidR="000B0B09" w:rsidRPr="00661595" w:rsidRDefault="002F79EA"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120</w:t>
            </w:r>
          </w:p>
        </w:tc>
        <w:tc>
          <w:tcPr>
            <w:tcW w:w="7869"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OWN FUNDS REQUIREMENTS</w:t>
            </w:r>
          </w:p>
          <w:p w:rsidR="000B0B09" w:rsidRPr="00661595" w:rsidRDefault="00BE0363" w:rsidP="0016282F">
            <w:pPr>
              <w:autoSpaceDE w:val="0"/>
              <w:autoSpaceDN w:val="0"/>
              <w:adjustRightInd w:val="0"/>
              <w:rPr>
                <w:rFonts w:ascii="Times New Roman" w:hAnsi="Times New Roman"/>
                <w:b/>
                <w:bCs/>
                <w:sz w:val="24"/>
                <w:u w:val="single"/>
                <w:lang w:eastAsia="nl-BE"/>
              </w:rPr>
            </w:pPr>
            <w:r w:rsidRPr="00661595">
              <w:rPr>
                <w:rFonts w:ascii="Times New Roman" w:hAnsi="Times New Roman"/>
                <w:bCs/>
                <w:sz w:val="24"/>
                <w:lang w:eastAsia="nl-BE"/>
              </w:rPr>
              <w:t>Own funds requirements a</w:t>
            </w:r>
            <w:r w:rsidR="005C14B0" w:rsidRPr="00661595">
              <w:rPr>
                <w:rFonts w:ascii="Times New Roman" w:hAnsi="Times New Roman"/>
                <w:bCs/>
                <w:sz w:val="24"/>
                <w:lang w:eastAsia="nl-BE"/>
              </w:rPr>
              <w:t xml:space="preserve">s </w:t>
            </w:r>
            <w:r w:rsidR="005C14B0" w:rsidRPr="00661595">
              <w:rPr>
                <w:rFonts w:ascii="Times New Roman" w:hAnsi="Times New Roman"/>
                <w:sz w:val="24"/>
                <w:lang w:eastAsia="fr-FR"/>
              </w:rPr>
              <w:t>r</w:t>
            </w:r>
            <w:r w:rsidR="000B0B09" w:rsidRPr="00661595">
              <w:rPr>
                <w:rFonts w:ascii="Times New Roman" w:hAnsi="Times New Roman"/>
                <w:sz w:val="24"/>
                <w:lang w:eastAsia="fr-FR"/>
              </w:rPr>
              <w:t xml:space="preserve">eferred to in Article 364 </w:t>
            </w:r>
            <w:r w:rsidR="00C7103D" w:rsidRPr="00661595">
              <w:rPr>
                <w:rFonts w:ascii="Times New Roman" w:hAnsi="Times New Roman"/>
                <w:sz w:val="24"/>
                <w:lang w:eastAsia="fr-FR"/>
              </w:rPr>
              <w:t>CRR</w:t>
            </w:r>
            <w:r w:rsidR="000B0B09" w:rsidRPr="00661595">
              <w:rPr>
                <w:rFonts w:ascii="Times New Roman" w:hAnsi="Times New Roman"/>
                <w:sz w:val="24"/>
                <w:lang w:eastAsia="fr-FR"/>
              </w:rPr>
              <w:t xml:space="preserve"> of all risk factors</w:t>
            </w:r>
            <w:r w:rsidR="0016282F" w:rsidRPr="00661595">
              <w:rPr>
                <w:rFonts w:ascii="Times New Roman" w:hAnsi="Times New Roman"/>
                <w:sz w:val="24"/>
                <w:lang w:eastAsia="fr-FR"/>
              </w:rPr>
              <w:t>,</w:t>
            </w:r>
            <w:r w:rsidR="000B0B09" w:rsidRPr="00661595">
              <w:rPr>
                <w:rFonts w:ascii="Times New Roman" w:hAnsi="Times New Roman"/>
                <w:sz w:val="24"/>
                <w:lang w:eastAsia="fr-FR"/>
              </w:rPr>
              <w:t xml:space="preserve"> taking into account correlation effects, </w:t>
            </w:r>
            <w:r w:rsidR="0016282F" w:rsidRPr="00661595">
              <w:rPr>
                <w:rFonts w:ascii="Times New Roman" w:hAnsi="Times New Roman"/>
                <w:sz w:val="24"/>
                <w:lang w:eastAsia="fr-FR"/>
              </w:rPr>
              <w:t>where</w:t>
            </w:r>
            <w:r w:rsidR="000B0B09" w:rsidRPr="00661595">
              <w:rPr>
                <w:rFonts w:ascii="Times New Roman" w:hAnsi="Times New Roman"/>
                <w:sz w:val="24"/>
                <w:lang w:eastAsia="fr-FR"/>
              </w:rPr>
              <w:t xml:space="preserve"> applicable, plus incremental default and migration risk and all price of risks for CTP</w:t>
            </w:r>
            <w:r w:rsidR="0016282F" w:rsidRPr="00661595">
              <w:rPr>
                <w:rFonts w:ascii="Times New Roman" w:hAnsi="Times New Roman"/>
                <w:sz w:val="24"/>
                <w:lang w:eastAsia="fr-FR"/>
              </w:rPr>
              <w:t>,</w:t>
            </w:r>
            <w:r w:rsidR="000B0B09" w:rsidRPr="00661595">
              <w:rPr>
                <w:rFonts w:ascii="Times New Roman" w:hAnsi="Times New Roman"/>
                <w:sz w:val="24"/>
                <w:lang w:eastAsia="fr-FR"/>
              </w:rPr>
              <w:t xml:space="preserve"> but excluding the Securitization capital charges for Securitization and nth-to-default credit derivative according</w:t>
            </w:r>
            <w:r w:rsidR="0016282F" w:rsidRPr="00661595">
              <w:rPr>
                <w:rFonts w:ascii="Times New Roman" w:hAnsi="Times New Roman"/>
                <w:sz w:val="24"/>
                <w:lang w:eastAsia="fr-FR"/>
              </w:rPr>
              <w:t xml:space="preserve"> to</w:t>
            </w:r>
            <w:r w:rsidR="000B0B09" w:rsidRPr="00661595">
              <w:rPr>
                <w:rFonts w:ascii="Times New Roman" w:hAnsi="Times New Roman"/>
                <w:sz w:val="24"/>
                <w:lang w:eastAsia="fr-FR"/>
              </w:rPr>
              <w:t xml:space="preserve"> Article 364(2) </w:t>
            </w:r>
            <w:r w:rsidR="00C7103D" w:rsidRPr="00661595">
              <w:rPr>
                <w:rFonts w:ascii="Times New Roman" w:hAnsi="Times New Roman"/>
                <w:sz w:val="24"/>
                <w:lang w:eastAsia="fr-FR"/>
              </w:rPr>
              <w:t>CRR</w:t>
            </w:r>
            <w:r w:rsidR="000B0B09" w:rsidRPr="00661595">
              <w:rPr>
                <w:rFonts w:ascii="Times New Roman" w:hAnsi="Times New Roman"/>
                <w:sz w:val="24"/>
                <w:lang w:eastAsia="fr-FR"/>
              </w:rPr>
              <w:t xml:space="preserve"> </w:t>
            </w:r>
          </w:p>
        </w:tc>
      </w:tr>
      <w:tr w:rsidR="000B0B09" w:rsidRPr="00661595" w:rsidTr="00672D2A">
        <w:tc>
          <w:tcPr>
            <w:tcW w:w="993" w:type="dxa"/>
          </w:tcPr>
          <w:p w:rsidR="000B0B09" w:rsidRPr="00661595" w:rsidRDefault="002F79EA"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130</w:t>
            </w:r>
          </w:p>
        </w:tc>
        <w:tc>
          <w:tcPr>
            <w:tcW w:w="7869"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TOTAL RISK EXPOSURE AMOUNT</w:t>
            </w:r>
          </w:p>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p>
          <w:p w:rsidR="00BE0363" w:rsidRPr="00661595" w:rsidRDefault="00D21B29" w:rsidP="000B0B09">
            <w:pPr>
              <w:autoSpaceDE w:val="0"/>
              <w:autoSpaceDN w:val="0"/>
              <w:adjustRightInd w:val="0"/>
              <w:spacing w:before="0" w:after="0"/>
              <w:rPr>
                <w:rFonts w:ascii="Times New Roman" w:hAnsi="Times New Roman"/>
                <w:sz w:val="24"/>
                <w:lang w:eastAsia="de-DE"/>
              </w:rPr>
            </w:pPr>
            <w:r w:rsidRPr="00661595">
              <w:rPr>
                <w:rFonts w:ascii="Times New Roman" w:hAnsi="Times New Roman"/>
                <w:sz w:val="24"/>
              </w:rPr>
              <w:t xml:space="preserve">Point (b) of </w:t>
            </w:r>
            <w:r w:rsidR="000B0B09" w:rsidRPr="00661595">
              <w:rPr>
                <w:rFonts w:ascii="Times New Roman" w:hAnsi="Times New Roman"/>
                <w:sz w:val="24"/>
                <w:lang w:eastAsia="de-DE"/>
              </w:rPr>
              <w:t xml:space="preserve">Article 92(4) </w:t>
            </w:r>
            <w:r w:rsidR="00C7103D" w:rsidRPr="00661595">
              <w:rPr>
                <w:rFonts w:ascii="Times New Roman" w:hAnsi="Times New Roman"/>
                <w:sz w:val="24"/>
                <w:lang w:eastAsia="de-DE"/>
              </w:rPr>
              <w:t>CRR</w:t>
            </w:r>
            <w:r w:rsidR="000B0B09" w:rsidRPr="00661595">
              <w:rPr>
                <w:rFonts w:ascii="Times New Roman" w:hAnsi="Times New Roman"/>
                <w:sz w:val="24"/>
                <w:lang w:eastAsia="de-DE"/>
              </w:rPr>
              <w:t xml:space="preserve">. </w:t>
            </w:r>
          </w:p>
          <w:p w:rsidR="000B0B09" w:rsidRPr="00661595" w:rsidRDefault="000B0B09" w:rsidP="000B0B09">
            <w:pPr>
              <w:autoSpaceDE w:val="0"/>
              <w:autoSpaceDN w:val="0"/>
              <w:adjustRightInd w:val="0"/>
              <w:spacing w:before="0" w:after="0"/>
              <w:rPr>
                <w:rFonts w:ascii="Times New Roman" w:hAnsi="Times New Roman"/>
                <w:sz w:val="24"/>
                <w:lang w:eastAsia="de-DE"/>
              </w:rPr>
            </w:pPr>
            <w:r w:rsidRPr="00661595">
              <w:rPr>
                <w:rFonts w:ascii="Times New Roman" w:hAnsi="Times New Roman"/>
                <w:sz w:val="24"/>
                <w:lang w:eastAsia="de-DE"/>
              </w:rPr>
              <w:t xml:space="preserve">Result of the multiplication of the own funds requirements </w:t>
            </w:r>
            <w:r w:rsidR="00D21B29" w:rsidRPr="00661595">
              <w:rPr>
                <w:rFonts w:ascii="Times New Roman" w:hAnsi="Times New Roman"/>
                <w:sz w:val="24"/>
                <w:lang w:eastAsia="de-DE"/>
              </w:rPr>
              <w:t xml:space="preserve">by </w:t>
            </w:r>
            <w:r w:rsidRPr="00661595">
              <w:rPr>
                <w:rFonts w:ascii="Times New Roman" w:hAnsi="Times New Roman"/>
                <w:sz w:val="24"/>
                <w:lang w:eastAsia="de-DE"/>
              </w:rPr>
              <w:t>12</w:t>
            </w:r>
            <w:r w:rsidR="00787733" w:rsidRPr="00661595">
              <w:rPr>
                <w:rFonts w:ascii="Times New Roman" w:hAnsi="Times New Roman"/>
                <w:sz w:val="24"/>
                <w:lang w:eastAsia="de-DE"/>
              </w:rPr>
              <w:t>.</w:t>
            </w:r>
            <w:r w:rsidRPr="00661595">
              <w:rPr>
                <w:rFonts w:ascii="Times New Roman" w:hAnsi="Times New Roman"/>
                <w:sz w:val="24"/>
                <w:lang w:eastAsia="de-DE"/>
              </w:rPr>
              <w:t>5</w:t>
            </w:r>
          </w:p>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p>
        </w:tc>
      </w:tr>
      <w:tr w:rsidR="000B0B09" w:rsidRPr="00661595" w:rsidTr="00672D2A">
        <w:tc>
          <w:tcPr>
            <w:tcW w:w="993" w:type="dxa"/>
          </w:tcPr>
          <w:p w:rsidR="000B0B09" w:rsidRPr="00661595" w:rsidRDefault="002F79EA"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140</w:t>
            </w:r>
          </w:p>
        </w:tc>
        <w:tc>
          <w:tcPr>
            <w:tcW w:w="7869" w:type="dxa"/>
          </w:tcPr>
          <w:p w:rsidR="000B0B09" w:rsidRPr="00661595" w:rsidRDefault="000B0B09" w:rsidP="0016282F">
            <w:pPr>
              <w:autoSpaceDE w:val="0"/>
              <w:autoSpaceDN w:val="0"/>
              <w:adjustRightInd w:val="0"/>
              <w:spacing w:before="0"/>
              <w:rPr>
                <w:rFonts w:ascii="Times New Roman" w:hAnsi="Times New Roman"/>
                <w:b/>
                <w:bCs/>
                <w:sz w:val="24"/>
                <w:u w:val="single"/>
                <w:lang w:eastAsia="fr-FR"/>
              </w:rPr>
            </w:pPr>
            <w:r w:rsidRPr="00661595">
              <w:rPr>
                <w:rFonts w:ascii="Times New Roman" w:hAnsi="Times New Roman"/>
                <w:b/>
                <w:bCs/>
                <w:sz w:val="24"/>
                <w:u w:val="single"/>
                <w:lang w:eastAsia="fr-FR"/>
              </w:rPr>
              <w:t>Number of overshootings (during previous 250 working days)</w:t>
            </w:r>
          </w:p>
          <w:p w:rsidR="00A92CFF" w:rsidRPr="00661595" w:rsidRDefault="000B0B09" w:rsidP="0016282F">
            <w:pPr>
              <w:autoSpaceDE w:val="0"/>
              <w:autoSpaceDN w:val="0"/>
              <w:adjustRightInd w:val="0"/>
              <w:spacing w:before="0"/>
              <w:rPr>
                <w:rFonts w:ascii="Times New Roman" w:hAnsi="Times New Roman"/>
                <w:sz w:val="24"/>
                <w:lang w:eastAsia="fr-FR"/>
              </w:rPr>
            </w:pPr>
            <w:r w:rsidRPr="00661595">
              <w:rPr>
                <w:rFonts w:ascii="Times New Roman" w:hAnsi="Times New Roman"/>
                <w:sz w:val="24"/>
                <w:lang w:eastAsia="fr-FR"/>
              </w:rPr>
              <w:t xml:space="preserve">Referred to in Article 366 </w:t>
            </w:r>
            <w:r w:rsidR="00C7103D" w:rsidRPr="00661595">
              <w:rPr>
                <w:rFonts w:ascii="Times New Roman" w:hAnsi="Times New Roman"/>
                <w:sz w:val="24"/>
                <w:lang w:eastAsia="fr-FR"/>
              </w:rPr>
              <w:t>CRR</w:t>
            </w:r>
          </w:p>
          <w:p w:rsidR="000B0B09" w:rsidRPr="00661595" w:rsidRDefault="00A92CFF" w:rsidP="0016282F">
            <w:pPr>
              <w:autoSpaceDE w:val="0"/>
              <w:autoSpaceDN w:val="0"/>
              <w:adjustRightInd w:val="0"/>
              <w:spacing w:before="0"/>
              <w:rPr>
                <w:rFonts w:ascii="Times New Roman" w:hAnsi="Times New Roman"/>
                <w:b/>
                <w:bCs/>
                <w:sz w:val="24"/>
                <w:u w:val="single"/>
                <w:lang w:eastAsia="nl-BE"/>
              </w:rPr>
            </w:pPr>
            <w:r w:rsidRPr="00661595">
              <w:rPr>
                <w:rFonts w:ascii="Times New Roman" w:hAnsi="Times New Roman"/>
                <w:sz w:val="24"/>
                <w:lang w:eastAsia="fr-FR"/>
              </w:rPr>
              <w:t>The number of overshootings based on which the addend is determined shall be reported.</w:t>
            </w:r>
            <w:r w:rsidR="00011AFA">
              <w:rPr>
                <w:rFonts w:ascii="Times New Roman" w:hAnsi="Times New Roman"/>
                <w:sz w:val="24"/>
                <w:lang w:eastAsia="fr-FR"/>
              </w:rPr>
              <w:t xml:space="preserve"> Where institutions are permitted to exclude certain overshootings </w:t>
            </w:r>
            <w:r w:rsidR="00011AFA" w:rsidRPr="00011AFA">
              <w:rPr>
                <w:rFonts w:ascii="Times New Roman" w:hAnsi="Times New Roman"/>
                <w:sz w:val="24"/>
                <w:lang w:eastAsia="fr-FR"/>
              </w:rPr>
              <w:t>from the calculation of the addend</w:t>
            </w:r>
            <w:r w:rsidR="00011AFA">
              <w:rPr>
                <w:rFonts w:ascii="Times New Roman" w:hAnsi="Times New Roman"/>
                <w:sz w:val="24"/>
                <w:lang w:eastAsia="fr-FR"/>
              </w:rPr>
              <w:t xml:space="preserve"> in accordance with Article 500c CRR, the number of overshootings reported in this column shall be net of those excluded overshootings.</w:t>
            </w:r>
          </w:p>
        </w:tc>
      </w:tr>
      <w:tr w:rsidR="000B0B09" w:rsidRPr="00661595" w:rsidTr="00672D2A">
        <w:tc>
          <w:tcPr>
            <w:tcW w:w="993" w:type="dxa"/>
          </w:tcPr>
          <w:p w:rsidR="000B0B09" w:rsidRPr="00661595" w:rsidRDefault="002F79EA"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150-</w:t>
            </w:r>
            <w:r w:rsidRPr="00661595">
              <w:rPr>
                <w:rFonts w:ascii="Times New Roman" w:hAnsi="Times New Roman"/>
                <w:sz w:val="24"/>
                <w:lang w:eastAsia="nl-BE"/>
              </w:rPr>
              <w:t>0</w:t>
            </w:r>
            <w:r w:rsidR="000B0B09" w:rsidRPr="00661595">
              <w:rPr>
                <w:rFonts w:ascii="Times New Roman" w:hAnsi="Times New Roman"/>
                <w:sz w:val="24"/>
                <w:lang w:eastAsia="nl-BE"/>
              </w:rPr>
              <w:t>160</w:t>
            </w:r>
          </w:p>
        </w:tc>
        <w:tc>
          <w:tcPr>
            <w:tcW w:w="7869" w:type="dxa"/>
          </w:tcPr>
          <w:p w:rsidR="000B0B09" w:rsidRPr="00661595" w:rsidRDefault="000B0B09" w:rsidP="0016282F">
            <w:pPr>
              <w:autoSpaceDE w:val="0"/>
              <w:autoSpaceDN w:val="0"/>
              <w:adjustRightInd w:val="0"/>
              <w:spacing w:before="0"/>
              <w:rPr>
                <w:rFonts w:ascii="Times New Roman" w:hAnsi="Times New Roman"/>
                <w:b/>
                <w:bCs/>
                <w:sz w:val="24"/>
                <w:u w:val="single"/>
                <w:lang w:eastAsia="nl-BE"/>
              </w:rPr>
            </w:pPr>
            <w:r w:rsidRPr="00661595">
              <w:rPr>
                <w:rFonts w:ascii="Times New Roman" w:hAnsi="Times New Roman"/>
                <w:b/>
                <w:bCs/>
                <w:sz w:val="24"/>
                <w:u w:val="single"/>
                <w:lang w:eastAsia="nl-BE"/>
              </w:rPr>
              <w:t>VaR Multiplication Factor (mc) and SVaR Multiplication Factor (ms)</w:t>
            </w:r>
          </w:p>
          <w:p w:rsidR="005C14B0" w:rsidRDefault="000B0B09" w:rsidP="006418A0">
            <w:pPr>
              <w:autoSpaceDE w:val="0"/>
              <w:autoSpaceDN w:val="0"/>
              <w:adjustRightInd w:val="0"/>
              <w:spacing w:before="0"/>
              <w:rPr>
                <w:rFonts w:ascii="Times New Roman" w:hAnsi="Times New Roman"/>
                <w:sz w:val="24"/>
              </w:rPr>
            </w:pPr>
            <w:r w:rsidRPr="00661595">
              <w:rPr>
                <w:rFonts w:ascii="Times New Roman" w:hAnsi="Times New Roman"/>
                <w:sz w:val="24"/>
              </w:rPr>
              <w:t xml:space="preserve">As referred to in Article 366 </w:t>
            </w:r>
            <w:r w:rsidR="00C7103D" w:rsidRPr="00661595">
              <w:rPr>
                <w:rFonts w:ascii="Times New Roman" w:hAnsi="Times New Roman"/>
                <w:sz w:val="24"/>
              </w:rPr>
              <w:t>CRR</w:t>
            </w:r>
          </w:p>
          <w:p w:rsidR="00011AFA" w:rsidRPr="00661595" w:rsidRDefault="00011AFA">
            <w:pPr>
              <w:autoSpaceDE w:val="0"/>
              <w:autoSpaceDN w:val="0"/>
              <w:adjustRightInd w:val="0"/>
              <w:spacing w:before="0" w:after="0"/>
              <w:rPr>
                <w:rStyle w:val="InstructionsTabelleberschrift"/>
              </w:rPr>
            </w:pPr>
            <w:r w:rsidRPr="00661595">
              <w:rPr>
                <w:rFonts w:ascii="Times New Roman" w:hAnsi="Times New Roman"/>
                <w:sz w:val="24"/>
                <w:lang w:eastAsia="fr-FR"/>
              </w:rPr>
              <w:t xml:space="preserve">The </w:t>
            </w:r>
            <w:r>
              <w:rPr>
                <w:rFonts w:ascii="Times New Roman" w:hAnsi="Times New Roman"/>
                <w:sz w:val="24"/>
                <w:lang w:eastAsia="fr-FR"/>
              </w:rPr>
              <w:t>multiplication factors effectively applicable for the calculation of own funds requirements shall be reported; where applicable, after application of Article 500c CRR.</w:t>
            </w:r>
          </w:p>
          <w:p w:rsidR="000B0B09" w:rsidRPr="00661595" w:rsidRDefault="000B0B09">
            <w:pPr>
              <w:autoSpaceDE w:val="0"/>
              <w:autoSpaceDN w:val="0"/>
              <w:adjustRightInd w:val="0"/>
              <w:spacing w:before="0" w:after="0"/>
              <w:rPr>
                <w:rFonts w:ascii="Times New Roman" w:hAnsi="Times New Roman"/>
                <w:b/>
                <w:bCs/>
                <w:sz w:val="24"/>
                <w:u w:val="single"/>
                <w:lang w:eastAsia="fr-FR"/>
              </w:rPr>
            </w:pPr>
          </w:p>
        </w:tc>
      </w:tr>
      <w:tr w:rsidR="000B0B09" w:rsidRPr="00661595" w:rsidTr="00672D2A">
        <w:tc>
          <w:tcPr>
            <w:tcW w:w="993" w:type="dxa"/>
          </w:tcPr>
          <w:p w:rsidR="000B0B09" w:rsidRPr="00661595" w:rsidRDefault="002F79EA" w:rsidP="00B74792">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170-</w:t>
            </w:r>
            <w:r w:rsidRPr="00661595">
              <w:rPr>
                <w:rFonts w:ascii="Times New Roman" w:hAnsi="Times New Roman"/>
                <w:sz w:val="24"/>
                <w:lang w:eastAsia="nl-BE"/>
              </w:rPr>
              <w:t>0</w:t>
            </w:r>
            <w:r w:rsidR="000B0B09" w:rsidRPr="00661595">
              <w:rPr>
                <w:rFonts w:ascii="Times New Roman" w:hAnsi="Times New Roman"/>
                <w:sz w:val="24"/>
                <w:lang w:eastAsia="nl-BE"/>
              </w:rPr>
              <w:t>180</w:t>
            </w:r>
          </w:p>
        </w:tc>
        <w:tc>
          <w:tcPr>
            <w:tcW w:w="7869"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ASSUMED CHARGE FOR CTP FLOOR - WEIGHTED NET LONG/ SHORT POSITIONS AFTER CAP</w:t>
            </w:r>
          </w:p>
          <w:p w:rsidR="00902EFC" w:rsidRPr="00661595" w:rsidRDefault="000B0B09" w:rsidP="0016282F">
            <w:pPr>
              <w:autoSpaceDE w:val="0"/>
              <w:autoSpaceDN w:val="0"/>
              <w:adjustRightInd w:val="0"/>
              <w:rPr>
                <w:rStyle w:val="InstructionsTabelleberschrift"/>
                <w:rFonts w:ascii="Times New Roman" w:hAnsi="Times New Roman"/>
                <w:sz w:val="24"/>
              </w:rPr>
            </w:pPr>
            <w:r w:rsidRPr="00661595">
              <w:rPr>
                <w:rFonts w:ascii="Times New Roman" w:hAnsi="Times New Roman"/>
                <w:sz w:val="24"/>
                <w:lang w:eastAsia="fr-FR"/>
              </w:rPr>
              <w:t xml:space="preserve">The amount reported and serving as the basis to calculate the floor capital charge for all price risks </w:t>
            </w:r>
            <w:r w:rsidR="00BB22D4" w:rsidRPr="00661595">
              <w:rPr>
                <w:rFonts w:ascii="Times New Roman" w:hAnsi="Times New Roman"/>
                <w:sz w:val="24"/>
                <w:lang w:eastAsia="fr-FR"/>
              </w:rPr>
              <w:t>in accordance with</w:t>
            </w:r>
            <w:r w:rsidRPr="00661595">
              <w:rPr>
                <w:rFonts w:ascii="Times New Roman" w:hAnsi="Times New Roman"/>
                <w:sz w:val="24"/>
                <w:lang w:eastAsia="fr-FR"/>
              </w:rPr>
              <w:t xml:space="preserve"> </w:t>
            </w:r>
            <w:r w:rsidR="00705025" w:rsidRPr="00661595">
              <w:rPr>
                <w:rFonts w:ascii="Times New Roman" w:hAnsi="Times New Roman"/>
                <w:bCs/>
                <w:sz w:val="24"/>
                <w:lang w:eastAsia="nl-BE"/>
              </w:rPr>
              <w:t>point (c) of Article 364(3) CRR</w:t>
            </w:r>
            <w:r w:rsidR="0016282F" w:rsidRPr="00661595">
              <w:rPr>
                <w:rFonts w:ascii="Times New Roman" w:hAnsi="Times New Roman"/>
                <w:bCs/>
                <w:sz w:val="24"/>
                <w:lang w:eastAsia="nl-BE"/>
              </w:rPr>
              <w:t>,</w:t>
            </w:r>
            <w:r w:rsidR="005C14B0" w:rsidRPr="00661595">
              <w:rPr>
                <w:rFonts w:ascii="Times New Roman" w:hAnsi="Times New Roman"/>
                <w:bCs/>
                <w:sz w:val="24"/>
                <w:lang w:eastAsia="nl-BE"/>
              </w:rPr>
              <w:t xml:space="preserve"> </w:t>
            </w:r>
            <w:r w:rsidRPr="00661595">
              <w:rPr>
                <w:rFonts w:ascii="Times New Roman" w:hAnsi="Times New Roman"/>
                <w:sz w:val="24"/>
                <w:lang w:eastAsia="fr-FR"/>
              </w:rPr>
              <w:t>tak</w:t>
            </w:r>
            <w:r w:rsidR="005C14B0" w:rsidRPr="00661595">
              <w:rPr>
                <w:rFonts w:ascii="Times New Roman" w:hAnsi="Times New Roman"/>
                <w:sz w:val="24"/>
                <w:lang w:eastAsia="fr-FR"/>
              </w:rPr>
              <w:t>ing</w:t>
            </w:r>
            <w:r w:rsidRPr="00661595">
              <w:rPr>
                <w:rFonts w:ascii="Times New Roman" w:hAnsi="Times New Roman"/>
                <w:sz w:val="24"/>
                <w:lang w:eastAsia="fr-FR"/>
              </w:rPr>
              <w:t xml:space="preserve"> into account the discretion of Article 335 </w:t>
            </w:r>
            <w:r w:rsidR="00C7103D" w:rsidRPr="00661595">
              <w:rPr>
                <w:rFonts w:ascii="Times New Roman" w:hAnsi="Times New Roman"/>
                <w:sz w:val="24"/>
                <w:lang w:eastAsia="fr-FR"/>
              </w:rPr>
              <w:t>CRR</w:t>
            </w:r>
            <w:r w:rsidRPr="00661595">
              <w:rPr>
                <w:rFonts w:ascii="Times New Roman" w:hAnsi="Times New Roman"/>
                <w:sz w:val="24"/>
                <w:lang w:eastAsia="fr-FR"/>
              </w:rPr>
              <w:t xml:space="preserve"> which </w:t>
            </w:r>
            <w:r w:rsidR="005C14B0" w:rsidRPr="00661595">
              <w:rPr>
                <w:rFonts w:ascii="Times New Roman" w:hAnsi="Times New Roman"/>
                <w:sz w:val="24"/>
                <w:lang w:eastAsia="fr-FR"/>
              </w:rPr>
              <w:t xml:space="preserve">stipulates </w:t>
            </w:r>
            <w:r w:rsidRPr="00661595">
              <w:rPr>
                <w:rFonts w:ascii="Times New Roman" w:hAnsi="Times New Roman"/>
                <w:sz w:val="24"/>
                <w:lang w:eastAsia="fr-FR"/>
              </w:rPr>
              <w:t xml:space="preserve">that the institution may cap the product of the weight and the net position at the maximum possible default-risk related loss. </w:t>
            </w:r>
          </w:p>
        </w:tc>
      </w:tr>
    </w:tbl>
    <w:p w:rsidR="000B0B09" w:rsidRPr="00661595" w:rsidRDefault="000B0B09" w:rsidP="000B0B09">
      <w:pPr>
        <w:rPr>
          <w:rFonts w:ascii="Times New Roman" w:hAnsi="Times New Roman"/>
          <w:sz w:val="24"/>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7903"/>
      </w:tblGrid>
      <w:tr w:rsidR="000B0B09" w:rsidRPr="00661595" w:rsidTr="00672D2A">
        <w:trPr>
          <w:trHeight w:val="566"/>
        </w:trPr>
        <w:tc>
          <w:tcPr>
            <w:tcW w:w="8896" w:type="dxa"/>
            <w:gridSpan w:val="2"/>
            <w:shd w:val="clear" w:color="auto" w:fill="CCCCCC"/>
          </w:tcPr>
          <w:p w:rsidR="000B0B09" w:rsidRPr="00661595" w:rsidRDefault="000B0B09" w:rsidP="000B0B09">
            <w:pPr>
              <w:autoSpaceDE w:val="0"/>
              <w:autoSpaceDN w:val="0"/>
              <w:adjustRightInd w:val="0"/>
              <w:spacing w:after="0"/>
              <w:rPr>
                <w:rFonts w:ascii="Times New Roman" w:hAnsi="Times New Roman"/>
                <w:b/>
                <w:sz w:val="24"/>
                <w:lang w:eastAsia="nl-BE"/>
              </w:rPr>
            </w:pPr>
            <w:r w:rsidRPr="00661595">
              <w:rPr>
                <w:rFonts w:ascii="Times New Roman" w:hAnsi="Times New Roman"/>
                <w:b/>
                <w:sz w:val="24"/>
                <w:lang w:eastAsia="nl-BE"/>
              </w:rPr>
              <w:t>Rows</w:t>
            </w:r>
          </w:p>
        </w:tc>
      </w:tr>
      <w:tr w:rsidR="000B0B09" w:rsidRPr="00661595" w:rsidTr="00672D2A">
        <w:tc>
          <w:tcPr>
            <w:tcW w:w="993" w:type="dxa"/>
          </w:tcPr>
          <w:p w:rsidR="000B0B09" w:rsidRPr="00661595" w:rsidRDefault="00787733"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010</w:t>
            </w:r>
          </w:p>
        </w:tc>
        <w:tc>
          <w:tcPr>
            <w:tcW w:w="7903"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TOTAL POSITIONS</w:t>
            </w:r>
          </w:p>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p>
          <w:p w:rsidR="005C14B0" w:rsidRPr="00661595" w:rsidRDefault="000B0B09" w:rsidP="0016282F">
            <w:pPr>
              <w:autoSpaceDE w:val="0"/>
              <w:autoSpaceDN w:val="0"/>
              <w:adjustRightInd w:val="0"/>
              <w:spacing w:before="0"/>
              <w:rPr>
                <w:rFonts w:ascii="Times New Roman" w:hAnsi="Times New Roman"/>
                <w:sz w:val="24"/>
                <w:lang w:eastAsia="fr-FR"/>
              </w:rPr>
            </w:pPr>
            <w:r w:rsidRPr="00661595">
              <w:rPr>
                <w:rFonts w:ascii="Times New Roman" w:hAnsi="Times New Roman"/>
                <w:sz w:val="24"/>
                <w:lang w:eastAsia="fr-FR"/>
              </w:rPr>
              <w:t xml:space="preserve">Corresponds to the part of position, foreign exchange and commodities risk referred to in Article 363(1) </w:t>
            </w:r>
            <w:r w:rsidR="00C7103D" w:rsidRPr="00661595">
              <w:rPr>
                <w:rFonts w:ascii="Times New Roman" w:hAnsi="Times New Roman"/>
                <w:sz w:val="24"/>
                <w:lang w:eastAsia="fr-FR"/>
              </w:rPr>
              <w:t>CRR</w:t>
            </w:r>
            <w:r w:rsidRPr="00661595">
              <w:rPr>
                <w:rFonts w:ascii="Times New Roman" w:hAnsi="Times New Roman"/>
                <w:sz w:val="24"/>
                <w:lang w:eastAsia="fr-FR"/>
              </w:rPr>
              <w:t xml:space="preserve"> linked to the risk factors specified in Article 367(2) </w:t>
            </w:r>
            <w:r w:rsidR="00C7103D" w:rsidRPr="00661595">
              <w:rPr>
                <w:rFonts w:ascii="Times New Roman" w:hAnsi="Times New Roman"/>
                <w:sz w:val="24"/>
                <w:lang w:eastAsia="fr-FR"/>
              </w:rPr>
              <w:t>CRR</w:t>
            </w:r>
            <w:r w:rsidRPr="00661595">
              <w:rPr>
                <w:rFonts w:ascii="Times New Roman" w:hAnsi="Times New Roman"/>
                <w:sz w:val="24"/>
                <w:lang w:eastAsia="fr-FR"/>
              </w:rPr>
              <w:t>.</w:t>
            </w:r>
          </w:p>
          <w:p w:rsidR="005C14B0" w:rsidRPr="00661595" w:rsidRDefault="000B0B09">
            <w:pPr>
              <w:autoSpaceDE w:val="0"/>
              <w:autoSpaceDN w:val="0"/>
              <w:adjustRightInd w:val="0"/>
              <w:spacing w:before="0" w:after="0"/>
              <w:rPr>
                <w:rFonts w:ascii="Times New Roman" w:hAnsi="Times New Roman"/>
                <w:sz w:val="24"/>
                <w:lang w:eastAsia="fr-FR"/>
              </w:rPr>
            </w:pPr>
            <w:r w:rsidRPr="00661595">
              <w:rPr>
                <w:rFonts w:ascii="Times New Roman" w:hAnsi="Times New Roman"/>
                <w:sz w:val="24"/>
                <w:lang w:eastAsia="fr-FR"/>
              </w:rPr>
              <w:t xml:space="preserve">Concerning the columns </w:t>
            </w:r>
            <w:r w:rsidR="00787733" w:rsidRPr="00661595">
              <w:rPr>
                <w:rFonts w:ascii="Times New Roman" w:hAnsi="Times New Roman"/>
                <w:sz w:val="24"/>
                <w:lang w:eastAsia="fr-FR"/>
              </w:rPr>
              <w:t>0</w:t>
            </w:r>
            <w:r w:rsidRPr="00661595">
              <w:rPr>
                <w:rFonts w:ascii="Times New Roman" w:hAnsi="Times New Roman"/>
                <w:sz w:val="24"/>
                <w:lang w:eastAsia="fr-FR"/>
              </w:rPr>
              <w:t xml:space="preserve">030 to </w:t>
            </w:r>
            <w:r w:rsidR="00787733" w:rsidRPr="00661595">
              <w:rPr>
                <w:rFonts w:ascii="Times New Roman" w:hAnsi="Times New Roman"/>
                <w:sz w:val="24"/>
                <w:lang w:eastAsia="fr-FR"/>
              </w:rPr>
              <w:t>0</w:t>
            </w:r>
            <w:r w:rsidRPr="00661595">
              <w:rPr>
                <w:rFonts w:ascii="Times New Roman" w:hAnsi="Times New Roman"/>
                <w:sz w:val="24"/>
                <w:lang w:eastAsia="fr-FR"/>
              </w:rPr>
              <w:t>060 (VAR and Stress-VAR)</w:t>
            </w:r>
            <w:r w:rsidR="0016282F" w:rsidRPr="00661595">
              <w:rPr>
                <w:rFonts w:ascii="Times New Roman" w:hAnsi="Times New Roman"/>
                <w:sz w:val="24"/>
                <w:lang w:eastAsia="fr-FR"/>
              </w:rPr>
              <w:t>,</w:t>
            </w:r>
            <w:r w:rsidRPr="00661595">
              <w:rPr>
                <w:rFonts w:ascii="Times New Roman" w:hAnsi="Times New Roman"/>
                <w:sz w:val="24"/>
                <w:lang w:eastAsia="fr-FR"/>
              </w:rPr>
              <w:t xml:space="preserve"> the figures in the total row </w:t>
            </w:r>
            <w:r w:rsidR="0016282F" w:rsidRPr="00661595">
              <w:rPr>
                <w:rFonts w:ascii="Times New Roman" w:hAnsi="Times New Roman"/>
                <w:sz w:val="24"/>
                <w:lang w:eastAsia="fr-FR"/>
              </w:rPr>
              <w:t>are</w:t>
            </w:r>
            <w:r w:rsidRPr="00661595">
              <w:rPr>
                <w:rFonts w:ascii="Times New Roman" w:hAnsi="Times New Roman"/>
                <w:sz w:val="24"/>
                <w:lang w:eastAsia="fr-FR"/>
              </w:rPr>
              <w:t xml:space="preserve"> not equal to the decomposition of the figures for the V</w:t>
            </w:r>
            <w:r w:rsidR="00BE0363" w:rsidRPr="00661595">
              <w:rPr>
                <w:rFonts w:ascii="Times New Roman" w:hAnsi="Times New Roman"/>
                <w:sz w:val="24"/>
                <w:lang w:eastAsia="fr-FR"/>
              </w:rPr>
              <w:t>a</w:t>
            </w:r>
            <w:r w:rsidRPr="00661595">
              <w:rPr>
                <w:rFonts w:ascii="Times New Roman" w:hAnsi="Times New Roman"/>
                <w:sz w:val="24"/>
                <w:lang w:eastAsia="fr-FR"/>
              </w:rPr>
              <w:t>R/Stress-V</w:t>
            </w:r>
            <w:r w:rsidR="00BE0363" w:rsidRPr="00661595">
              <w:rPr>
                <w:rFonts w:ascii="Times New Roman" w:hAnsi="Times New Roman"/>
                <w:sz w:val="24"/>
                <w:lang w:eastAsia="fr-FR"/>
              </w:rPr>
              <w:t>a</w:t>
            </w:r>
            <w:r w:rsidRPr="00661595">
              <w:rPr>
                <w:rFonts w:ascii="Times New Roman" w:hAnsi="Times New Roman"/>
                <w:sz w:val="24"/>
                <w:lang w:eastAsia="fr-FR"/>
              </w:rPr>
              <w:t>R of the relevant risk components</w:t>
            </w:r>
            <w:r w:rsidR="002300C6" w:rsidRPr="00661595">
              <w:rPr>
                <w:rFonts w:ascii="Times New Roman" w:hAnsi="Times New Roman"/>
                <w:sz w:val="24"/>
                <w:lang w:eastAsia="fr-FR"/>
              </w:rPr>
              <w:t>.</w:t>
            </w:r>
          </w:p>
          <w:p w:rsidR="000B0B09" w:rsidRPr="00661595" w:rsidRDefault="000B0B09">
            <w:pPr>
              <w:autoSpaceDE w:val="0"/>
              <w:autoSpaceDN w:val="0"/>
              <w:adjustRightInd w:val="0"/>
              <w:spacing w:before="0" w:after="0"/>
              <w:rPr>
                <w:rFonts w:ascii="Times New Roman" w:hAnsi="Times New Roman"/>
                <w:sz w:val="24"/>
                <w:lang w:eastAsia="fr-FR"/>
              </w:rPr>
            </w:pPr>
          </w:p>
        </w:tc>
      </w:tr>
      <w:tr w:rsidR="000B0B09" w:rsidRPr="00661595" w:rsidTr="00672D2A">
        <w:tc>
          <w:tcPr>
            <w:tcW w:w="993" w:type="dxa"/>
          </w:tcPr>
          <w:p w:rsidR="000B0B09" w:rsidRPr="00661595" w:rsidRDefault="00787733"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020</w:t>
            </w:r>
          </w:p>
        </w:tc>
        <w:tc>
          <w:tcPr>
            <w:tcW w:w="7903"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TRADED DEBT INSTRUMENTS</w:t>
            </w:r>
          </w:p>
          <w:p w:rsidR="000B0B09" w:rsidRPr="00661595" w:rsidRDefault="000B0B09" w:rsidP="00BE0363">
            <w:pPr>
              <w:autoSpaceDE w:val="0"/>
              <w:autoSpaceDN w:val="0"/>
              <w:adjustRightInd w:val="0"/>
              <w:rPr>
                <w:rFonts w:ascii="Times New Roman" w:hAnsi="Times New Roman"/>
                <w:sz w:val="24"/>
                <w:lang w:eastAsia="nl-BE"/>
              </w:rPr>
            </w:pPr>
            <w:r w:rsidRPr="00661595">
              <w:rPr>
                <w:rFonts w:ascii="Times New Roman" w:hAnsi="Times New Roman"/>
                <w:sz w:val="24"/>
                <w:lang w:eastAsia="fr-FR"/>
              </w:rPr>
              <w:t xml:space="preserve">Corresponds to the part of position risk referred to in </w:t>
            </w:r>
            <w:r w:rsidR="008241B9" w:rsidRPr="00661595">
              <w:rPr>
                <w:rFonts w:ascii="Times New Roman" w:hAnsi="Times New Roman"/>
                <w:sz w:val="24"/>
                <w:lang w:eastAsia="fr-FR"/>
              </w:rPr>
              <w:t xml:space="preserve">Article </w:t>
            </w:r>
            <w:r w:rsidRPr="00661595">
              <w:rPr>
                <w:rFonts w:ascii="Times New Roman" w:hAnsi="Times New Roman"/>
                <w:sz w:val="24"/>
                <w:lang w:eastAsia="fr-FR"/>
              </w:rPr>
              <w:t xml:space="preserve">363(1) </w:t>
            </w:r>
            <w:r w:rsidR="00C7103D" w:rsidRPr="00661595">
              <w:rPr>
                <w:rFonts w:ascii="Times New Roman" w:hAnsi="Times New Roman"/>
                <w:sz w:val="24"/>
                <w:lang w:eastAsia="fr-FR"/>
              </w:rPr>
              <w:t>CRR</w:t>
            </w:r>
            <w:r w:rsidR="0016282F" w:rsidRPr="00661595">
              <w:rPr>
                <w:rFonts w:ascii="Times New Roman" w:hAnsi="Times New Roman"/>
                <w:sz w:val="24"/>
                <w:lang w:eastAsia="fr-FR"/>
              </w:rPr>
              <w:t>,</w:t>
            </w:r>
            <w:r w:rsidRPr="00661595">
              <w:rPr>
                <w:rFonts w:ascii="Times New Roman" w:hAnsi="Times New Roman"/>
                <w:sz w:val="24"/>
                <w:lang w:eastAsia="fr-FR"/>
              </w:rPr>
              <w:t xml:space="preserve"> linked to the interest rates risk factors specified in </w:t>
            </w:r>
            <w:r w:rsidR="0016282F" w:rsidRPr="00661595">
              <w:rPr>
                <w:rFonts w:ascii="Times New Roman" w:hAnsi="Times New Roman"/>
                <w:sz w:val="24"/>
                <w:lang w:eastAsia="fr-FR"/>
              </w:rPr>
              <w:t xml:space="preserve">point (a) of </w:t>
            </w:r>
            <w:r w:rsidRPr="00661595">
              <w:rPr>
                <w:rFonts w:ascii="Times New Roman" w:hAnsi="Times New Roman"/>
                <w:sz w:val="24"/>
                <w:lang w:eastAsia="fr-FR"/>
              </w:rPr>
              <w:t xml:space="preserve">Article 367(2) </w:t>
            </w:r>
            <w:r w:rsidR="00C7103D" w:rsidRPr="00661595">
              <w:rPr>
                <w:rFonts w:ascii="Times New Roman" w:hAnsi="Times New Roman"/>
                <w:sz w:val="24"/>
                <w:lang w:eastAsia="fr-FR"/>
              </w:rPr>
              <w:t>CRR</w:t>
            </w:r>
            <w:r w:rsidRPr="00661595">
              <w:rPr>
                <w:rFonts w:ascii="Times New Roman" w:hAnsi="Times New Roman"/>
                <w:sz w:val="24"/>
                <w:lang w:eastAsia="fr-FR"/>
              </w:rPr>
              <w:t>.</w:t>
            </w:r>
          </w:p>
        </w:tc>
      </w:tr>
      <w:tr w:rsidR="000B0B09" w:rsidRPr="00661595" w:rsidTr="00672D2A">
        <w:tc>
          <w:tcPr>
            <w:tcW w:w="993" w:type="dxa"/>
          </w:tcPr>
          <w:p w:rsidR="000B0B09" w:rsidRPr="00661595" w:rsidRDefault="00787733"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030</w:t>
            </w:r>
          </w:p>
        </w:tc>
        <w:tc>
          <w:tcPr>
            <w:tcW w:w="7903"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TDI – GENERAL RISK</w:t>
            </w:r>
          </w:p>
          <w:p w:rsidR="000B0B09" w:rsidRPr="00661595" w:rsidRDefault="000B0B09" w:rsidP="0016282F">
            <w:pPr>
              <w:autoSpaceDE w:val="0"/>
              <w:autoSpaceDN w:val="0"/>
              <w:adjustRightInd w:val="0"/>
              <w:rPr>
                <w:rFonts w:ascii="Times New Roman" w:hAnsi="Times New Roman"/>
                <w:sz w:val="24"/>
                <w:lang w:eastAsia="nl-BE"/>
              </w:rPr>
            </w:pPr>
            <w:r w:rsidRPr="00661595">
              <w:rPr>
                <w:rFonts w:ascii="Times New Roman" w:hAnsi="Times New Roman"/>
                <w:sz w:val="24"/>
                <w:lang w:eastAsia="fr-FR"/>
              </w:rPr>
              <w:t xml:space="preserve">General risk </w:t>
            </w:r>
            <w:r w:rsidR="0016282F" w:rsidRPr="00661595">
              <w:rPr>
                <w:rFonts w:ascii="Times New Roman" w:hAnsi="Times New Roman"/>
                <w:sz w:val="24"/>
                <w:lang w:eastAsia="fr-FR"/>
              </w:rPr>
              <w:t xml:space="preserve">component as referred to in </w:t>
            </w:r>
            <w:r w:rsidRPr="00661595">
              <w:rPr>
                <w:rFonts w:ascii="Times New Roman" w:hAnsi="Times New Roman"/>
                <w:sz w:val="24"/>
                <w:lang w:eastAsia="fr-FR"/>
              </w:rPr>
              <w:t xml:space="preserve">Article 362 </w:t>
            </w:r>
            <w:r w:rsidR="00C7103D" w:rsidRPr="00661595">
              <w:rPr>
                <w:rFonts w:ascii="Times New Roman" w:hAnsi="Times New Roman"/>
                <w:sz w:val="24"/>
                <w:lang w:eastAsia="fr-FR"/>
              </w:rPr>
              <w:t>CRR</w:t>
            </w:r>
            <w:r w:rsidRPr="00661595">
              <w:rPr>
                <w:rFonts w:ascii="Times New Roman" w:hAnsi="Times New Roman"/>
                <w:sz w:val="24"/>
                <w:lang w:eastAsia="fr-FR"/>
              </w:rPr>
              <w:t xml:space="preserve"> </w:t>
            </w:r>
          </w:p>
        </w:tc>
      </w:tr>
      <w:tr w:rsidR="000B0B09" w:rsidRPr="00661595" w:rsidTr="00672D2A">
        <w:tc>
          <w:tcPr>
            <w:tcW w:w="993" w:type="dxa"/>
          </w:tcPr>
          <w:p w:rsidR="000B0B09" w:rsidRPr="00661595" w:rsidRDefault="00787733"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040</w:t>
            </w:r>
          </w:p>
        </w:tc>
        <w:tc>
          <w:tcPr>
            <w:tcW w:w="7903"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de-DE"/>
              </w:rPr>
            </w:pPr>
            <w:r w:rsidRPr="00661595">
              <w:rPr>
                <w:rFonts w:ascii="Times New Roman" w:hAnsi="Times New Roman"/>
                <w:b/>
                <w:bCs/>
                <w:sz w:val="24"/>
                <w:u w:val="single"/>
                <w:lang w:eastAsia="de-DE"/>
              </w:rPr>
              <w:t>TDI – SPECIFIC RISK</w:t>
            </w:r>
          </w:p>
          <w:p w:rsidR="000B0B09" w:rsidRPr="00661595" w:rsidRDefault="000B0B09" w:rsidP="000B0B09">
            <w:pPr>
              <w:autoSpaceDE w:val="0"/>
              <w:autoSpaceDN w:val="0"/>
              <w:adjustRightInd w:val="0"/>
              <w:spacing w:before="0" w:after="0"/>
              <w:rPr>
                <w:rFonts w:ascii="Times New Roman" w:hAnsi="Times New Roman"/>
                <w:sz w:val="24"/>
                <w:lang w:eastAsia="de-DE"/>
              </w:rPr>
            </w:pPr>
          </w:p>
          <w:p w:rsidR="000B0B09" w:rsidRPr="00661595" w:rsidRDefault="000B0B09" w:rsidP="0016282F">
            <w:pPr>
              <w:autoSpaceDE w:val="0"/>
              <w:autoSpaceDN w:val="0"/>
              <w:adjustRightInd w:val="0"/>
              <w:rPr>
                <w:rFonts w:ascii="Times New Roman" w:hAnsi="Times New Roman"/>
                <w:b/>
                <w:bCs/>
                <w:sz w:val="24"/>
                <w:u w:val="single"/>
                <w:lang w:eastAsia="nl-BE"/>
              </w:rPr>
            </w:pPr>
            <w:r w:rsidRPr="00661595">
              <w:rPr>
                <w:rFonts w:ascii="Times New Roman" w:hAnsi="Times New Roman"/>
                <w:sz w:val="24"/>
                <w:lang w:eastAsia="fr-FR"/>
              </w:rPr>
              <w:t xml:space="preserve">Specific risk </w:t>
            </w:r>
            <w:r w:rsidR="0016282F" w:rsidRPr="00661595">
              <w:rPr>
                <w:rFonts w:ascii="Times New Roman" w:hAnsi="Times New Roman"/>
                <w:sz w:val="24"/>
                <w:lang w:eastAsia="fr-FR"/>
              </w:rPr>
              <w:t xml:space="preserve">component as referred to </w:t>
            </w:r>
            <w:r w:rsidRPr="00661595">
              <w:rPr>
                <w:rFonts w:ascii="Times New Roman" w:hAnsi="Times New Roman"/>
                <w:sz w:val="24"/>
                <w:lang w:eastAsia="fr-FR"/>
              </w:rPr>
              <w:t xml:space="preserve">in Article 362 </w:t>
            </w:r>
            <w:r w:rsidR="00C7103D" w:rsidRPr="00661595">
              <w:rPr>
                <w:rFonts w:ascii="Times New Roman" w:hAnsi="Times New Roman"/>
                <w:sz w:val="24"/>
                <w:lang w:eastAsia="fr-FR"/>
              </w:rPr>
              <w:t>CRR</w:t>
            </w:r>
            <w:r w:rsidRPr="00661595">
              <w:rPr>
                <w:rFonts w:ascii="Times New Roman" w:hAnsi="Times New Roman"/>
                <w:sz w:val="24"/>
                <w:lang w:eastAsia="fr-FR"/>
              </w:rPr>
              <w:t xml:space="preserve"> </w:t>
            </w:r>
          </w:p>
        </w:tc>
      </w:tr>
      <w:tr w:rsidR="000B0B09" w:rsidRPr="00661595" w:rsidTr="00672D2A">
        <w:tc>
          <w:tcPr>
            <w:tcW w:w="993" w:type="dxa"/>
          </w:tcPr>
          <w:p w:rsidR="000B0B09" w:rsidRPr="00661595" w:rsidRDefault="00787733"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050</w:t>
            </w:r>
          </w:p>
        </w:tc>
        <w:tc>
          <w:tcPr>
            <w:tcW w:w="7903"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de-DE"/>
              </w:rPr>
            </w:pPr>
            <w:r w:rsidRPr="00661595">
              <w:rPr>
                <w:rFonts w:ascii="Times New Roman" w:hAnsi="Times New Roman"/>
                <w:b/>
                <w:bCs/>
                <w:sz w:val="24"/>
                <w:u w:val="single"/>
                <w:lang w:eastAsia="de-DE"/>
              </w:rPr>
              <w:t>EQUITIES</w:t>
            </w:r>
          </w:p>
          <w:p w:rsidR="000B0B09" w:rsidRPr="00661595" w:rsidRDefault="000B0B09" w:rsidP="000B0B09">
            <w:pPr>
              <w:autoSpaceDE w:val="0"/>
              <w:autoSpaceDN w:val="0"/>
              <w:adjustRightInd w:val="0"/>
              <w:spacing w:before="0" w:after="0"/>
              <w:rPr>
                <w:rFonts w:ascii="Times New Roman" w:hAnsi="Times New Roman"/>
                <w:sz w:val="24"/>
                <w:lang w:eastAsia="de-DE"/>
              </w:rPr>
            </w:pPr>
          </w:p>
          <w:p w:rsidR="000B0B09" w:rsidRPr="00661595" w:rsidRDefault="000B0B09" w:rsidP="000B0B09">
            <w:pPr>
              <w:autoSpaceDE w:val="0"/>
              <w:autoSpaceDN w:val="0"/>
              <w:adjustRightInd w:val="0"/>
              <w:spacing w:before="0" w:after="0"/>
              <w:rPr>
                <w:rFonts w:ascii="Times New Roman" w:hAnsi="Times New Roman"/>
                <w:sz w:val="24"/>
                <w:lang w:eastAsia="fr-FR"/>
              </w:rPr>
            </w:pPr>
            <w:r w:rsidRPr="00661595">
              <w:rPr>
                <w:rFonts w:ascii="Times New Roman" w:hAnsi="Times New Roman"/>
                <w:sz w:val="24"/>
                <w:lang w:eastAsia="fr-FR"/>
              </w:rPr>
              <w:t xml:space="preserve">Corresponds to the part of position risk referred to in </w:t>
            </w:r>
            <w:r w:rsidR="008241B9" w:rsidRPr="00661595">
              <w:rPr>
                <w:rFonts w:ascii="Times New Roman" w:hAnsi="Times New Roman"/>
                <w:sz w:val="24"/>
                <w:lang w:eastAsia="fr-FR"/>
              </w:rPr>
              <w:t xml:space="preserve">Article </w:t>
            </w:r>
            <w:r w:rsidRPr="00661595">
              <w:rPr>
                <w:rFonts w:ascii="Times New Roman" w:hAnsi="Times New Roman"/>
                <w:sz w:val="24"/>
                <w:lang w:eastAsia="fr-FR"/>
              </w:rPr>
              <w:t xml:space="preserve">363(1) </w:t>
            </w:r>
            <w:r w:rsidR="00C7103D" w:rsidRPr="00661595">
              <w:rPr>
                <w:rFonts w:ascii="Times New Roman" w:hAnsi="Times New Roman"/>
                <w:sz w:val="24"/>
                <w:lang w:eastAsia="fr-FR"/>
              </w:rPr>
              <w:t>CRR</w:t>
            </w:r>
            <w:r w:rsidRPr="00661595">
              <w:rPr>
                <w:rFonts w:ascii="Times New Roman" w:hAnsi="Times New Roman"/>
                <w:sz w:val="24"/>
                <w:lang w:eastAsia="fr-FR"/>
              </w:rPr>
              <w:t xml:space="preserve"> linked to the equity risk factors as specified in </w:t>
            </w:r>
            <w:r w:rsidR="00BE0363" w:rsidRPr="00661595">
              <w:rPr>
                <w:rFonts w:ascii="Times New Roman" w:hAnsi="Times New Roman"/>
                <w:sz w:val="24"/>
                <w:lang w:eastAsia="fr-FR"/>
              </w:rPr>
              <w:t xml:space="preserve">point (c) of </w:t>
            </w:r>
            <w:r w:rsidRPr="00661595">
              <w:rPr>
                <w:rFonts w:ascii="Times New Roman" w:hAnsi="Times New Roman"/>
                <w:sz w:val="24"/>
                <w:lang w:eastAsia="fr-FR"/>
              </w:rPr>
              <w:t xml:space="preserve">Article 367(2) </w:t>
            </w:r>
            <w:r w:rsidR="00C7103D" w:rsidRPr="00661595">
              <w:rPr>
                <w:rFonts w:ascii="Times New Roman" w:hAnsi="Times New Roman"/>
                <w:sz w:val="24"/>
                <w:lang w:eastAsia="fr-FR"/>
              </w:rPr>
              <w:t>CRR</w:t>
            </w:r>
            <w:r w:rsidRPr="00661595">
              <w:rPr>
                <w:rFonts w:ascii="Times New Roman" w:hAnsi="Times New Roman"/>
                <w:sz w:val="24"/>
                <w:lang w:eastAsia="fr-FR"/>
              </w:rPr>
              <w:t xml:space="preserve">. </w:t>
            </w:r>
          </w:p>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p>
        </w:tc>
      </w:tr>
      <w:tr w:rsidR="000B0B09" w:rsidRPr="00661595" w:rsidTr="00672D2A">
        <w:tc>
          <w:tcPr>
            <w:tcW w:w="993" w:type="dxa"/>
          </w:tcPr>
          <w:p w:rsidR="000B0B09" w:rsidRPr="00661595" w:rsidRDefault="00787733"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060</w:t>
            </w:r>
          </w:p>
        </w:tc>
        <w:tc>
          <w:tcPr>
            <w:tcW w:w="7903"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EQUITIES – GENERAL RISK</w:t>
            </w:r>
          </w:p>
          <w:p w:rsidR="000B0B09" w:rsidRPr="00661595" w:rsidRDefault="000B0B09" w:rsidP="00BE0363">
            <w:pPr>
              <w:autoSpaceDE w:val="0"/>
              <w:autoSpaceDN w:val="0"/>
              <w:adjustRightInd w:val="0"/>
              <w:rPr>
                <w:rFonts w:ascii="Times New Roman" w:hAnsi="Times New Roman"/>
                <w:b/>
                <w:bCs/>
                <w:sz w:val="24"/>
                <w:u w:val="single"/>
                <w:lang w:eastAsia="nl-BE"/>
              </w:rPr>
            </w:pPr>
            <w:r w:rsidRPr="00661595">
              <w:rPr>
                <w:rFonts w:ascii="Times New Roman" w:hAnsi="Times New Roman"/>
                <w:sz w:val="24"/>
                <w:lang w:eastAsia="fr-FR"/>
              </w:rPr>
              <w:t xml:space="preserve">General risk </w:t>
            </w:r>
            <w:r w:rsidR="0016282F" w:rsidRPr="00661595">
              <w:rPr>
                <w:rFonts w:ascii="Times New Roman" w:hAnsi="Times New Roman"/>
                <w:sz w:val="24"/>
                <w:lang w:eastAsia="fr-FR"/>
              </w:rPr>
              <w:t>component as referred to</w:t>
            </w:r>
            <w:r w:rsidRPr="00661595">
              <w:rPr>
                <w:rFonts w:ascii="Times New Roman" w:hAnsi="Times New Roman"/>
                <w:sz w:val="24"/>
                <w:lang w:eastAsia="fr-FR"/>
              </w:rPr>
              <w:t xml:space="preserve"> in Article 362 </w:t>
            </w:r>
            <w:r w:rsidR="00C7103D" w:rsidRPr="00661595">
              <w:rPr>
                <w:rFonts w:ascii="Times New Roman" w:hAnsi="Times New Roman"/>
                <w:sz w:val="24"/>
                <w:lang w:eastAsia="fr-FR"/>
              </w:rPr>
              <w:t>CRR</w:t>
            </w:r>
          </w:p>
        </w:tc>
      </w:tr>
      <w:tr w:rsidR="000B0B09" w:rsidRPr="00661595" w:rsidTr="00672D2A">
        <w:tc>
          <w:tcPr>
            <w:tcW w:w="993" w:type="dxa"/>
          </w:tcPr>
          <w:p w:rsidR="000B0B09" w:rsidRPr="00661595" w:rsidRDefault="00787733"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070</w:t>
            </w:r>
          </w:p>
        </w:tc>
        <w:tc>
          <w:tcPr>
            <w:tcW w:w="7903"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EQUITIES – SPECIFIC RISK</w:t>
            </w:r>
          </w:p>
          <w:p w:rsidR="000B0B09" w:rsidRPr="00661595" w:rsidRDefault="000B0B09" w:rsidP="0016282F">
            <w:pPr>
              <w:autoSpaceDE w:val="0"/>
              <w:autoSpaceDN w:val="0"/>
              <w:adjustRightInd w:val="0"/>
              <w:rPr>
                <w:rFonts w:ascii="Times New Roman" w:hAnsi="Times New Roman"/>
                <w:b/>
                <w:bCs/>
                <w:sz w:val="24"/>
                <w:u w:val="single"/>
                <w:lang w:eastAsia="nl-BE"/>
              </w:rPr>
            </w:pPr>
            <w:r w:rsidRPr="00661595">
              <w:rPr>
                <w:rFonts w:ascii="Times New Roman" w:hAnsi="Times New Roman"/>
                <w:sz w:val="24"/>
                <w:lang w:eastAsia="fr-FR"/>
              </w:rPr>
              <w:t xml:space="preserve">Specific risk </w:t>
            </w:r>
            <w:r w:rsidR="0016282F" w:rsidRPr="00661595">
              <w:rPr>
                <w:rFonts w:ascii="Times New Roman" w:hAnsi="Times New Roman"/>
                <w:sz w:val="24"/>
                <w:lang w:eastAsia="fr-FR"/>
              </w:rPr>
              <w:t xml:space="preserve">component as referred to </w:t>
            </w:r>
            <w:r w:rsidRPr="00661595">
              <w:rPr>
                <w:rFonts w:ascii="Times New Roman" w:hAnsi="Times New Roman"/>
                <w:sz w:val="24"/>
                <w:lang w:eastAsia="fr-FR"/>
              </w:rPr>
              <w:t xml:space="preserve">in Article 362 </w:t>
            </w:r>
            <w:r w:rsidR="00C7103D" w:rsidRPr="00661595">
              <w:rPr>
                <w:rFonts w:ascii="Times New Roman" w:hAnsi="Times New Roman"/>
                <w:sz w:val="24"/>
                <w:lang w:eastAsia="fr-FR"/>
              </w:rPr>
              <w:t>CRR</w:t>
            </w:r>
            <w:r w:rsidRPr="00661595">
              <w:rPr>
                <w:rFonts w:ascii="Times New Roman" w:hAnsi="Times New Roman"/>
                <w:sz w:val="24"/>
                <w:lang w:eastAsia="fr-FR"/>
              </w:rPr>
              <w:t xml:space="preserve"> </w:t>
            </w:r>
          </w:p>
        </w:tc>
      </w:tr>
      <w:tr w:rsidR="000B0B09" w:rsidRPr="00661595" w:rsidTr="00672D2A">
        <w:tc>
          <w:tcPr>
            <w:tcW w:w="993" w:type="dxa"/>
          </w:tcPr>
          <w:p w:rsidR="000B0B09" w:rsidRPr="00661595" w:rsidRDefault="00787733"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080</w:t>
            </w:r>
          </w:p>
        </w:tc>
        <w:tc>
          <w:tcPr>
            <w:tcW w:w="7903"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FOREIGN EXCHANGE RISK</w:t>
            </w:r>
          </w:p>
          <w:p w:rsidR="000B0B09" w:rsidRPr="00661595" w:rsidRDefault="000B0B09" w:rsidP="0016282F">
            <w:pPr>
              <w:autoSpaceDE w:val="0"/>
              <w:autoSpaceDN w:val="0"/>
              <w:adjustRightInd w:val="0"/>
              <w:rPr>
                <w:rFonts w:ascii="Times New Roman" w:hAnsi="Times New Roman"/>
                <w:b/>
                <w:bCs/>
                <w:sz w:val="24"/>
                <w:u w:val="single"/>
                <w:lang w:eastAsia="nl-BE"/>
              </w:rPr>
            </w:pPr>
            <w:r w:rsidRPr="00661595">
              <w:rPr>
                <w:rFonts w:ascii="Times New Roman" w:hAnsi="Times New Roman"/>
                <w:sz w:val="24"/>
                <w:lang w:eastAsia="fr-FR"/>
              </w:rPr>
              <w:t xml:space="preserve">Articles 363(1) and </w:t>
            </w:r>
            <w:r w:rsidR="00BE0363" w:rsidRPr="00661595">
              <w:rPr>
                <w:rFonts w:ascii="Times New Roman" w:hAnsi="Times New Roman"/>
                <w:sz w:val="24"/>
                <w:lang w:eastAsia="fr-FR"/>
              </w:rPr>
              <w:t xml:space="preserve">point (b) of Article </w:t>
            </w:r>
            <w:r w:rsidRPr="00661595">
              <w:rPr>
                <w:rFonts w:ascii="Times New Roman" w:hAnsi="Times New Roman"/>
                <w:sz w:val="24"/>
                <w:lang w:eastAsia="fr-FR"/>
              </w:rPr>
              <w:t xml:space="preserve">367(2) </w:t>
            </w:r>
            <w:r w:rsidR="00C7103D" w:rsidRPr="00661595">
              <w:rPr>
                <w:rFonts w:ascii="Times New Roman" w:hAnsi="Times New Roman"/>
                <w:sz w:val="24"/>
                <w:lang w:eastAsia="fr-FR"/>
              </w:rPr>
              <w:t>CRR</w:t>
            </w:r>
          </w:p>
        </w:tc>
      </w:tr>
      <w:tr w:rsidR="000B0B09" w:rsidRPr="00661595" w:rsidTr="00672D2A">
        <w:tc>
          <w:tcPr>
            <w:tcW w:w="993" w:type="dxa"/>
          </w:tcPr>
          <w:p w:rsidR="000B0B09" w:rsidRPr="00661595" w:rsidRDefault="00787733"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090</w:t>
            </w:r>
          </w:p>
        </w:tc>
        <w:tc>
          <w:tcPr>
            <w:tcW w:w="7903"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COMMODITY RISK</w:t>
            </w:r>
          </w:p>
          <w:p w:rsidR="000B0B09" w:rsidRPr="00661595" w:rsidRDefault="000B0B09" w:rsidP="00BE0363">
            <w:pPr>
              <w:autoSpaceDE w:val="0"/>
              <w:autoSpaceDN w:val="0"/>
              <w:adjustRightInd w:val="0"/>
              <w:rPr>
                <w:rFonts w:ascii="Times New Roman" w:hAnsi="Times New Roman"/>
                <w:b/>
                <w:bCs/>
                <w:sz w:val="24"/>
                <w:u w:val="single"/>
                <w:lang w:eastAsia="nl-BE"/>
              </w:rPr>
            </w:pPr>
            <w:r w:rsidRPr="00661595">
              <w:rPr>
                <w:rFonts w:ascii="Times New Roman" w:hAnsi="Times New Roman"/>
                <w:sz w:val="24"/>
                <w:lang w:eastAsia="fr-FR"/>
              </w:rPr>
              <w:t xml:space="preserve">Articles 363(1) and </w:t>
            </w:r>
            <w:r w:rsidR="00BE0363" w:rsidRPr="00661595">
              <w:rPr>
                <w:rFonts w:ascii="Times New Roman" w:hAnsi="Times New Roman"/>
                <w:sz w:val="24"/>
                <w:lang w:eastAsia="fr-FR"/>
              </w:rPr>
              <w:t xml:space="preserve">point (d) of Article </w:t>
            </w:r>
            <w:r w:rsidRPr="00661595">
              <w:rPr>
                <w:rFonts w:ascii="Times New Roman" w:hAnsi="Times New Roman"/>
                <w:sz w:val="24"/>
                <w:lang w:eastAsia="fr-FR"/>
              </w:rPr>
              <w:t xml:space="preserve">367(2) </w:t>
            </w:r>
            <w:r w:rsidR="00C7103D" w:rsidRPr="00661595">
              <w:rPr>
                <w:rFonts w:ascii="Times New Roman" w:hAnsi="Times New Roman"/>
                <w:sz w:val="24"/>
                <w:lang w:eastAsia="fr-FR"/>
              </w:rPr>
              <w:t>CRR</w:t>
            </w:r>
            <w:r w:rsidRPr="00661595">
              <w:rPr>
                <w:rFonts w:ascii="Times New Roman" w:hAnsi="Times New Roman"/>
                <w:sz w:val="24"/>
                <w:lang w:eastAsia="fr-FR"/>
              </w:rPr>
              <w:t xml:space="preserve"> </w:t>
            </w:r>
          </w:p>
        </w:tc>
      </w:tr>
      <w:tr w:rsidR="000B0B09" w:rsidRPr="00661595" w:rsidTr="00672D2A">
        <w:tc>
          <w:tcPr>
            <w:tcW w:w="993" w:type="dxa"/>
          </w:tcPr>
          <w:p w:rsidR="000B0B09" w:rsidRPr="00661595" w:rsidRDefault="00787733" w:rsidP="000B0B09">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100</w:t>
            </w:r>
          </w:p>
        </w:tc>
        <w:tc>
          <w:tcPr>
            <w:tcW w:w="7903"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TOTAL AMOUNT FOR GENERAL RISK</w:t>
            </w:r>
          </w:p>
          <w:p w:rsidR="005C14B0" w:rsidRPr="00661595" w:rsidRDefault="005C14B0" w:rsidP="000B0B09">
            <w:pPr>
              <w:autoSpaceDE w:val="0"/>
              <w:autoSpaceDN w:val="0"/>
              <w:adjustRightInd w:val="0"/>
              <w:spacing w:before="0" w:after="0"/>
              <w:rPr>
                <w:rFonts w:ascii="Times New Roman" w:hAnsi="Times New Roman"/>
                <w:b/>
                <w:bCs/>
                <w:sz w:val="24"/>
                <w:u w:val="single"/>
                <w:lang w:eastAsia="nl-BE"/>
              </w:rPr>
            </w:pPr>
          </w:p>
          <w:p w:rsidR="000B0B09" w:rsidRPr="00661595" w:rsidRDefault="000B0B09">
            <w:pPr>
              <w:autoSpaceDE w:val="0"/>
              <w:autoSpaceDN w:val="0"/>
              <w:adjustRightInd w:val="0"/>
              <w:spacing w:before="0" w:after="0"/>
              <w:rPr>
                <w:rFonts w:ascii="Times New Roman" w:hAnsi="Times New Roman"/>
                <w:b/>
                <w:bCs/>
                <w:sz w:val="24"/>
                <w:u w:val="single"/>
                <w:lang w:eastAsia="nl-BE"/>
              </w:rPr>
            </w:pPr>
            <w:r w:rsidRPr="00661595">
              <w:rPr>
                <w:rStyle w:val="InstructionsTabelleText"/>
                <w:rFonts w:ascii="Times New Roman" w:hAnsi="Times New Roman"/>
                <w:sz w:val="24"/>
              </w:rPr>
              <w:t>Market risk caused by general market movements of traded debt instruments, equities, foreign exchange and commodities. V</w:t>
            </w:r>
            <w:r w:rsidR="00BE0363" w:rsidRPr="00661595">
              <w:rPr>
                <w:rStyle w:val="InstructionsTabelleText"/>
                <w:rFonts w:ascii="Times New Roman" w:hAnsi="Times New Roman"/>
                <w:sz w:val="24"/>
              </w:rPr>
              <w:t>a</w:t>
            </w:r>
            <w:r w:rsidRPr="00661595">
              <w:rPr>
                <w:rStyle w:val="InstructionsTabelleText"/>
                <w:rFonts w:ascii="Times New Roman" w:hAnsi="Times New Roman"/>
                <w:sz w:val="24"/>
              </w:rPr>
              <w:t xml:space="preserve">R for general risk of all risk factors (taking into account correlation effects </w:t>
            </w:r>
            <w:r w:rsidR="0016282F" w:rsidRPr="00661595">
              <w:rPr>
                <w:rStyle w:val="InstructionsTabelleText"/>
                <w:rFonts w:ascii="Times New Roman" w:hAnsi="Times New Roman"/>
                <w:sz w:val="24"/>
              </w:rPr>
              <w:t>where</w:t>
            </w:r>
            <w:r w:rsidRPr="00661595">
              <w:rPr>
                <w:rStyle w:val="InstructionsTabelleText"/>
                <w:rFonts w:ascii="Times New Roman" w:hAnsi="Times New Roman"/>
                <w:sz w:val="24"/>
              </w:rPr>
              <w:t xml:space="preserve"> applicable) </w:t>
            </w:r>
            <w:r w:rsidRPr="00661595">
              <w:rPr>
                <w:rFonts w:ascii="Times New Roman" w:hAnsi="Times New Roman"/>
                <w:b/>
                <w:bCs/>
                <w:sz w:val="24"/>
                <w:u w:val="single"/>
                <w:lang w:eastAsia="nl-BE"/>
              </w:rPr>
              <w:t xml:space="preserve"> </w:t>
            </w:r>
          </w:p>
          <w:p w:rsidR="005C14B0" w:rsidRPr="00661595" w:rsidRDefault="005C14B0">
            <w:pPr>
              <w:autoSpaceDE w:val="0"/>
              <w:autoSpaceDN w:val="0"/>
              <w:adjustRightInd w:val="0"/>
              <w:spacing w:before="0" w:after="0"/>
              <w:rPr>
                <w:rFonts w:ascii="Times New Roman" w:hAnsi="Times New Roman"/>
                <w:b/>
                <w:bCs/>
                <w:sz w:val="24"/>
                <w:u w:val="single"/>
                <w:lang w:eastAsia="nl-BE"/>
              </w:rPr>
            </w:pPr>
          </w:p>
        </w:tc>
      </w:tr>
      <w:tr w:rsidR="000B0B09" w:rsidRPr="00661595" w:rsidTr="00672D2A">
        <w:tc>
          <w:tcPr>
            <w:tcW w:w="993" w:type="dxa"/>
          </w:tcPr>
          <w:p w:rsidR="000B0B09" w:rsidRPr="00661595" w:rsidRDefault="00787733" w:rsidP="000911FE">
            <w:pPr>
              <w:autoSpaceDE w:val="0"/>
              <w:autoSpaceDN w:val="0"/>
              <w:adjustRightInd w:val="0"/>
              <w:spacing w:before="0" w:after="0"/>
              <w:rPr>
                <w:rFonts w:ascii="Times New Roman" w:hAnsi="Times New Roman"/>
                <w:sz w:val="24"/>
                <w:lang w:eastAsia="nl-BE"/>
              </w:rPr>
            </w:pPr>
            <w:r w:rsidRPr="00661595">
              <w:rPr>
                <w:rFonts w:ascii="Times New Roman" w:hAnsi="Times New Roman"/>
                <w:sz w:val="24"/>
                <w:lang w:eastAsia="nl-BE"/>
              </w:rPr>
              <w:t>0</w:t>
            </w:r>
            <w:r w:rsidR="000B0B09" w:rsidRPr="00661595">
              <w:rPr>
                <w:rFonts w:ascii="Times New Roman" w:hAnsi="Times New Roman"/>
                <w:sz w:val="24"/>
                <w:lang w:eastAsia="nl-BE"/>
              </w:rPr>
              <w:t>110</w:t>
            </w:r>
          </w:p>
        </w:tc>
        <w:tc>
          <w:tcPr>
            <w:tcW w:w="7903" w:type="dxa"/>
          </w:tcPr>
          <w:p w:rsidR="000B0B09" w:rsidRPr="00661595" w:rsidRDefault="000B0B09" w:rsidP="000B0B09">
            <w:pPr>
              <w:autoSpaceDE w:val="0"/>
              <w:autoSpaceDN w:val="0"/>
              <w:adjustRightInd w:val="0"/>
              <w:spacing w:before="0" w:after="0"/>
              <w:rPr>
                <w:rFonts w:ascii="Times New Roman" w:hAnsi="Times New Roman"/>
                <w:b/>
                <w:bCs/>
                <w:sz w:val="24"/>
                <w:u w:val="single"/>
                <w:lang w:eastAsia="nl-BE"/>
              </w:rPr>
            </w:pPr>
            <w:r w:rsidRPr="00661595">
              <w:rPr>
                <w:rFonts w:ascii="Times New Roman" w:hAnsi="Times New Roman"/>
                <w:b/>
                <w:bCs/>
                <w:sz w:val="24"/>
                <w:u w:val="single"/>
                <w:lang w:eastAsia="nl-BE"/>
              </w:rPr>
              <w:t>TOTAL AMOUNT FOR SPECIFIC RISK</w:t>
            </w:r>
          </w:p>
          <w:p w:rsidR="000B0B09" w:rsidRPr="00661595" w:rsidRDefault="000B0B09" w:rsidP="0016282F">
            <w:pPr>
              <w:autoSpaceDE w:val="0"/>
              <w:autoSpaceDN w:val="0"/>
              <w:adjustRightInd w:val="0"/>
              <w:rPr>
                <w:rFonts w:ascii="Times New Roman" w:hAnsi="Times New Roman"/>
                <w:b/>
                <w:bCs/>
                <w:sz w:val="24"/>
                <w:u w:val="single"/>
                <w:lang w:eastAsia="nl-BE"/>
              </w:rPr>
            </w:pPr>
            <w:r w:rsidRPr="00661595">
              <w:rPr>
                <w:rStyle w:val="InstructionsTabelleText"/>
                <w:rFonts w:ascii="Times New Roman" w:hAnsi="Times New Roman"/>
                <w:sz w:val="24"/>
              </w:rPr>
              <w:t>Specific risk component of traded debt instruments and equities. V</w:t>
            </w:r>
            <w:r w:rsidR="00BE0363" w:rsidRPr="00661595">
              <w:rPr>
                <w:rStyle w:val="InstructionsTabelleText"/>
                <w:rFonts w:ascii="Times New Roman" w:hAnsi="Times New Roman"/>
                <w:sz w:val="24"/>
              </w:rPr>
              <w:t>a</w:t>
            </w:r>
            <w:r w:rsidRPr="00661595">
              <w:rPr>
                <w:rStyle w:val="InstructionsTabelleText"/>
                <w:rFonts w:ascii="Times New Roman" w:hAnsi="Times New Roman"/>
                <w:sz w:val="24"/>
              </w:rPr>
              <w:t xml:space="preserve">R for specific risk of equities and traded debt instruments of trading book (taking into account correlation effects </w:t>
            </w:r>
            <w:r w:rsidR="0016282F" w:rsidRPr="00661595">
              <w:rPr>
                <w:rStyle w:val="InstructionsTabelleText"/>
                <w:rFonts w:ascii="Times New Roman" w:hAnsi="Times New Roman"/>
                <w:sz w:val="24"/>
              </w:rPr>
              <w:t>where</w:t>
            </w:r>
            <w:r w:rsidRPr="00661595">
              <w:rPr>
                <w:rStyle w:val="InstructionsTabelleText"/>
                <w:rFonts w:ascii="Times New Roman" w:hAnsi="Times New Roman"/>
                <w:sz w:val="24"/>
              </w:rPr>
              <w:t xml:space="preserve"> applicable)</w:t>
            </w:r>
          </w:p>
        </w:tc>
      </w:tr>
    </w:tbl>
    <w:p w:rsidR="000B0B09" w:rsidRPr="00661595" w:rsidRDefault="000B0B09">
      <w:pPr>
        <w:spacing w:before="0" w:after="0"/>
        <w:jc w:val="left"/>
        <w:rPr>
          <w:rStyle w:val="InstructionsTabelleText"/>
          <w:rFonts w:ascii="Times New Roman" w:hAnsi="Times New Roman"/>
          <w:sz w:val="24"/>
        </w:rPr>
      </w:pPr>
    </w:p>
    <w:p w:rsidR="000B0B09"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748" w:name="_Toc360188413"/>
      <w:bookmarkStart w:id="749" w:name="_Toc473561053"/>
      <w:bookmarkStart w:id="750" w:name="_Toc57831657"/>
      <w:r w:rsidRPr="00661595">
        <w:rPr>
          <w:rFonts w:ascii="Times New Roman" w:hAnsi="Times New Roman" w:cs="Times New Roman"/>
          <w:sz w:val="24"/>
          <w:u w:val="none"/>
          <w:lang w:val="en-GB"/>
        </w:rPr>
        <w:t>5.8.</w:t>
      </w:r>
      <w:r w:rsidRPr="00661595">
        <w:rPr>
          <w:rFonts w:ascii="Times New Roman" w:hAnsi="Times New Roman" w:cs="Times New Roman"/>
          <w:sz w:val="24"/>
          <w:u w:val="none"/>
          <w:lang w:val="en-GB"/>
        </w:rPr>
        <w:tab/>
      </w:r>
      <w:r w:rsidR="008B73EE" w:rsidRPr="00661595">
        <w:rPr>
          <w:rFonts w:ascii="Times New Roman" w:hAnsi="Times New Roman" w:cs="Times New Roman"/>
          <w:sz w:val="24"/>
          <w:lang w:val="en-GB"/>
        </w:rPr>
        <w:t xml:space="preserve">C 25.00 </w:t>
      </w:r>
      <w:r w:rsidR="00F2228C" w:rsidRPr="00661595">
        <w:rPr>
          <w:rFonts w:ascii="Times New Roman" w:hAnsi="Times New Roman" w:cs="Times New Roman"/>
          <w:sz w:val="24"/>
          <w:lang w:val="en-GB"/>
        </w:rPr>
        <w:t xml:space="preserve">- </w:t>
      </w:r>
      <w:r w:rsidR="000B0B09" w:rsidRPr="00661595">
        <w:rPr>
          <w:rFonts w:ascii="Times New Roman" w:hAnsi="Times New Roman" w:cs="Times New Roman"/>
          <w:sz w:val="24"/>
          <w:lang w:val="en-GB"/>
        </w:rPr>
        <w:t>CRE</w:t>
      </w:r>
      <w:r w:rsidR="00F2228C" w:rsidRPr="00661595">
        <w:rPr>
          <w:rFonts w:ascii="Times New Roman" w:hAnsi="Times New Roman" w:cs="Times New Roman"/>
          <w:sz w:val="24"/>
          <w:lang w:val="en-GB"/>
        </w:rPr>
        <w:t>DIT VALUATION ADJUSTMENT RISK</w:t>
      </w:r>
      <w:bookmarkEnd w:id="748"/>
      <w:r w:rsidR="008B73EE" w:rsidRPr="00661595">
        <w:rPr>
          <w:rFonts w:ascii="Times New Roman" w:hAnsi="Times New Roman" w:cs="Times New Roman"/>
          <w:sz w:val="24"/>
          <w:lang w:val="en-GB"/>
        </w:rPr>
        <w:t xml:space="preserve"> (CVA)</w:t>
      </w:r>
      <w:bookmarkEnd w:id="749"/>
      <w:bookmarkEnd w:id="750"/>
    </w:p>
    <w:p w:rsidR="000B0B09" w:rsidRPr="00661595" w:rsidRDefault="00125707" w:rsidP="0023700C">
      <w:pPr>
        <w:pStyle w:val="Instructionsberschrift2"/>
        <w:numPr>
          <w:ilvl w:val="0"/>
          <w:numId w:val="0"/>
        </w:numPr>
        <w:ind w:left="357" w:hanging="357"/>
        <w:rPr>
          <w:rFonts w:ascii="Times New Roman" w:hAnsi="Times New Roman" w:cs="Times New Roman"/>
          <w:sz w:val="24"/>
          <w:lang w:val="en-GB"/>
        </w:rPr>
      </w:pPr>
      <w:bookmarkStart w:id="751" w:name="_Toc360188414"/>
      <w:bookmarkStart w:id="752" w:name="_Toc473561054"/>
      <w:bookmarkStart w:id="753" w:name="_Toc57831658"/>
      <w:bookmarkStart w:id="754" w:name="_Toc310008820"/>
      <w:r w:rsidRPr="00661595">
        <w:rPr>
          <w:rFonts w:ascii="Times New Roman" w:hAnsi="Times New Roman" w:cs="Times New Roman"/>
          <w:sz w:val="24"/>
          <w:u w:val="none"/>
          <w:lang w:val="en-GB"/>
        </w:rPr>
        <w:t>5.8.1.</w:t>
      </w:r>
      <w:r w:rsidRPr="00661595">
        <w:rPr>
          <w:rFonts w:ascii="Times New Roman" w:hAnsi="Times New Roman" w:cs="Times New Roman"/>
          <w:sz w:val="24"/>
          <w:u w:val="none"/>
          <w:lang w:val="en-GB"/>
        </w:rPr>
        <w:tab/>
      </w:r>
      <w:r w:rsidR="000B0B09" w:rsidRPr="00661595">
        <w:rPr>
          <w:rFonts w:ascii="Times New Roman" w:hAnsi="Times New Roman" w:cs="Times New Roman"/>
          <w:sz w:val="24"/>
          <w:lang w:val="en-GB"/>
        </w:rPr>
        <w:t>Instructions concerning specific positions</w:t>
      </w:r>
      <w:bookmarkEnd w:id="751"/>
      <w:bookmarkEnd w:id="752"/>
      <w:bookmarkEnd w:id="7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
        <w:gridCol w:w="8004"/>
      </w:tblGrid>
      <w:tr w:rsidR="000B0B09" w:rsidRPr="00661595" w:rsidTr="00672D2A">
        <w:tc>
          <w:tcPr>
            <w:tcW w:w="8856" w:type="dxa"/>
            <w:gridSpan w:val="2"/>
            <w:shd w:val="clear" w:color="auto" w:fill="CCCCCC"/>
          </w:tcPr>
          <w:p w:rsidR="000B0B09" w:rsidRPr="00661595" w:rsidRDefault="000B0B09" w:rsidP="000B0B09">
            <w:pPr>
              <w:rPr>
                <w:rFonts w:ascii="Times New Roman" w:hAnsi="Times New Roman"/>
                <w:b/>
                <w:sz w:val="24"/>
              </w:rPr>
            </w:pPr>
            <w:r w:rsidRPr="00661595">
              <w:rPr>
                <w:rFonts w:ascii="Times New Roman" w:hAnsi="Times New Roman"/>
                <w:b/>
                <w:sz w:val="24"/>
              </w:rPr>
              <w:t>Columns</w:t>
            </w:r>
          </w:p>
        </w:tc>
      </w:tr>
      <w:tr w:rsidR="000B0B09" w:rsidRPr="00661595" w:rsidTr="00672D2A">
        <w:tc>
          <w:tcPr>
            <w:tcW w:w="852" w:type="dxa"/>
          </w:tcPr>
          <w:p w:rsidR="000B0B09" w:rsidRPr="00661595" w:rsidRDefault="00787733" w:rsidP="000B0B09">
            <w:pPr>
              <w:rPr>
                <w:rFonts w:ascii="Times New Roman" w:hAnsi="Times New Roman"/>
                <w:sz w:val="24"/>
              </w:rPr>
            </w:pPr>
            <w:r w:rsidRPr="00661595">
              <w:rPr>
                <w:rFonts w:ascii="Times New Roman" w:hAnsi="Times New Roman"/>
                <w:sz w:val="24"/>
              </w:rPr>
              <w:t>0</w:t>
            </w:r>
            <w:r w:rsidR="000B0B09" w:rsidRPr="00661595">
              <w:rPr>
                <w:rFonts w:ascii="Times New Roman" w:hAnsi="Times New Roman"/>
                <w:sz w:val="24"/>
              </w:rPr>
              <w:t>010</w:t>
            </w:r>
          </w:p>
        </w:tc>
        <w:tc>
          <w:tcPr>
            <w:tcW w:w="8004" w:type="dxa"/>
          </w:tcPr>
          <w:p w:rsidR="000B0B09" w:rsidRPr="00661595" w:rsidRDefault="000B0B09" w:rsidP="000B0B09">
            <w:pPr>
              <w:rPr>
                <w:rFonts w:ascii="Times New Roman" w:hAnsi="Times New Roman"/>
                <w:b/>
                <w:bCs/>
                <w:sz w:val="24"/>
                <w:u w:val="single"/>
              </w:rPr>
            </w:pPr>
            <w:r w:rsidRPr="00661595">
              <w:rPr>
                <w:rFonts w:ascii="Times New Roman" w:hAnsi="Times New Roman"/>
                <w:b/>
                <w:bCs/>
                <w:sz w:val="24"/>
                <w:u w:val="single"/>
              </w:rPr>
              <w:t xml:space="preserve">Exposure value </w:t>
            </w:r>
          </w:p>
          <w:p w:rsidR="000B0B09" w:rsidRPr="00661595" w:rsidRDefault="000B0B09" w:rsidP="000B0B09">
            <w:pPr>
              <w:rPr>
                <w:rFonts w:ascii="Times New Roman" w:hAnsi="Times New Roman"/>
                <w:sz w:val="24"/>
              </w:rPr>
            </w:pPr>
            <w:r w:rsidRPr="00661595">
              <w:rPr>
                <w:rFonts w:ascii="Times New Roman" w:hAnsi="Times New Roman"/>
                <w:sz w:val="24"/>
              </w:rPr>
              <w:t xml:space="preserve">Article 271 </w:t>
            </w:r>
            <w:r w:rsidR="00C7103D" w:rsidRPr="00661595">
              <w:rPr>
                <w:rFonts w:ascii="Times New Roman" w:hAnsi="Times New Roman"/>
                <w:sz w:val="24"/>
              </w:rPr>
              <w:t>CRR</w:t>
            </w:r>
            <w:r w:rsidRPr="00661595">
              <w:rPr>
                <w:rFonts w:ascii="Times New Roman" w:hAnsi="Times New Roman"/>
                <w:sz w:val="24"/>
              </w:rPr>
              <w:t xml:space="preserve"> in </w:t>
            </w:r>
            <w:r w:rsidR="002300C6" w:rsidRPr="00661595">
              <w:rPr>
                <w:rFonts w:ascii="Times New Roman" w:hAnsi="Times New Roman"/>
                <w:sz w:val="24"/>
              </w:rPr>
              <w:t xml:space="preserve">conjunction </w:t>
            </w:r>
            <w:r w:rsidRPr="00661595">
              <w:rPr>
                <w:rFonts w:ascii="Times New Roman" w:hAnsi="Times New Roman"/>
                <w:sz w:val="24"/>
              </w:rPr>
              <w:t xml:space="preserve">with </w:t>
            </w:r>
            <w:r w:rsidR="00D21B29" w:rsidRPr="00661595">
              <w:rPr>
                <w:rFonts w:ascii="Times New Roman" w:hAnsi="Times New Roman"/>
                <w:sz w:val="24"/>
              </w:rPr>
              <w:t>Article</w:t>
            </w:r>
            <w:r w:rsidRPr="00661595">
              <w:rPr>
                <w:rFonts w:ascii="Times New Roman" w:hAnsi="Times New Roman"/>
                <w:sz w:val="24"/>
              </w:rPr>
              <w:t xml:space="preserve"> 382 </w:t>
            </w:r>
            <w:r w:rsidR="00C7103D" w:rsidRPr="00661595">
              <w:rPr>
                <w:rFonts w:ascii="Times New Roman" w:hAnsi="Times New Roman"/>
                <w:sz w:val="24"/>
              </w:rPr>
              <w:t>CRR</w:t>
            </w:r>
            <w:r w:rsidR="0016282F" w:rsidRPr="00661595">
              <w:rPr>
                <w:rFonts w:ascii="Times New Roman" w:hAnsi="Times New Roman"/>
                <w:sz w:val="24"/>
              </w:rPr>
              <w:t>.</w:t>
            </w:r>
          </w:p>
          <w:p w:rsidR="000B0B09" w:rsidRPr="00661595" w:rsidRDefault="000B0B09" w:rsidP="000B0B09">
            <w:pPr>
              <w:rPr>
                <w:rFonts w:ascii="Times New Roman" w:hAnsi="Times New Roman"/>
                <w:sz w:val="24"/>
              </w:rPr>
            </w:pPr>
            <w:r w:rsidRPr="00661595">
              <w:rPr>
                <w:rFonts w:ascii="Times New Roman" w:hAnsi="Times New Roman"/>
                <w:sz w:val="24"/>
              </w:rPr>
              <w:t>Total EAD from all transactions subject to CVA charge</w:t>
            </w:r>
            <w:r w:rsidR="0016282F" w:rsidRPr="00661595">
              <w:rPr>
                <w:rFonts w:ascii="Times New Roman" w:hAnsi="Times New Roman"/>
                <w:sz w:val="24"/>
              </w:rPr>
              <w:t>.</w:t>
            </w:r>
          </w:p>
        </w:tc>
      </w:tr>
      <w:tr w:rsidR="000B0B09" w:rsidRPr="00661595" w:rsidTr="00672D2A">
        <w:tc>
          <w:tcPr>
            <w:tcW w:w="852" w:type="dxa"/>
          </w:tcPr>
          <w:p w:rsidR="000B0B09" w:rsidRPr="00661595" w:rsidRDefault="00787733" w:rsidP="000B0B09">
            <w:pPr>
              <w:rPr>
                <w:rFonts w:ascii="Times New Roman" w:hAnsi="Times New Roman"/>
                <w:sz w:val="24"/>
              </w:rPr>
            </w:pPr>
            <w:r w:rsidRPr="00661595">
              <w:rPr>
                <w:rFonts w:ascii="Times New Roman" w:hAnsi="Times New Roman"/>
                <w:sz w:val="24"/>
              </w:rPr>
              <w:t>0</w:t>
            </w:r>
            <w:r w:rsidR="000B0B09" w:rsidRPr="00661595">
              <w:rPr>
                <w:rFonts w:ascii="Times New Roman" w:hAnsi="Times New Roman"/>
                <w:sz w:val="24"/>
              </w:rPr>
              <w:t>020</w:t>
            </w:r>
          </w:p>
        </w:tc>
        <w:tc>
          <w:tcPr>
            <w:tcW w:w="8004" w:type="dxa"/>
          </w:tcPr>
          <w:p w:rsidR="000B0B09" w:rsidRPr="00661595" w:rsidRDefault="000B0B09" w:rsidP="000B0B09">
            <w:pPr>
              <w:rPr>
                <w:rFonts w:ascii="Times New Roman" w:hAnsi="Times New Roman"/>
                <w:b/>
                <w:bCs/>
                <w:sz w:val="24"/>
                <w:u w:val="single"/>
              </w:rPr>
            </w:pPr>
            <w:r w:rsidRPr="00661595">
              <w:rPr>
                <w:rFonts w:ascii="Times New Roman" w:hAnsi="Times New Roman"/>
                <w:b/>
                <w:bCs/>
                <w:sz w:val="24"/>
                <w:u w:val="single"/>
              </w:rPr>
              <w:t xml:space="preserve">Of which: OTC derivatives </w:t>
            </w:r>
          </w:p>
          <w:p w:rsidR="000B0B09" w:rsidRPr="00661595" w:rsidRDefault="000B0B09" w:rsidP="000B0B09">
            <w:pPr>
              <w:rPr>
                <w:rFonts w:ascii="Times New Roman" w:hAnsi="Times New Roman"/>
                <w:sz w:val="24"/>
              </w:rPr>
            </w:pPr>
            <w:r w:rsidRPr="00661595">
              <w:rPr>
                <w:rFonts w:ascii="Times New Roman" w:hAnsi="Times New Roman"/>
                <w:sz w:val="24"/>
              </w:rPr>
              <w:t xml:space="preserve">Article 271 </w:t>
            </w:r>
            <w:r w:rsidR="00C7103D" w:rsidRPr="00661595">
              <w:rPr>
                <w:rFonts w:ascii="Times New Roman" w:hAnsi="Times New Roman"/>
                <w:sz w:val="24"/>
              </w:rPr>
              <w:t>CRR</w:t>
            </w:r>
            <w:r w:rsidRPr="00661595">
              <w:rPr>
                <w:rFonts w:ascii="Times New Roman" w:hAnsi="Times New Roman"/>
                <w:sz w:val="24"/>
              </w:rPr>
              <w:t xml:space="preserve"> in </w:t>
            </w:r>
            <w:r w:rsidR="002300C6" w:rsidRPr="00661595">
              <w:rPr>
                <w:rFonts w:ascii="Times New Roman" w:hAnsi="Times New Roman"/>
                <w:sz w:val="24"/>
              </w:rPr>
              <w:t xml:space="preserve">conjunction </w:t>
            </w:r>
            <w:r w:rsidRPr="00661595">
              <w:rPr>
                <w:rFonts w:ascii="Times New Roman" w:hAnsi="Times New Roman"/>
                <w:sz w:val="24"/>
              </w:rPr>
              <w:t xml:space="preserve">with </w:t>
            </w:r>
            <w:r w:rsidR="00D21B29" w:rsidRPr="00661595">
              <w:rPr>
                <w:rFonts w:ascii="Times New Roman" w:hAnsi="Times New Roman"/>
                <w:sz w:val="24"/>
              </w:rPr>
              <w:t>Article</w:t>
            </w:r>
            <w:r w:rsidRPr="00661595">
              <w:rPr>
                <w:rFonts w:ascii="Times New Roman" w:hAnsi="Times New Roman"/>
                <w:sz w:val="24"/>
              </w:rPr>
              <w:t xml:space="preserve"> 382(1) </w:t>
            </w:r>
            <w:r w:rsidR="00C7103D" w:rsidRPr="00661595">
              <w:rPr>
                <w:rFonts w:ascii="Times New Roman" w:hAnsi="Times New Roman"/>
                <w:sz w:val="24"/>
              </w:rPr>
              <w:t>CRR</w:t>
            </w:r>
            <w:r w:rsidR="0016282F" w:rsidRPr="00661595">
              <w:rPr>
                <w:rFonts w:ascii="Times New Roman" w:hAnsi="Times New Roman"/>
                <w:sz w:val="24"/>
              </w:rPr>
              <w:t>.</w:t>
            </w:r>
          </w:p>
          <w:p w:rsidR="000B0B09" w:rsidRPr="00661595" w:rsidRDefault="000B0B09" w:rsidP="000B0B09">
            <w:pPr>
              <w:rPr>
                <w:rFonts w:ascii="Times New Roman" w:hAnsi="Times New Roman"/>
                <w:sz w:val="24"/>
              </w:rPr>
            </w:pPr>
            <w:r w:rsidRPr="00661595">
              <w:rPr>
                <w:rFonts w:ascii="Times New Roman" w:hAnsi="Times New Roman"/>
                <w:sz w:val="24"/>
              </w:rPr>
              <w:t>The part of the total counterparty credit risk exposure solely due to OTC derivatives. The information is not required from IMM institutions holding OTC derivatives and SFTs in the same netting set</w:t>
            </w:r>
            <w:r w:rsidR="0016282F" w:rsidRPr="00661595">
              <w:rPr>
                <w:rFonts w:ascii="Times New Roman" w:hAnsi="Times New Roman"/>
                <w:sz w:val="24"/>
              </w:rPr>
              <w:t>.</w:t>
            </w:r>
          </w:p>
        </w:tc>
      </w:tr>
      <w:tr w:rsidR="000B0B09" w:rsidRPr="00661595" w:rsidTr="00672D2A">
        <w:tc>
          <w:tcPr>
            <w:tcW w:w="852" w:type="dxa"/>
          </w:tcPr>
          <w:p w:rsidR="000B0B09" w:rsidRPr="00661595" w:rsidRDefault="00787733" w:rsidP="000B0B09">
            <w:pPr>
              <w:rPr>
                <w:rFonts w:ascii="Times New Roman" w:hAnsi="Times New Roman"/>
                <w:sz w:val="24"/>
              </w:rPr>
            </w:pPr>
            <w:r w:rsidRPr="00661595">
              <w:rPr>
                <w:rFonts w:ascii="Times New Roman" w:hAnsi="Times New Roman"/>
                <w:sz w:val="24"/>
              </w:rPr>
              <w:t>0</w:t>
            </w:r>
            <w:r w:rsidR="000B0B09" w:rsidRPr="00661595">
              <w:rPr>
                <w:rFonts w:ascii="Times New Roman" w:hAnsi="Times New Roman"/>
                <w:sz w:val="24"/>
              </w:rPr>
              <w:t>030</w:t>
            </w:r>
          </w:p>
        </w:tc>
        <w:tc>
          <w:tcPr>
            <w:tcW w:w="8004" w:type="dxa"/>
          </w:tcPr>
          <w:p w:rsidR="000B0B09" w:rsidRPr="00661595" w:rsidRDefault="000B0B09" w:rsidP="000B0B09">
            <w:pPr>
              <w:rPr>
                <w:rFonts w:ascii="Times New Roman" w:hAnsi="Times New Roman"/>
                <w:b/>
                <w:bCs/>
                <w:sz w:val="24"/>
                <w:u w:val="single"/>
              </w:rPr>
            </w:pPr>
            <w:r w:rsidRPr="00661595">
              <w:rPr>
                <w:rFonts w:ascii="Times New Roman" w:hAnsi="Times New Roman"/>
                <w:b/>
                <w:bCs/>
                <w:sz w:val="24"/>
                <w:u w:val="single"/>
              </w:rPr>
              <w:t>Of which: SFT</w:t>
            </w:r>
            <w:r w:rsidR="00730040" w:rsidRPr="00661595">
              <w:rPr>
                <w:rFonts w:ascii="Times New Roman" w:hAnsi="Times New Roman"/>
                <w:b/>
                <w:bCs/>
                <w:sz w:val="24"/>
                <w:u w:val="single"/>
              </w:rPr>
              <w:t xml:space="preserve"> </w:t>
            </w:r>
          </w:p>
          <w:p w:rsidR="000B0B09" w:rsidRPr="00661595" w:rsidRDefault="000B0B09" w:rsidP="000B0B09">
            <w:pPr>
              <w:rPr>
                <w:rFonts w:ascii="Times New Roman" w:hAnsi="Times New Roman"/>
                <w:sz w:val="24"/>
              </w:rPr>
            </w:pPr>
            <w:r w:rsidRPr="00661595">
              <w:rPr>
                <w:rFonts w:ascii="Times New Roman" w:hAnsi="Times New Roman"/>
                <w:sz w:val="24"/>
              </w:rPr>
              <w:t xml:space="preserve">Article 271 </w:t>
            </w:r>
            <w:r w:rsidR="00C7103D" w:rsidRPr="00661595">
              <w:rPr>
                <w:rFonts w:ascii="Times New Roman" w:hAnsi="Times New Roman"/>
                <w:sz w:val="24"/>
              </w:rPr>
              <w:t>CRR</w:t>
            </w:r>
            <w:r w:rsidRPr="00661595">
              <w:rPr>
                <w:rFonts w:ascii="Times New Roman" w:hAnsi="Times New Roman"/>
                <w:sz w:val="24"/>
              </w:rPr>
              <w:t xml:space="preserve"> in </w:t>
            </w:r>
            <w:r w:rsidR="002300C6" w:rsidRPr="00661595">
              <w:rPr>
                <w:rFonts w:ascii="Times New Roman" w:hAnsi="Times New Roman"/>
                <w:sz w:val="24"/>
              </w:rPr>
              <w:t xml:space="preserve">conjunction </w:t>
            </w:r>
            <w:r w:rsidRPr="00661595">
              <w:rPr>
                <w:rFonts w:ascii="Times New Roman" w:hAnsi="Times New Roman"/>
                <w:sz w:val="24"/>
              </w:rPr>
              <w:t xml:space="preserve">with </w:t>
            </w:r>
            <w:r w:rsidR="00D21B29" w:rsidRPr="00661595">
              <w:rPr>
                <w:rFonts w:ascii="Times New Roman" w:hAnsi="Times New Roman"/>
                <w:sz w:val="24"/>
              </w:rPr>
              <w:t>Article</w:t>
            </w:r>
            <w:r w:rsidRPr="00661595">
              <w:rPr>
                <w:rFonts w:ascii="Times New Roman" w:hAnsi="Times New Roman"/>
                <w:sz w:val="24"/>
              </w:rPr>
              <w:t xml:space="preserve"> 382(2) </w:t>
            </w:r>
            <w:r w:rsidR="00C7103D" w:rsidRPr="00661595">
              <w:rPr>
                <w:rFonts w:ascii="Times New Roman" w:hAnsi="Times New Roman"/>
                <w:sz w:val="24"/>
              </w:rPr>
              <w:t>CRR</w:t>
            </w:r>
          </w:p>
          <w:p w:rsidR="000B0B09" w:rsidRPr="00661595" w:rsidRDefault="000B0B09">
            <w:pPr>
              <w:rPr>
                <w:rFonts w:ascii="Times New Roman" w:hAnsi="Times New Roman"/>
                <w:sz w:val="24"/>
              </w:rPr>
            </w:pPr>
            <w:r w:rsidRPr="00661595">
              <w:rPr>
                <w:rFonts w:ascii="Times New Roman" w:hAnsi="Times New Roman"/>
                <w:sz w:val="24"/>
              </w:rPr>
              <w:t xml:space="preserve">The part of the total counterparty credit risk exposure solely due to SFT derivatives. The information </w:t>
            </w:r>
            <w:r w:rsidR="005C14B0" w:rsidRPr="00661595">
              <w:rPr>
                <w:rFonts w:ascii="Times New Roman" w:hAnsi="Times New Roman"/>
                <w:sz w:val="24"/>
              </w:rPr>
              <w:t xml:space="preserve">is </w:t>
            </w:r>
            <w:r w:rsidRPr="00661595">
              <w:rPr>
                <w:rFonts w:ascii="Times New Roman" w:hAnsi="Times New Roman"/>
                <w:sz w:val="24"/>
              </w:rPr>
              <w:t>not required from IMM institutions holding OTC derivatives and SFTs in the same netting set</w:t>
            </w:r>
            <w:r w:rsidR="005C14B0" w:rsidRPr="00661595">
              <w:rPr>
                <w:rFonts w:ascii="Times New Roman" w:hAnsi="Times New Roman"/>
                <w:sz w:val="24"/>
              </w:rPr>
              <w:t>.</w:t>
            </w:r>
          </w:p>
        </w:tc>
      </w:tr>
      <w:tr w:rsidR="000B0B09" w:rsidRPr="00661595" w:rsidTr="00672D2A">
        <w:tc>
          <w:tcPr>
            <w:tcW w:w="852" w:type="dxa"/>
          </w:tcPr>
          <w:p w:rsidR="000B0B09" w:rsidRPr="00661595" w:rsidRDefault="00787733" w:rsidP="000B0B09">
            <w:pPr>
              <w:rPr>
                <w:rFonts w:ascii="Times New Roman" w:hAnsi="Times New Roman"/>
                <w:sz w:val="24"/>
              </w:rPr>
            </w:pPr>
            <w:r w:rsidRPr="00661595">
              <w:rPr>
                <w:rFonts w:ascii="Times New Roman" w:hAnsi="Times New Roman"/>
                <w:sz w:val="24"/>
              </w:rPr>
              <w:t>0</w:t>
            </w:r>
            <w:r w:rsidR="000B0B09" w:rsidRPr="00661595">
              <w:rPr>
                <w:rFonts w:ascii="Times New Roman" w:hAnsi="Times New Roman"/>
                <w:sz w:val="24"/>
              </w:rPr>
              <w:t>040</w:t>
            </w:r>
          </w:p>
        </w:tc>
        <w:tc>
          <w:tcPr>
            <w:tcW w:w="8004" w:type="dxa"/>
          </w:tcPr>
          <w:p w:rsidR="000B0B09" w:rsidRPr="00661595" w:rsidRDefault="000B0B09" w:rsidP="000B0B09">
            <w:pPr>
              <w:rPr>
                <w:rFonts w:ascii="Times New Roman" w:hAnsi="Times New Roman"/>
                <w:b/>
                <w:sz w:val="24"/>
                <w:u w:val="single"/>
              </w:rPr>
            </w:pPr>
            <w:r w:rsidRPr="00661595">
              <w:rPr>
                <w:rFonts w:ascii="Times New Roman" w:hAnsi="Times New Roman"/>
                <w:b/>
                <w:sz w:val="24"/>
                <w:u w:val="single"/>
              </w:rPr>
              <w:t>MULTIPLICATION FACTOR (mc) x AVERAGE OF PREVIOUS 60 WORKING DAYS (VaRavg)</w:t>
            </w:r>
          </w:p>
          <w:p w:rsidR="004F6B6B" w:rsidRPr="00661595" w:rsidRDefault="000B0B09">
            <w:pPr>
              <w:rPr>
                <w:rFonts w:ascii="Times New Roman" w:hAnsi="Times New Roman"/>
                <w:sz w:val="24"/>
              </w:rPr>
            </w:pPr>
            <w:r w:rsidRPr="00661595">
              <w:rPr>
                <w:rFonts w:ascii="Times New Roman" w:hAnsi="Times New Roman"/>
                <w:sz w:val="24"/>
              </w:rPr>
              <w:t xml:space="preserve">Article 383 </w:t>
            </w:r>
            <w:r w:rsidR="00C7103D" w:rsidRPr="00661595">
              <w:rPr>
                <w:rFonts w:ascii="Times New Roman" w:hAnsi="Times New Roman"/>
                <w:sz w:val="24"/>
              </w:rPr>
              <w:t>CRR</w:t>
            </w:r>
            <w:r w:rsidRPr="00661595">
              <w:rPr>
                <w:rFonts w:ascii="Times New Roman" w:hAnsi="Times New Roman"/>
                <w:sz w:val="24"/>
              </w:rPr>
              <w:t xml:space="preserve"> in </w:t>
            </w:r>
            <w:r w:rsidR="002300C6" w:rsidRPr="00661595">
              <w:rPr>
                <w:rFonts w:ascii="Times New Roman" w:hAnsi="Times New Roman"/>
                <w:sz w:val="24"/>
              </w:rPr>
              <w:t xml:space="preserve">conjunction </w:t>
            </w:r>
            <w:r w:rsidRPr="00661595">
              <w:rPr>
                <w:rFonts w:ascii="Times New Roman" w:hAnsi="Times New Roman"/>
                <w:sz w:val="24"/>
              </w:rPr>
              <w:t xml:space="preserve">with </w:t>
            </w:r>
            <w:r w:rsidR="001E0C80" w:rsidRPr="00661595">
              <w:rPr>
                <w:rFonts w:ascii="Times New Roman" w:hAnsi="Times New Roman"/>
                <w:sz w:val="24"/>
              </w:rPr>
              <w:t xml:space="preserve">point (d) of </w:t>
            </w:r>
            <w:r w:rsidR="00D21B29" w:rsidRPr="00661595">
              <w:rPr>
                <w:rFonts w:ascii="Times New Roman" w:hAnsi="Times New Roman"/>
                <w:sz w:val="24"/>
              </w:rPr>
              <w:t>Article</w:t>
            </w:r>
            <w:r w:rsidRPr="00661595">
              <w:rPr>
                <w:rFonts w:ascii="Times New Roman" w:hAnsi="Times New Roman"/>
                <w:sz w:val="24"/>
              </w:rPr>
              <w:t xml:space="preserve"> 363(1) </w:t>
            </w:r>
            <w:r w:rsidR="00C7103D" w:rsidRPr="00661595">
              <w:rPr>
                <w:rFonts w:ascii="Times New Roman" w:hAnsi="Times New Roman"/>
                <w:sz w:val="24"/>
              </w:rPr>
              <w:t>CRR</w:t>
            </w:r>
            <w:r w:rsidR="005C14B0" w:rsidRPr="00661595">
              <w:rPr>
                <w:rFonts w:ascii="Times New Roman" w:hAnsi="Times New Roman"/>
                <w:sz w:val="24"/>
              </w:rPr>
              <w:t xml:space="preserve">. </w:t>
            </w:r>
          </w:p>
          <w:p w:rsidR="000B0B09" w:rsidRPr="00661595" w:rsidRDefault="000B0B09">
            <w:pPr>
              <w:rPr>
                <w:rFonts w:ascii="Times New Roman" w:hAnsi="Times New Roman"/>
                <w:sz w:val="24"/>
              </w:rPr>
            </w:pPr>
            <w:r w:rsidRPr="00661595">
              <w:rPr>
                <w:rFonts w:ascii="Times New Roman" w:hAnsi="Times New Roman"/>
                <w:sz w:val="24"/>
              </w:rPr>
              <w:t xml:space="preserve">VaR calculation based on internal models for market risk </w:t>
            </w:r>
          </w:p>
        </w:tc>
      </w:tr>
      <w:tr w:rsidR="000B0B09" w:rsidRPr="00661595" w:rsidTr="00672D2A">
        <w:tc>
          <w:tcPr>
            <w:tcW w:w="852" w:type="dxa"/>
          </w:tcPr>
          <w:p w:rsidR="000B0B09" w:rsidRPr="00661595" w:rsidRDefault="00787733" w:rsidP="000B0B09">
            <w:pPr>
              <w:rPr>
                <w:rFonts w:ascii="Times New Roman" w:hAnsi="Times New Roman"/>
                <w:sz w:val="24"/>
              </w:rPr>
            </w:pPr>
            <w:r w:rsidRPr="00661595">
              <w:rPr>
                <w:rFonts w:ascii="Times New Roman" w:hAnsi="Times New Roman"/>
                <w:sz w:val="24"/>
              </w:rPr>
              <w:t>0</w:t>
            </w:r>
            <w:r w:rsidR="000B0B09" w:rsidRPr="00661595">
              <w:rPr>
                <w:rFonts w:ascii="Times New Roman" w:hAnsi="Times New Roman"/>
                <w:sz w:val="24"/>
              </w:rPr>
              <w:t>050</w:t>
            </w:r>
          </w:p>
        </w:tc>
        <w:tc>
          <w:tcPr>
            <w:tcW w:w="8004" w:type="dxa"/>
          </w:tcPr>
          <w:p w:rsidR="000B0B09" w:rsidRPr="00661595" w:rsidRDefault="000B0B09" w:rsidP="000B0B09">
            <w:pPr>
              <w:rPr>
                <w:rFonts w:ascii="Times New Roman" w:hAnsi="Times New Roman"/>
                <w:b/>
                <w:bCs/>
                <w:sz w:val="24"/>
                <w:u w:val="single"/>
              </w:rPr>
            </w:pPr>
            <w:r w:rsidRPr="00661595">
              <w:rPr>
                <w:rFonts w:ascii="Times New Roman" w:hAnsi="Times New Roman"/>
                <w:b/>
                <w:bCs/>
                <w:sz w:val="24"/>
                <w:u w:val="single"/>
              </w:rPr>
              <w:t>PREVIOUS DAY (VaRt-1)</w:t>
            </w:r>
          </w:p>
          <w:p w:rsidR="000B0B09" w:rsidRPr="00661595" w:rsidRDefault="000B0B09" w:rsidP="002300C6">
            <w:pPr>
              <w:rPr>
                <w:rFonts w:ascii="Times New Roman" w:hAnsi="Times New Roman"/>
                <w:sz w:val="24"/>
              </w:rPr>
            </w:pPr>
            <w:r w:rsidRPr="00661595">
              <w:rPr>
                <w:rFonts w:ascii="Times New Roman" w:hAnsi="Times New Roman"/>
                <w:sz w:val="24"/>
              </w:rPr>
              <w:t xml:space="preserve">See instructions </w:t>
            </w:r>
            <w:r w:rsidR="002300C6" w:rsidRPr="00661595">
              <w:rPr>
                <w:rFonts w:ascii="Times New Roman" w:hAnsi="Times New Roman"/>
                <w:sz w:val="24"/>
              </w:rPr>
              <w:t>for</w:t>
            </w:r>
            <w:r w:rsidRPr="00661595">
              <w:rPr>
                <w:rFonts w:ascii="Times New Roman" w:hAnsi="Times New Roman"/>
                <w:sz w:val="24"/>
              </w:rPr>
              <w:t xml:space="preserve"> column </w:t>
            </w:r>
            <w:r w:rsidR="00787733" w:rsidRPr="00661595">
              <w:rPr>
                <w:rFonts w:ascii="Times New Roman" w:hAnsi="Times New Roman"/>
                <w:sz w:val="24"/>
              </w:rPr>
              <w:t>0</w:t>
            </w:r>
            <w:r w:rsidRPr="00661595">
              <w:rPr>
                <w:rFonts w:ascii="Times New Roman" w:hAnsi="Times New Roman"/>
                <w:sz w:val="24"/>
              </w:rPr>
              <w:t>040</w:t>
            </w:r>
            <w:r w:rsidR="0016282F" w:rsidRPr="00661595">
              <w:rPr>
                <w:rFonts w:ascii="Times New Roman" w:hAnsi="Times New Roman"/>
                <w:sz w:val="24"/>
              </w:rPr>
              <w:t>.</w:t>
            </w:r>
          </w:p>
        </w:tc>
      </w:tr>
      <w:tr w:rsidR="000B0B09" w:rsidRPr="00661595" w:rsidTr="00672D2A">
        <w:tc>
          <w:tcPr>
            <w:tcW w:w="852" w:type="dxa"/>
          </w:tcPr>
          <w:p w:rsidR="000B0B09" w:rsidRPr="00661595" w:rsidRDefault="00787733" w:rsidP="000B0B09">
            <w:pPr>
              <w:rPr>
                <w:rFonts w:ascii="Times New Roman" w:hAnsi="Times New Roman"/>
                <w:sz w:val="24"/>
              </w:rPr>
            </w:pPr>
            <w:r w:rsidRPr="00661595">
              <w:rPr>
                <w:rFonts w:ascii="Times New Roman" w:hAnsi="Times New Roman"/>
                <w:sz w:val="24"/>
              </w:rPr>
              <w:t>0</w:t>
            </w:r>
            <w:r w:rsidR="000B0B09" w:rsidRPr="00661595">
              <w:rPr>
                <w:rFonts w:ascii="Times New Roman" w:hAnsi="Times New Roman"/>
                <w:sz w:val="24"/>
              </w:rPr>
              <w:t>060</w:t>
            </w:r>
          </w:p>
        </w:tc>
        <w:tc>
          <w:tcPr>
            <w:tcW w:w="8004" w:type="dxa"/>
          </w:tcPr>
          <w:p w:rsidR="000B0B09" w:rsidRPr="00661595" w:rsidRDefault="000B0B09" w:rsidP="000B0B09">
            <w:pPr>
              <w:rPr>
                <w:rFonts w:ascii="Times New Roman" w:hAnsi="Times New Roman"/>
                <w:b/>
                <w:bCs/>
                <w:sz w:val="24"/>
                <w:u w:val="single"/>
              </w:rPr>
            </w:pPr>
            <w:r w:rsidRPr="00661595">
              <w:rPr>
                <w:rFonts w:ascii="Times New Roman" w:hAnsi="Times New Roman"/>
                <w:b/>
                <w:bCs/>
                <w:sz w:val="24"/>
                <w:u w:val="single"/>
              </w:rPr>
              <w:t>MULTIPLICATION FACTOR (ms) x AVERAGE OF PREVIOUS 60 WORKING DAYS (SVaRavg)</w:t>
            </w:r>
          </w:p>
          <w:p w:rsidR="000B0B09" w:rsidRPr="00661595" w:rsidRDefault="000B0B09" w:rsidP="002300C6">
            <w:pPr>
              <w:rPr>
                <w:rFonts w:ascii="Times New Roman" w:hAnsi="Times New Roman"/>
                <w:sz w:val="24"/>
              </w:rPr>
            </w:pPr>
            <w:r w:rsidRPr="00661595">
              <w:rPr>
                <w:rFonts w:ascii="Times New Roman" w:hAnsi="Times New Roman"/>
                <w:sz w:val="24"/>
              </w:rPr>
              <w:t xml:space="preserve">See instructions </w:t>
            </w:r>
            <w:r w:rsidR="002300C6" w:rsidRPr="00661595">
              <w:rPr>
                <w:rFonts w:ascii="Times New Roman" w:hAnsi="Times New Roman"/>
                <w:sz w:val="24"/>
              </w:rPr>
              <w:t>for</w:t>
            </w:r>
            <w:r w:rsidRPr="00661595">
              <w:rPr>
                <w:rFonts w:ascii="Times New Roman" w:hAnsi="Times New Roman"/>
                <w:sz w:val="24"/>
              </w:rPr>
              <w:t xml:space="preserve"> column </w:t>
            </w:r>
            <w:r w:rsidR="00787733" w:rsidRPr="00661595">
              <w:rPr>
                <w:rFonts w:ascii="Times New Roman" w:hAnsi="Times New Roman"/>
                <w:sz w:val="24"/>
              </w:rPr>
              <w:t>0</w:t>
            </w:r>
            <w:r w:rsidRPr="00661595">
              <w:rPr>
                <w:rFonts w:ascii="Times New Roman" w:hAnsi="Times New Roman"/>
                <w:sz w:val="24"/>
              </w:rPr>
              <w:t>040</w:t>
            </w:r>
          </w:p>
        </w:tc>
      </w:tr>
      <w:tr w:rsidR="000B0B09" w:rsidRPr="00661595" w:rsidTr="00672D2A">
        <w:tc>
          <w:tcPr>
            <w:tcW w:w="852" w:type="dxa"/>
          </w:tcPr>
          <w:p w:rsidR="000B0B09" w:rsidRPr="00661595" w:rsidRDefault="00787733" w:rsidP="000B0B09">
            <w:pPr>
              <w:rPr>
                <w:rFonts w:ascii="Times New Roman" w:hAnsi="Times New Roman"/>
                <w:sz w:val="24"/>
              </w:rPr>
            </w:pPr>
            <w:r w:rsidRPr="00661595">
              <w:rPr>
                <w:rFonts w:ascii="Times New Roman" w:hAnsi="Times New Roman"/>
                <w:sz w:val="24"/>
              </w:rPr>
              <w:t>0</w:t>
            </w:r>
            <w:r w:rsidR="000B0B09" w:rsidRPr="00661595">
              <w:rPr>
                <w:rFonts w:ascii="Times New Roman" w:hAnsi="Times New Roman"/>
                <w:sz w:val="24"/>
              </w:rPr>
              <w:t>070</w:t>
            </w:r>
          </w:p>
        </w:tc>
        <w:tc>
          <w:tcPr>
            <w:tcW w:w="8004" w:type="dxa"/>
          </w:tcPr>
          <w:p w:rsidR="000B0B09" w:rsidRPr="00661595" w:rsidRDefault="000B0B09" w:rsidP="000B0B09">
            <w:pPr>
              <w:rPr>
                <w:rFonts w:ascii="Times New Roman" w:hAnsi="Times New Roman"/>
                <w:b/>
                <w:sz w:val="24"/>
                <w:u w:val="single"/>
              </w:rPr>
            </w:pPr>
            <w:r w:rsidRPr="00661595">
              <w:rPr>
                <w:rFonts w:ascii="Times New Roman" w:hAnsi="Times New Roman"/>
                <w:b/>
                <w:sz w:val="24"/>
                <w:u w:val="single"/>
              </w:rPr>
              <w:t>LATEST AVAILABLE (SVaRt-1)</w:t>
            </w:r>
          </w:p>
          <w:p w:rsidR="000B0B09" w:rsidRPr="00661595" w:rsidRDefault="000B0B09" w:rsidP="002300C6">
            <w:pPr>
              <w:rPr>
                <w:rFonts w:ascii="Times New Roman" w:hAnsi="Times New Roman"/>
                <w:b/>
                <w:sz w:val="24"/>
                <w:u w:val="single"/>
              </w:rPr>
            </w:pPr>
            <w:r w:rsidRPr="00661595">
              <w:rPr>
                <w:rFonts w:ascii="Times New Roman" w:hAnsi="Times New Roman"/>
                <w:sz w:val="24"/>
              </w:rPr>
              <w:t xml:space="preserve">See instructions </w:t>
            </w:r>
            <w:r w:rsidR="002300C6" w:rsidRPr="00661595">
              <w:rPr>
                <w:rFonts w:ascii="Times New Roman" w:hAnsi="Times New Roman"/>
                <w:sz w:val="24"/>
              </w:rPr>
              <w:t>for</w:t>
            </w:r>
            <w:r w:rsidRPr="00661595">
              <w:rPr>
                <w:rFonts w:ascii="Times New Roman" w:hAnsi="Times New Roman"/>
                <w:sz w:val="24"/>
              </w:rPr>
              <w:t xml:space="preserve"> column </w:t>
            </w:r>
            <w:r w:rsidR="00787733" w:rsidRPr="00661595">
              <w:rPr>
                <w:rFonts w:ascii="Times New Roman" w:hAnsi="Times New Roman"/>
                <w:sz w:val="24"/>
              </w:rPr>
              <w:t>0</w:t>
            </w:r>
            <w:r w:rsidRPr="00661595">
              <w:rPr>
                <w:rFonts w:ascii="Times New Roman" w:hAnsi="Times New Roman"/>
                <w:sz w:val="24"/>
              </w:rPr>
              <w:t>040</w:t>
            </w:r>
          </w:p>
        </w:tc>
      </w:tr>
      <w:tr w:rsidR="000B0B09" w:rsidRPr="00661595" w:rsidTr="00672D2A">
        <w:tc>
          <w:tcPr>
            <w:tcW w:w="852" w:type="dxa"/>
          </w:tcPr>
          <w:p w:rsidR="000B0B09" w:rsidRPr="00661595" w:rsidRDefault="00787733" w:rsidP="000B0B09">
            <w:pPr>
              <w:rPr>
                <w:rFonts w:ascii="Times New Roman" w:hAnsi="Times New Roman"/>
                <w:sz w:val="24"/>
              </w:rPr>
            </w:pPr>
            <w:r w:rsidRPr="00661595">
              <w:rPr>
                <w:rFonts w:ascii="Times New Roman" w:hAnsi="Times New Roman"/>
                <w:sz w:val="24"/>
              </w:rPr>
              <w:t>0</w:t>
            </w:r>
            <w:r w:rsidR="000B0B09" w:rsidRPr="00661595">
              <w:rPr>
                <w:rFonts w:ascii="Times New Roman" w:hAnsi="Times New Roman"/>
                <w:sz w:val="24"/>
              </w:rPr>
              <w:t>080</w:t>
            </w:r>
          </w:p>
        </w:tc>
        <w:tc>
          <w:tcPr>
            <w:tcW w:w="8004" w:type="dxa"/>
          </w:tcPr>
          <w:p w:rsidR="000B0B09" w:rsidRPr="00661595" w:rsidRDefault="000B0B09" w:rsidP="000B0B09">
            <w:pPr>
              <w:rPr>
                <w:rFonts w:ascii="Times New Roman" w:hAnsi="Times New Roman"/>
                <w:b/>
                <w:sz w:val="24"/>
                <w:u w:val="single"/>
              </w:rPr>
            </w:pPr>
            <w:r w:rsidRPr="00661595">
              <w:rPr>
                <w:rFonts w:ascii="Times New Roman" w:hAnsi="Times New Roman"/>
                <w:b/>
                <w:sz w:val="24"/>
                <w:u w:val="single"/>
              </w:rPr>
              <w:t>OWN FUNDS REQUIREMENTS</w:t>
            </w:r>
          </w:p>
          <w:p w:rsidR="004F6B6B" w:rsidRPr="00661595" w:rsidRDefault="001E0C80">
            <w:pPr>
              <w:rPr>
                <w:rFonts w:ascii="Times New Roman" w:hAnsi="Times New Roman"/>
                <w:sz w:val="24"/>
              </w:rPr>
            </w:pPr>
            <w:r w:rsidRPr="00661595">
              <w:rPr>
                <w:rFonts w:ascii="Times New Roman" w:hAnsi="Times New Roman"/>
                <w:sz w:val="24"/>
              </w:rPr>
              <w:t xml:space="preserve">Point (d) of </w:t>
            </w:r>
            <w:r w:rsidR="000B0B09" w:rsidRPr="00661595">
              <w:rPr>
                <w:rFonts w:ascii="Times New Roman" w:hAnsi="Times New Roman"/>
                <w:sz w:val="24"/>
              </w:rPr>
              <w:t xml:space="preserve">Article 92(3) </w:t>
            </w:r>
            <w:r w:rsidR="00C7103D" w:rsidRPr="00661595">
              <w:rPr>
                <w:rFonts w:ascii="Times New Roman" w:hAnsi="Times New Roman"/>
                <w:sz w:val="24"/>
              </w:rPr>
              <w:t>CRR</w:t>
            </w:r>
            <w:r w:rsidR="005C14B0" w:rsidRPr="00661595">
              <w:rPr>
                <w:rFonts w:ascii="Times New Roman" w:hAnsi="Times New Roman"/>
                <w:sz w:val="24"/>
              </w:rPr>
              <w:t xml:space="preserve">. </w:t>
            </w:r>
          </w:p>
          <w:p w:rsidR="000B0B09" w:rsidRPr="00661595" w:rsidRDefault="000B0B09">
            <w:pPr>
              <w:rPr>
                <w:rFonts w:ascii="Times New Roman" w:hAnsi="Times New Roman"/>
                <w:sz w:val="24"/>
              </w:rPr>
            </w:pPr>
            <w:r w:rsidRPr="00661595">
              <w:rPr>
                <w:rFonts w:ascii="Times New Roman" w:hAnsi="Times New Roman"/>
                <w:sz w:val="24"/>
              </w:rPr>
              <w:t>Own funds requirements for CVA Risk calculated via the chosen method</w:t>
            </w:r>
            <w:r w:rsidR="0016282F" w:rsidRPr="00661595">
              <w:rPr>
                <w:rFonts w:ascii="Times New Roman" w:hAnsi="Times New Roman"/>
                <w:sz w:val="24"/>
              </w:rPr>
              <w:t>.</w:t>
            </w:r>
          </w:p>
        </w:tc>
      </w:tr>
      <w:tr w:rsidR="000B0B09" w:rsidRPr="00661595" w:rsidTr="00672D2A">
        <w:tc>
          <w:tcPr>
            <w:tcW w:w="852" w:type="dxa"/>
          </w:tcPr>
          <w:p w:rsidR="000B0B09" w:rsidRPr="00661595" w:rsidRDefault="00787733" w:rsidP="000B0B09">
            <w:pPr>
              <w:rPr>
                <w:rFonts w:ascii="Times New Roman" w:hAnsi="Times New Roman"/>
                <w:sz w:val="24"/>
              </w:rPr>
            </w:pPr>
            <w:r w:rsidRPr="00661595">
              <w:rPr>
                <w:rFonts w:ascii="Times New Roman" w:hAnsi="Times New Roman"/>
                <w:sz w:val="24"/>
              </w:rPr>
              <w:t>0</w:t>
            </w:r>
            <w:r w:rsidR="000B0B09" w:rsidRPr="00661595">
              <w:rPr>
                <w:rFonts w:ascii="Times New Roman" w:hAnsi="Times New Roman"/>
                <w:sz w:val="24"/>
              </w:rPr>
              <w:t>090</w:t>
            </w:r>
          </w:p>
        </w:tc>
        <w:tc>
          <w:tcPr>
            <w:tcW w:w="8004" w:type="dxa"/>
          </w:tcPr>
          <w:p w:rsidR="000B0B09" w:rsidRPr="00661595" w:rsidRDefault="000B0B09" w:rsidP="000B0B09">
            <w:pPr>
              <w:rPr>
                <w:rFonts w:ascii="Times New Roman" w:hAnsi="Times New Roman"/>
                <w:b/>
                <w:sz w:val="24"/>
                <w:u w:val="single"/>
              </w:rPr>
            </w:pPr>
            <w:r w:rsidRPr="00661595">
              <w:rPr>
                <w:rFonts w:ascii="Times New Roman" w:hAnsi="Times New Roman"/>
                <w:b/>
                <w:sz w:val="24"/>
                <w:u w:val="single"/>
              </w:rPr>
              <w:t>TOTAL RISK EXPOSURE AMOUNT</w:t>
            </w:r>
          </w:p>
          <w:p w:rsidR="004F6B6B" w:rsidRPr="00661595" w:rsidRDefault="001E0C80">
            <w:pPr>
              <w:rPr>
                <w:rFonts w:ascii="Times New Roman" w:hAnsi="Times New Roman"/>
                <w:sz w:val="24"/>
              </w:rPr>
            </w:pPr>
            <w:r w:rsidRPr="00661595">
              <w:rPr>
                <w:rFonts w:ascii="Times New Roman" w:hAnsi="Times New Roman"/>
                <w:sz w:val="24"/>
              </w:rPr>
              <w:t xml:space="preserve">Point (b) of </w:t>
            </w:r>
            <w:r w:rsidR="000B0B09" w:rsidRPr="00661595">
              <w:rPr>
                <w:rFonts w:ascii="Times New Roman" w:hAnsi="Times New Roman"/>
                <w:sz w:val="24"/>
              </w:rPr>
              <w:t xml:space="preserve">Article 92(4) </w:t>
            </w:r>
            <w:r w:rsidR="00C7103D" w:rsidRPr="00661595">
              <w:rPr>
                <w:rFonts w:ascii="Times New Roman" w:hAnsi="Times New Roman"/>
                <w:sz w:val="24"/>
              </w:rPr>
              <w:t>CRR</w:t>
            </w:r>
            <w:r w:rsidR="0016282F" w:rsidRPr="00661595">
              <w:rPr>
                <w:rFonts w:ascii="Times New Roman" w:hAnsi="Times New Roman"/>
                <w:sz w:val="24"/>
              </w:rPr>
              <w:t>.</w:t>
            </w:r>
          </w:p>
          <w:p w:rsidR="000B0B09" w:rsidRPr="00661595" w:rsidRDefault="000B0B09" w:rsidP="00787733">
            <w:pPr>
              <w:rPr>
                <w:rFonts w:ascii="Times New Roman" w:hAnsi="Times New Roman"/>
                <w:sz w:val="24"/>
              </w:rPr>
            </w:pPr>
            <w:r w:rsidRPr="00661595">
              <w:rPr>
                <w:rFonts w:ascii="Times New Roman" w:hAnsi="Times New Roman"/>
                <w:sz w:val="24"/>
              </w:rPr>
              <w:t>Own funds requirements multiplied by 12</w:t>
            </w:r>
            <w:r w:rsidR="00787733" w:rsidRPr="00661595">
              <w:rPr>
                <w:rFonts w:ascii="Times New Roman" w:hAnsi="Times New Roman"/>
                <w:sz w:val="24"/>
              </w:rPr>
              <w:t>.</w:t>
            </w:r>
            <w:r w:rsidRPr="00661595">
              <w:rPr>
                <w:rFonts w:ascii="Times New Roman" w:hAnsi="Times New Roman"/>
                <w:sz w:val="24"/>
              </w:rPr>
              <w:t>5</w:t>
            </w:r>
            <w:r w:rsidR="0016282F" w:rsidRPr="00661595">
              <w:rPr>
                <w:rFonts w:ascii="Times New Roman" w:hAnsi="Times New Roman"/>
                <w:sz w:val="24"/>
              </w:rPr>
              <w:t>.</w:t>
            </w:r>
          </w:p>
        </w:tc>
      </w:tr>
      <w:tr w:rsidR="000B0B09" w:rsidRPr="00661595" w:rsidTr="00672D2A">
        <w:tc>
          <w:tcPr>
            <w:tcW w:w="852" w:type="dxa"/>
          </w:tcPr>
          <w:p w:rsidR="000B0B09" w:rsidRPr="00661595" w:rsidRDefault="000B0B09" w:rsidP="000B0B09">
            <w:pPr>
              <w:rPr>
                <w:rFonts w:ascii="Times New Roman" w:hAnsi="Times New Roman"/>
                <w:sz w:val="24"/>
              </w:rPr>
            </w:pPr>
          </w:p>
        </w:tc>
        <w:tc>
          <w:tcPr>
            <w:tcW w:w="8004" w:type="dxa"/>
          </w:tcPr>
          <w:p w:rsidR="000B0B09" w:rsidRPr="00661595" w:rsidRDefault="000B0B09" w:rsidP="000B0B09">
            <w:pPr>
              <w:rPr>
                <w:rFonts w:ascii="Times New Roman" w:hAnsi="Times New Roman"/>
                <w:b/>
                <w:sz w:val="24"/>
                <w:u w:val="single"/>
              </w:rPr>
            </w:pPr>
            <w:r w:rsidRPr="00661595">
              <w:rPr>
                <w:rFonts w:ascii="Times New Roman" w:hAnsi="Times New Roman"/>
                <w:b/>
                <w:sz w:val="24"/>
                <w:u w:val="single"/>
              </w:rPr>
              <w:t>Memorandum items</w:t>
            </w:r>
          </w:p>
        </w:tc>
      </w:tr>
      <w:tr w:rsidR="000B0B09" w:rsidRPr="00661595" w:rsidTr="00672D2A">
        <w:tc>
          <w:tcPr>
            <w:tcW w:w="852" w:type="dxa"/>
          </w:tcPr>
          <w:p w:rsidR="000B0B09" w:rsidRPr="00661595" w:rsidRDefault="00787733" w:rsidP="000B0B09">
            <w:pPr>
              <w:rPr>
                <w:rFonts w:ascii="Times New Roman" w:hAnsi="Times New Roman"/>
                <w:sz w:val="24"/>
              </w:rPr>
            </w:pPr>
            <w:r w:rsidRPr="00661595">
              <w:rPr>
                <w:rFonts w:ascii="Times New Roman" w:hAnsi="Times New Roman"/>
                <w:sz w:val="24"/>
              </w:rPr>
              <w:t>0</w:t>
            </w:r>
            <w:r w:rsidR="000B0B09" w:rsidRPr="00661595">
              <w:rPr>
                <w:rFonts w:ascii="Times New Roman" w:hAnsi="Times New Roman"/>
                <w:sz w:val="24"/>
              </w:rPr>
              <w:t>100</w:t>
            </w:r>
          </w:p>
        </w:tc>
        <w:tc>
          <w:tcPr>
            <w:tcW w:w="8004" w:type="dxa"/>
          </w:tcPr>
          <w:p w:rsidR="000B0B09" w:rsidRPr="00661595" w:rsidRDefault="000B0B09" w:rsidP="000B0B09">
            <w:pPr>
              <w:rPr>
                <w:rFonts w:ascii="Times New Roman" w:hAnsi="Times New Roman"/>
                <w:b/>
                <w:sz w:val="24"/>
                <w:u w:val="single"/>
              </w:rPr>
            </w:pPr>
            <w:r w:rsidRPr="00661595">
              <w:rPr>
                <w:rFonts w:ascii="Times New Roman" w:hAnsi="Times New Roman"/>
                <w:b/>
                <w:sz w:val="24"/>
                <w:u w:val="single"/>
              </w:rPr>
              <w:t>Number of counterparties</w:t>
            </w:r>
          </w:p>
          <w:p w:rsidR="000B0B09" w:rsidRPr="00661595" w:rsidRDefault="000B0B09" w:rsidP="000B0B09">
            <w:pPr>
              <w:rPr>
                <w:rFonts w:ascii="Times New Roman" w:hAnsi="Times New Roman"/>
                <w:sz w:val="24"/>
              </w:rPr>
            </w:pPr>
            <w:r w:rsidRPr="00661595">
              <w:rPr>
                <w:rFonts w:ascii="Times New Roman" w:hAnsi="Times New Roman"/>
                <w:sz w:val="24"/>
              </w:rPr>
              <w:t xml:space="preserve">Article 382 </w:t>
            </w:r>
            <w:r w:rsidR="00C7103D" w:rsidRPr="00661595">
              <w:rPr>
                <w:rFonts w:ascii="Times New Roman" w:hAnsi="Times New Roman"/>
                <w:sz w:val="24"/>
              </w:rPr>
              <w:t>CRR</w:t>
            </w:r>
          </w:p>
          <w:p w:rsidR="000B0B09" w:rsidRPr="00661595" w:rsidRDefault="000B0B09" w:rsidP="000B0B09">
            <w:pPr>
              <w:rPr>
                <w:rFonts w:ascii="Times New Roman" w:hAnsi="Times New Roman"/>
                <w:sz w:val="24"/>
              </w:rPr>
            </w:pPr>
            <w:r w:rsidRPr="00661595">
              <w:rPr>
                <w:rFonts w:ascii="Times New Roman" w:hAnsi="Times New Roman"/>
                <w:sz w:val="24"/>
              </w:rPr>
              <w:t>Number of counterparties included in calculation of own funds for CVA risk</w:t>
            </w:r>
            <w:r w:rsidR="005C14B0" w:rsidRPr="00661595">
              <w:rPr>
                <w:rFonts w:ascii="Times New Roman" w:hAnsi="Times New Roman"/>
                <w:sz w:val="24"/>
              </w:rPr>
              <w:t>.</w:t>
            </w:r>
          </w:p>
          <w:p w:rsidR="000B0B09" w:rsidRPr="00661595" w:rsidRDefault="000B0B09" w:rsidP="0016282F">
            <w:pPr>
              <w:rPr>
                <w:rFonts w:ascii="Times New Roman" w:hAnsi="Times New Roman"/>
                <w:sz w:val="24"/>
              </w:rPr>
            </w:pPr>
            <w:r w:rsidRPr="00661595">
              <w:rPr>
                <w:rFonts w:ascii="Times New Roman" w:hAnsi="Times New Roman"/>
                <w:sz w:val="24"/>
              </w:rPr>
              <w:t xml:space="preserve">Counterparties are a subset of obligors. They only exist in case of derivatives transactions or SFTs where they are the other contracting party. </w:t>
            </w:r>
          </w:p>
        </w:tc>
      </w:tr>
      <w:tr w:rsidR="000B0B09" w:rsidRPr="00661595" w:rsidTr="00672D2A">
        <w:tc>
          <w:tcPr>
            <w:tcW w:w="852" w:type="dxa"/>
          </w:tcPr>
          <w:p w:rsidR="000B0B09" w:rsidRPr="00661595" w:rsidRDefault="00787733" w:rsidP="000B0B09">
            <w:pPr>
              <w:rPr>
                <w:rFonts w:ascii="Times New Roman" w:hAnsi="Times New Roman"/>
                <w:sz w:val="24"/>
              </w:rPr>
            </w:pPr>
            <w:r w:rsidRPr="00661595">
              <w:rPr>
                <w:rFonts w:ascii="Times New Roman" w:hAnsi="Times New Roman"/>
                <w:sz w:val="24"/>
              </w:rPr>
              <w:t>0</w:t>
            </w:r>
            <w:r w:rsidR="000B0B09" w:rsidRPr="00661595">
              <w:rPr>
                <w:rFonts w:ascii="Times New Roman" w:hAnsi="Times New Roman"/>
                <w:sz w:val="24"/>
              </w:rPr>
              <w:t>110</w:t>
            </w:r>
          </w:p>
        </w:tc>
        <w:tc>
          <w:tcPr>
            <w:tcW w:w="8004" w:type="dxa"/>
          </w:tcPr>
          <w:p w:rsidR="000B0B09" w:rsidRPr="00661595" w:rsidRDefault="000B0B09" w:rsidP="000B0B09">
            <w:pPr>
              <w:rPr>
                <w:rFonts w:ascii="Times New Roman" w:hAnsi="Times New Roman"/>
                <w:b/>
                <w:sz w:val="24"/>
                <w:u w:val="single"/>
              </w:rPr>
            </w:pPr>
            <w:r w:rsidRPr="00661595">
              <w:rPr>
                <w:rFonts w:ascii="Times New Roman" w:hAnsi="Times New Roman"/>
                <w:b/>
                <w:sz w:val="24"/>
                <w:u w:val="single"/>
              </w:rPr>
              <w:t>Of which: proxy was used to determine credit spread</w:t>
            </w:r>
          </w:p>
          <w:p w:rsidR="000B0B09" w:rsidRPr="00661595" w:rsidRDefault="005C14B0">
            <w:pPr>
              <w:rPr>
                <w:rFonts w:ascii="Times New Roman" w:hAnsi="Times New Roman"/>
                <w:b/>
                <w:sz w:val="24"/>
                <w:u w:val="single"/>
              </w:rPr>
            </w:pPr>
            <w:r w:rsidRPr="00661595">
              <w:rPr>
                <w:rFonts w:ascii="Times New Roman" w:hAnsi="Times New Roman"/>
                <w:sz w:val="24"/>
              </w:rPr>
              <w:t>N</w:t>
            </w:r>
            <w:r w:rsidR="000B0B09" w:rsidRPr="00661595">
              <w:rPr>
                <w:rFonts w:ascii="Times New Roman" w:hAnsi="Times New Roman"/>
                <w:sz w:val="24"/>
              </w:rPr>
              <w:t>umber of counterparties where the credit spread was determined using a proxy instead of directly observed market data</w:t>
            </w:r>
            <w:r w:rsidR="0016282F" w:rsidRPr="00661595">
              <w:rPr>
                <w:rFonts w:ascii="Times New Roman" w:hAnsi="Times New Roman"/>
                <w:sz w:val="24"/>
              </w:rPr>
              <w:t>.</w:t>
            </w:r>
          </w:p>
        </w:tc>
      </w:tr>
      <w:tr w:rsidR="000B0B09" w:rsidRPr="00661595" w:rsidTr="00672D2A">
        <w:tc>
          <w:tcPr>
            <w:tcW w:w="852" w:type="dxa"/>
          </w:tcPr>
          <w:p w:rsidR="000B0B09" w:rsidRPr="00661595" w:rsidRDefault="00787733" w:rsidP="000B0B09">
            <w:pPr>
              <w:rPr>
                <w:rFonts w:ascii="Times New Roman" w:hAnsi="Times New Roman"/>
                <w:sz w:val="24"/>
              </w:rPr>
            </w:pPr>
            <w:r w:rsidRPr="00661595">
              <w:rPr>
                <w:rFonts w:ascii="Times New Roman" w:hAnsi="Times New Roman"/>
                <w:sz w:val="24"/>
              </w:rPr>
              <w:t>0</w:t>
            </w:r>
            <w:r w:rsidR="000B0B09" w:rsidRPr="00661595">
              <w:rPr>
                <w:rFonts w:ascii="Times New Roman" w:hAnsi="Times New Roman"/>
                <w:sz w:val="24"/>
              </w:rPr>
              <w:t>120</w:t>
            </w:r>
          </w:p>
        </w:tc>
        <w:tc>
          <w:tcPr>
            <w:tcW w:w="8004" w:type="dxa"/>
          </w:tcPr>
          <w:p w:rsidR="000B0B09" w:rsidRPr="00661595" w:rsidRDefault="000B0B09" w:rsidP="000B0B09">
            <w:pPr>
              <w:rPr>
                <w:rFonts w:ascii="Times New Roman" w:hAnsi="Times New Roman"/>
                <w:b/>
                <w:sz w:val="24"/>
                <w:u w:val="single"/>
              </w:rPr>
            </w:pPr>
            <w:r w:rsidRPr="00661595">
              <w:rPr>
                <w:rFonts w:ascii="Times New Roman" w:hAnsi="Times New Roman"/>
                <w:b/>
                <w:sz w:val="24"/>
                <w:u w:val="single"/>
              </w:rPr>
              <w:t>INCURRED CVA</w:t>
            </w:r>
          </w:p>
          <w:p w:rsidR="000B0B09" w:rsidRPr="00661595" w:rsidRDefault="000B0B09" w:rsidP="000B0B09">
            <w:pPr>
              <w:rPr>
                <w:rFonts w:ascii="Times New Roman" w:hAnsi="Times New Roman"/>
                <w:sz w:val="24"/>
              </w:rPr>
            </w:pPr>
            <w:r w:rsidRPr="00661595">
              <w:rPr>
                <w:rFonts w:ascii="Times New Roman" w:hAnsi="Times New Roman"/>
                <w:sz w:val="24"/>
              </w:rPr>
              <w:t>Accounting provisions due to decreased credit worthiness of derivatives counterparties</w:t>
            </w:r>
            <w:r w:rsidR="0016282F" w:rsidRPr="00661595">
              <w:rPr>
                <w:rFonts w:ascii="Times New Roman" w:hAnsi="Times New Roman"/>
                <w:sz w:val="24"/>
              </w:rPr>
              <w:t>.</w:t>
            </w:r>
          </w:p>
        </w:tc>
      </w:tr>
      <w:tr w:rsidR="000B0B09" w:rsidRPr="00661595" w:rsidTr="00672D2A">
        <w:tc>
          <w:tcPr>
            <w:tcW w:w="852" w:type="dxa"/>
          </w:tcPr>
          <w:p w:rsidR="000B0B09" w:rsidRPr="00661595" w:rsidRDefault="00787733" w:rsidP="000B0B09">
            <w:pPr>
              <w:rPr>
                <w:rFonts w:ascii="Times New Roman" w:hAnsi="Times New Roman"/>
                <w:sz w:val="24"/>
              </w:rPr>
            </w:pPr>
            <w:r w:rsidRPr="00661595">
              <w:rPr>
                <w:rFonts w:ascii="Times New Roman" w:hAnsi="Times New Roman"/>
                <w:sz w:val="24"/>
              </w:rPr>
              <w:t>0</w:t>
            </w:r>
            <w:r w:rsidR="000B0B09" w:rsidRPr="00661595">
              <w:rPr>
                <w:rFonts w:ascii="Times New Roman" w:hAnsi="Times New Roman"/>
                <w:sz w:val="24"/>
              </w:rPr>
              <w:t>130</w:t>
            </w:r>
          </w:p>
        </w:tc>
        <w:tc>
          <w:tcPr>
            <w:tcW w:w="8004" w:type="dxa"/>
          </w:tcPr>
          <w:p w:rsidR="000B0B09" w:rsidRPr="00661595" w:rsidRDefault="000B0B09" w:rsidP="000B0B09">
            <w:pPr>
              <w:rPr>
                <w:rFonts w:ascii="Times New Roman" w:hAnsi="Times New Roman"/>
                <w:b/>
                <w:sz w:val="24"/>
                <w:u w:val="single"/>
              </w:rPr>
            </w:pPr>
            <w:r w:rsidRPr="00661595">
              <w:rPr>
                <w:rFonts w:ascii="Times New Roman" w:hAnsi="Times New Roman"/>
                <w:b/>
                <w:sz w:val="24"/>
                <w:u w:val="single"/>
              </w:rPr>
              <w:t>SINGLE NAME CDS</w:t>
            </w:r>
          </w:p>
          <w:p w:rsidR="000B0B09" w:rsidRPr="00661595" w:rsidRDefault="00D21B29" w:rsidP="000B0B09">
            <w:pPr>
              <w:rPr>
                <w:rFonts w:ascii="Times New Roman" w:hAnsi="Times New Roman"/>
                <w:sz w:val="24"/>
              </w:rPr>
            </w:pPr>
            <w:r w:rsidRPr="00661595">
              <w:rPr>
                <w:rFonts w:ascii="Times New Roman" w:hAnsi="Times New Roman"/>
                <w:sz w:val="24"/>
              </w:rPr>
              <w:t xml:space="preserve">Point (a) of </w:t>
            </w:r>
            <w:r w:rsidR="000B0B09" w:rsidRPr="00661595">
              <w:rPr>
                <w:rFonts w:ascii="Times New Roman" w:hAnsi="Times New Roman"/>
                <w:sz w:val="24"/>
              </w:rPr>
              <w:t xml:space="preserve">Article 386(1) </w:t>
            </w:r>
            <w:r w:rsidR="00C7103D" w:rsidRPr="00661595">
              <w:rPr>
                <w:rFonts w:ascii="Times New Roman" w:hAnsi="Times New Roman"/>
                <w:sz w:val="24"/>
              </w:rPr>
              <w:t>CRR</w:t>
            </w:r>
            <w:r w:rsidR="000B0B09" w:rsidRPr="00661595">
              <w:rPr>
                <w:rFonts w:ascii="Times New Roman" w:hAnsi="Times New Roman"/>
                <w:sz w:val="24"/>
              </w:rPr>
              <w:t xml:space="preserve"> </w:t>
            </w:r>
          </w:p>
          <w:p w:rsidR="000B0B09" w:rsidRPr="00661595" w:rsidRDefault="000B0B09" w:rsidP="000B0B09">
            <w:pPr>
              <w:rPr>
                <w:rFonts w:ascii="Times New Roman" w:hAnsi="Times New Roman"/>
                <w:sz w:val="24"/>
              </w:rPr>
            </w:pPr>
            <w:r w:rsidRPr="00661595">
              <w:rPr>
                <w:rFonts w:ascii="Times New Roman" w:hAnsi="Times New Roman"/>
                <w:sz w:val="24"/>
              </w:rPr>
              <w:t>Total notional amounts of single name CDS used as hedge for CVA risk</w:t>
            </w:r>
            <w:r w:rsidR="0016282F" w:rsidRPr="00661595">
              <w:rPr>
                <w:rFonts w:ascii="Times New Roman" w:hAnsi="Times New Roman"/>
                <w:sz w:val="24"/>
              </w:rPr>
              <w:t>.</w:t>
            </w:r>
          </w:p>
        </w:tc>
      </w:tr>
      <w:tr w:rsidR="000B0B09" w:rsidRPr="00661595" w:rsidTr="00672D2A">
        <w:tc>
          <w:tcPr>
            <w:tcW w:w="852" w:type="dxa"/>
          </w:tcPr>
          <w:p w:rsidR="000B0B09" w:rsidRPr="00661595" w:rsidRDefault="00787733" w:rsidP="000B0B09">
            <w:pPr>
              <w:rPr>
                <w:rFonts w:ascii="Times New Roman" w:hAnsi="Times New Roman"/>
                <w:sz w:val="24"/>
              </w:rPr>
            </w:pPr>
            <w:r w:rsidRPr="00661595">
              <w:rPr>
                <w:rFonts w:ascii="Times New Roman" w:hAnsi="Times New Roman"/>
                <w:sz w:val="24"/>
              </w:rPr>
              <w:t>0</w:t>
            </w:r>
            <w:r w:rsidR="000B0B09" w:rsidRPr="00661595">
              <w:rPr>
                <w:rFonts w:ascii="Times New Roman" w:hAnsi="Times New Roman"/>
                <w:sz w:val="24"/>
              </w:rPr>
              <w:t>140</w:t>
            </w:r>
          </w:p>
        </w:tc>
        <w:tc>
          <w:tcPr>
            <w:tcW w:w="8004" w:type="dxa"/>
          </w:tcPr>
          <w:p w:rsidR="000B0B09" w:rsidRPr="00661595" w:rsidRDefault="000B0B09" w:rsidP="000B0B09">
            <w:pPr>
              <w:rPr>
                <w:rFonts w:ascii="Times New Roman" w:hAnsi="Times New Roman"/>
                <w:b/>
                <w:sz w:val="24"/>
                <w:u w:val="single"/>
              </w:rPr>
            </w:pPr>
            <w:r w:rsidRPr="00661595">
              <w:rPr>
                <w:rFonts w:ascii="Times New Roman" w:hAnsi="Times New Roman"/>
                <w:b/>
                <w:sz w:val="24"/>
                <w:u w:val="single"/>
              </w:rPr>
              <w:t>INDEX CDS</w:t>
            </w:r>
          </w:p>
          <w:p w:rsidR="000B0B09" w:rsidRPr="00661595" w:rsidRDefault="00D21B29" w:rsidP="000B0B09">
            <w:pPr>
              <w:rPr>
                <w:rFonts w:ascii="Times New Roman" w:hAnsi="Times New Roman"/>
                <w:sz w:val="24"/>
              </w:rPr>
            </w:pPr>
            <w:r w:rsidRPr="00661595">
              <w:rPr>
                <w:rFonts w:ascii="Times New Roman" w:hAnsi="Times New Roman"/>
                <w:sz w:val="24"/>
              </w:rPr>
              <w:t xml:space="preserve">Point (b) of </w:t>
            </w:r>
            <w:r w:rsidR="000B0B09" w:rsidRPr="00661595">
              <w:rPr>
                <w:rFonts w:ascii="Times New Roman" w:hAnsi="Times New Roman"/>
                <w:sz w:val="24"/>
              </w:rPr>
              <w:t xml:space="preserve">Article 386(1) </w:t>
            </w:r>
            <w:r w:rsidR="00C7103D" w:rsidRPr="00661595">
              <w:rPr>
                <w:rFonts w:ascii="Times New Roman" w:hAnsi="Times New Roman"/>
                <w:sz w:val="24"/>
              </w:rPr>
              <w:t>CRR</w:t>
            </w:r>
          </w:p>
          <w:p w:rsidR="000B0B09" w:rsidRPr="00661595" w:rsidRDefault="000B0B09" w:rsidP="000B0B09">
            <w:pPr>
              <w:rPr>
                <w:rFonts w:ascii="Times New Roman" w:hAnsi="Times New Roman"/>
                <w:b/>
                <w:sz w:val="24"/>
                <w:u w:val="single"/>
              </w:rPr>
            </w:pPr>
            <w:r w:rsidRPr="00661595">
              <w:rPr>
                <w:rFonts w:ascii="Times New Roman" w:hAnsi="Times New Roman"/>
                <w:sz w:val="24"/>
              </w:rPr>
              <w:t>Total notional amounts of index CDS used as hedge for CVA risk</w:t>
            </w:r>
            <w:r w:rsidR="0016282F" w:rsidRPr="00661595">
              <w:rPr>
                <w:rFonts w:ascii="Times New Roman" w:hAnsi="Times New Roman"/>
                <w:sz w:val="24"/>
              </w:rPr>
              <w:t>.</w:t>
            </w:r>
          </w:p>
        </w:tc>
      </w:tr>
    </w:tbl>
    <w:p w:rsidR="000B0B09" w:rsidRPr="00661595" w:rsidRDefault="000B0B09" w:rsidP="000B0B09">
      <w:pPr>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
        <w:gridCol w:w="8004"/>
      </w:tblGrid>
      <w:tr w:rsidR="000B0B09" w:rsidRPr="00661595" w:rsidTr="00672D2A">
        <w:tc>
          <w:tcPr>
            <w:tcW w:w="8856" w:type="dxa"/>
            <w:gridSpan w:val="2"/>
            <w:shd w:val="clear" w:color="auto" w:fill="CCCCCC"/>
          </w:tcPr>
          <w:p w:rsidR="000B0B09" w:rsidRPr="00661595" w:rsidRDefault="000B0B09" w:rsidP="000B0B09">
            <w:pPr>
              <w:rPr>
                <w:rFonts w:ascii="Times New Roman" w:hAnsi="Times New Roman"/>
                <w:b/>
                <w:sz w:val="24"/>
              </w:rPr>
            </w:pPr>
            <w:r w:rsidRPr="00661595">
              <w:rPr>
                <w:rFonts w:ascii="Times New Roman" w:hAnsi="Times New Roman"/>
                <w:b/>
                <w:sz w:val="24"/>
              </w:rPr>
              <w:t>Rows</w:t>
            </w:r>
          </w:p>
        </w:tc>
      </w:tr>
      <w:tr w:rsidR="000B0B09" w:rsidRPr="00661595" w:rsidTr="00672D2A">
        <w:tc>
          <w:tcPr>
            <w:tcW w:w="852" w:type="dxa"/>
          </w:tcPr>
          <w:p w:rsidR="000B0B09" w:rsidRPr="00661595" w:rsidRDefault="00787733" w:rsidP="000B0B09">
            <w:pPr>
              <w:rPr>
                <w:rFonts w:ascii="Times New Roman" w:hAnsi="Times New Roman"/>
                <w:sz w:val="24"/>
              </w:rPr>
            </w:pPr>
            <w:r w:rsidRPr="00661595">
              <w:rPr>
                <w:rFonts w:ascii="Times New Roman" w:hAnsi="Times New Roman"/>
                <w:sz w:val="24"/>
              </w:rPr>
              <w:t>0</w:t>
            </w:r>
            <w:r w:rsidR="000B0B09" w:rsidRPr="00661595">
              <w:rPr>
                <w:rFonts w:ascii="Times New Roman" w:hAnsi="Times New Roman"/>
                <w:sz w:val="24"/>
              </w:rPr>
              <w:t>010</w:t>
            </w:r>
          </w:p>
        </w:tc>
        <w:tc>
          <w:tcPr>
            <w:tcW w:w="8004" w:type="dxa"/>
          </w:tcPr>
          <w:p w:rsidR="000B0B09" w:rsidRPr="00661595" w:rsidRDefault="000B0B09" w:rsidP="000B0B09">
            <w:pPr>
              <w:rPr>
                <w:rFonts w:ascii="Times New Roman" w:hAnsi="Times New Roman"/>
                <w:b/>
                <w:bCs/>
                <w:sz w:val="24"/>
                <w:u w:val="single"/>
              </w:rPr>
            </w:pPr>
            <w:r w:rsidRPr="00661595">
              <w:rPr>
                <w:rFonts w:ascii="Times New Roman" w:hAnsi="Times New Roman"/>
                <w:b/>
                <w:bCs/>
                <w:sz w:val="24"/>
                <w:u w:val="single"/>
              </w:rPr>
              <w:t>CVA risk total</w:t>
            </w:r>
          </w:p>
          <w:p w:rsidR="000B0B09" w:rsidRPr="00661595" w:rsidRDefault="000B0B09" w:rsidP="002300C6">
            <w:pPr>
              <w:rPr>
                <w:rFonts w:ascii="Times New Roman" w:hAnsi="Times New Roman"/>
                <w:bCs/>
                <w:sz w:val="24"/>
              </w:rPr>
            </w:pPr>
            <w:r w:rsidRPr="00661595">
              <w:rPr>
                <w:rFonts w:ascii="Times New Roman" w:hAnsi="Times New Roman"/>
                <w:bCs/>
                <w:sz w:val="24"/>
              </w:rPr>
              <w:t xml:space="preserve">Sum of rows </w:t>
            </w:r>
            <w:r w:rsidR="00787733" w:rsidRPr="00661595">
              <w:rPr>
                <w:rFonts w:ascii="Times New Roman" w:hAnsi="Times New Roman"/>
                <w:bCs/>
                <w:sz w:val="24"/>
              </w:rPr>
              <w:t>0</w:t>
            </w:r>
            <w:r w:rsidRPr="00661595">
              <w:rPr>
                <w:rFonts w:ascii="Times New Roman" w:hAnsi="Times New Roman"/>
                <w:bCs/>
                <w:sz w:val="24"/>
              </w:rPr>
              <w:t>020-</w:t>
            </w:r>
            <w:r w:rsidR="00787733" w:rsidRPr="00661595">
              <w:rPr>
                <w:rFonts w:ascii="Times New Roman" w:hAnsi="Times New Roman"/>
                <w:bCs/>
                <w:sz w:val="24"/>
              </w:rPr>
              <w:t>0</w:t>
            </w:r>
            <w:r w:rsidRPr="00661595">
              <w:rPr>
                <w:rFonts w:ascii="Times New Roman" w:hAnsi="Times New Roman"/>
                <w:bCs/>
                <w:sz w:val="24"/>
              </w:rPr>
              <w:t>040</w:t>
            </w:r>
          </w:p>
        </w:tc>
      </w:tr>
      <w:tr w:rsidR="000B0B09" w:rsidRPr="00661595" w:rsidTr="00672D2A">
        <w:tc>
          <w:tcPr>
            <w:tcW w:w="852" w:type="dxa"/>
          </w:tcPr>
          <w:p w:rsidR="000B0B09" w:rsidRPr="00661595" w:rsidRDefault="00787733" w:rsidP="000B0B09">
            <w:pPr>
              <w:rPr>
                <w:rFonts w:ascii="Times New Roman" w:hAnsi="Times New Roman"/>
                <w:sz w:val="24"/>
              </w:rPr>
            </w:pPr>
            <w:r w:rsidRPr="00661595">
              <w:rPr>
                <w:rFonts w:ascii="Times New Roman" w:hAnsi="Times New Roman"/>
                <w:sz w:val="24"/>
              </w:rPr>
              <w:t>0</w:t>
            </w:r>
            <w:r w:rsidR="000B0B09" w:rsidRPr="00661595">
              <w:rPr>
                <w:rFonts w:ascii="Times New Roman" w:hAnsi="Times New Roman"/>
                <w:sz w:val="24"/>
              </w:rPr>
              <w:t xml:space="preserve">020 </w:t>
            </w:r>
          </w:p>
        </w:tc>
        <w:tc>
          <w:tcPr>
            <w:tcW w:w="8004" w:type="dxa"/>
          </w:tcPr>
          <w:p w:rsidR="000B0B09" w:rsidRPr="00661595" w:rsidRDefault="000B0B09" w:rsidP="000B0B09">
            <w:pPr>
              <w:rPr>
                <w:rFonts w:ascii="Times New Roman" w:hAnsi="Times New Roman"/>
                <w:b/>
                <w:bCs/>
                <w:sz w:val="24"/>
                <w:u w:val="single"/>
              </w:rPr>
            </w:pPr>
            <w:r w:rsidRPr="00661595">
              <w:rPr>
                <w:rFonts w:ascii="Times New Roman" w:hAnsi="Times New Roman"/>
                <w:b/>
                <w:bCs/>
                <w:sz w:val="24"/>
                <w:u w:val="single"/>
              </w:rPr>
              <w:t>Advanced method</w:t>
            </w:r>
          </w:p>
          <w:p w:rsidR="000B0B09" w:rsidRPr="00661595" w:rsidRDefault="000B0B09" w:rsidP="000B0B09">
            <w:pPr>
              <w:rPr>
                <w:rFonts w:ascii="Times New Roman" w:hAnsi="Times New Roman"/>
                <w:bCs/>
                <w:sz w:val="24"/>
              </w:rPr>
            </w:pPr>
            <w:r w:rsidRPr="00661595">
              <w:rPr>
                <w:rFonts w:ascii="Times New Roman" w:hAnsi="Times New Roman"/>
                <w:bCs/>
                <w:sz w:val="24"/>
              </w:rPr>
              <w:t>Advanced CVA risk method as prescribed by Article 383</w:t>
            </w:r>
            <w:r w:rsidRPr="00661595">
              <w:rPr>
                <w:rFonts w:ascii="Times New Roman" w:hAnsi="Times New Roman"/>
                <w:sz w:val="24"/>
              </w:rPr>
              <w:t xml:space="preserve"> </w:t>
            </w:r>
            <w:r w:rsidR="00C7103D" w:rsidRPr="00661595">
              <w:rPr>
                <w:rFonts w:ascii="Times New Roman" w:hAnsi="Times New Roman"/>
                <w:sz w:val="24"/>
              </w:rPr>
              <w:t>CRR</w:t>
            </w:r>
            <w:r w:rsidRPr="00661595">
              <w:rPr>
                <w:rFonts w:ascii="Times New Roman" w:hAnsi="Times New Roman"/>
                <w:bCs/>
                <w:sz w:val="24"/>
              </w:rPr>
              <w:t xml:space="preserve"> </w:t>
            </w:r>
          </w:p>
        </w:tc>
      </w:tr>
      <w:tr w:rsidR="000B0B09" w:rsidRPr="00661595" w:rsidTr="00672D2A">
        <w:tc>
          <w:tcPr>
            <w:tcW w:w="852" w:type="dxa"/>
          </w:tcPr>
          <w:p w:rsidR="000B0B09" w:rsidRPr="00661595" w:rsidRDefault="00787733" w:rsidP="000B0B09">
            <w:pPr>
              <w:rPr>
                <w:rFonts w:ascii="Times New Roman" w:hAnsi="Times New Roman"/>
                <w:sz w:val="24"/>
              </w:rPr>
            </w:pPr>
            <w:r w:rsidRPr="00661595">
              <w:rPr>
                <w:rFonts w:ascii="Times New Roman" w:hAnsi="Times New Roman"/>
                <w:sz w:val="24"/>
              </w:rPr>
              <w:t>0</w:t>
            </w:r>
            <w:r w:rsidR="000B0B09" w:rsidRPr="00661595">
              <w:rPr>
                <w:rFonts w:ascii="Times New Roman" w:hAnsi="Times New Roman"/>
                <w:sz w:val="24"/>
              </w:rPr>
              <w:t>030</w:t>
            </w:r>
          </w:p>
        </w:tc>
        <w:tc>
          <w:tcPr>
            <w:tcW w:w="8004" w:type="dxa"/>
          </w:tcPr>
          <w:p w:rsidR="000B0B09" w:rsidRPr="00661595" w:rsidRDefault="000B0B09" w:rsidP="000B0B09">
            <w:pPr>
              <w:rPr>
                <w:rFonts w:ascii="Times New Roman" w:hAnsi="Times New Roman"/>
                <w:b/>
                <w:bCs/>
                <w:sz w:val="24"/>
                <w:u w:val="single"/>
              </w:rPr>
            </w:pPr>
            <w:r w:rsidRPr="00661595">
              <w:rPr>
                <w:rFonts w:ascii="Times New Roman" w:hAnsi="Times New Roman"/>
                <w:b/>
                <w:bCs/>
                <w:sz w:val="24"/>
                <w:u w:val="single"/>
              </w:rPr>
              <w:t>Standardised method</w:t>
            </w:r>
          </w:p>
          <w:p w:rsidR="000B0B09" w:rsidRPr="00661595" w:rsidRDefault="000B0B09" w:rsidP="000B0B09">
            <w:pPr>
              <w:rPr>
                <w:rFonts w:ascii="Times New Roman" w:hAnsi="Times New Roman"/>
                <w:bCs/>
                <w:sz w:val="24"/>
              </w:rPr>
            </w:pPr>
            <w:r w:rsidRPr="00661595">
              <w:rPr>
                <w:rFonts w:ascii="Times New Roman" w:hAnsi="Times New Roman"/>
                <w:bCs/>
                <w:sz w:val="24"/>
              </w:rPr>
              <w:t>Standardised CVA risk method as prescribed by Article 384</w:t>
            </w:r>
            <w:r w:rsidRPr="00661595">
              <w:rPr>
                <w:rFonts w:ascii="Times New Roman" w:hAnsi="Times New Roman"/>
                <w:sz w:val="24"/>
              </w:rPr>
              <w:t xml:space="preserve"> </w:t>
            </w:r>
            <w:r w:rsidR="00C7103D" w:rsidRPr="00661595">
              <w:rPr>
                <w:rFonts w:ascii="Times New Roman" w:hAnsi="Times New Roman"/>
                <w:sz w:val="24"/>
              </w:rPr>
              <w:t>CRR</w:t>
            </w:r>
            <w:r w:rsidRPr="00661595">
              <w:rPr>
                <w:rFonts w:ascii="Times New Roman" w:hAnsi="Times New Roman"/>
                <w:bCs/>
                <w:sz w:val="24"/>
              </w:rPr>
              <w:t xml:space="preserve"> </w:t>
            </w:r>
          </w:p>
        </w:tc>
      </w:tr>
      <w:tr w:rsidR="000B0B09" w:rsidRPr="00661595" w:rsidTr="00672D2A">
        <w:tc>
          <w:tcPr>
            <w:tcW w:w="852" w:type="dxa"/>
          </w:tcPr>
          <w:p w:rsidR="000B0B09" w:rsidRPr="00661595" w:rsidRDefault="00787733" w:rsidP="000B0B09">
            <w:pPr>
              <w:rPr>
                <w:rFonts w:ascii="Times New Roman" w:hAnsi="Times New Roman"/>
                <w:sz w:val="24"/>
              </w:rPr>
            </w:pPr>
            <w:r w:rsidRPr="00661595">
              <w:rPr>
                <w:rFonts w:ascii="Times New Roman" w:hAnsi="Times New Roman"/>
                <w:sz w:val="24"/>
              </w:rPr>
              <w:t>0</w:t>
            </w:r>
            <w:r w:rsidR="000B0B09" w:rsidRPr="00661595">
              <w:rPr>
                <w:rFonts w:ascii="Times New Roman" w:hAnsi="Times New Roman"/>
                <w:sz w:val="24"/>
              </w:rPr>
              <w:t>040</w:t>
            </w:r>
          </w:p>
        </w:tc>
        <w:tc>
          <w:tcPr>
            <w:tcW w:w="8004" w:type="dxa"/>
          </w:tcPr>
          <w:p w:rsidR="000B0B09" w:rsidRPr="00661595" w:rsidRDefault="000B0B09" w:rsidP="000B0B09">
            <w:pPr>
              <w:rPr>
                <w:rFonts w:ascii="Times New Roman" w:hAnsi="Times New Roman"/>
                <w:b/>
                <w:bCs/>
                <w:sz w:val="24"/>
                <w:u w:val="single"/>
              </w:rPr>
            </w:pPr>
            <w:r w:rsidRPr="00661595">
              <w:rPr>
                <w:rFonts w:ascii="Times New Roman" w:hAnsi="Times New Roman"/>
                <w:b/>
                <w:bCs/>
                <w:sz w:val="24"/>
                <w:u w:val="single"/>
              </w:rPr>
              <w:t>Based on OEM</w:t>
            </w:r>
          </w:p>
          <w:p w:rsidR="000B0B09" w:rsidRPr="00661595" w:rsidRDefault="000B0B09" w:rsidP="00E871FE">
            <w:pPr>
              <w:rPr>
                <w:rFonts w:ascii="Times New Roman" w:hAnsi="Times New Roman"/>
                <w:bCs/>
                <w:sz w:val="24"/>
              </w:rPr>
            </w:pPr>
            <w:r w:rsidRPr="00661595">
              <w:rPr>
                <w:rFonts w:ascii="Times New Roman" w:hAnsi="Times New Roman"/>
                <w:bCs/>
                <w:sz w:val="24"/>
              </w:rPr>
              <w:t>Amounts subject to the application of Art</w:t>
            </w:r>
            <w:r w:rsidR="00791DA9" w:rsidRPr="00661595">
              <w:rPr>
                <w:rFonts w:ascii="Times New Roman" w:hAnsi="Times New Roman"/>
                <w:bCs/>
                <w:sz w:val="24"/>
              </w:rPr>
              <w:t>icle</w:t>
            </w:r>
            <w:r w:rsidRPr="00661595">
              <w:rPr>
                <w:rFonts w:ascii="Times New Roman" w:hAnsi="Times New Roman"/>
                <w:bCs/>
                <w:sz w:val="24"/>
              </w:rPr>
              <w:t xml:space="preserve"> 385</w:t>
            </w:r>
            <w:r w:rsidRPr="00661595">
              <w:rPr>
                <w:rFonts w:ascii="Times New Roman" w:hAnsi="Times New Roman"/>
                <w:sz w:val="24"/>
              </w:rPr>
              <w:t xml:space="preserve"> </w:t>
            </w:r>
            <w:r w:rsidR="00C7103D" w:rsidRPr="00661595">
              <w:rPr>
                <w:rFonts w:ascii="Times New Roman" w:hAnsi="Times New Roman"/>
                <w:sz w:val="24"/>
              </w:rPr>
              <w:t>CRR</w:t>
            </w:r>
          </w:p>
        </w:tc>
      </w:tr>
      <w:bookmarkEnd w:id="754"/>
    </w:tbl>
    <w:p w:rsidR="00633DEB" w:rsidRPr="00661595" w:rsidRDefault="00633DEB" w:rsidP="00C61FF5">
      <w:pPr>
        <w:rPr>
          <w:rStyle w:val="InstructionsTabelleText"/>
          <w:rFonts w:ascii="Times New Roman" w:hAnsi="Times New Roman"/>
          <w:sz w:val="24"/>
        </w:rPr>
      </w:pPr>
    </w:p>
    <w:p w:rsidR="00995A7F" w:rsidRPr="00661595" w:rsidRDefault="00995A7F" w:rsidP="00995A7F">
      <w:pPr>
        <w:pStyle w:val="Instructionsberschrift2"/>
        <w:numPr>
          <w:ilvl w:val="0"/>
          <w:numId w:val="0"/>
        </w:numPr>
        <w:ind w:left="357" w:hanging="357"/>
        <w:rPr>
          <w:rFonts w:ascii="Times New Roman" w:hAnsi="Times New Roman" w:cs="Times New Roman"/>
          <w:sz w:val="24"/>
          <w:lang w:val="en-GB"/>
        </w:rPr>
      </w:pPr>
      <w:bookmarkStart w:id="755" w:name="_Toc57831659"/>
      <w:r w:rsidRPr="00661595">
        <w:rPr>
          <w:rFonts w:ascii="Times New Roman" w:hAnsi="Times New Roman" w:cs="Times New Roman"/>
          <w:sz w:val="24"/>
          <w:u w:val="none"/>
          <w:lang w:val="en-GB"/>
        </w:rPr>
        <w:t>6.</w:t>
      </w:r>
      <w:r w:rsidRPr="00661595">
        <w:rPr>
          <w:rFonts w:ascii="Times New Roman" w:hAnsi="Times New Roman" w:cs="Times New Roman"/>
          <w:sz w:val="24"/>
          <w:u w:val="none"/>
          <w:lang w:val="en-GB"/>
        </w:rPr>
        <w:tab/>
      </w:r>
      <w:r w:rsidRPr="00661595">
        <w:rPr>
          <w:rFonts w:ascii="Times New Roman" w:hAnsi="Times New Roman" w:cs="Times New Roman"/>
          <w:sz w:val="24"/>
          <w:lang w:val="en-GB"/>
        </w:rPr>
        <w:t>Prudent valuation (PruVal)</w:t>
      </w:r>
      <w:bookmarkEnd w:id="755"/>
    </w:p>
    <w:p w:rsidR="00995A7F" w:rsidRPr="00661595" w:rsidRDefault="00995A7F" w:rsidP="00995A7F">
      <w:pPr>
        <w:pStyle w:val="Instructionsberschrift2"/>
        <w:numPr>
          <w:ilvl w:val="0"/>
          <w:numId w:val="0"/>
        </w:numPr>
        <w:ind w:left="357" w:hanging="357"/>
        <w:rPr>
          <w:rFonts w:ascii="Times New Roman" w:hAnsi="Times New Roman" w:cs="Times New Roman"/>
          <w:sz w:val="24"/>
          <w:u w:val="none"/>
          <w:lang w:val="en-GB"/>
        </w:rPr>
      </w:pPr>
      <w:bookmarkStart w:id="756" w:name="_Toc57831660"/>
      <w:r w:rsidRPr="00661595">
        <w:rPr>
          <w:rFonts w:ascii="Times New Roman" w:hAnsi="Times New Roman" w:cs="Times New Roman"/>
          <w:sz w:val="24"/>
          <w:u w:val="none"/>
          <w:lang w:val="en-GB"/>
        </w:rPr>
        <w:t>6.</w:t>
      </w:r>
      <w:r w:rsidR="00DD41BE" w:rsidRPr="00661595">
        <w:rPr>
          <w:rFonts w:ascii="Times New Roman" w:hAnsi="Times New Roman" w:cs="Times New Roman"/>
          <w:sz w:val="24"/>
          <w:u w:val="none"/>
          <w:lang w:val="en-GB"/>
        </w:rPr>
        <w:t>1</w:t>
      </w:r>
      <w:r w:rsidRPr="00661595">
        <w:rPr>
          <w:rFonts w:ascii="Times New Roman" w:hAnsi="Times New Roman" w:cs="Times New Roman"/>
          <w:sz w:val="24"/>
          <w:u w:val="none"/>
          <w:lang w:val="en-GB"/>
        </w:rPr>
        <w:t>.</w:t>
      </w:r>
      <w:r w:rsidRPr="00661595">
        <w:rPr>
          <w:rFonts w:ascii="Times New Roman" w:hAnsi="Times New Roman" w:cs="Times New Roman"/>
          <w:sz w:val="24"/>
          <w:u w:val="none"/>
          <w:lang w:val="en-GB"/>
        </w:rPr>
        <w:tab/>
      </w:r>
      <w:r w:rsidRPr="00661595">
        <w:rPr>
          <w:rFonts w:ascii="Times New Roman" w:hAnsi="Times New Roman" w:cs="Times New Roman"/>
          <w:sz w:val="24"/>
          <w:lang w:val="en-GB"/>
        </w:rPr>
        <w:t>C 32.01 - Prudent Valuation: Fair-Valued Assets and Liabilities (PruVal 1)</w:t>
      </w:r>
      <w:bookmarkEnd w:id="756"/>
    </w:p>
    <w:p w:rsidR="00995A7F" w:rsidRPr="00661595" w:rsidRDefault="00995A7F" w:rsidP="00995A7F">
      <w:pPr>
        <w:pStyle w:val="Instructionsberschrift2"/>
        <w:numPr>
          <w:ilvl w:val="0"/>
          <w:numId w:val="0"/>
        </w:numPr>
        <w:ind w:left="357" w:hanging="357"/>
        <w:rPr>
          <w:rFonts w:ascii="Times New Roman" w:hAnsi="Times New Roman" w:cs="Times New Roman"/>
          <w:sz w:val="24"/>
          <w:u w:val="none"/>
          <w:lang w:val="en-GB"/>
        </w:rPr>
      </w:pPr>
      <w:bookmarkStart w:id="757" w:name="_Toc57831661"/>
      <w:r w:rsidRPr="00661595">
        <w:rPr>
          <w:rFonts w:ascii="Times New Roman" w:hAnsi="Times New Roman" w:cs="Times New Roman"/>
          <w:sz w:val="24"/>
          <w:u w:val="none"/>
          <w:lang w:val="en-GB"/>
        </w:rPr>
        <w:t>6.1.1</w:t>
      </w:r>
      <w:r w:rsidR="00B93FA1" w:rsidRPr="00661595">
        <w:rPr>
          <w:rFonts w:ascii="Times New Roman" w:hAnsi="Times New Roman" w:cs="Times New Roman"/>
          <w:sz w:val="24"/>
          <w:u w:val="none"/>
          <w:lang w:val="en-GB"/>
        </w:rPr>
        <w:t>.</w:t>
      </w:r>
      <w:r w:rsidRPr="00661595">
        <w:rPr>
          <w:rFonts w:ascii="Times New Roman" w:hAnsi="Times New Roman" w:cs="Times New Roman"/>
          <w:sz w:val="24"/>
          <w:u w:val="none"/>
          <w:lang w:val="en-GB"/>
        </w:rPr>
        <w:tab/>
      </w:r>
      <w:r w:rsidRPr="00661595">
        <w:rPr>
          <w:rFonts w:ascii="Times New Roman" w:hAnsi="Times New Roman" w:cs="Times New Roman"/>
          <w:sz w:val="24"/>
          <w:lang w:val="en-GB"/>
        </w:rPr>
        <w:t>General remarks</w:t>
      </w:r>
      <w:bookmarkEnd w:id="757"/>
      <w:r w:rsidRPr="00661595">
        <w:rPr>
          <w:rFonts w:ascii="Times New Roman" w:hAnsi="Times New Roman" w:cs="Times New Roman"/>
          <w:sz w:val="24"/>
          <w:u w:val="none"/>
          <w:lang w:val="en-GB"/>
        </w:rPr>
        <w:t xml:space="preserve"> </w:t>
      </w:r>
    </w:p>
    <w:p w:rsidR="00B828CC" w:rsidRPr="00661595" w:rsidRDefault="00D11E4C" w:rsidP="00487A02">
      <w:pPr>
        <w:pStyle w:val="InstructionsText2"/>
        <w:numPr>
          <w:ilvl w:val="0"/>
          <w:numId w:val="0"/>
        </w:numPr>
        <w:ind w:left="1353" w:hanging="360"/>
      </w:pPr>
      <w:fldSimple w:instr=" seq paragraphs ">
        <w:r w:rsidR="00771068">
          <w:rPr>
            <w:noProof/>
          </w:rPr>
          <w:t>176</w:t>
        </w:r>
      </w:fldSimple>
      <w:r w:rsidR="001924F4" w:rsidRPr="00661595">
        <w:t xml:space="preserve">. </w:t>
      </w:r>
      <w:r w:rsidR="00995A7F" w:rsidRPr="00661595">
        <w:t xml:space="preserve">This template shall be completed by all institutions, </w:t>
      </w:r>
      <w:r w:rsidR="0016282F" w:rsidRPr="00661595">
        <w:t xml:space="preserve">irrespective of </w:t>
      </w:r>
      <w:r w:rsidR="00995A7F" w:rsidRPr="00661595">
        <w:t>whether they have adopted the simplified approach</w:t>
      </w:r>
      <w:r w:rsidR="00B93FA1" w:rsidRPr="00661595">
        <w:t xml:space="preserve"> for the determination of Additional Valuation Adjustments (‘AVAs’)</w:t>
      </w:r>
      <w:r w:rsidR="00995A7F" w:rsidRPr="00661595">
        <w:t xml:space="preserve">. </w:t>
      </w:r>
      <w:r w:rsidR="002300C6" w:rsidRPr="00661595">
        <w:t>This template</w:t>
      </w:r>
      <w:r w:rsidR="00995A7F" w:rsidRPr="00661595">
        <w:t xml:space="preserve"> is dedicated to the absolute value of fair-valued assets and liabilities used to determine whether the conditions set out in Article</w:t>
      </w:r>
      <w:r w:rsidR="0016282F" w:rsidRPr="00661595">
        <w:t> </w:t>
      </w:r>
      <w:r w:rsidR="00995A7F" w:rsidRPr="00661595">
        <w:t xml:space="preserve">4 of </w:t>
      </w:r>
      <w:r w:rsidR="0016282F" w:rsidRPr="00661595">
        <w:t xml:space="preserve">Commission </w:t>
      </w:r>
      <w:r w:rsidR="009A1A9B" w:rsidRPr="00661595">
        <w:t>Delegated Regulation (EU) 2016/101</w:t>
      </w:r>
      <w:r w:rsidR="00B828CC">
        <w:rPr>
          <w:rStyle w:val="FootnoteReference"/>
        </w:rPr>
        <w:footnoteReference w:id="15"/>
      </w:r>
      <w:r w:rsidR="009A1A9B" w:rsidRPr="00661595">
        <w:t xml:space="preserve"> </w:t>
      </w:r>
      <w:r w:rsidR="00995A7F" w:rsidRPr="00661595">
        <w:t>for using the simplified approach for the determination of AVAs are met.</w:t>
      </w:r>
    </w:p>
    <w:p w:rsidR="00995A7F" w:rsidRPr="00661595" w:rsidRDefault="00D11E4C" w:rsidP="00487A02">
      <w:pPr>
        <w:pStyle w:val="InstructionsText2"/>
        <w:numPr>
          <w:ilvl w:val="0"/>
          <w:numId w:val="0"/>
        </w:numPr>
        <w:ind w:left="1353" w:hanging="360"/>
      </w:pPr>
      <w:fldSimple w:instr=" seq paragraphs ">
        <w:r w:rsidR="00771068">
          <w:rPr>
            <w:noProof/>
          </w:rPr>
          <w:t>177</w:t>
        </w:r>
      </w:fldSimple>
      <w:r w:rsidR="00B93FA1" w:rsidRPr="00661595">
        <w:t xml:space="preserve">. </w:t>
      </w:r>
      <w:r w:rsidR="009A1A9B" w:rsidRPr="00661595">
        <w:t>With regard to institutions using the simplified approach, t</w:t>
      </w:r>
      <w:r w:rsidR="00995A7F" w:rsidRPr="00661595">
        <w:t>his template</w:t>
      </w:r>
      <w:r w:rsidR="009A1A9B" w:rsidRPr="00661595">
        <w:t xml:space="preserve"> shall</w:t>
      </w:r>
      <w:r w:rsidR="00995A7F" w:rsidRPr="00661595">
        <w:t xml:space="preserve"> provide the total AVA to be deducted from own funds </w:t>
      </w:r>
      <w:r w:rsidR="002300C6" w:rsidRPr="00661595">
        <w:t xml:space="preserve">pursuant to </w:t>
      </w:r>
      <w:r w:rsidR="00995A7F" w:rsidRPr="00661595">
        <w:t>Articles 34 and 105</w:t>
      </w:r>
      <w:r w:rsidR="00B93FA1" w:rsidRPr="00661595">
        <w:t xml:space="preserve"> CRR</w:t>
      </w:r>
      <w:r w:rsidR="00995A7F" w:rsidRPr="00661595">
        <w:t xml:space="preserve"> as set out in Article 5 of </w:t>
      </w:r>
      <w:r w:rsidR="009A1A9B" w:rsidRPr="00661595">
        <w:t>the Delegated Regulation (EU) 2016/101</w:t>
      </w:r>
      <w:r w:rsidR="00B93FA1" w:rsidRPr="00661595">
        <w:t>, which</w:t>
      </w:r>
      <w:r w:rsidR="009A1A9B" w:rsidRPr="00661595">
        <w:t xml:space="preserve"> shall be </w:t>
      </w:r>
      <w:r w:rsidR="00995A7F" w:rsidRPr="00661595">
        <w:t xml:space="preserve">reported accordingly in row </w:t>
      </w:r>
      <w:r w:rsidR="00787733" w:rsidRPr="00661595">
        <w:t>0</w:t>
      </w:r>
      <w:r w:rsidR="00995A7F" w:rsidRPr="00661595">
        <w:t>290 of C 01.00.</w:t>
      </w:r>
    </w:p>
    <w:p w:rsidR="00B93FA1" w:rsidRPr="00661595" w:rsidRDefault="00B93FA1" w:rsidP="00B93FA1">
      <w:pPr>
        <w:pStyle w:val="Instructionsberschrift2"/>
        <w:numPr>
          <w:ilvl w:val="0"/>
          <w:numId w:val="0"/>
        </w:numPr>
        <w:ind w:left="357" w:hanging="357"/>
        <w:rPr>
          <w:rFonts w:ascii="Times New Roman" w:hAnsi="Times New Roman" w:cs="Times New Roman"/>
          <w:sz w:val="24"/>
          <w:u w:val="none"/>
          <w:lang w:val="en-GB"/>
        </w:rPr>
      </w:pPr>
      <w:bookmarkStart w:id="758" w:name="_Toc57831662"/>
      <w:r w:rsidRPr="00661595">
        <w:rPr>
          <w:rFonts w:ascii="Times New Roman" w:hAnsi="Times New Roman" w:cs="Times New Roman"/>
          <w:sz w:val="24"/>
          <w:u w:val="none"/>
          <w:lang w:val="en-GB"/>
        </w:rPr>
        <w:t>6.1.2.</w:t>
      </w:r>
      <w:r w:rsidRPr="00661595">
        <w:rPr>
          <w:rFonts w:ascii="Times New Roman" w:hAnsi="Times New Roman" w:cs="Times New Roman"/>
          <w:sz w:val="24"/>
          <w:u w:val="none"/>
          <w:lang w:val="en-GB"/>
        </w:rPr>
        <w:tab/>
      </w:r>
      <w:r w:rsidRPr="00661595">
        <w:rPr>
          <w:rFonts w:ascii="Times New Roman" w:hAnsi="Times New Roman" w:cs="Times New Roman"/>
          <w:sz w:val="24"/>
          <w:lang w:val="en-GB"/>
        </w:rPr>
        <w:t>Instructions concerning specific positions</w:t>
      </w:r>
      <w:bookmarkEnd w:id="758"/>
    </w:p>
    <w:tbl>
      <w:tblPr>
        <w:tblW w:w="9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1"/>
        <w:gridCol w:w="8190"/>
      </w:tblGrid>
      <w:tr w:rsidR="00B93FA1" w:rsidRPr="00661595" w:rsidTr="00672D2A">
        <w:tc>
          <w:tcPr>
            <w:tcW w:w="9291" w:type="dxa"/>
            <w:gridSpan w:val="2"/>
            <w:shd w:val="clear" w:color="auto" w:fill="CCCCCC"/>
          </w:tcPr>
          <w:p w:rsidR="00B93FA1" w:rsidRPr="00661595" w:rsidRDefault="00B93FA1" w:rsidP="00AF3D7A">
            <w:pPr>
              <w:spacing w:beforeLines="60" w:before="144" w:afterLines="60" w:after="144"/>
              <w:rPr>
                <w:rFonts w:ascii="Times New Roman" w:hAnsi="Times New Roman"/>
                <w:b/>
                <w:sz w:val="24"/>
              </w:rPr>
            </w:pPr>
            <w:r w:rsidRPr="00661595">
              <w:rPr>
                <w:rFonts w:ascii="Times New Roman" w:hAnsi="Times New Roman"/>
                <w:b/>
                <w:sz w:val="24"/>
              </w:rPr>
              <w:t>Columns</w:t>
            </w:r>
          </w:p>
        </w:tc>
      </w:tr>
      <w:tr w:rsidR="00B93FA1" w:rsidRPr="00661595" w:rsidTr="00672D2A">
        <w:tc>
          <w:tcPr>
            <w:tcW w:w="1101" w:type="dxa"/>
          </w:tcPr>
          <w:p w:rsidR="00B93FA1" w:rsidRPr="00661595" w:rsidRDefault="00B93FA1" w:rsidP="00AF3D7A">
            <w:pPr>
              <w:spacing w:beforeLines="60" w:before="144" w:afterLines="60" w:after="144"/>
              <w:rPr>
                <w:rFonts w:ascii="Times New Roman" w:hAnsi="Times New Roman"/>
                <w:sz w:val="24"/>
              </w:rPr>
            </w:pPr>
            <w:r w:rsidRPr="00661595">
              <w:rPr>
                <w:rFonts w:ascii="Times New Roman" w:hAnsi="Times New Roman"/>
                <w:sz w:val="24"/>
              </w:rPr>
              <w:t>0</w:t>
            </w:r>
            <w:r w:rsidR="001924F4" w:rsidRPr="00661595">
              <w:rPr>
                <w:rFonts w:ascii="Times New Roman" w:hAnsi="Times New Roman"/>
                <w:sz w:val="24"/>
              </w:rPr>
              <w:t>0</w:t>
            </w:r>
            <w:r w:rsidRPr="00661595">
              <w:rPr>
                <w:rFonts w:ascii="Times New Roman" w:hAnsi="Times New Roman"/>
                <w:sz w:val="24"/>
              </w:rPr>
              <w:t>10</w:t>
            </w:r>
          </w:p>
        </w:tc>
        <w:tc>
          <w:tcPr>
            <w:tcW w:w="8190" w:type="dxa"/>
          </w:tcPr>
          <w:p w:rsidR="00B93FA1" w:rsidRPr="00661595" w:rsidRDefault="00B93FA1" w:rsidP="00AF3D7A">
            <w:pPr>
              <w:spacing w:beforeLines="60" w:before="144" w:afterLines="60" w:after="144"/>
              <w:rPr>
                <w:rFonts w:ascii="Times New Roman" w:hAnsi="Times New Roman"/>
                <w:b/>
                <w:caps/>
                <w:sz w:val="24"/>
                <w:u w:val="single"/>
              </w:rPr>
            </w:pPr>
            <w:r w:rsidRPr="00661595">
              <w:rPr>
                <w:rFonts w:ascii="Times New Roman" w:hAnsi="Times New Roman"/>
                <w:b/>
                <w:caps/>
                <w:sz w:val="24"/>
                <w:u w:val="single"/>
              </w:rPr>
              <w:t>FAIR-VALUED ASSETS AND LIABILITIES</w:t>
            </w:r>
          </w:p>
          <w:p w:rsidR="00B93FA1" w:rsidRPr="00661595" w:rsidRDefault="00B93FA1" w:rsidP="0016282F">
            <w:pPr>
              <w:spacing w:beforeLines="60" w:before="144" w:afterLines="60" w:after="144"/>
              <w:rPr>
                <w:rFonts w:ascii="Times New Roman" w:hAnsi="Times New Roman"/>
                <w:sz w:val="24"/>
              </w:rPr>
            </w:pPr>
            <w:r w:rsidRPr="00661595">
              <w:rPr>
                <w:rFonts w:ascii="Times New Roman" w:hAnsi="Times New Roman"/>
                <w:sz w:val="24"/>
              </w:rPr>
              <w:t>Absolute value of fair-valued assets and liabilities, as stated in the financial statements under the applicable accounting framework, as referred to in Article 4(1) of</w:t>
            </w:r>
            <w:r w:rsidR="009A1A9B" w:rsidRPr="00661595">
              <w:rPr>
                <w:rFonts w:ascii="Times New Roman" w:hAnsi="Times New Roman"/>
                <w:sz w:val="24"/>
              </w:rPr>
              <w:t xml:space="preserve"> Delegated Regulation (EU) 2016/101</w:t>
            </w:r>
            <w:r w:rsidRPr="00661595">
              <w:rPr>
                <w:rFonts w:ascii="Times New Roman" w:hAnsi="Times New Roman"/>
                <w:sz w:val="24"/>
              </w:rPr>
              <w:t xml:space="preserve">, before any </w:t>
            </w:r>
            <w:r w:rsidR="0016282F" w:rsidRPr="00661595">
              <w:rPr>
                <w:rFonts w:ascii="Times New Roman" w:hAnsi="Times New Roman"/>
                <w:sz w:val="24"/>
              </w:rPr>
              <w:t>exclusion</w:t>
            </w:r>
            <w:r w:rsidR="009F1F3F" w:rsidRPr="00661595">
              <w:rPr>
                <w:rFonts w:ascii="Times New Roman" w:hAnsi="Times New Roman"/>
                <w:sz w:val="24"/>
              </w:rPr>
              <w:t xml:space="preserve"> </w:t>
            </w:r>
            <w:r w:rsidR="0016282F" w:rsidRPr="00661595">
              <w:rPr>
                <w:rFonts w:ascii="Times New Roman" w:hAnsi="Times New Roman"/>
                <w:sz w:val="24"/>
              </w:rPr>
              <w:t xml:space="preserve">in accordance with </w:t>
            </w:r>
            <w:r w:rsidRPr="00661595">
              <w:rPr>
                <w:rFonts w:ascii="Times New Roman" w:hAnsi="Times New Roman"/>
                <w:sz w:val="24"/>
              </w:rPr>
              <w:t xml:space="preserve">Article 4(2) </w:t>
            </w:r>
            <w:r w:rsidR="0016282F" w:rsidRPr="00661595">
              <w:rPr>
                <w:rFonts w:ascii="Times New Roman" w:hAnsi="Times New Roman"/>
                <w:sz w:val="24"/>
              </w:rPr>
              <w:t>of Delegated Regulation (EU) 2016/101</w:t>
            </w:r>
            <w:r w:rsidRPr="00661595">
              <w:rPr>
                <w:rFonts w:ascii="Times New Roman" w:hAnsi="Times New Roman"/>
                <w:sz w:val="24"/>
              </w:rPr>
              <w:t>.</w:t>
            </w:r>
          </w:p>
        </w:tc>
      </w:tr>
      <w:tr w:rsidR="00B93FA1" w:rsidRPr="00661595" w:rsidTr="00672D2A">
        <w:tc>
          <w:tcPr>
            <w:tcW w:w="1101" w:type="dxa"/>
          </w:tcPr>
          <w:p w:rsidR="00B93FA1" w:rsidRPr="00661595" w:rsidRDefault="001924F4" w:rsidP="00AF3D7A">
            <w:pPr>
              <w:spacing w:beforeLines="60" w:before="144" w:afterLines="60" w:after="144"/>
              <w:rPr>
                <w:rFonts w:ascii="Times New Roman" w:hAnsi="Times New Roman"/>
                <w:sz w:val="24"/>
              </w:rPr>
            </w:pPr>
            <w:r w:rsidRPr="00661595">
              <w:rPr>
                <w:rFonts w:ascii="Times New Roman" w:hAnsi="Times New Roman"/>
                <w:sz w:val="24"/>
              </w:rPr>
              <w:t>0</w:t>
            </w:r>
            <w:r w:rsidR="00B93FA1" w:rsidRPr="00661595">
              <w:rPr>
                <w:rFonts w:ascii="Times New Roman" w:hAnsi="Times New Roman"/>
                <w:sz w:val="24"/>
              </w:rPr>
              <w:t>020</w:t>
            </w:r>
          </w:p>
        </w:tc>
        <w:tc>
          <w:tcPr>
            <w:tcW w:w="8190" w:type="dxa"/>
          </w:tcPr>
          <w:p w:rsidR="00B93FA1" w:rsidRPr="00661595" w:rsidRDefault="00B93FA1" w:rsidP="00AF3D7A">
            <w:pPr>
              <w:spacing w:beforeLines="60" w:before="144" w:afterLines="60" w:after="144"/>
              <w:rPr>
                <w:rFonts w:ascii="Times New Roman" w:hAnsi="Times New Roman"/>
                <w:b/>
                <w:caps/>
                <w:sz w:val="24"/>
                <w:u w:val="single"/>
              </w:rPr>
            </w:pPr>
            <w:r w:rsidRPr="00661595">
              <w:rPr>
                <w:rFonts w:ascii="Times New Roman" w:hAnsi="Times New Roman"/>
                <w:b/>
                <w:caps/>
                <w:sz w:val="24"/>
                <w:u w:val="single"/>
              </w:rPr>
              <w:t>OF WHICH: trading book</w:t>
            </w:r>
          </w:p>
          <w:p w:rsidR="00B93FA1" w:rsidRPr="00661595" w:rsidRDefault="00B93FA1" w:rsidP="00AF3D7A">
            <w:pPr>
              <w:spacing w:beforeLines="60" w:before="144" w:afterLines="60" w:after="144"/>
              <w:rPr>
                <w:rFonts w:ascii="Times New Roman" w:hAnsi="Times New Roman"/>
                <w:b/>
                <w:caps/>
                <w:sz w:val="24"/>
                <w:u w:val="single"/>
              </w:rPr>
            </w:pPr>
            <w:r w:rsidRPr="00661595">
              <w:rPr>
                <w:rFonts w:ascii="Times New Roman" w:hAnsi="Times New Roman"/>
                <w:sz w:val="24"/>
              </w:rPr>
              <w:t>Absolute value of fair-valued assets and liabilities, as reported in 010, corresponding to positions held in the trading book</w:t>
            </w:r>
            <w:r w:rsidR="00C05941" w:rsidRPr="00661595">
              <w:rPr>
                <w:rFonts w:ascii="Times New Roman" w:hAnsi="Times New Roman"/>
                <w:sz w:val="24"/>
              </w:rPr>
              <w:t>.</w:t>
            </w:r>
            <w:r w:rsidRPr="00661595" w:rsidDel="00CA4AFC">
              <w:rPr>
                <w:rFonts w:ascii="Times New Roman" w:hAnsi="Times New Roman"/>
                <w:sz w:val="24"/>
              </w:rPr>
              <w:t xml:space="preserve"> </w:t>
            </w:r>
          </w:p>
        </w:tc>
      </w:tr>
      <w:tr w:rsidR="00B93FA1" w:rsidRPr="00661595" w:rsidTr="00672D2A">
        <w:tc>
          <w:tcPr>
            <w:tcW w:w="1101" w:type="dxa"/>
          </w:tcPr>
          <w:p w:rsidR="00B93FA1" w:rsidRPr="00661595" w:rsidRDefault="00B93FA1" w:rsidP="00AF3D7A">
            <w:pPr>
              <w:spacing w:beforeLines="60" w:before="144" w:afterLines="60" w:after="144"/>
              <w:rPr>
                <w:rFonts w:ascii="Times New Roman" w:hAnsi="Times New Roman"/>
                <w:sz w:val="24"/>
              </w:rPr>
            </w:pPr>
            <w:r w:rsidRPr="00661595">
              <w:rPr>
                <w:rFonts w:ascii="Times New Roman" w:hAnsi="Times New Roman"/>
                <w:sz w:val="24"/>
              </w:rPr>
              <w:t>0</w:t>
            </w:r>
            <w:r w:rsidR="001924F4" w:rsidRPr="00661595">
              <w:rPr>
                <w:rFonts w:ascii="Times New Roman" w:hAnsi="Times New Roman"/>
                <w:sz w:val="24"/>
              </w:rPr>
              <w:t>0</w:t>
            </w:r>
            <w:r w:rsidRPr="00661595">
              <w:rPr>
                <w:rFonts w:ascii="Times New Roman" w:hAnsi="Times New Roman"/>
                <w:sz w:val="24"/>
              </w:rPr>
              <w:t>30-0</w:t>
            </w:r>
            <w:r w:rsidR="001924F4" w:rsidRPr="00661595">
              <w:rPr>
                <w:rFonts w:ascii="Times New Roman" w:hAnsi="Times New Roman"/>
                <w:sz w:val="24"/>
              </w:rPr>
              <w:t>0</w:t>
            </w:r>
            <w:r w:rsidRPr="00661595">
              <w:rPr>
                <w:rFonts w:ascii="Times New Roman" w:hAnsi="Times New Roman"/>
                <w:sz w:val="24"/>
              </w:rPr>
              <w:t>70</w:t>
            </w:r>
          </w:p>
        </w:tc>
        <w:tc>
          <w:tcPr>
            <w:tcW w:w="8190" w:type="dxa"/>
          </w:tcPr>
          <w:p w:rsidR="00B93FA1" w:rsidRPr="00661595" w:rsidRDefault="00B93FA1" w:rsidP="00AF3D7A">
            <w:pPr>
              <w:spacing w:beforeLines="60" w:before="144" w:afterLines="60" w:after="144"/>
              <w:rPr>
                <w:rFonts w:ascii="Times New Roman" w:hAnsi="Times New Roman"/>
                <w:b/>
                <w:caps/>
                <w:sz w:val="24"/>
                <w:u w:val="single"/>
              </w:rPr>
            </w:pPr>
            <w:r w:rsidRPr="00661595">
              <w:rPr>
                <w:rFonts w:ascii="Times New Roman" w:hAnsi="Times New Roman"/>
                <w:b/>
                <w:caps/>
                <w:sz w:val="24"/>
                <w:u w:val="single"/>
              </w:rPr>
              <w:t>FAIR-VALUED ASSETS AND LIABILITIES EXCLUDED BECAUSE OF PARTIAL IMPACT ON CET1</w:t>
            </w:r>
          </w:p>
          <w:p w:rsidR="00B93FA1" w:rsidRPr="00661595" w:rsidRDefault="00B93FA1" w:rsidP="0016282F">
            <w:pPr>
              <w:spacing w:beforeLines="60" w:before="144" w:afterLines="60" w:after="144"/>
              <w:rPr>
                <w:rFonts w:ascii="Times New Roman" w:hAnsi="Times New Roman"/>
                <w:b/>
                <w:caps/>
                <w:sz w:val="24"/>
                <w:u w:val="single"/>
              </w:rPr>
            </w:pPr>
            <w:r w:rsidRPr="00661595">
              <w:rPr>
                <w:rFonts w:ascii="Times New Roman" w:hAnsi="Times New Roman"/>
                <w:sz w:val="24"/>
              </w:rPr>
              <w:t xml:space="preserve">Absolute value of fair-valued assets and liabilities excluded </w:t>
            </w:r>
            <w:r w:rsidR="0016282F" w:rsidRPr="00661595">
              <w:rPr>
                <w:rFonts w:ascii="Times New Roman" w:hAnsi="Times New Roman"/>
                <w:sz w:val="24"/>
              </w:rPr>
              <w:t xml:space="preserve">in accordance with </w:t>
            </w:r>
            <w:r w:rsidRPr="00661595">
              <w:rPr>
                <w:rFonts w:ascii="Times New Roman" w:hAnsi="Times New Roman"/>
                <w:sz w:val="24"/>
              </w:rPr>
              <w:t>Article 4(2) of</w:t>
            </w:r>
            <w:r w:rsidR="00C11B8D" w:rsidRPr="00661595">
              <w:rPr>
                <w:rFonts w:ascii="Times New Roman" w:hAnsi="Times New Roman"/>
                <w:sz w:val="24"/>
              </w:rPr>
              <w:t xml:space="preserve"> Delegated Regulation (EU) 2016/101</w:t>
            </w:r>
            <w:r w:rsidRPr="00661595">
              <w:rPr>
                <w:rFonts w:ascii="Times New Roman" w:hAnsi="Times New Roman"/>
                <w:sz w:val="24"/>
              </w:rPr>
              <w:t>.</w:t>
            </w:r>
          </w:p>
        </w:tc>
      </w:tr>
      <w:tr w:rsidR="00B93FA1" w:rsidRPr="00661595" w:rsidTr="00672D2A">
        <w:tc>
          <w:tcPr>
            <w:tcW w:w="1101" w:type="dxa"/>
          </w:tcPr>
          <w:p w:rsidR="00B93FA1" w:rsidRPr="00661595" w:rsidRDefault="00B93FA1" w:rsidP="00AF3D7A">
            <w:pPr>
              <w:spacing w:beforeLines="60" w:before="144" w:afterLines="60" w:after="144"/>
              <w:rPr>
                <w:rFonts w:ascii="Times New Roman" w:hAnsi="Times New Roman"/>
                <w:sz w:val="24"/>
              </w:rPr>
            </w:pPr>
            <w:r w:rsidRPr="00661595">
              <w:rPr>
                <w:rFonts w:ascii="Times New Roman" w:hAnsi="Times New Roman"/>
                <w:sz w:val="24"/>
              </w:rPr>
              <w:t>0</w:t>
            </w:r>
            <w:r w:rsidR="001924F4" w:rsidRPr="00661595">
              <w:rPr>
                <w:rFonts w:ascii="Times New Roman" w:hAnsi="Times New Roman"/>
                <w:sz w:val="24"/>
              </w:rPr>
              <w:t>0</w:t>
            </w:r>
            <w:r w:rsidRPr="00661595">
              <w:rPr>
                <w:rFonts w:ascii="Times New Roman" w:hAnsi="Times New Roman"/>
                <w:sz w:val="24"/>
              </w:rPr>
              <w:t>30</w:t>
            </w:r>
          </w:p>
        </w:tc>
        <w:tc>
          <w:tcPr>
            <w:tcW w:w="8190" w:type="dxa"/>
          </w:tcPr>
          <w:p w:rsidR="00B93FA1" w:rsidRPr="00661595" w:rsidRDefault="00B93FA1" w:rsidP="00AF3D7A">
            <w:pPr>
              <w:spacing w:beforeLines="60" w:before="144" w:afterLines="60" w:after="144"/>
              <w:rPr>
                <w:rFonts w:ascii="Times New Roman" w:hAnsi="Times New Roman"/>
                <w:b/>
                <w:caps/>
                <w:sz w:val="24"/>
                <w:u w:val="single"/>
              </w:rPr>
            </w:pPr>
            <w:r w:rsidRPr="00661595">
              <w:rPr>
                <w:rFonts w:ascii="Times New Roman" w:hAnsi="Times New Roman"/>
                <w:b/>
                <w:caps/>
                <w:sz w:val="24"/>
                <w:u w:val="single"/>
              </w:rPr>
              <w:t>Exactly matching</w:t>
            </w:r>
          </w:p>
          <w:p w:rsidR="00B93FA1" w:rsidRPr="00661595" w:rsidRDefault="00B93FA1" w:rsidP="0016282F">
            <w:pPr>
              <w:spacing w:beforeLines="60" w:before="144" w:afterLines="60" w:after="144"/>
              <w:rPr>
                <w:rFonts w:ascii="Times New Roman" w:hAnsi="Times New Roman"/>
                <w:sz w:val="24"/>
              </w:rPr>
            </w:pPr>
            <w:r w:rsidRPr="00661595">
              <w:rPr>
                <w:rFonts w:ascii="Times New Roman" w:hAnsi="Times New Roman"/>
                <w:sz w:val="24"/>
              </w:rPr>
              <w:t xml:space="preserve">Exactly matching, offsetting fair-valued assets and liabilities excluded </w:t>
            </w:r>
            <w:r w:rsidR="00BB22D4" w:rsidRPr="00661595">
              <w:rPr>
                <w:rFonts w:ascii="Times New Roman" w:hAnsi="Times New Roman"/>
                <w:sz w:val="24"/>
              </w:rPr>
              <w:t>in accordance with</w:t>
            </w:r>
            <w:r w:rsidRPr="00661595">
              <w:rPr>
                <w:rFonts w:ascii="Times New Roman" w:hAnsi="Times New Roman"/>
                <w:sz w:val="24"/>
              </w:rPr>
              <w:t xml:space="preserve"> Article 4(2) of</w:t>
            </w:r>
            <w:r w:rsidR="00C11B8D" w:rsidRPr="00661595">
              <w:rPr>
                <w:rFonts w:ascii="Times New Roman" w:hAnsi="Times New Roman"/>
                <w:sz w:val="24"/>
              </w:rPr>
              <w:t xml:space="preserve"> Delegated Regulation (EU) 2016/101</w:t>
            </w:r>
            <w:r w:rsidRPr="00661595">
              <w:rPr>
                <w:rFonts w:ascii="Times New Roman" w:hAnsi="Times New Roman"/>
                <w:sz w:val="24"/>
              </w:rPr>
              <w:t>.</w:t>
            </w:r>
          </w:p>
        </w:tc>
      </w:tr>
      <w:tr w:rsidR="00B93FA1" w:rsidRPr="00661595" w:rsidTr="00672D2A">
        <w:tc>
          <w:tcPr>
            <w:tcW w:w="1101" w:type="dxa"/>
          </w:tcPr>
          <w:p w:rsidR="00B93FA1" w:rsidRPr="00661595" w:rsidRDefault="001924F4" w:rsidP="00AF3D7A">
            <w:pPr>
              <w:spacing w:beforeLines="60" w:before="144" w:afterLines="60" w:after="144"/>
              <w:rPr>
                <w:rFonts w:ascii="Times New Roman" w:hAnsi="Times New Roman"/>
                <w:sz w:val="24"/>
              </w:rPr>
            </w:pPr>
            <w:r w:rsidRPr="00661595">
              <w:rPr>
                <w:rFonts w:ascii="Times New Roman" w:hAnsi="Times New Roman"/>
                <w:sz w:val="24"/>
              </w:rPr>
              <w:t>0</w:t>
            </w:r>
            <w:r w:rsidR="00B93FA1" w:rsidRPr="00661595">
              <w:rPr>
                <w:rFonts w:ascii="Times New Roman" w:hAnsi="Times New Roman"/>
                <w:sz w:val="24"/>
              </w:rPr>
              <w:t>040</w:t>
            </w:r>
          </w:p>
        </w:tc>
        <w:tc>
          <w:tcPr>
            <w:tcW w:w="8190" w:type="dxa"/>
          </w:tcPr>
          <w:p w:rsidR="00B93FA1" w:rsidRPr="00661595" w:rsidRDefault="00B93FA1" w:rsidP="00AF3D7A">
            <w:pPr>
              <w:spacing w:beforeLines="60" w:before="144" w:afterLines="60" w:after="144"/>
              <w:rPr>
                <w:rFonts w:ascii="Times New Roman" w:hAnsi="Times New Roman"/>
                <w:b/>
                <w:caps/>
                <w:sz w:val="24"/>
                <w:u w:val="single"/>
              </w:rPr>
            </w:pPr>
            <w:r w:rsidRPr="00661595">
              <w:rPr>
                <w:rFonts w:ascii="Times New Roman" w:hAnsi="Times New Roman"/>
                <w:b/>
                <w:caps/>
                <w:sz w:val="24"/>
                <w:u w:val="single"/>
              </w:rPr>
              <w:t>Hedge accounting</w:t>
            </w:r>
          </w:p>
          <w:p w:rsidR="00B93FA1" w:rsidRPr="00661595" w:rsidRDefault="00B93FA1" w:rsidP="0016282F">
            <w:pPr>
              <w:spacing w:beforeLines="60" w:before="144" w:afterLines="60" w:after="144"/>
              <w:rPr>
                <w:rFonts w:ascii="Times New Roman" w:hAnsi="Times New Roman"/>
                <w:sz w:val="24"/>
              </w:rPr>
            </w:pPr>
            <w:r w:rsidRPr="00661595">
              <w:rPr>
                <w:rFonts w:ascii="Times New Roman" w:hAnsi="Times New Roman"/>
                <w:sz w:val="24"/>
              </w:rPr>
              <w:t xml:space="preserve">For positions subject to hedge accounting under the applicable accounting framework, absolute value of fair-valued assets and liabilities excluded in proportion to the impact of the relevant valuation change on CET1 capital </w:t>
            </w:r>
            <w:r w:rsidR="00BB22D4" w:rsidRPr="00661595">
              <w:rPr>
                <w:rFonts w:ascii="Times New Roman" w:hAnsi="Times New Roman"/>
                <w:sz w:val="24"/>
              </w:rPr>
              <w:t>in accordance with</w:t>
            </w:r>
            <w:r w:rsidRPr="00661595">
              <w:rPr>
                <w:rFonts w:ascii="Times New Roman" w:hAnsi="Times New Roman"/>
                <w:sz w:val="24"/>
              </w:rPr>
              <w:t xml:space="preserve"> Article 4(2) of</w:t>
            </w:r>
            <w:r w:rsidR="00C11B8D" w:rsidRPr="00661595">
              <w:rPr>
                <w:rFonts w:ascii="Times New Roman" w:hAnsi="Times New Roman"/>
                <w:sz w:val="24"/>
              </w:rPr>
              <w:t xml:space="preserve"> Delegated Regulation (EU) 2016/101</w:t>
            </w:r>
            <w:r w:rsidRPr="00661595">
              <w:rPr>
                <w:rFonts w:ascii="Times New Roman" w:hAnsi="Times New Roman"/>
                <w:sz w:val="24"/>
              </w:rPr>
              <w:t>.</w:t>
            </w:r>
          </w:p>
        </w:tc>
      </w:tr>
      <w:tr w:rsidR="00B93FA1" w:rsidRPr="00661595" w:rsidTr="00672D2A">
        <w:tc>
          <w:tcPr>
            <w:tcW w:w="1101" w:type="dxa"/>
          </w:tcPr>
          <w:p w:rsidR="00B93FA1" w:rsidRPr="00661595" w:rsidRDefault="001924F4" w:rsidP="00AF3D7A">
            <w:pPr>
              <w:spacing w:beforeLines="60" w:before="144" w:afterLines="60" w:after="144"/>
              <w:rPr>
                <w:rFonts w:ascii="Times New Roman" w:hAnsi="Times New Roman"/>
                <w:sz w:val="24"/>
              </w:rPr>
            </w:pPr>
            <w:r w:rsidRPr="00661595">
              <w:rPr>
                <w:rFonts w:ascii="Times New Roman" w:hAnsi="Times New Roman"/>
                <w:sz w:val="24"/>
              </w:rPr>
              <w:t>0</w:t>
            </w:r>
            <w:r w:rsidR="00B93FA1" w:rsidRPr="00661595">
              <w:rPr>
                <w:rFonts w:ascii="Times New Roman" w:hAnsi="Times New Roman"/>
                <w:sz w:val="24"/>
              </w:rPr>
              <w:t>050</w:t>
            </w:r>
          </w:p>
        </w:tc>
        <w:tc>
          <w:tcPr>
            <w:tcW w:w="8190" w:type="dxa"/>
          </w:tcPr>
          <w:p w:rsidR="00B93FA1" w:rsidRPr="00661595" w:rsidRDefault="00B93FA1" w:rsidP="00AF3D7A">
            <w:pPr>
              <w:spacing w:beforeLines="60" w:before="144" w:afterLines="60" w:after="144"/>
              <w:rPr>
                <w:rFonts w:ascii="Times New Roman" w:hAnsi="Times New Roman"/>
                <w:b/>
                <w:caps/>
                <w:sz w:val="24"/>
              </w:rPr>
            </w:pPr>
            <w:r w:rsidRPr="00661595">
              <w:rPr>
                <w:rFonts w:ascii="Times New Roman" w:hAnsi="Times New Roman"/>
                <w:b/>
                <w:caps/>
                <w:sz w:val="24"/>
                <w:u w:val="single"/>
              </w:rPr>
              <w:t xml:space="preserve">PRUDENTIAL Filters </w:t>
            </w:r>
          </w:p>
          <w:p w:rsidR="00B93FA1" w:rsidRPr="00661595" w:rsidRDefault="00B93FA1" w:rsidP="002300C6">
            <w:pPr>
              <w:spacing w:beforeLines="60" w:before="144" w:afterLines="60" w:after="144"/>
              <w:rPr>
                <w:rFonts w:ascii="Times New Roman" w:hAnsi="Times New Roman"/>
                <w:sz w:val="24"/>
              </w:rPr>
            </w:pPr>
            <w:r w:rsidRPr="00661595">
              <w:rPr>
                <w:rFonts w:ascii="Times New Roman" w:hAnsi="Times New Roman"/>
                <w:sz w:val="24"/>
              </w:rPr>
              <w:t xml:space="preserve">Absolute value of fair-valued assets and liabilities excluded </w:t>
            </w:r>
            <w:r w:rsidR="00BB22D4" w:rsidRPr="00661595">
              <w:rPr>
                <w:rFonts w:ascii="Times New Roman" w:hAnsi="Times New Roman"/>
                <w:sz w:val="24"/>
              </w:rPr>
              <w:t>in accordance with</w:t>
            </w:r>
            <w:r w:rsidRPr="00661595">
              <w:rPr>
                <w:rFonts w:ascii="Times New Roman" w:hAnsi="Times New Roman"/>
                <w:sz w:val="24"/>
              </w:rPr>
              <w:t xml:space="preserve"> Article 4(2) of </w:t>
            </w:r>
            <w:r w:rsidR="00C11B8D" w:rsidRPr="00661595">
              <w:rPr>
                <w:rFonts w:ascii="Times New Roman" w:hAnsi="Times New Roman"/>
                <w:sz w:val="24"/>
              </w:rPr>
              <w:t xml:space="preserve">Delegated Regulation (EU) 2016/101 </w:t>
            </w:r>
            <w:r w:rsidRPr="00661595">
              <w:rPr>
                <w:rFonts w:ascii="Times New Roman" w:hAnsi="Times New Roman"/>
                <w:sz w:val="24"/>
              </w:rPr>
              <w:t xml:space="preserve">due to the transitional </w:t>
            </w:r>
            <w:r w:rsidR="009F1F3F" w:rsidRPr="00661595">
              <w:rPr>
                <w:rFonts w:ascii="Times New Roman" w:hAnsi="Times New Roman"/>
                <w:sz w:val="24"/>
              </w:rPr>
              <w:t xml:space="preserve">application of the prudential </w:t>
            </w:r>
            <w:r w:rsidRPr="00661595">
              <w:rPr>
                <w:rFonts w:ascii="Times New Roman" w:hAnsi="Times New Roman"/>
                <w:sz w:val="24"/>
              </w:rPr>
              <w:t xml:space="preserve">filters referred to in Articles 467 and 468 </w:t>
            </w:r>
            <w:r w:rsidR="00C7103D" w:rsidRPr="00661595">
              <w:rPr>
                <w:rFonts w:ascii="Times New Roman" w:hAnsi="Times New Roman"/>
                <w:sz w:val="24"/>
              </w:rPr>
              <w:t>CRR</w:t>
            </w:r>
            <w:r w:rsidRPr="00661595">
              <w:rPr>
                <w:rFonts w:ascii="Times New Roman" w:hAnsi="Times New Roman"/>
                <w:sz w:val="24"/>
              </w:rPr>
              <w:t>.</w:t>
            </w:r>
          </w:p>
        </w:tc>
      </w:tr>
      <w:tr w:rsidR="00B93FA1" w:rsidRPr="00661595" w:rsidTr="00672D2A">
        <w:tc>
          <w:tcPr>
            <w:tcW w:w="1101" w:type="dxa"/>
          </w:tcPr>
          <w:p w:rsidR="00B93FA1" w:rsidRPr="00661595" w:rsidRDefault="001924F4" w:rsidP="00B93FA1">
            <w:pPr>
              <w:spacing w:beforeLines="60" w:before="144" w:afterLines="60" w:after="144"/>
              <w:rPr>
                <w:rFonts w:ascii="Times New Roman" w:hAnsi="Times New Roman"/>
                <w:sz w:val="24"/>
              </w:rPr>
            </w:pPr>
            <w:r w:rsidRPr="00661595">
              <w:rPr>
                <w:rFonts w:ascii="Times New Roman" w:hAnsi="Times New Roman"/>
                <w:sz w:val="24"/>
              </w:rPr>
              <w:t>0</w:t>
            </w:r>
            <w:r w:rsidR="00B93FA1" w:rsidRPr="00661595">
              <w:rPr>
                <w:rFonts w:ascii="Times New Roman" w:hAnsi="Times New Roman"/>
                <w:sz w:val="24"/>
              </w:rPr>
              <w:t>060</w:t>
            </w:r>
          </w:p>
        </w:tc>
        <w:tc>
          <w:tcPr>
            <w:tcW w:w="8190" w:type="dxa"/>
          </w:tcPr>
          <w:p w:rsidR="00B93FA1" w:rsidRPr="00661595" w:rsidRDefault="00B93FA1" w:rsidP="00AF3D7A">
            <w:pPr>
              <w:spacing w:beforeLines="60" w:before="144" w:afterLines="60" w:after="144"/>
              <w:rPr>
                <w:rFonts w:ascii="Times New Roman" w:hAnsi="Times New Roman"/>
                <w:b/>
                <w:caps/>
                <w:sz w:val="24"/>
                <w:u w:val="single"/>
              </w:rPr>
            </w:pPr>
            <w:r w:rsidRPr="00661595">
              <w:rPr>
                <w:rFonts w:ascii="Times New Roman" w:hAnsi="Times New Roman"/>
                <w:b/>
                <w:caps/>
                <w:sz w:val="24"/>
                <w:u w:val="single"/>
              </w:rPr>
              <w:t>Other</w:t>
            </w:r>
          </w:p>
          <w:p w:rsidR="00B93FA1" w:rsidRPr="00661595" w:rsidRDefault="00B93FA1" w:rsidP="00AF3D7A">
            <w:pPr>
              <w:spacing w:beforeLines="60" w:before="144" w:afterLines="60" w:after="144"/>
              <w:rPr>
                <w:rFonts w:ascii="Times New Roman" w:hAnsi="Times New Roman"/>
                <w:sz w:val="24"/>
              </w:rPr>
            </w:pPr>
            <w:r w:rsidRPr="00661595">
              <w:rPr>
                <w:rFonts w:ascii="Times New Roman" w:hAnsi="Times New Roman"/>
                <w:sz w:val="24"/>
              </w:rPr>
              <w:t xml:space="preserve">Any other positions excluded </w:t>
            </w:r>
            <w:r w:rsidR="00BB22D4" w:rsidRPr="00661595">
              <w:rPr>
                <w:rFonts w:ascii="Times New Roman" w:hAnsi="Times New Roman"/>
                <w:sz w:val="24"/>
              </w:rPr>
              <w:t>in accordance with</w:t>
            </w:r>
            <w:r w:rsidRPr="00661595">
              <w:rPr>
                <w:rFonts w:ascii="Times New Roman" w:hAnsi="Times New Roman"/>
                <w:sz w:val="24"/>
              </w:rPr>
              <w:t xml:space="preserve"> Article</w:t>
            </w:r>
            <w:r w:rsidR="0016282F" w:rsidRPr="00661595">
              <w:rPr>
                <w:rFonts w:ascii="Times New Roman" w:hAnsi="Times New Roman"/>
                <w:sz w:val="24"/>
              </w:rPr>
              <w:t> </w:t>
            </w:r>
            <w:r w:rsidRPr="00661595">
              <w:rPr>
                <w:rFonts w:ascii="Times New Roman" w:hAnsi="Times New Roman"/>
                <w:sz w:val="24"/>
              </w:rPr>
              <w:t xml:space="preserve">4(2) of </w:t>
            </w:r>
            <w:r w:rsidR="006A7AEE" w:rsidRPr="00661595">
              <w:rPr>
                <w:rFonts w:ascii="Times New Roman" w:hAnsi="Times New Roman"/>
                <w:sz w:val="24"/>
              </w:rPr>
              <w:t xml:space="preserve">Delegated Regulation (EU) 2016/101 </w:t>
            </w:r>
            <w:r w:rsidRPr="00661595">
              <w:rPr>
                <w:rFonts w:ascii="Times New Roman" w:hAnsi="Times New Roman"/>
                <w:sz w:val="24"/>
              </w:rPr>
              <w:t>due to adjustments to their accounting value having only a proportional effect on CET1 capital.</w:t>
            </w:r>
          </w:p>
          <w:p w:rsidR="00B93FA1" w:rsidRPr="00661595" w:rsidRDefault="00B93FA1" w:rsidP="0016282F">
            <w:pPr>
              <w:spacing w:beforeLines="60" w:before="144" w:afterLines="60" w:after="144"/>
              <w:rPr>
                <w:rFonts w:ascii="Times New Roman" w:hAnsi="Times New Roman"/>
                <w:sz w:val="24"/>
              </w:rPr>
            </w:pPr>
            <w:r w:rsidRPr="00661595">
              <w:rPr>
                <w:rFonts w:ascii="Times New Roman" w:hAnsi="Times New Roman"/>
                <w:sz w:val="24"/>
              </w:rPr>
              <w:t xml:space="preserve">This row shall only be populated in rare cases where elements excluded </w:t>
            </w:r>
            <w:r w:rsidR="0016282F" w:rsidRPr="00661595">
              <w:rPr>
                <w:rFonts w:ascii="Times New Roman" w:hAnsi="Times New Roman"/>
                <w:sz w:val="24"/>
              </w:rPr>
              <w:t xml:space="preserve">in accordance with </w:t>
            </w:r>
            <w:r w:rsidRPr="00661595">
              <w:rPr>
                <w:rFonts w:ascii="Times New Roman" w:hAnsi="Times New Roman"/>
                <w:sz w:val="24"/>
              </w:rPr>
              <w:t>Article 4(2) of</w:t>
            </w:r>
            <w:r w:rsidR="00C11B8D" w:rsidRPr="00661595">
              <w:rPr>
                <w:rFonts w:ascii="Times New Roman" w:hAnsi="Times New Roman"/>
                <w:sz w:val="24"/>
              </w:rPr>
              <w:t xml:space="preserve"> Delegated Regulation (EU) 2016/101 </w:t>
            </w:r>
            <w:r w:rsidRPr="00661595">
              <w:rPr>
                <w:rFonts w:ascii="Times New Roman" w:hAnsi="Times New Roman"/>
                <w:sz w:val="24"/>
              </w:rPr>
              <w:t xml:space="preserve">cannot be assigned to columns </w:t>
            </w:r>
            <w:r w:rsidR="001924F4" w:rsidRPr="00661595">
              <w:rPr>
                <w:rFonts w:ascii="Times New Roman" w:hAnsi="Times New Roman"/>
                <w:sz w:val="24"/>
              </w:rPr>
              <w:t>0</w:t>
            </w:r>
            <w:r w:rsidRPr="00661595">
              <w:rPr>
                <w:rFonts w:ascii="Times New Roman" w:hAnsi="Times New Roman"/>
                <w:sz w:val="24"/>
              </w:rPr>
              <w:t xml:space="preserve">030, </w:t>
            </w:r>
            <w:r w:rsidR="001924F4" w:rsidRPr="00661595">
              <w:rPr>
                <w:rFonts w:ascii="Times New Roman" w:hAnsi="Times New Roman"/>
                <w:sz w:val="24"/>
              </w:rPr>
              <w:t>0</w:t>
            </w:r>
            <w:r w:rsidRPr="00661595">
              <w:rPr>
                <w:rFonts w:ascii="Times New Roman" w:hAnsi="Times New Roman"/>
                <w:sz w:val="24"/>
              </w:rPr>
              <w:t xml:space="preserve">040 or </w:t>
            </w:r>
            <w:r w:rsidR="001924F4" w:rsidRPr="00661595">
              <w:rPr>
                <w:rFonts w:ascii="Times New Roman" w:hAnsi="Times New Roman"/>
                <w:sz w:val="24"/>
              </w:rPr>
              <w:t>0</w:t>
            </w:r>
            <w:r w:rsidRPr="00661595">
              <w:rPr>
                <w:rFonts w:ascii="Times New Roman" w:hAnsi="Times New Roman"/>
                <w:sz w:val="24"/>
              </w:rPr>
              <w:t>050 of this template.</w:t>
            </w:r>
          </w:p>
        </w:tc>
      </w:tr>
      <w:tr w:rsidR="00B93FA1" w:rsidRPr="00661595" w:rsidTr="00672D2A">
        <w:tc>
          <w:tcPr>
            <w:tcW w:w="1101" w:type="dxa"/>
          </w:tcPr>
          <w:p w:rsidR="00B93FA1" w:rsidRPr="00661595" w:rsidRDefault="001924F4" w:rsidP="00AF3D7A">
            <w:pPr>
              <w:spacing w:beforeLines="60" w:before="144" w:afterLines="60" w:after="144"/>
              <w:rPr>
                <w:rFonts w:ascii="Times New Roman" w:hAnsi="Times New Roman"/>
                <w:sz w:val="24"/>
              </w:rPr>
            </w:pPr>
            <w:r w:rsidRPr="00661595">
              <w:rPr>
                <w:rFonts w:ascii="Times New Roman" w:hAnsi="Times New Roman"/>
                <w:sz w:val="24"/>
              </w:rPr>
              <w:t>0</w:t>
            </w:r>
            <w:r w:rsidR="00B93FA1" w:rsidRPr="00661595">
              <w:rPr>
                <w:rFonts w:ascii="Times New Roman" w:hAnsi="Times New Roman"/>
                <w:sz w:val="24"/>
              </w:rPr>
              <w:t>070</w:t>
            </w:r>
          </w:p>
        </w:tc>
        <w:tc>
          <w:tcPr>
            <w:tcW w:w="8190" w:type="dxa"/>
          </w:tcPr>
          <w:p w:rsidR="00B93FA1" w:rsidRPr="00661595" w:rsidRDefault="00B93FA1" w:rsidP="00AF3D7A">
            <w:pPr>
              <w:spacing w:beforeLines="60" w:before="144" w:afterLines="60" w:after="144"/>
              <w:rPr>
                <w:rFonts w:ascii="Times New Roman" w:hAnsi="Times New Roman"/>
                <w:sz w:val="24"/>
              </w:rPr>
            </w:pPr>
            <w:r w:rsidRPr="00661595">
              <w:rPr>
                <w:rFonts w:ascii="Times New Roman" w:hAnsi="Times New Roman"/>
                <w:b/>
                <w:caps/>
                <w:sz w:val="24"/>
                <w:u w:val="single"/>
              </w:rPr>
              <w:t>Comment for other</w:t>
            </w:r>
            <w:r w:rsidRPr="00661595">
              <w:rPr>
                <w:rFonts w:ascii="Times New Roman" w:hAnsi="Times New Roman"/>
                <w:sz w:val="24"/>
              </w:rPr>
              <w:t xml:space="preserve"> </w:t>
            </w:r>
          </w:p>
          <w:p w:rsidR="00B93FA1" w:rsidRPr="00661595" w:rsidRDefault="00C11B8D" w:rsidP="00584165">
            <w:pPr>
              <w:spacing w:beforeLines="60" w:before="144" w:afterLines="60" w:after="144"/>
              <w:rPr>
                <w:rFonts w:ascii="Times New Roman" w:hAnsi="Times New Roman"/>
                <w:b/>
                <w:caps/>
                <w:sz w:val="24"/>
                <w:u w:val="single"/>
              </w:rPr>
            </w:pPr>
            <w:r w:rsidRPr="00661595">
              <w:rPr>
                <w:rFonts w:ascii="Times New Roman" w:hAnsi="Times New Roman"/>
                <w:sz w:val="24"/>
              </w:rPr>
              <w:t>T</w:t>
            </w:r>
            <w:r w:rsidR="00B93FA1" w:rsidRPr="00661595">
              <w:rPr>
                <w:rFonts w:ascii="Times New Roman" w:hAnsi="Times New Roman"/>
                <w:sz w:val="24"/>
              </w:rPr>
              <w:t xml:space="preserve">he main reasons why the positions reported in </w:t>
            </w:r>
            <w:r w:rsidR="005F12F9" w:rsidRPr="00661595">
              <w:rPr>
                <w:rFonts w:ascii="Times New Roman" w:hAnsi="Times New Roman"/>
                <w:sz w:val="24"/>
              </w:rPr>
              <w:t>column</w:t>
            </w:r>
            <w:r w:rsidR="00B93FA1" w:rsidRPr="00661595">
              <w:rPr>
                <w:rFonts w:ascii="Times New Roman" w:hAnsi="Times New Roman"/>
                <w:sz w:val="24"/>
              </w:rPr>
              <w:t xml:space="preserve"> </w:t>
            </w:r>
            <w:r w:rsidR="001924F4" w:rsidRPr="00661595">
              <w:rPr>
                <w:rFonts w:ascii="Times New Roman" w:hAnsi="Times New Roman"/>
                <w:sz w:val="24"/>
              </w:rPr>
              <w:t>0</w:t>
            </w:r>
            <w:r w:rsidR="00B93FA1" w:rsidRPr="00661595">
              <w:rPr>
                <w:rFonts w:ascii="Times New Roman" w:hAnsi="Times New Roman"/>
                <w:sz w:val="24"/>
              </w:rPr>
              <w:t>060 were excluded</w:t>
            </w:r>
            <w:r w:rsidRPr="00661595">
              <w:rPr>
                <w:rFonts w:ascii="Times New Roman" w:hAnsi="Times New Roman"/>
                <w:sz w:val="24"/>
              </w:rPr>
              <w:t xml:space="preserve"> shall be provided</w:t>
            </w:r>
            <w:r w:rsidR="00B93FA1" w:rsidRPr="00661595">
              <w:rPr>
                <w:rFonts w:ascii="Times New Roman" w:hAnsi="Times New Roman"/>
                <w:sz w:val="24"/>
              </w:rPr>
              <w:t>.</w:t>
            </w:r>
          </w:p>
        </w:tc>
      </w:tr>
      <w:tr w:rsidR="00B93FA1" w:rsidRPr="00661595" w:rsidTr="00672D2A">
        <w:tc>
          <w:tcPr>
            <w:tcW w:w="1101" w:type="dxa"/>
          </w:tcPr>
          <w:p w:rsidR="00B93FA1" w:rsidRPr="00661595" w:rsidRDefault="001924F4" w:rsidP="00AF3D7A">
            <w:pPr>
              <w:spacing w:beforeLines="60" w:before="144" w:afterLines="60" w:after="144"/>
              <w:rPr>
                <w:rFonts w:ascii="Times New Roman" w:hAnsi="Times New Roman"/>
                <w:sz w:val="24"/>
              </w:rPr>
            </w:pPr>
            <w:r w:rsidRPr="00661595">
              <w:rPr>
                <w:rFonts w:ascii="Times New Roman" w:hAnsi="Times New Roman"/>
                <w:sz w:val="24"/>
              </w:rPr>
              <w:t>0</w:t>
            </w:r>
            <w:r w:rsidR="00B93FA1" w:rsidRPr="00661595">
              <w:rPr>
                <w:rFonts w:ascii="Times New Roman" w:hAnsi="Times New Roman"/>
                <w:sz w:val="24"/>
              </w:rPr>
              <w:t>080</w:t>
            </w:r>
          </w:p>
        </w:tc>
        <w:tc>
          <w:tcPr>
            <w:tcW w:w="8190" w:type="dxa"/>
          </w:tcPr>
          <w:p w:rsidR="00B93FA1" w:rsidRPr="00661595" w:rsidRDefault="00B93FA1" w:rsidP="00AF3D7A">
            <w:pPr>
              <w:spacing w:beforeLines="60" w:before="144" w:afterLines="60" w:after="144"/>
              <w:rPr>
                <w:rFonts w:ascii="Times New Roman" w:hAnsi="Times New Roman"/>
                <w:b/>
                <w:caps/>
                <w:sz w:val="24"/>
                <w:u w:val="single"/>
              </w:rPr>
            </w:pPr>
            <w:r w:rsidRPr="00661595">
              <w:rPr>
                <w:rFonts w:ascii="Times New Roman" w:hAnsi="Times New Roman"/>
                <w:b/>
                <w:caps/>
                <w:sz w:val="24"/>
                <w:u w:val="single"/>
              </w:rPr>
              <w:t>FAIR-VALUED Assets and Liabilities included in ART</w:t>
            </w:r>
            <w:r w:rsidR="00DE223B" w:rsidRPr="00661595">
              <w:rPr>
                <w:rFonts w:ascii="Times New Roman" w:hAnsi="Times New Roman"/>
                <w:b/>
                <w:caps/>
                <w:sz w:val="24"/>
                <w:u w:val="single"/>
              </w:rPr>
              <w:t>ICLE</w:t>
            </w:r>
            <w:r w:rsidRPr="00661595">
              <w:rPr>
                <w:rFonts w:ascii="Times New Roman" w:hAnsi="Times New Roman"/>
                <w:b/>
                <w:caps/>
                <w:sz w:val="24"/>
                <w:u w:val="single"/>
              </w:rPr>
              <w:t xml:space="preserve"> 4(1) threshold</w:t>
            </w:r>
          </w:p>
          <w:p w:rsidR="00B93FA1" w:rsidRPr="00661595" w:rsidRDefault="00B93FA1" w:rsidP="0016282F">
            <w:pPr>
              <w:spacing w:beforeLines="60" w:before="144" w:afterLines="60" w:after="144"/>
              <w:rPr>
                <w:rFonts w:ascii="Times New Roman" w:hAnsi="Times New Roman"/>
                <w:b/>
                <w:caps/>
                <w:sz w:val="24"/>
                <w:u w:val="single"/>
              </w:rPr>
            </w:pPr>
            <w:r w:rsidRPr="00661595">
              <w:rPr>
                <w:rFonts w:ascii="Times New Roman" w:hAnsi="Times New Roman"/>
                <w:sz w:val="24"/>
              </w:rPr>
              <w:t>Absolute value of fair-valued assets and liabilities actually included in the threshold computation in accordance with Article 4(1) of</w:t>
            </w:r>
            <w:r w:rsidR="00C11B8D" w:rsidRPr="00661595">
              <w:rPr>
                <w:rFonts w:ascii="Times New Roman" w:hAnsi="Times New Roman"/>
                <w:sz w:val="24"/>
              </w:rPr>
              <w:t xml:space="preserve"> Delegated Regulation (EU) 2016/101</w:t>
            </w:r>
            <w:r w:rsidRPr="00661595">
              <w:rPr>
                <w:rFonts w:ascii="Times New Roman" w:hAnsi="Times New Roman"/>
                <w:sz w:val="24"/>
              </w:rPr>
              <w:t>.</w:t>
            </w:r>
          </w:p>
        </w:tc>
      </w:tr>
      <w:tr w:rsidR="00B93FA1" w:rsidRPr="00661595" w:rsidTr="00672D2A">
        <w:tc>
          <w:tcPr>
            <w:tcW w:w="1101" w:type="dxa"/>
          </w:tcPr>
          <w:p w:rsidR="00B93FA1" w:rsidRPr="00661595" w:rsidRDefault="001924F4" w:rsidP="00AF3D7A">
            <w:pPr>
              <w:spacing w:beforeLines="60" w:before="144" w:afterLines="60" w:after="144"/>
              <w:rPr>
                <w:rFonts w:ascii="Times New Roman" w:hAnsi="Times New Roman"/>
                <w:sz w:val="24"/>
              </w:rPr>
            </w:pPr>
            <w:r w:rsidRPr="00661595">
              <w:rPr>
                <w:rFonts w:ascii="Times New Roman" w:hAnsi="Times New Roman"/>
                <w:sz w:val="24"/>
              </w:rPr>
              <w:t>0</w:t>
            </w:r>
            <w:r w:rsidR="00B93FA1" w:rsidRPr="00661595">
              <w:rPr>
                <w:rFonts w:ascii="Times New Roman" w:hAnsi="Times New Roman"/>
                <w:sz w:val="24"/>
              </w:rPr>
              <w:t>090</w:t>
            </w:r>
          </w:p>
        </w:tc>
        <w:tc>
          <w:tcPr>
            <w:tcW w:w="8190" w:type="dxa"/>
          </w:tcPr>
          <w:p w:rsidR="00B93FA1" w:rsidRPr="00661595" w:rsidRDefault="00B93FA1" w:rsidP="00AF3D7A">
            <w:pPr>
              <w:spacing w:beforeLines="60" w:before="144" w:afterLines="60" w:after="144"/>
              <w:rPr>
                <w:rFonts w:ascii="Times New Roman" w:hAnsi="Times New Roman"/>
                <w:b/>
                <w:caps/>
                <w:sz w:val="24"/>
                <w:u w:val="single"/>
              </w:rPr>
            </w:pPr>
            <w:r w:rsidRPr="00661595">
              <w:rPr>
                <w:rFonts w:ascii="Times New Roman" w:hAnsi="Times New Roman"/>
                <w:b/>
                <w:caps/>
                <w:sz w:val="24"/>
                <w:u w:val="single"/>
              </w:rPr>
              <w:t>OF WHICH: trading book</w:t>
            </w:r>
          </w:p>
          <w:p w:rsidR="00B93FA1" w:rsidRPr="00661595" w:rsidRDefault="00B93FA1" w:rsidP="00AF3D7A">
            <w:pPr>
              <w:spacing w:beforeLines="60" w:before="144" w:afterLines="60" w:after="144"/>
              <w:rPr>
                <w:rFonts w:ascii="Times New Roman" w:hAnsi="Times New Roman"/>
                <w:b/>
                <w:caps/>
                <w:sz w:val="24"/>
                <w:u w:val="single"/>
              </w:rPr>
            </w:pPr>
            <w:r w:rsidRPr="00661595">
              <w:rPr>
                <w:rFonts w:ascii="Times New Roman" w:hAnsi="Times New Roman"/>
                <w:sz w:val="24"/>
              </w:rPr>
              <w:t>Absolute value of fair-valued assets and liabilities, as reported in</w:t>
            </w:r>
            <w:r w:rsidR="001924F4" w:rsidRPr="00661595">
              <w:rPr>
                <w:rFonts w:ascii="Times New Roman" w:hAnsi="Times New Roman"/>
                <w:sz w:val="24"/>
              </w:rPr>
              <w:t xml:space="preserve"> column</w:t>
            </w:r>
            <w:r w:rsidRPr="00661595">
              <w:rPr>
                <w:rFonts w:ascii="Times New Roman" w:hAnsi="Times New Roman"/>
                <w:sz w:val="24"/>
              </w:rPr>
              <w:t xml:space="preserve"> </w:t>
            </w:r>
            <w:r w:rsidR="001924F4" w:rsidRPr="00661595">
              <w:rPr>
                <w:rFonts w:ascii="Times New Roman" w:hAnsi="Times New Roman"/>
                <w:sz w:val="24"/>
              </w:rPr>
              <w:t>0</w:t>
            </w:r>
            <w:r w:rsidRPr="00661595">
              <w:rPr>
                <w:rFonts w:ascii="Times New Roman" w:hAnsi="Times New Roman"/>
                <w:sz w:val="24"/>
              </w:rPr>
              <w:t>080, corresponding to positions held in the trading book.</w:t>
            </w:r>
          </w:p>
        </w:tc>
      </w:tr>
    </w:tbl>
    <w:p w:rsidR="00E60B53" w:rsidRPr="00661595" w:rsidRDefault="00E60B53" w:rsidP="00C61FF5">
      <w:pPr>
        <w:rPr>
          <w:rStyle w:val="InstructionsTabelleText"/>
          <w:rFonts w:ascii="Times New Roman" w:hAnsi="Times New Roman"/>
          <w:sz w:val="24"/>
        </w:rPr>
      </w:pPr>
    </w:p>
    <w:tbl>
      <w:tblPr>
        <w:tblpPr w:leftFromText="141" w:rightFromText="141" w:vertAnchor="text" w:tblpY="1"/>
        <w:tblOverlap w:val="never"/>
        <w:tblW w:w="9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1"/>
        <w:gridCol w:w="8190"/>
      </w:tblGrid>
      <w:tr w:rsidR="00B93FA1" w:rsidRPr="00661595" w:rsidTr="00672D2A">
        <w:tc>
          <w:tcPr>
            <w:tcW w:w="9291" w:type="dxa"/>
            <w:gridSpan w:val="2"/>
            <w:shd w:val="clear" w:color="auto" w:fill="CCCCCC"/>
          </w:tcPr>
          <w:p w:rsidR="00B93FA1" w:rsidRPr="00661595" w:rsidRDefault="00B93FA1" w:rsidP="00AF3D7A">
            <w:pPr>
              <w:spacing w:beforeLines="60" w:before="144" w:afterLines="60" w:after="144"/>
              <w:rPr>
                <w:rFonts w:ascii="Times New Roman" w:hAnsi="Times New Roman"/>
                <w:b/>
                <w:sz w:val="24"/>
              </w:rPr>
            </w:pPr>
            <w:r w:rsidRPr="00661595">
              <w:rPr>
                <w:rFonts w:ascii="Times New Roman" w:hAnsi="Times New Roman"/>
                <w:b/>
                <w:sz w:val="24"/>
              </w:rPr>
              <w:t>Rows</w:t>
            </w:r>
          </w:p>
        </w:tc>
      </w:tr>
      <w:tr w:rsidR="00B93FA1" w:rsidRPr="00661595" w:rsidTr="00672D2A">
        <w:tc>
          <w:tcPr>
            <w:tcW w:w="1101" w:type="dxa"/>
          </w:tcPr>
          <w:p w:rsidR="00B93FA1" w:rsidRPr="00661595" w:rsidRDefault="001924F4" w:rsidP="00AF3D7A">
            <w:pPr>
              <w:spacing w:beforeLines="60" w:before="144" w:afterLines="60" w:after="144"/>
              <w:rPr>
                <w:rFonts w:ascii="Times New Roman" w:hAnsi="Times New Roman"/>
                <w:sz w:val="24"/>
              </w:rPr>
            </w:pPr>
            <w:r w:rsidRPr="00661595">
              <w:rPr>
                <w:rFonts w:ascii="Times New Roman" w:hAnsi="Times New Roman"/>
                <w:sz w:val="24"/>
              </w:rPr>
              <w:t>0</w:t>
            </w:r>
            <w:r w:rsidR="00B93FA1" w:rsidRPr="00661595">
              <w:rPr>
                <w:rFonts w:ascii="Times New Roman" w:hAnsi="Times New Roman"/>
                <w:sz w:val="24"/>
              </w:rPr>
              <w:t xml:space="preserve">010 – </w:t>
            </w:r>
            <w:r w:rsidRPr="00661595">
              <w:rPr>
                <w:rFonts w:ascii="Times New Roman" w:hAnsi="Times New Roman"/>
                <w:sz w:val="24"/>
              </w:rPr>
              <w:t>0</w:t>
            </w:r>
            <w:r w:rsidR="00B93FA1" w:rsidRPr="00661595">
              <w:rPr>
                <w:rFonts w:ascii="Times New Roman" w:hAnsi="Times New Roman"/>
                <w:sz w:val="24"/>
              </w:rPr>
              <w:t>210</w:t>
            </w:r>
          </w:p>
        </w:tc>
        <w:tc>
          <w:tcPr>
            <w:tcW w:w="8190" w:type="dxa"/>
          </w:tcPr>
          <w:p w:rsidR="00B93FA1" w:rsidRPr="00661595" w:rsidRDefault="00B93FA1" w:rsidP="00AF3D7A">
            <w:pPr>
              <w:spacing w:beforeLines="60" w:before="144" w:afterLines="60" w:after="144"/>
              <w:rPr>
                <w:rFonts w:ascii="Times New Roman" w:hAnsi="Times New Roman"/>
                <w:sz w:val="24"/>
              </w:rPr>
            </w:pPr>
            <w:r w:rsidRPr="00661595">
              <w:rPr>
                <w:rFonts w:ascii="Times New Roman" w:hAnsi="Times New Roman"/>
                <w:sz w:val="24"/>
              </w:rPr>
              <w:t xml:space="preserve">The definitions of these categories shall match those of the corresponding rows of FINREP templates 1.1 and 1.2. </w:t>
            </w:r>
          </w:p>
        </w:tc>
      </w:tr>
      <w:tr w:rsidR="00B93FA1" w:rsidRPr="00661595" w:rsidTr="00672D2A">
        <w:tc>
          <w:tcPr>
            <w:tcW w:w="1101" w:type="dxa"/>
          </w:tcPr>
          <w:p w:rsidR="00B93FA1" w:rsidRPr="00661595" w:rsidRDefault="001924F4" w:rsidP="00AF3D7A">
            <w:pPr>
              <w:spacing w:beforeLines="60" w:before="144" w:afterLines="60" w:after="144"/>
              <w:rPr>
                <w:rFonts w:ascii="Times New Roman" w:hAnsi="Times New Roman"/>
                <w:sz w:val="24"/>
              </w:rPr>
            </w:pPr>
            <w:r w:rsidRPr="00661595">
              <w:rPr>
                <w:rFonts w:ascii="Times New Roman" w:hAnsi="Times New Roman"/>
                <w:sz w:val="24"/>
              </w:rPr>
              <w:t>0</w:t>
            </w:r>
            <w:r w:rsidR="00B93FA1" w:rsidRPr="00661595">
              <w:rPr>
                <w:rFonts w:ascii="Times New Roman" w:hAnsi="Times New Roman"/>
                <w:sz w:val="24"/>
              </w:rPr>
              <w:t>010</w:t>
            </w:r>
          </w:p>
        </w:tc>
        <w:tc>
          <w:tcPr>
            <w:tcW w:w="8190" w:type="dxa"/>
          </w:tcPr>
          <w:p w:rsidR="00B93FA1" w:rsidRPr="00661595" w:rsidRDefault="00B93FA1" w:rsidP="00AF3D7A">
            <w:pPr>
              <w:spacing w:beforeLines="60" w:before="144" w:afterLines="60" w:after="144"/>
              <w:rPr>
                <w:rFonts w:ascii="Times New Roman" w:hAnsi="Times New Roman"/>
                <w:b/>
                <w:sz w:val="24"/>
                <w:u w:val="single"/>
              </w:rPr>
            </w:pPr>
            <w:r w:rsidRPr="00661595">
              <w:rPr>
                <w:rFonts w:ascii="Times New Roman" w:hAnsi="Times New Roman"/>
                <w:b/>
                <w:sz w:val="24"/>
                <w:u w:val="single"/>
              </w:rPr>
              <w:t>1 TOTAL FAIR-VALUED ASSETS AND LIABILITIES</w:t>
            </w:r>
          </w:p>
          <w:p w:rsidR="00B93FA1" w:rsidRPr="00661595" w:rsidRDefault="00B93FA1" w:rsidP="00AF3D7A">
            <w:pPr>
              <w:spacing w:beforeLines="60" w:before="144" w:afterLines="60" w:after="144"/>
              <w:rPr>
                <w:rFonts w:ascii="Times New Roman" w:hAnsi="Times New Roman"/>
                <w:b/>
                <w:sz w:val="24"/>
                <w:u w:val="single"/>
              </w:rPr>
            </w:pPr>
            <w:r w:rsidRPr="00661595">
              <w:rPr>
                <w:rFonts w:ascii="Times New Roman" w:hAnsi="Times New Roman"/>
                <w:sz w:val="24"/>
              </w:rPr>
              <w:t xml:space="preserve">Total of fair-valued assets and liabilities reported in rows </w:t>
            </w:r>
            <w:r w:rsidR="00787733" w:rsidRPr="00661595">
              <w:rPr>
                <w:rFonts w:ascii="Times New Roman" w:hAnsi="Times New Roman"/>
                <w:sz w:val="24"/>
              </w:rPr>
              <w:t>00</w:t>
            </w:r>
            <w:r w:rsidRPr="00661595">
              <w:rPr>
                <w:rFonts w:ascii="Times New Roman" w:hAnsi="Times New Roman"/>
                <w:sz w:val="24"/>
              </w:rPr>
              <w:t xml:space="preserve">20 to </w:t>
            </w:r>
            <w:r w:rsidR="00787733" w:rsidRPr="00661595">
              <w:rPr>
                <w:rFonts w:ascii="Times New Roman" w:hAnsi="Times New Roman"/>
                <w:sz w:val="24"/>
              </w:rPr>
              <w:t>0</w:t>
            </w:r>
            <w:r w:rsidRPr="00661595">
              <w:rPr>
                <w:rFonts w:ascii="Times New Roman" w:hAnsi="Times New Roman"/>
                <w:sz w:val="24"/>
              </w:rPr>
              <w:t>210.</w:t>
            </w:r>
          </w:p>
        </w:tc>
      </w:tr>
      <w:tr w:rsidR="00B93FA1" w:rsidRPr="00661595" w:rsidTr="00672D2A">
        <w:tc>
          <w:tcPr>
            <w:tcW w:w="1101" w:type="dxa"/>
          </w:tcPr>
          <w:p w:rsidR="00B93FA1" w:rsidRPr="00661595" w:rsidRDefault="001924F4" w:rsidP="00AF3D7A">
            <w:pPr>
              <w:spacing w:beforeLines="60" w:before="144" w:afterLines="60" w:after="144"/>
              <w:rPr>
                <w:rFonts w:ascii="Times New Roman" w:hAnsi="Times New Roman"/>
                <w:sz w:val="24"/>
              </w:rPr>
            </w:pPr>
            <w:r w:rsidRPr="00661595">
              <w:rPr>
                <w:rFonts w:ascii="Times New Roman" w:hAnsi="Times New Roman"/>
                <w:sz w:val="24"/>
              </w:rPr>
              <w:t>0</w:t>
            </w:r>
            <w:r w:rsidR="00B93FA1" w:rsidRPr="00661595">
              <w:rPr>
                <w:rFonts w:ascii="Times New Roman" w:hAnsi="Times New Roman"/>
                <w:sz w:val="24"/>
              </w:rPr>
              <w:t>020</w:t>
            </w:r>
          </w:p>
        </w:tc>
        <w:tc>
          <w:tcPr>
            <w:tcW w:w="8190" w:type="dxa"/>
          </w:tcPr>
          <w:p w:rsidR="00B93FA1" w:rsidRPr="00661595" w:rsidRDefault="00B93FA1" w:rsidP="00AF3D7A">
            <w:pPr>
              <w:spacing w:beforeLines="60" w:before="144" w:afterLines="60" w:after="144"/>
              <w:rPr>
                <w:rFonts w:ascii="Times New Roman" w:hAnsi="Times New Roman"/>
                <w:b/>
                <w:sz w:val="24"/>
                <w:u w:val="single"/>
              </w:rPr>
            </w:pPr>
            <w:r w:rsidRPr="00661595">
              <w:rPr>
                <w:rFonts w:ascii="Times New Roman" w:hAnsi="Times New Roman"/>
                <w:b/>
                <w:sz w:val="24"/>
                <w:u w:val="single"/>
              </w:rPr>
              <w:t>1.1 TOTAL FAIR-VALUED ASSETS</w:t>
            </w:r>
          </w:p>
          <w:p w:rsidR="00B93FA1" w:rsidRPr="00661595" w:rsidRDefault="00B93FA1" w:rsidP="00AF3D7A">
            <w:pPr>
              <w:spacing w:beforeLines="60" w:before="144" w:afterLines="60" w:after="144"/>
              <w:rPr>
                <w:rFonts w:ascii="Times New Roman" w:hAnsi="Times New Roman"/>
                <w:sz w:val="24"/>
              </w:rPr>
            </w:pPr>
            <w:r w:rsidRPr="00661595">
              <w:rPr>
                <w:rFonts w:ascii="Times New Roman" w:hAnsi="Times New Roman"/>
                <w:sz w:val="24"/>
              </w:rPr>
              <w:t xml:space="preserve">Total of fair-valued assets reported in rows </w:t>
            </w:r>
            <w:r w:rsidR="001D4848" w:rsidRPr="00661595">
              <w:rPr>
                <w:rFonts w:ascii="Times New Roman" w:hAnsi="Times New Roman"/>
                <w:sz w:val="24"/>
              </w:rPr>
              <w:t>00</w:t>
            </w:r>
            <w:r w:rsidRPr="00661595">
              <w:rPr>
                <w:rFonts w:ascii="Times New Roman" w:hAnsi="Times New Roman"/>
                <w:sz w:val="24"/>
              </w:rPr>
              <w:t xml:space="preserve">30 to </w:t>
            </w:r>
            <w:r w:rsidR="001D4848" w:rsidRPr="00661595">
              <w:rPr>
                <w:rFonts w:ascii="Times New Roman" w:hAnsi="Times New Roman"/>
                <w:sz w:val="24"/>
              </w:rPr>
              <w:t>0</w:t>
            </w:r>
            <w:r w:rsidRPr="00661595">
              <w:rPr>
                <w:rFonts w:ascii="Times New Roman" w:hAnsi="Times New Roman"/>
                <w:sz w:val="24"/>
              </w:rPr>
              <w:t xml:space="preserve">140. </w:t>
            </w:r>
          </w:p>
          <w:p w:rsidR="00B93FA1" w:rsidRPr="00661595" w:rsidRDefault="00B93FA1" w:rsidP="00AF3D7A">
            <w:pPr>
              <w:spacing w:beforeLines="60" w:before="144" w:afterLines="60" w:after="144"/>
              <w:rPr>
                <w:rFonts w:ascii="Times New Roman" w:hAnsi="Times New Roman"/>
                <w:sz w:val="24"/>
              </w:rPr>
            </w:pPr>
            <w:r w:rsidRPr="00661595">
              <w:rPr>
                <w:rFonts w:ascii="Times New Roman" w:hAnsi="Times New Roman"/>
                <w:sz w:val="24"/>
              </w:rPr>
              <w:t xml:space="preserve">Relevant cells of rows </w:t>
            </w:r>
            <w:r w:rsidR="001D4848" w:rsidRPr="00661595">
              <w:rPr>
                <w:rFonts w:ascii="Times New Roman" w:hAnsi="Times New Roman"/>
                <w:sz w:val="24"/>
              </w:rPr>
              <w:t>0</w:t>
            </w:r>
            <w:r w:rsidRPr="00661595">
              <w:rPr>
                <w:rFonts w:ascii="Times New Roman" w:hAnsi="Times New Roman"/>
                <w:sz w:val="24"/>
              </w:rPr>
              <w:t xml:space="preserve">030 to </w:t>
            </w:r>
            <w:r w:rsidR="001D4848" w:rsidRPr="00661595">
              <w:rPr>
                <w:rFonts w:ascii="Times New Roman" w:hAnsi="Times New Roman"/>
                <w:sz w:val="24"/>
              </w:rPr>
              <w:t>0</w:t>
            </w:r>
            <w:r w:rsidRPr="00661595">
              <w:rPr>
                <w:rFonts w:ascii="Times New Roman" w:hAnsi="Times New Roman"/>
                <w:sz w:val="24"/>
              </w:rPr>
              <w:t>130 shall be reported in line with FINREP template F</w:t>
            </w:r>
            <w:r w:rsidR="001D4848" w:rsidRPr="00661595">
              <w:rPr>
                <w:rFonts w:ascii="Times New Roman" w:hAnsi="Times New Roman"/>
                <w:sz w:val="24"/>
              </w:rPr>
              <w:t xml:space="preserve"> </w:t>
            </w:r>
            <w:r w:rsidRPr="00661595">
              <w:rPr>
                <w:rFonts w:ascii="Times New Roman" w:hAnsi="Times New Roman"/>
                <w:sz w:val="24"/>
              </w:rPr>
              <w:t xml:space="preserve">01.01 of </w:t>
            </w:r>
            <w:r w:rsidR="001D4848" w:rsidRPr="00661595">
              <w:rPr>
                <w:rFonts w:ascii="Times New Roman" w:hAnsi="Times New Roman"/>
                <w:sz w:val="24"/>
              </w:rPr>
              <w:t xml:space="preserve">Annexes III and IV to this </w:t>
            </w:r>
            <w:r w:rsidR="00B71CD5" w:rsidRPr="00661595">
              <w:rPr>
                <w:rFonts w:ascii="Times New Roman" w:hAnsi="Times New Roman"/>
                <w:sz w:val="24"/>
              </w:rPr>
              <w:t xml:space="preserve">Implementing </w:t>
            </w:r>
            <w:r w:rsidRPr="00661595">
              <w:rPr>
                <w:rFonts w:ascii="Times New Roman" w:hAnsi="Times New Roman"/>
                <w:sz w:val="24"/>
              </w:rPr>
              <w:t>Regulation</w:t>
            </w:r>
            <w:r w:rsidR="0016282F" w:rsidRPr="00661595">
              <w:rPr>
                <w:rFonts w:ascii="Times New Roman" w:hAnsi="Times New Roman"/>
                <w:sz w:val="24"/>
              </w:rPr>
              <w:t>,</w:t>
            </w:r>
            <w:r w:rsidRPr="00661595">
              <w:rPr>
                <w:rFonts w:ascii="Times New Roman" w:hAnsi="Times New Roman"/>
                <w:sz w:val="24"/>
              </w:rPr>
              <w:t xml:space="preserve"> depending on the institution’s applicable standards:</w:t>
            </w:r>
          </w:p>
          <w:p w:rsidR="00B93FA1" w:rsidRPr="00661595" w:rsidRDefault="00B93FA1" w:rsidP="0002267E">
            <w:pPr>
              <w:pStyle w:val="ListParagraph"/>
              <w:numPr>
                <w:ilvl w:val="0"/>
                <w:numId w:val="30"/>
              </w:numPr>
              <w:spacing w:beforeLines="60" w:before="144" w:afterLines="60" w:after="144"/>
              <w:rPr>
                <w:rFonts w:ascii="Times New Roman" w:hAnsi="Times New Roman"/>
                <w:sz w:val="24"/>
              </w:rPr>
            </w:pPr>
            <w:r w:rsidRPr="00661595">
              <w:rPr>
                <w:rFonts w:ascii="Times New Roman" w:hAnsi="Times New Roman"/>
                <w:sz w:val="24"/>
              </w:rPr>
              <w:t>IFRS as endorsed by the Union in application of Regulation (E</w:t>
            </w:r>
            <w:r w:rsidR="0016282F" w:rsidRPr="00661595">
              <w:rPr>
                <w:rFonts w:ascii="Times New Roman" w:hAnsi="Times New Roman"/>
                <w:sz w:val="24"/>
              </w:rPr>
              <w:t>C</w:t>
            </w:r>
            <w:r w:rsidRPr="00661595">
              <w:rPr>
                <w:rFonts w:ascii="Times New Roman" w:hAnsi="Times New Roman"/>
                <w:sz w:val="24"/>
              </w:rPr>
              <w:t xml:space="preserve">) </w:t>
            </w:r>
            <w:r w:rsidR="0016282F" w:rsidRPr="00661595">
              <w:rPr>
                <w:rFonts w:ascii="Times New Roman" w:hAnsi="Times New Roman"/>
                <w:sz w:val="24"/>
              </w:rPr>
              <w:t>No </w:t>
            </w:r>
            <w:r w:rsidRPr="00661595">
              <w:rPr>
                <w:rFonts w:ascii="Times New Roman" w:hAnsi="Times New Roman"/>
                <w:sz w:val="24"/>
              </w:rPr>
              <w:t xml:space="preserve">1606/2002 </w:t>
            </w:r>
            <w:r w:rsidR="0016282F" w:rsidRPr="00661595">
              <w:rPr>
                <w:rFonts w:ascii="Times New Roman" w:hAnsi="Times New Roman"/>
                <w:sz w:val="24"/>
              </w:rPr>
              <w:t xml:space="preserve">of the European Parliament and of the Council </w:t>
            </w:r>
            <w:r w:rsidRPr="00661595">
              <w:rPr>
                <w:rFonts w:ascii="Times New Roman" w:hAnsi="Times New Roman"/>
                <w:sz w:val="24"/>
              </w:rPr>
              <w:t>(‘EU IFRS’)</w:t>
            </w:r>
            <w:r w:rsidR="0016282F" w:rsidRPr="00661595">
              <w:rPr>
                <w:rStyle w:val="FootnoteReference"/>
                <w:rFonts w:ascii="Times New Roman" w:hAnsi="Times New Roman"/>
                <w:sz w:val="20"/>
                <w:szCs w:val="20"/>
                <w:vertAlign w:val="superscript"/>
              </w:rPr>
              <w:footnoteReference w:id="16"/>
            </w:r>
            <w:r w:rsidR="0016282F" w:rsidRPr="00661595">
              <w:rPr>
                <w:rFonts w:ascii="Times New Roman" w:hAnsi="Times New Roman"/>
                <w:sz w:val="24"/>
              </w:rPr>
              <w:t>;</w:t>
            </w:r>
          </w:p>
          <w:p w:rsidR="00B93FA1" w:rsidRPr="00661595" w:rsidRDefault="00B93FA1" w:rsidP="0002267E">
            <w:pPr>
              <w:pStyle w:val="ListParagraph"/>
              <w:numPr>
                <w:ilvl w:val="0"/>
                <w:numId w:val="30"/>
              </w:numPr>
              <w:spacing w:beforeLines="60" w:before="144" w:afterLines="60" w:after="144"/>
              <w:rPr>
                <w:rFonts w:ascii="Times New Roman" w:hAnsi="Times New Roman"/>
                <w:sz w:val="24"/>
              </w:rPr>
            </w:pPr>
            <w:r w:rsidRPr="00661595">
              <w:rPr>
                <w:rFonts w:ascii="Times New Roman" w:hAnsi="Times New Roman"/>
                <w:sz w:val="24"/>
              </w:rPr>
              <w:t>National accounting standards compatible with EU IFRS (‘National GAAP compatible IFRS’)</w:t>
            </w:r>
            <w:r w:rsidR="0016282F" w:rsidRPr="00661595">
              <w:rPr>
                <w:rFonts w:ascii="Times New Roman" w:hAnsi="Times New Roman"/>
                <w:sz w:val="24"/>
              </w:rPr>
              <w:t xml:space="preserve">; </w:t>
            </w:r>
            <w:r w:rsidRPr="00661595">
              <w:rPr>
                <w:rFonts w:ascii="Times New Roman" w:hAnsi="Times New Roman"/>
                <w:sz w:val="24"/>
              </w:rPr>
              <w:t>or</w:t>
            </w:r>
          </w:p>
          <w:p w:rsidR="00B93FA1" w:rsidRPr="00661595" w:rsidRDefault="00B93FA1" w:rsidP="0002267E">
            <w:pPr>
              <w:pStyle w:val="ListParagraph"/>
              <w:numPr>
                <w:ilvl w:val="0"/>
                <w:numId w:val="30"/>
              </w:numPr>
              <w:spacing w:beforeLines="60" w:before="144" w:afterLines="60" w:after="144"/>
              <w:rPr>
                <w:rFonts w:ascii="Times New Roman" w:hAnsi="Times New Roman"/>
                <w:sz w:val="24"/>
              </w:rPr>
            </w:pPr>
            <w:r w:rsidRPr="00661595">
              <w:rPr>
                <w:rFonts w:ascii="Times New Roman" w:hAnsi="Times New Roman"/>
                <w:sz w:val="24"/>
              </w:rPr>
              <w:t>National GAAP based on</w:t>
            </w:r>
            <w:r w:rsidR="002F78EA" w:rsidRPr="00661595">
              <w:rPr>
                <w:rFonts w:ascii="Times New Roman" w:hAnsi="Times New Roman"/>
                <w:sz w:val="24"/>
              </w:rPr>
              <w:t xml:space="preserve"> BAD</w:t>
            </w:r>
            <w:r w:rsidRPr="00661595">
              <w:rPr>
                <w:rFonts w:ascii="Times New Roman" w:hAnsi="Times New Roman"/>
                <w:sz w:val="24"/>
              </w:rPr>
              <w:t xml:space="preserve"> (FINREP ‘National GAAP based on BAD’).</w:t>
            </w:r>
          </w:p>
        </w:tc>
      </w:tr>
      <w:tr w:rsidR="00B93FA1" w:rsidRPr="00661595" w:rsidTr="00672D2A">
        <w:tc>
          <w:tcPr>
            <w:tcW w:w="1101" w:type="dxa"/>
          </w:tcPr>
          <w:p w:rsidR="00B93FA1" w:rsidRPr="00661595" w:rsidRDefault="001924F4" w:rsidP="00AF3D7A">
            <w:pPr>
              <w:spacing w:beforeLines="60" w:before="144" w:afterLines="60" w:after="144"/>
              <w:rPr>
                <w:rFonts w:ascii="Times New Roman" w:hAnsi="Times New Roman"/>
                <w:sz w:val="24"/>
              </w:rPr>
            </w:pPr>
            <w:r w:rsidRPr="00661595">
              <w:rPr>
                <w:rFonts w:ascii="Times New Roman" w:hAnsi="Times New Roman"/>
                <w:sz w:val="24"/>
              </w:rPr>
              <w:t>0</w:t>
            </w:r>
            <w:r w:rsidR="00B93FA1" w:rsidRPr="00661595">
              <w:rPr>
                <w:rFonts w:ascii="Times New Roman" w:hAnsi="Times New Roman"/>
                <w:sz w:val="24"/>
              </w:rPr>
              <w:t>030</w:t>
            </w:r>
          </w:p>
        </w:tc>
        <w:tc>
          <w:tcPr>
            <w:tcW w:w="8190" w:type="dxa"/>
          </w:tcPr>
          <w:p w:rsidR="00B93FA1" w:rsidRPr="00661595" w:rsidRDefault="00B93FA1" w:rsidP="00AF3D7A">
            <w:pPr>
              <w:spacing w:beforeLines="60" w:before="144" w:afterLines="60" w:after="144"/>
              <w:rPr>
                <w:rFonts w:ascii="Times New Roman" w:hAnsi="Times New Roman"/>
                <w:b/>
                <w:sz w:val="24"/>
                <w:u w:val="single"/>
              </w:rPr>
            </w:pPr>
            <w:r w:rsidRPr="00661595">
              <w:rPr>
                <w:rFonts w:ascii="Times New Roman" w:hAnsi="Times New Roman"/>
                <w:b/>
                <w:sz w:val="24"/>
                <w:u w:val="single"/>
              </w:rPr>
              <w:t>1.1.1 FINANCIAL ASSETS HELD FOR TRADING</w:t>
            </w:r>
          </w:p>
          <w:p w:rsidR="00B93FA1" w:rsidRPr="00661595" w:rsidRDefault="00B93FA1" w:rsidP="00AF3D7A">
            <w:pPr>
              <w:spacing w:beforeLines="60" w:before="144" w:afterLines="60" w:after="144"/>
              <w:rPr>
                <w:rFonts w:ascii="Times New Roman" w:hAnsi="Times New Roman"/>
                <w:sz w:val="24"/>
              </w:rPr>
            </w:pPr>
            <w:r w:rsidRPr="00661595">
              <w:rPr>
                <w:rFonts w:ascii="Times New Roman" w:hAnsi="Times New Roman"/>
                <w:sz w:val="24"/>
              </w:rPr>
              <w:t>IFRS 9.Appendix A.</w:t>
            </w:r>
          </w:p>
          <w:p w:rsidR="00B93FA1" w:rsidRPr="00661595" w:rsidRDefault="00B93FA1" w:rsidP="0016282F">
            <w:pPr>
              <w:spacing w:beforeLines="60" w:before="144" w:afterLines="60" w:after="144"/>
              <w:rPr>
                <w:rFonts w:ascii="Times New Roman" w:hAnsi="Times New Roman"/>
                <w:sz w:val="24"/>
              </w:rPr>
            </w:pPr>
            <w:r w:rsidRPr="00661595">
              <w:rPr>
                <w:rFonts w:ascii="Times New Roman" w:hAnsi="Times New Roman"/>
                <w:sz w:val="24"/>
              </w:rPr>
              <w:t>The information reported in this row</w:t>
            </w:r>
            <w:r w:rsidR="00C11B8D" w:rsidRPr="00661595">
              <w:rPr>
                <w:rFonts w:ascii="Times New Roman" w:hAnsi="Times New Roman"/>
                <w:sz w:val="24"/>
              </w:rPr>
              <w:t xml:space="preserve"> shall </w:t>
            </w:r>
            <w:r w:rsidRPr="00661595">
              <w:rPr>
                <w:rFonts w:ascii="Times New Roman" w:hAnsi="Times New Roman"/>
                <w:sz w:val="24"/>
              </w:rPr>
              <w:t xml:space="preserve">correspond to row </w:t>
            </w:r>
            <w:r w:rsidR="00787733" w:rsidRPr="00661595">
              <w:rPr>
                <w:rFonts w:ascii="Times New Roman" w:hAnsi="Times New Roman"/>
                <w:sz w:val="24"/>
              </w:rPr>
              <w:t>0</w:t>
            </w:r>
            <w:r w:rsidRPr="00661595">
              <w:rPr>
                <w:rFonts w:ascii="Times New Roman" w:hAnsi="Times New Roman"/>
                <w:sz w:val="24"/>
              </w:rPr>
              <w:t>050 of template F</w:t>
            </w:r>
            <w:r w:rsidR="001D4848" w:rsidRPr="00661595">
              <w:rPr>
                <w:rFonts w:ascii="Times New Roman" w:hAnsi="Times New Roman"/>
                <w:sz w:val="24"/>
              </w:rPr>
              <w:t xml:space="preserve"> </w:t>
            </w:r>
            <w:r w:rsidRPr="00661595">
              <w:rPr>
                <w:rFonts w:ascii="Times New Roman" w:hAnsi="Times New Roman"/>
                <w:sz w:val="24"/>
              </w:rPr>
              <w:t>01.01</w:t>
            </w:r>
            <w:r w:rsidR="001D4848" w:rsidRPr="00661595">
              <w:rPr>
                <w:rFonts w:ascii="Times New Roman" w:hAnsi="Times New Roman"/>
                <w:sz w:val="24"/>
              </w:rPr>
              <w:t xml:space="preserve"> of Annexes III and IV to this </w:t>
            </w:r>
            <w:r w:rsidR="00133396" w:rsidRPr="00661595">
              <w:rPr>
                <w:rFonts w:ascii="Times New Roman" w:hAnsi="Times New Roman"/>
                <w:sz w:val="24"/>
              </w:rPr>
              <w:t xml:space="preserve">Implementing </w:t>
            </w:r>
            <w:r w:rsidR="001D4848" w:rsidRPr="00661595">
              <w:rPr>
                <w:rFonts w:ascii="Times New Roman" w:hAnsi="Times New Roman"/>
                <w:sz w:val="24"/>
              </w:rPr>
              <w:t>Regulation</w:t>
            </w:r>
            <w:r w:rsidRPr="00661595">
              <w:rPr>
                <w:rFonts w:ascii="Times New Roman" w:hAnsi="Times New Roman"/>
                <w:sz w:val="24"/>
              </w:rPr>
              <w:t>.</w:t>
            </w:r>
          </w:p>
        </w:tc>
      </w:tr>
      <w:tr w:rsidR="00B93FA1" w:rsidRPr="00661595" w:rsidTr="00672D2A">
        <w:tc>
          <w:tcPr>
            <w:tcW w:w="1101" w:type="dxa"/>
          </w:tcPr>
          <w:p w:rsidR="00B93FA1" w:rsidRPr="00661595" w:rsidRDefault="001924F4" w:rsidP="00AF3D7A">
            <w:pPr>
              <w:spacing w:beforeLines="60" w:before="144" w:afterLines="60" w:after="144"/>
              <w:rPr>
                <w:rFonts w:ascii="Times New Roman" w:hAnsi="Times New Roman"/>
                <w:sz w:val="24"/>
              </w:rPr>
            </w:pPr>
            <w:r w:rsidRPr="00661595">
              <w:rPr>
                <w:rFonts w:ascii="Times New Roman" w:hAnsi="Times New Roman"/>
                <w:sz w:val="24"/>
              </w:rPr>
              <w:t>0</w:t>
            </w:r>
            <w:r w:rsidR="00B93FA1" w:rsidRPr="00661595">
              <w:rPr>
                <w:rFonts w:ascii="Times New Roman" w:hAnsi="Times New Roman"/>
                <w:sz w:val="24"/>
              </w:rPr>
              <w:t>040</w:t>
            </w:r>
          </w:p>
        </w:tc>
        <w:tc>
          <w:tcPr>
            <w:tcW w:w="8190" w:type="dxa"/>
          </w:tcPr>
          <w:p w:rsidR="00B93FA1" w:rsidRPr="00661595" w:rsidRDefault="00B93FA1" w:rsidP="00AF3D7A">
            <w:pPr>
              <w:spacing w:beforeLines="60" w:before="144" w:afterLines="60" w:after="144"/>
              <w:rPr>
                <w:rFonts w:ascii="Times New Roman" w:hAnsi="Times New Roman"/>
                <w:b/>
                <w:sz w:val="24"/>
                <w:u w:val="single"/>
              </w:rPr>
            </w:pPr>
            <w:r w:rsidRPr="00661595">
              <w:rPr>
                <w:rFonts w:ascii="Times New Roman" w:hAnsi="Times New Roman"/>
                <w:b/>
                <w:sz w:val="24"/>
                <w:u w:val="single"/>
              </w:rPr>
              <w:t>1.1.2 TRADING FINANCIAL ASSETS</w:t>
            </w:r>
          </w:p>
          <w:p w:rsidR="00B93FA1" w:rsidRPr="00661595" w:rsidRDefault="002F78EA" w:rsidP="00AF3D7A">
            <w:pPr>
              <w:spacing w:beforeLines="60" w:before="144" w:afterLines="60" w:after="144"/>
              <w:rPr>
                <w:rFonts w:ascii="Times New Roman" w:hAnsi="Times New Roman"/>
                <w:sz w:val="24"/>
              </w:rPr>
            </w:pPr>
            <w:r w:rsidRPr="00661595">
              <w:rPr>
                <w:rFonts w:ascii="Times New Roman" w:hAnsi="Times New Roman"/>
                <w:sz w:val="24"/>
              </w:rPr>
              <w:t>Articles 32</w:t>
            </w:r>
            <w:r w:rsidR="0016282F" w:rsidRPr="00661595">
              <w:rPr>
                <w:rFonts w:ascii="Times New Roman" w:hAnsi="Times New Roman"/>
                <w:sz w:val="24"/>
              </w:rPr>
              <w:t xml:space="preserve"> and </w:t>
            </w:r>
            <w:r w:rsidRPr="00661595">
              <w:rPr>
                <w:rFonts w:ascii="Times New Roman" w:hAnsi="Times New Roman"/>
                <w:sz w:val="24"/>
              </w:rPr>
              <w:t xml:space="preserve">33 </w:t>
            </w:r>
            <w:r w:rsidR="00B93FA1" w:rsidRPr="00661595">
              <w:rPr>
                <w:rFonts w:ascii="Times New Roman" w:hAnsi="Times New Roman"/>
                <w:sz w:val="24"/>
              </w:rPr>
              <w:t xml:space="preserve">BAD; </w:t>
            </w:r>
            <w:r w:rsidRPr="00661595">
              <w:rPr>
                <w:rFonts w:ascii="Times New Roman" w:hAnsi="Times New Roman"/>
                <w:sz w:val="24"/>
              </w:rPr>
              <w:t>P</w:t>
            </w:r>
            <w:r w:rsidRPr="00661595">
              <w:rPr>
                <w:rFonts w:ascii="Times New Roman" w:hAnsi="Times New Roman"/>
                <w:bCs/>
                <w:sz w:val="24"/>
                <w:lang w:eastAsia="de-DE"/>
              </w:rPr>
              <w:t>art 1.17 of Annex V to this Implementing Regulation</w:t>
            </w:r>
            <w:r w:rsidR="00B93FA1" w:rsidRPr="00661595">
              <w:rPr>
                <w:rFonts w:ascii="Times New Roman" w:hAnsi="Times New Roman"/>
                <w:sz w:val="24"/>
              </w:rPr>
              <w:t xml:space="preserve"> </w:t>
            </w:r>
          </w:p>
          <w:p w:rsidR="00DE08E6" w:rsidRPr="00661595" w:rsidRDefault="00B93FA1" w:rsidP="006B2333">
            <w:pPr>
              <w:spacing w:beforeLines="60" w:before="144" w:afterLines="60" w:after="144"/>
              <w:rPr>
                <w:rFonts w:ascii="Times New Roman" w:hAnsi="Times New Roman"/>
                <w:sz w:val="24"/>
              </w:rPr>
            </w:pPr>
            <w:r w:rsidRPr="00661595">
              <w:rPr>
                <w:rFonts w:ascii="Times New Roman" w:hAnsi="Times New Roman"/>
                <w:sz w:val="24"/>
              </w:rPr>
              <w:t>The information reported in this row</w:t>
            </w:r>
            <w:r w:rsidR="00C11B8D" w:rsidRPr="00661595">
              <w:rPr>
                <w:rFonts w:ascii="Times New Roman" w:hAnsi="Times New Roman"/>
                <w:sz w:val="24"/>
              </w:rPr>
              <w:t xml:space="preserve"> shall </w:t>
            </w:r>
            <w:r w:rsidRPr="00661595">
              <w:rPr>
                <w:rFonts w:ascii="Times New Roman" w:hAnsi="Times New Roman"/>
                <w:sz w:val="24"/>
              </w:rPr>
              <w:t xml:space="preserve">correspond to </w:t>
            </w:r>
            <w:r w:rsidR="00DE08E6" w:rsidRPr="00661595">
              <w:rPr>
                <w:rFonts w:ascii="Times New Roman" w:hAnsi="Times New Roman"/>
                <w:sz w:val="24"/>
              </w:rPr>
              <w:t xml:space="preserve">assets measured at fair value that are included in the value reported in </w:t>
            </w:r>
            <w:r w:rsidRPr="00661595">
              <w:rPr>
                <w:rFonts w:ascii="Times New Roman" w:hAnsi="Times New Roman"/>
                <w:sz w:val="24"/>
              </w:rPr>
              <w:t xml:space="preserve">row </w:t>
            </w:r>
            <w:r w:rsidR="00787733" w:rsidRPr="00661595">
              <w:rPr>
                <w:rFonts w:ascii="Times New Roman" w:hAnsi="Times New Roman"/>
                <w:sz w:val="24"/>
              </w:rPr>
              <w:t>0</w:t>
            </w:r>
            <w:r w:rsidRPr="00661595">
              <w:rPr>
                <w:rFonts w:ascii="Times New Roman" w:hAnsi="Times New Roman"/>
                <w:sz w:val="24"/>
              </w:rPr>
              <w:t>091 of template F</w:t>
            </w:r>
            <w:r w:rsidR="001D4848" w:rsidRPr="00661595">
              <w:rPr>
                <w:rFonts w:ascii="Times New Roman" w:hAnsi="Times New Roman"/>
                <w:sz w:val="24"/>
              </w:rPr>
              <w:t xml:space="preserve"> </w:t>
            </w:r>
            <w:r w:rsidRPr="00661595">
              <w:rPr>
                <w:rFonts w:ascii="Times New Roman" w:hAnsi="Times New Roman"/>
                <w:sz w:val="24"/>
              </w:rPr>
              <w:t>01.01</w:t>
            </w:r>
            <w:r w:rsidR="001D4848" w:rsidRPr="00661595">
              <w:rPr>
                <w:rFonts w:ascii="Times New Roman" w:hAnsi="Times New Roman"/>
                <w:sz w:val="24"/>
              </w:rPr>
              <w:t xml:space="preserve"> of Annexes III and IV to </w:t>
            </w:r>
            <w:r w:rsidR="00133396" w:rsidRPr="00661595">
              <w:rPr>
                <w:rFonts w:ascii="Times New Roman" w:hAnsi="Times New Roman"/>
                <w:sz w:val="24"/>
              </w:rPr>
              <w:t>this Implementing Regulation</w:t>
            </w:r>
            <w:r w:rsidRPr="00661595">
              <w:rPr>
                <w:rFonts w:ascii="Times New Roman" w:hAnsi="Times New Roman"/>
                <w:sz w:val="24"/>
              </w:rPr>
              <w:t>.</w:t>
            </w:r>
          </w:p>
        </w:tc>
      </w:tr>
      <w:tr w:rsidR="00B93FA1" w:rsidRPr="00661595" w:rsidTr="00672D2A">
        <w:tc>
          <w:tcPr>
            <w:tcW w:w="1101" w:type="dxa"/>
          </w:tcPr>
          <w:p w:rsidR="00B93FA1" w:rsidRPr="00661595" w:rsidRDefault="001924F4" w:rsidP="00AF3D7A">
            <w:pPr>
              <w:spacing w:beforeLines="60" w:before="144" w:afterLines="60" w:after="144"/>
              <w:rPr>
                <w:rFonts w:ascii="Times New Roman" w:hAnsi="Times New Roman"/>
                <w:sz w:val="24"/>
              </w:rPr>
            </w:pPr>
            <w:r w:rsidRPr="00661595">
              <w:rPr>
                <w:rFonts w:ascii="Times New Roman" w:hAnsi="Times New Roman"/>
                <w:sz w:val="24"/>
              </w:rPr>
              <w:t>0</w:t>
            </w:r>
            <w:r w:rsidR="00B93FA1" w:rsidRPr="00661595">
              <w:rPr>
                <w:rFonts w:ascii="Times New Roman" w:hAnsi="Times New Roman"/>
                <w:sz w:val="24"/>
              </w:rPr>
              <w:t>050</w:t>
            </w:r>
          </w:p>
        </w:tc>
        <w:tc>
          <w:tcPr>
            <w:tcW w:w="8190" w:type="dxa"/>
          </w:tcPr>
          <w:p w:rsidR="00B93FA1" w:rsidRPr="00661595" w:rsidRDefault="00B93FA1" w:rsidP="00AF3D7A">
            <w:pPr>
              <w:spacing w:beforeLines="60" w:before="144" w:afterLines="60" w:after="144"/>
              <w:rPr>
                <w:rFonts w:ascii="Times New Roman" w:hAnsi="Times New Roman"/>
                <w:b/>
                <w:sz w:val="24"/>
                <w:u w:val="single"/>
              </w:rPr>
            </w:pPr>
            <w:r w:rsidRPr="00661595">
              <w:rPr>
                <w:rFonts w:ascii="Times New Roman" w:hAnsi="Times New Roman"/>
                <w:b/>
                <w:sz w:val="24"/>
                <w:u w:val="single"/>
              </w:rPr>
              <w:t xml:space="preserve">1.1.3 NON-TRADING FINANCIAL ASSETS MANDATORILY AT FAIR VALUE THROUGH PROFIT OR LOSS </w:t>
            </w:r>
          </w:p>
          <w:p w:rsidR="00B93FA1" w:rsidRPr="00661595" w:rsidRDefault="00B93FA1" w:rsidP="00AF3D7A">
            <w:pPr>
              <w:spacing w:beforeLines="60" w:before="144" w:afterLines="60" w:after="144"/>
              <w:rPr>
                <w:rFonts w:ascii="Times New Roman" w:hAnsi="Times New Roman"/>
                <w:sz w:val="24"/>
              </w:rPr>
            </w:pPr>
            <w:r w:rsidRPr="00661595">
              <w:rPr>
                <w:rFonts w:ascii="Times New Roman" w:hAnsi="Times New Roman"/>
                <w:sz w:val="24"/>
              </w:rPr>
              <w:t xml:space="preserve">IFRS 7.8(a)(ii); IFRS 9.4.1.4. </w:t>
            </w:r>
          </w:p>
          <w:p w:rsidR="00B93FA1" w:rsidRPr="00661595" w:rsidRDefault="00B93FA1" w:rsidP="0016282F">
            <w:pPr>
              <w:spacing w:beforeLines="60" w:before="144" w:afterLines="60" w:after="144"/>
              <w:rPr>
                <w:rFonts w:ascii="Times New Roman" w:hAnsi="Times New Roman"/>
                <w:b/>
                <w:sz w:val="24"/>
                <w:u w:val="single"/>
              </w:rPr>
            </w:pPr>
            <w:r w:rsidRPr="00661595">
              <w:rPr>
                <w:rFonts w:ascii="Times New Roman" w:hAnsi="Times New Roman"/>
                <w:sz w:val="24"/>
              </w:rPr>
              <w:t>The information reported in this row</w:t>
            </w:r>
            <w:r w:rsidR="00C11B8D" w:rsidRPr="00661595">
              <w:rPr>
                <w:rFonts w:ascii="Times New Roman" w:hAnsi="Times New Roman"/>
                <w:sz w:val="24"/>
              </w:rPr>
              <w:t xml:space="preserve"> shall </w:t>
            </w:r>
            <w:r w:rsidRPr="00661595">
              <w:rPr>
                <w:rFonts w:ascii="Times New Roman" w:hAnsi="Times New Roman"/>
                <w:sz w:val="24"/>
              </w:rPr>
              <w:t xml:space="preserve">correspond to row </w:t>
            </w:r>
            <w:r w:rsidR="00787733" w:rsidRPr="00661595">
              <w:rPr>
                <w:rFonts w:ascii="Times New Roman" w:hAnsi="Times New Roman"/>
                <w:sz w:val="24"/>
              </w:rPr>
              <w:t>0</w:t>
            </w:r>
            <w:r w:rsidRPr="00661595">
              <w:rPr>
                <w:rFonts w:ascii="Times New Roman" w:hAnsi="Times New Roman"/>
                <w:sz w:val="24"/>
              </w:rPr>
              <w:t>096 of template F</w:t>
            </w:r>
            <w:r w:rsidR="001D4848" w:rsidRPr="00661595">
              <w:rPr>
                <w:rFonts w:ascii="Times New Roman" w:hAnsi="Times New Roman"/>
                <w:sz w:val="24"/>
              </w:rPr>
              <w:t xml:space="preserve"> </w:t>
            </w:r>
            <w:r w:rsidRPr="00661595">
              <w:rPr>
                <w:rFonts w:ascii="Times New Roman" w:hAnsi="Times New Roman"/>
                <w:sz w:val="24"/>
              </w:rPr>
              <w:t xml:space="preserve">01.01 </w:t>
            </w:r>
            <w:r w:rsidR="001D4848" w:rsidRPr="00661595">
              <w:rPr>
                <w:rFonts w:ascii="Times New Roman" w:hAnsi="Times New Roman"/>
                <w:sz w:val="24"/>
              </w:rPr>
              <w:t xml:space="preserve">of Annexes III and IV to </w:t>
            </w:r>
            <w:r w:rsidR="00133396" w:rsidRPr="00661595">
              <w:rPr>
                <w:rFonts w:ascii="Times New Roman" w:hAnsi="Times New Roman"/>
                <w:sz w:val="24"/>
              </w:rPr>
              <w:t>this Implementing Regulation</w:t>
            </w:r>
            <w:r w:rsidRPr="00661595">
              <w:rPr>
                <w:rFonts w:ascii="Times New Roman" w:hAnsi="Times New Roman"/>
                <w:sz w:val="24"/>
              </w:rPr>
              <w:t>.</w:t>
            </w:r>
          </w:p>
        </w:tc>
      </w:tr>
      <w:tr w:rsidR="00B93FA1" w:rsidRPr="00661595" w:rsidTr="00672D2A">
        <w:tc>
          <w:tcPr>
            <w:tcW w:w="1101" w:type="dxa"/>
          </w:tcPr>
          <w:p w:rsidR="00B93FA1" w:rsidRPr="00661595" w:rsidRDefault="001924F4" w:rsidP="00AF3D7A">
            <w:pPr>
              <w:spacing w:beforeLines="60" w:before="144" w:afterLines="60" w:after="144"/>
              <w:rPr>
                <w:rFonts w:ascii="Times New Roman" w:hAnsi="Times New Roman"/>
                <w:sz w:val="24"/>
              </w:rPr>
            </w:pPr>
            <w:r w:rsidRPr="00661595">
              <w:rPr>
                <w:rFonts w:ascii="Times New Roman" w:hAnsi="Times New Roman"/>
                <w:sz w:val="24"/>
              </w:rPr>
              <w:t>0</w:t>
            </w:r>
            <w:r w:rsidR="00B93FA1" w:rsidRPr="00661595">
              <w:rPr>
                <w:rFonts w:ascii="Times New Roman" w:hAnsi="Times New Roman"/>
                <w:sz w:val="24"/>
              </w:rPr>
              <w:t>060</w:t>
            </w:r>
          </w:p>
        </w:tc>
        <w:tc>
          <w:tcPr>
            <w:tcW w:w="8190" w:type="dxa"/>
          </w:tcPr>
          <w:p w:rsidR="00B93FA1" w:rsidRPr="00661595" w:rsidRDefault="00B93FA1" w:rsidP="00AF3D7A">
            <w:pPr>
              <w:spacing w:beforeLines="60" w:before="144" w:afterLines="60" w:after="144"/>
              <w:rPr>
                <w:rFonts w:ascii="Times New Roman" w:hAnsi="Times New Roman"/>
                <w:b/>
                <w:sz w:val="24"/>
                <w:u w:val="single"/>
              </w:rPr>
            </w:pPr>
            <w:r w:rsidRPr="00661595">
              <w:rPr>
                <w:rFonts w:ascii="Times New Roman" w:hAnsi="Times New Roman"/>
                <w:b/>
                <w:sz w:val="24"/>
                <w:u w:val="single"/>
              </w:rPr>
              <w:t>1.1.4 FINANCIAL ASSETS DESIGNATED AT FAIR VALUE THROUGH PROFIT OR LOSS</w:t>
            </w:r>
          </w:p>
          <w:p w:rsidR="00B93FA1" w:rsidRPr="00661595" w:rsidRDefault="00B93FA1" w:rsidP="00AF3D7A">
            <w:pPr>
              <w:spacing w:beforeLines="60" w:before="144" w:afterLines="60" w:after="144"/>
              <w:rPr>
                <w:rFonts w:ascii="Times New Roman" w:hAnsi="Times New Roman"/>
                <w:sz w:val="24"/>
              </w:rPr>
            </w:pPr>
            <w:r w:rsidRPr="00661595">
              <w:rPr>
                <w:rFonts w:ascii="Times New Roman" w:hAnsi="Times New Roman"/>
                <w:sz w:val="24"/>
              </w:rPr>
              <w:t xml:space="preserve">IFRS 7.8(a)(i); IFRS 9.4.1.5; </w:t>
            </w:r>
            <w:r w:rsidR="002F78EA" w:rsidRPr="00661595">
              <w:rPr>
                <w:rFonts w:ascii="Times New Roman" w:hAnsi="Times New Roman"/>
                <w:sz w:val="24"/>
              </w:rPr>
              <w:t>point (a) of Article 8(1) and Article 8(6) AD</w:t>
            </w:r>
          </w:p>
          <w:p w:rsidR="00B93FA1" w:rsidRPr="00661595" w:rsidRDefault="00B93FA1" w:rsidP="001771A4">
            <w:pPr>
              <w:spacing w:beforeLines="60" w:before="144" w:afterLines="60" w:after="144"/>
              <w:rPr>
                <w:rFonts w:ascii="Times New Roman" w:hAnsi="Times New Roman"/>
                <w:sz w:val="24"/>
              </w:rPr>
            </w:pPr>
            <w:r w:rsidRPr="00661595">
              <w:rPr>
                <w:rFonts w:ascii="Times New Roman" w:hAnsi="Times New Roman"/>
                <w:sz w:val="24"/>
              </w:rPr>
              <w:t>The information reported in this row</w:t>
            </w:r>
            <w:r w:rsidR="00C11B8D" w:rsidRPr="00661595">
              <w:rPr>
                <w:rFonts w:ascii="Times New Roman" w:hAnsi="Times New Roman"/>
                <w:sz w:val="24"/>
              </w:rPr>
              <w:t xml:space="preserve"> shall </w:t>
            </w:r>
            <w:r w:rsidRPr="00661595">
              <w:rPr>
                <w:rFonts w:ascii="Times New Roman" w:hAnsi="Times New Roman"/>
                <w:sz w:val="24"/>
              </w:rPr>
              <w:t xml:space="preserve">correspond to row </w:t>
            </w:r>
            <w:r w:rsidR="00787733" w:rsidRPr="00661595">
              <w:rPr>
                <w:rFonts w:ascii="Times New Roman" w:hAnsi="Times New Roman"/>
                <w:sz w:val="24"/>
              </w:rPr>
              <w:t>0</w:t>
            </w:r>
            <w:r w:rsidRPr="00661595">
              <w:rPr>
                <w:rFonts w:ascii="Times New Roman" w:hAnsi="Times New Roman"/>
                <w:sz w:val="24"/>
              </w:rPr>
              <w:t>100 of template F</w:t>
            </w:r>
            <w:r w:rsidR="002B5CD1" w:rsidRPr="00661595">
              <w:rPr>
                <w:rFonts w:ascii="Times New Roman" w:hAnsi="Times New Roman"/>
                <w:sz w:val="24"/>
              </w:rPr>
              <w:t xml:space="preserve"> </w:t>
            </w:r>
            <w:r w:rsidRPr="00661595">
              <w:rPr>
                <w:rFonts w:ascii="Times New Roman" w:hAnsi="Times New Roman"/>
                <w:sz w:val="24"/>
              </w:rPr>
              <w:t xml:space="preserve">01.01 </w:t>
            </w:r>
            <w:r w:rsidR="001D4848" w:rsidRPr="00661595">
              <w:rPr>
                <w:rFonts w:ascii="Times New Roman" w:hAnsi="Times New Roman"/>
                <w:sz w:val="24"/>
              </w:rPr>
              <w:t xml:space="preserve">of Annexes III and IV to </w:t>
            </w:r>
            <w:r w:rsidR="00133396" w:rsidRPr="00661595">
              <w:rPr>
                <w:rFonts w:ascii="Times New Roman" w:hAnsi="Times New Roman"/>
                <w:sz w:val="24"/>
              </w:rPr>
              <w:t>this Implementing Regulation</w:t>
            </w:r>
            <w:r w:rsidRPr="00661595">
              <w:rPr>
                <w:rFonts w:ascii="Times New Roman" w:hAnsi="Times New Roman"/>
                <w:sz w:val="24"/>
              </w:rPr>
              <w:t>.</w:t>
            </w:r>
          </w:p>
        </w:tc>
      </w:tr>
      <w:tr w:rsidR="00B93FA1" w:rsidRPr="00661595" w:rsidTr="00672D2A">
        <w:tc>
          <w:tcPr>
            <w:tcW w:w="1101" w:type="dxa"/>
          </w:tcPr>
          <w:p w:rsidR="00B93FA1" w:rsidRPr="00661595" w:rsidRDefault="001924F4" w:rsidP="00AF3D7A">
            <w:pPr>
              <w:spacing w:beforeLines="60" w:before="144" w:afterLines="60" w:after="144"/>
              <w:rPr>
                <w:rFonts w:ascii="Times New Roman" w:hAnsi="Times New Roman"/>
                <w:sz w:val="24"/>
              </w:rPr>
            </w:pPr>
            <w:r w:rsidRPr="00661595">
              <w:rPr>
                <w:rFonts w:ascii="Times New Roman" w:hAnsi="Times New Roman"/>
                <w:sz w:val="24"/>
              </w:rPr>
              <w:t>0</w:t>
            </w:r>
            <w:r w:rsidR="00B93FA1" w:rsidRPr="00661595">
              <w:rPr>
                <w:rFonts w:ascii="Times New Roman" w:hAnsi="Times New Roman"/>
                <w:sz w:val="24"/>
              </w:rPr>
              <w:t>070</w:t>
            </w:r>
          </w:p>
        </w:tc>
        <w:tc>
          <w:tcPr>
            <w:tcW w:w="8190" w:type="dxa"/>
          </w:tcPr>
          <w:p w:rsidR="00B93FA1" w:rsidRPr="00661595" w:rsidRDefault="00B93FA1" w:rsidP="00AF3D7A">
            <w:pPr>
              <w:spacing w:beforeLines="60" w:before="144" w:afterLines="60" w:after="144"/>
              <w:rPr>
                <w:rFonts w:ascii="Times New Roman" w:hAnsi="Times New Roman"/>
                <w:b/>
                <w:sz w:val="24"/>
                <w:u w:val="single"/>
              </w:rPr>
            </w:pPr>
            <w:r w:rsidRPr="00661595">
              <w:rPr>
                <w:rFonts w:ascii="Times New Roman" w:hAnsi="Times New Roman"/>
                <w:b/>
                <w:sz w:val="24"/>
                <w:u w:val="single"/>
              </w:rPr>
              <w:t xml:space="preserve">1.1.5 </w:t>
            </w:r>
            <w:r w:rsidRPr="00661595">
              <w:rPr>
                <w:sz w:val="24"/>
              </w:rPr>
              <w:t xml:space="preserve"> </w:t>
            </w:r>
            <w:r w:rsidRPr="00661595">
              <w:rPr>
                <w:rFonts w:ascii="Times New Roman" w:hAnsi="Times New Roman"/>
                <w:b/>
                <w:sz w:val="24"/>
                <w:u w:val="single"/>
              </w:rPr>
              <w:t>FINANCIAL ASSETS AT FAIR VALUE THROUGH OTHER COMPREHENSIVE INCOME</w:t>
            </w:r>
          </w:p>
          <w:p w:rsidR="00B93FA1" w:rsidRPr="00661595" w:rsidRDefault="00B93FA1" w:rsidP="00AF3D7A">
            <w:pPr>
              <w:spacing w:beforeLines="60" w:before="144" w:afterLines="60" w:after="144"/>
              <w:rPr>
                <w:rFonts w:ascii="Times New Roman" w:hAnsi="Times New Roman"/>
                <w:sz w:val="24"/>
              </w:rPr>
            </w:pPr>
            <w:r w:rsidRPr="00661595">
              <w:rPr>
                <w:rFonts w:ascii="Times New Roman" w:hAnsi="Times New Roman"/>
                <w:sz w:val="24"/>
              </w:rPr>
              <w:t>IFRS 7.8(h); IFRS 9.4.1.2A.</w:t>
            </w:r>
          </w:p>
          <w:p w:rsidR="00B93FA1" w:rsidRPr="00661595" w:rsidRDefault="00B93FA1" w:rsidP="00C11B8D">
            <w:pPr>
              <w:spacing w:beforeLines="60" w:before="144" w:afterLines="60" w:after="144"/>
              <w:rPr>
                <w:rFonts w:ascii="Times New Roman" w:hAnsi="Times New Roman"/>
                <w:sz w:val="24"/>
              </w:rPr>
            </w:pPr>
            <w:r w:rsidRPr="00661595">
              <w:rPr>
                <w:rFonts w:ascii="Times New Roman" w:hAnsi="Times New Roman"/>
                <w:sz w:val="24"/>
              </w:rPr>
              <w:t>The information reported in this row</w:t>
            </w:r>
            <w:r w:rsidR="00C11B8D" w:rsidRPr="00661595">
              <w:rPr>
                <w:rFonts w:ascii="Times New Roman" w:hAnsi="Times New Roman"/>
                <w:sz w:val="24"/>
              </w:rPr>
              <w:t xml:space="preserve"> shall </w:t>
            </w:r>
            <w:r w:rsidRPr="00661595">
              <w:rPr>
                <w:rFonts w:ascii="Times New Roman" w:hAnsi="Times New Roman"/>
                <w:sz w:val="24"/>
              </w:rPr>
              <w:t xml:space="preserve">correspond to row </w:t>
            </w:r>
            <w:r w:rsidR="00787733" w:rsidRPr="00661595">
              <w:rPr>
                <w:rFonts w:ascii="Times New Roman" w:hAnsi="Times New Roman"/>
                <w:sz w:val="24"/>
              </w:rPr>
              <w:t>0</w:t>
            </w:r>
            <w:r w:rsidRPr="00661595">
              <w:rPr>
                <w:rFonts w:ascii="Times New Roman" w:hAnsi="Times New Roman"/>
                <w:sz w:val="24"/>
              </w:rPr>
              <w:t>141 of template F</w:t>
            </w:r>
            <w:r w:rsidR="002B5CD1" w:rsidRPr="00661595">
              <w:rPr>
                <w:rFonts w:ascii="Times New Roman" w:hAnsi="Times New Roman"/>
                <w:sz w:val="24"/>
              </w:rPr>
              <w:t xml:space="preserve"> </w:t>
            </w:r>
            <w:r w:rsidRPr="00661595">
              <w:rPr>
                <w:rFonts w:ascii="Times New Roman" w:hAnsi="Times New Roman"/>
                <w:sz w:val="24"/>
              </w:rPr>
              <w:t xml:space="preserve">01.01 </w:t>
            </w:r>
            <w:r w:rsidR="002B5CD1" w:rsidRPr="00661595">
              <w:rPr>
                <w:rFonts w:ascii="Times New Roman" w:hAnsi="Times New Roman"/>
                <w:sz w:val="24"/>
              </w:rPr>
              <w:t xml:space="preserve">of Annexes III and IV to this </w:t>
            </w:r>
            <w:r w:rsidR="006B2333" w:rsidRPr="00661595">
              <w:rPr>
                <w:rFonts w:ascii="Times New Roman" w:hAnsi="Times New Roman"/>
                <w:sz w:val="24"/>
              </w:rPr>
              <w:t xml:space="preserve">Implementing </w:t>
            </w:r>
            <w:r w:rsidR="002B5CD1" w:rsidRPr="00661595">
              <w:rPr>
                <w:rFonts w:ascii="Times New Roman" w:hAnsi="Times New Roman"/>
                <w:sz w:val="24"/>
              </w:rPr>
              <w:t>Regulation</w:t>
            </w:r>
            <w:r w:rsidRPr="00661595">
              <w:rPr>
                <w:rFonts w:ascii="Times New Roman" w:hAnsi="Times New Roman"/>
                <w:sz w:val="24"/>
              </w:rPr>
              <w:t>.</w:t>
            </w:r>
          </w:p>
        </w:tc>
      </w:tr>
      <w:tr w:rsidR="00B93FA1" w:rsidRPr="00661595" w:rsidTr="00672D2A">
        <w:tc>
          <w:tcPr>
            <w:tcW w:w="1101" w:type="dxa"/>
          </w:tcPr>
          <w:p w:rsidR="00B93FA1" w:rsidRPr="00661595" w:rsidRDefault="001924F4" w:rsidP="00AF3D7A">
            <w:pPr>
              <w:spacing w:beforeLines="60" w:before="144" w:afterLines="60" w:after="144"/>
              <w:rPr>
                <w:rFonts w:ascii="Times New Roman" w:hAnsi="Times New Roman"/>
                <w:sz w:val="24"/>
              </w:rPr>
            </w:pPr>
            <w:r w:rsidRPr="00661595">
              <w:rPr>
                <w:rFonts w:ascii="Times New Roman" w:hAnsi="Times New Roman"/>
                <w:sz w:val="24"/>
              </w:rPr>
              <w:t>0</w:t>
            </w:r>
            <w:r w:rsidR="00B93FA1" w:rsidRPr="00661595">
              <w:rPr>
                <w:rFonts w:ascii="Times New Roman" w:hAnsi="Times New Roman"/>
                <w:sz w:val="24"/>
              </w:rPr>
              <w:t>080</w:t>
            </w:r>
          </w:p>
        </w:tc>
        <w:tc>
          <w:tcPr>
            <w:tcW w:w="8190" w:type="dxa"/>
          </w:tcPr>
          <w:p w:rsidR="00B93FA1" w:rsidRPr="00661595" w:rsidRDefault="00B93FA1" w:rsidP="00AF3D7A">
            <w:pPr>
              <w:spacing w:beforeLines="60" w:before="144" w:afterLines="60" w:after="144"/>
              <w:rPr>
                <w:rFonts w:ascii="Times New Roman" w:hAnsi="Times New Roman"/>
                <w:b/>
                <w:sz w:val="24"/>
                <w:u w:val="single"/>
              </w:rPr>
            </w:pPr>
            <w:r w:rsidRPr="00661595">
              <w:rPr>
                <w:rFonts w:ascii="Times New Roman" w:hAnsi="Times New Roman"/>
                <w:b/>
                <w:sz w:val="24"/>
                <w:u w:val="single"/>
              </w:rPr>
              <w:t>1.1.6 NON-TRADING NON-DERIVATIVE FINANCIAL ASSETS MEASURED AT FAIR VALUE THROUGH PROFIT OR LOSS</w:t>
            </w:r>
          </w:p>
          <w:p w:rsidR="00B93FA1" w:rsidRPr="00661595" w:rsidRDefault="002F78EA" w:rsidP="0016282F">
            <w:pPr>
              <w:spacing w:beforeLines="60" w:before="144" w:afterLines="60" w:after="144"/>
              <w:rPr>
                <w:rFonts w:ascii="Times New Roman" w:hAnsi="Times New Roman"/>
                <w:b/>
                <w:sz w:val="24"/>
                <w:u w:val="single"/>
              </w:rPr>
            </w:pPr>
            <w:r w:rsidRPr="00661595">
              <w:rPr>
                <w:rFonts w:ascii="Times New Roman" w:hAnsi="Times New Roman"/>
                <w:sz w:val="24"/>
              </w:rPr>
              <w:t xml:space="preserve">Article 36(2) </w:t>
            </w:r>
            <w:r w:rsidR="00B93FA1" w:rsidRPr="00661595">
              <w:rPr>
                <w:rFonts w:ascii="Times New Roman" w:hAnsi="Times New Roman"/>
                <w:sz w:val="24"/>
              </w:rPr>
              <w:t>BADThe information reported in this row</w:t>
            </w:r>
            <w:r w:rsidR="00C11B8D" w:rsidRPr="00661595">
              <w:rPr>
                <w:rFonts w:ascii="Times New Roman" w:hAnsi="Times New Roman"/>
                <w:sz w:val="24"/>
              </w:rPr>
              <w:t xml:space="preserve"> shall </w:t>
            </w:r>
            <w:r w:rsidR="00B93FA1" w:rsidRPr="00661595">
              <w:rPr>
                <w:rFonts w:ascii="Times New Roman" w:hAnsi="Times New Roman"/>
                <w:sz w:val="24"/>
              </w:rPr>
              <w:t xml:space="preserve">correspond to row </w:t>
            </w:r>
            <w:r w:rsidR="00787733" w:rsidRPr="00661595">
              <w:rPr>
                <w:rFonts w:ascii="Times New Roman" w:hAnsi="Times New Roman"/>
                <w:sz w:val="24"/>
              </w:rPr>
              <w:t>0</w:t>
            </w:r>
            <w:r w:rsidR="00B93FA1" w:rsidRPr="00661595">
              <w:rPr>
                <w:rFonts w:ascii="Times New Roman" w:hAnsi="Times New Roman"/>
                <w:sz w:val="24"/>
              </w:rPr>
              <w:t xml:space="preserve">171 of template </w:t>
            </w:r>
            <w:r w:rsidR="002B5CD1" w:rsidRPr="00661595">
              <w:rPr>
                <w:rFonts w:ascii="Times New Roman" w:hAnsi="Times New Roman"/>
                <w:sz w:val="24"/>
              </w:rPr>
              <w:t xml:space="preserve">F 01.01 of Annexes III and IV to </w:t>
            </w:r>
            <w:r w:rsidR="00133396" w:rsidRPr="00661595">
              <w:rPr>
                <w:rFonts w:ascii="Times New Roman" w:hAnsi="Times New Roman"/>
                <w:sz w:val="24"/>
              </w:rPr>
              <w:t>this Implementing Regulation</w:t>
            </w:r>
            <w:r w:rsidR="002B5CD1" w:rsidRPr="00661595">
              <w:rPr>
                <w:rFonts w:ascii="Times New Roman" w:hAnsi="Times New Roman"/>
                <w:sz w:val="24"/>
              </w:rPr>
              <w:t>.</w:t>
            </w:r>
          </w:p>
        </w:tc>
      </w:tr>
      <w:tr w:rsidR="00B93FA1" w:rsidRPr="00661595" w:rsidTr="00672D2A">
        <w:tc>
          <w:tcPr>
            <w:tcW w:w="1101" w:type="dxa"/>
          </w:tcPr>
          <w:p w:rsidR="00B93FA1" w:rsidRPr="00661595" w:rsidRDefault="001924F4" w:rsidP="00AF3D7A">
            <w:pPr>
              <w:spacing w:beforeLines="60" w:before="144" w:afterLines="60" w:after="144"/>
              <w:rPr>
                <w:rFonts w:ascii="Times New Roman" w:hAnsi="Times New Roman"/>
                <w:sz w:val="24"/>
              </w:rPr>
            </w:pPr>
            <w:r w:rsidRPr="00661595">
              <w:rPr>
                <w:rFonts w:ascii="Times New Roman" w:hAnsi="Times New Roman"/>
                <w:sz w:val="24"/>
              </w:rPr>
              <w:t>0</w:t>
            </w:r>
            <w:r w:rsidR="00B93FA1" w:rsidRPr="00661595">
              <w:rPr>
                <w:rFonts w:ascii="Times New Roman" w:hAnsi="Times New Roman"/>
                <w:sz w:val="24"/>
              </w:rPr>
              <w:t>090</w:t>
            </w:r>
          </w:p>
        </w:tc>
        <w:tc>
          <w:tcPr>
            <w:tcW w:w="8190" w:type="dxa"/>
          </w:tcPr>
          <w:p w:rsidR="00B93FA1" w:rsidRPr="00661595" w:rsidRDefault="00B93FA1" w:rsidP="00AF3D7A">
            <w:pPr>
              <w:spacing w:beforeLines="60" w:before="144" w:afterLines="60" w:after="144"/>
              <w:rPr>
                <w:rFonts w:ascii="Times New Roman" w:hAnsi="Times New Roman"/>
                <w:b/>
                <w:sz w:val="24"/>
                <w:u w:val="single"/>
              </w:rPr>
            </w:pPr>
            <w:r w:rsidRPr="00661595">
              <w:rPr>
                <w:rFonts w:ascii="Times New Roman" w:hAnsi="Times New Roman"/>
                <w:b/>
                <w:sz w:val="24"/>
                <w:u w:val="single"/>
              </w:rPr>
              <w:t>1.1.7 NON-TRADING NON-DERIVATIVE FINANCIAL ASSETS MEASURED AT FAIR VALUE TO EQUITY</w:t>
            </w:r>
          </w:p>
          <w:p w:rsidR="00B93FA1" w:rsidRPr="00661595" w:rsidRDefault="002F78EA" w:rsidP="00AF3D7A">
            <w:pPr>
              <w:spacing w:beforeLines="60" w:before="144" w:afterLines="60" w:after="144"/>
              <w:rPr>
                <w:rFonts w:ascii="Times New Roman" w:hAnsi="Times New Roman"/>
                <w:sz w:val="24"/>
              </w:rPr>
            </w:pPr>
            <w:r w:rsidRPr="00661595">
              <w:rPr>
                <w:rFonts w:ascii="Times New Roman" w:hAnsi="Times New Roman"/>
                <w:sz w:val="24"/>
              </w:rPr>
              <w:t>Point (a) of Article 8(1) and Article 8(8) AD</w:t>
            </w:r>
            <w:r w:rsidR="00B93FA1" w:rsidRPr="00661595">
              <w:rPr>
                <w:rFonts w:ascii="Times New Roman" w:hAnsi="Times New Roman"/>
                <w:sz w:val="24"/>
              </w:rPr>
              <w:t xml:space="preserve"> </w:t>
            </w:r>
          </w:p>
          <w:p w:rsidR="00B93FA1" w:rsidRPr="00661595" w:rsidRDefault="00B93FA1" w:rsidP="0016282F">
            <w:pPr>
              <w:spacing w:beforeLines="60" w:before="144" w:afterLines="60" w:after="144"/>
              <w:rPr>
                <w:rFonts w:ascii="Times New Roman" w:hAnsi="Times New Roman"/>
                <w:b/>
                <w:sz w:val="24"/>
                <w:u w:val="single"/>
              </w:rPr>
            </w:pPr>
            <w:r w:rsidRPr="00661595">
              <w:rPr>
                <w:rFonts w:ascii="Times New Roman" w:hAnsi="Times New Roman"/>
                <w:sz w:val="24"/>
              </w:rPr>
              <w:t xml:space="preserve">The information reported in this row </w:t>
            </w:r>
            <w:r w:rsidR="00C11B8D" w:rsidRPr="00661595">
              <w:rPr>
                <w:rFonts w:ascii="Times New Roman" w:hAnsi="Times New Roman"/>
                <w:sz w:val="24"/>
              </w:rPr>
              <w:t xml:space="preserve">shall </w:t>
            </w:r>
            <w:r w:rsidRPr="00661595">
              <w:rPr>
                <w:rFonts w:ascii="Times New Roman" w:hAnsi="Times New Roman"/>
                <w:sz w:val="24"/>
              </w:rPr>
              <w:t xml:space="preserve">correspond to row </w:t>
            </w:r>
            <w:r w:rsidR="00787733" w:rsidRPr="00661595">
              <w:rPr>
                <w:rFonts w:ascii="Times New Roman" w:hAnsi="Times New Roman"/>
                <w:sz w:val="24"/>
              </w:rPr>
              <w:t>0</w:t>
            </w:r>
            <w:r w:rsidRPr="00661595">
              <w:rPr>
                <w:rFonts w:ascii="Times New Roman" w:hAnsi="Times New Roman"/>
                <w:sz w:val="24"/>
              </w:rPr>
              <w:t xml:space="preserve">175 of template </w:t>
            </w:r>
            <w:r w:rsidR="002B5CD1" w:rsidRPr="00661595">
              <w:rPr>
                <w:rFonts w:ascii="Times New Roman" w:hAnsi="Times New Roman"/>
                <w:sz w:val="24"/>
              </w:rPr>
              <w:t xml:space="preserve">F 01.01 of Annexes III and IV to </w:t>
            </w:r>
            <w:r w:rsidR="00133396" w:rsidRPr="00661595">
              <w:rPr>
                <w:rFonts w:ascii="Times New Roman" w:hAnsi="Times New Roman"/>
                <w:sz w:val="24"/>
              </w:rPr>
              <w:t>this Implementing Regulation</w:t>
            </w:r>
            <w:r w:rsidR="002B5CD1" w:rsidRPr="00661595">
              <w:rPr>
                <w:rFonts w:ascii="Times New Roman" w:hAnsi="Times New Roman"/>
                <w:sz w:val="24"/>
              </w:rPr>
              <w:t>.</w:t>
            </w:r>
          </w:p>
        </w:tc>
      </w:tr>
      <w:tr w:rsidR="00B93FA1" w:rsidRPr="00661595" w:rsidTr="00672D2A">
        <w:tc>
          <w:tcPr>
            <w:tcW w:w="1101" w:type="dxa"/>
          </w:tcPr>
          <w:p w:rsidR="00B93FA1" w:rsidRPr="00661595" w:rsidRDefault="001924F4" w:rsidP="00AF3D7A">
            <w:pPr>
              <w:spacing w:beforeLines="60" w:before="144" w:afterLines="60" w:after="144"/>
              <w:rPr>
                <w:rFonts w:ascii="Times New Roman" w:hAnsi="Times New Roman"/>
                <w:sz w:val="24"/>
              </w:rPr>
            </w:pPr>
            <w:r w:rsidRPr="00661595">
              <w:rPr>
                <w:rFonts w:ascii="Times New Roman" w:hAnsi="Times New Roman"/>
                <w:sz w:val="24"/>
              </w:rPr>
              <w:t>0</w:t>
            </w:r>
            <w:r w:rsidR="00B93FA1" w:rsidRPr="00661595">
              <w:rPr>
                <w:rFonts w:ascii="Times New Roman" w:hAnsi="Times New Roman"/>
                <w:sz w:val="24"/>
              </w:rPr>
              <w:t>100</w:t>
            </w:r>
          </w:p>
        </w:tc>
        <w:tc>
          <w:tcPr>
            <w:tcW w:w="8190" w:type="dxa"/>
          </w:tcPr>
          <w:p w:rsidR="00B93FA1" w:rsidRPr="00661595" w:rsidRDefault="00B93FA1" w:rsidP="00AF3D7A">
            <w:pPr>
              <w:spacing w:beforeLines="60" w:before="144" w:afterLines="60" w:after="144"/>
              <w:rPr>
                <w:rFonts w:ascii="Times New Roman" w:hAnsi="Times New Roman"/>
                <w:b/>
                <w:sz w:val="24"/>
                <w:u w:val="single"/>
              </w:rPr>
            </w:pPr>
            <w:r w:rsidRPr="00661595">
              <w:rPr>
                <w:rFonts w:ascii="Times New Roman" w:hAnsi="Times New Roman"/>
                <w:b/>
                <w:sz w:val="24"/>
                <w:u w:val="single"/>
              </w:rPr>
              <w:t>1.1.8 OTHER NON-TRADING NON-DERIVATIVE FINANCIAL ASSETS</w:t>
            </w:r>
          </w:p>
          <w:p w:rsidR="00B93FA1" w:rsidRPr="00661595" w:rsidRDefault="002F78EA" w:rsidP="00AF3D7A">
            <w:pPr>
              <w:spacing w:beforeLines="60" w:before="144" w:afterLines="60" w:after="144"/>
              <w:rPr>
                <w:rFonts w:ascii="Times New Roman" w:hAnsi="Times New Roman"/>
                <w:sz w:val="24"/>
              </w:rPr>
            </w:pPr>
            <w:r w:rsidRPr="00661595">
              <w:rPr>
                <w:rFonts w:ascii="Times New Roman" w:hAnsi="Times New Roman"/>
                <w:sz w:val="24"/>
              </w:rPr>
              <w:t xml:space="preserve">Article 37 </w:t>
            </w:r>
            <w:r w:rsidR="00B93FA1" w:rsidRPr="00661595">
              <w:rPr>
                <w:rFonts w:ascii="Times New Roman" w:hAnsi="Times New Roman"/>
                <w:sz w:val="24"/>
              </w:rPr>
              <w:t xml:space="preserve">BAD; </w:t>
            </w:r>
            <w:r w:rsidRPr="00661595">
              <w:rPr>
                <w:rFonts w:ascii="Times New Roman" w:hAnsi="Times New Roman"/>
                <w:sz w:val="24"/>
              </w:rPr>
              <w:t>Article 12(7) AD</w:t>
            </w:r>
            <w:r w:rsidR="00B93FA1" w:rsidRPr="00661595">
              <w:rPr>
                <w:rFonts w:ascii="Times New Roman" w:hAnsi="Times New Roman"/>
                <w:sz w:val="24"/>
              </w:rPr>
              <w:t xml:space="preserve">; </w:t>
            </w:r>
            <w:r w:rsidRPr="00661595">
              <w:rPr>
                <w:rFonts w:ascii="Times New Roman" w:hAnsi="Times New Roman"/>
                <w:bCs/>
                <w:sz w:val="24"/>
                <w:lang w:eastAsia="de-DE"/>
              </w:rPr>
              <w:t>Part 1.20 of Annex V to this Implementing Regulation</w:t>
            </w:r>
          </w:p>
          <w:p w:rsidR="00DE08E6" w:rsidRPr="00661595" w:rsidRDefault="00B93FA1" w:rsidP="006B2333">
            <w:pPr>
              <w:spacing w:beforeLines="60" w:before="144" w:afterLines="60" w:after="144"/>
              <w:rPr>
                <w:rFonts w:ascii="Times New Roman" w:hAnsi="Times New Roman"/>
                <w:sz w:val="24"/>
              </w:rPr>
            </w:pPr>
            <w:r w:rsidRPr="00661595">
              <w:rPr>
                <w:rFonts w:ascii="Times New Roman" w:hAnsi="Times New Roman"/>
                <w:sz w:val="24"/>
              </w:rPr>
              <w:t>The information reported in this row</w:t>
            </w:r>
            <w:r w:rsidR="00C11B8D" w:rsidRPr="00661595">
              <w:rPr>
                <w:rFonts w:ascii="Times New Roman" w:hAnsi="Times New Roman"/>
                <w:sz w:val="24"/>
              </w:rPr>
              <w:t xml:space="preserve"> shall </w:t>
            </w:r>
            <w:r w:rsidRPr="00661595">
              <w:rPr>
                <w:rFonts w:ascii="Times New Roman" w:hAnsi="Times New Roman"/>
                <w:sz w:val="24"/>
              </w:rPr>
              <w:t xml:space="preserve">correspond to </w:t>
            </w:r>
            <w:r w:rsidR="00DE08E6" w:rsidRPr="00661595">
              <w:rPr>
                <w:rFonts w:ascii="Times New Roman" w:hAnsi="Times New Roman"/>
                <w:sz w:val="24"/>
              </w:rPr>
              <w:t xml:space="preserve">assets measured at fair value that are included in the value reported in </w:t>
            </w:r>
            <w:r w:rsidRPr="00661595">
              <w:rPr>
                <w:rFonts w:ascii="Times New Roman" w:hAnsi="Times New Roman"/>
                <w:sz w:val="24"/>
              </w:rPr>
              <w:t xml:space="preserve">row </w:t>
            </w:r>
            <w:r w:rsidR="00787733" w:rsidRPr="00661595">
              <w:rPr>
                <w:rFonts w:ascii="Times New Roman" w:hAnsi="Times New Roman"/>
                <w:sz w:val="24"/>
              </w:rPr>
              <w:t>0</w:t>
            </w:r>
            <w:r w:rsidRPr="00661595">
              <w:rPr>
                <w:rFonts w:ascii="Times New Roman" w:hAnsi="Times New Roman"/>
                <w:sz w:val="24"/>
              </w:rPr>
              <w:t xml:space="preserve">234 of template </w:t>
            </w:r>
            <w:r w:rsidR="002B5CD1" w:rsidRPr="00661595">
              <w:rPr>
                <w:rFonts w:ascii="Times New Roman" w:hAnsi="Times New Roman"/>
                <w:sz w:val="24"/>
              </w:rPr>
              <w:t xml:space="preserve">F 01.01 of Annexes III and IV to </w:t>
            </w:r>
            <w:r w:rsidR="00133396" w:rsidRPr="00661595">
              <w:rPr>
                <w:rFonts w:ascii="Times New Roman" w:hAnsi="Times New Roman"/>
                <w:sz w:val="24"/>
              </w:rPr>
              <w:t>this</w:t>
            </w:r>
            <w:r w:rsidR="0016282F" w:rsidRPr="00661595">
              <w:rPr>
                <w:rFonts w:ascii="Times New Roman" w:hAnsi="Times New Roman"/>
                <w:sz w:val="24"/>
              </w:rPr>
              <w:t xml:space="preserve"> </w:t>
            </w:r>
            <w:r w:rsidR="00133396" w:rsidRPr="00661595">
              <w:rPr>
                <w:rFonts w:ascii="Times New Roman" w:hAnsi="Times New Roman"/>
                <w:sz w:val="24"/>
              </w:rPr>
              <w:t>Implementing Regulation</w:t>
            </w:r>
            <w:r w:rsidR="002B5CD1" w:rsidRPr="00661595">
              <w:rPr>
                <w:rFonts w:ascii="Times New Roman" w:hAnsi="Times New Roman"/>
                <w:sz w:val="24"/>
              </w:rPr>
              <w:t>.</w:t>
            </w:r>
          </w:p>
        </w:tc>
      </w:tr>
      <w:tr w:rsidR="00B93FA1" w:rsidRPr="00661595" w:rsidTr="00672D2A">
        <w:tc>
          <w:tcPr>
            <w:tcW w:w="1101" w:type="dxa"/>
          </w:tcPr>
          <w:p w:rsidR="00B93FA1" w:rsidRPr="00661595" w:rsidRDefault="001924F4" w:rsidP="00AF3D7A">
            <w:pPr>
              <w:spacing w:beforeLines="60" w:before="144" w:afterLines="60" w:after="144"/>
              <w:rPr>
                <w:rFonts w:ascii="Times New Roman" w:hAnsi="Times New Roman"/>
                <w:sz w:val="24"/>
              </w:rPr>
            </w:pPr>
            <w:r w:rsidRPr="00661595">
              <w:rPr>
                <w:rFonts w:ascii="Times New Roman" w:hAnsi="Times New Roman"/>
                <w:sz w:val="24"/>
              </w:rPr>
              <w:t>0</w:t>
            </w:r>
            <w:r w:rsidR="00B93FA1" w:rsidRPr="00661595">
              <w:rPr>
                <w:rFonts w:ascii="Times New Roman" w:hAnsi="Times New Roman"/>
                <w:sz w:val="24"/>
              </w:rPr>
              <w:t>110</w:t>
            </w:r>
          </w:p>
        </w:tc>
        <w:tc>
          <w:tcPr>
            <w:tcW w:w="8190" w:type="dxa"/>
          </w:tcPr>
          <w:p w:rsidR="00B93FA1" w:rsidRPr="00661595" w:rsidRDefault="00B93FA1" w:rsidP="00AF3D7A">
            <w:pPr>
              <w:spacing w:beforeLines="60" w:before="144" w:afterLines="60" w:after="144"/>
              <w:rPr>
                <w:rFonts w:ascii="Times New Roman" w:hAnsi="Times New Roman"/>
                <w:b/>
                <w:sz w:val="24"/>
                <w:u w:val="single"/>
              </w:rPr>
            </w:pPr>
            <w:r w:rsidRPr="00661595">
              <w:rPr>
                <w:rFonts w:ascii="Times New Roman" w:hAnsi="Times New Roman"/>
                <w:b/>
                <w:sz w:val="24"/>
                <w:u w:val="single"/>
              </w:rPr>
              <w:t>1.1.9 DERIVATIVES - HEDGE ACCOUNTING</w:t>
            </w:r>
          </w:p>
          <w:p w:rsidR="00B93FA1" w:rsidRPr="00661595" w:rsidRDefault="00B93FA1" w:rsidP="00AF3D7A">
            <w:pPr>
              <w:spacing w:beforeLines="60" w:before="144" w:afterLines="60" w:after="144"/>
              <w:rPr>
                <w:rFonts w:ascii="Times New Roman" w:hAnsi="Times New Roman"/>
                <w:sz w:val="24"/>
              </w:rPr>
            </w:pPr>
            <w:r w:rsidRPr="00661595">
              <w:rPr>
                <w:rFonts w:ascii="Times New Roman" w:hAnsi="Times New Roman"/>
                <w:sz w:val="24"/>
              </w:rPr>
              <w:t xml:space="preserve">IFRS 9.6.2.1; </w:t>
            </w:r>
            <w:r w:rsidR="002F78EA" w:rsidRPr="00661595">
              <w:rPr>
                <w:rFonts w:ascii="Times New Roman" w:hAnsi="Times New Roman"/>
                <w:bCs/>
                <w:sz w:val="24"/>
                <w:lang w:eastAsia="de-DE"/>
              </w:rPr>
              <w:t>Part 1.22 of Annex V to this Implementing Regulation</w:t>
            </w:r>
            <w:r w:rsidRPr="00661595">
              <w:rPr>
                <w:rFonts w:ascii="Times New Roman" w:hAnsi="Times New Roman"/>
                <w:sz w:val="24"/>
              </w:rPr>
              <w:t xml:space="preserve">; </w:t>
            </w:r>
            <w:r w:rsidR="002F78EA" w:rsidRPr="00661595">
              <w:rPr>
                <w:rFonts w:ascii="Times New Roman" w:hAnsi="Times New Roman"/>
                <w:sz w:val="24"/>
              </w:rPr>
              <w:t xml:space="preserve">point (a) of Article 8(1) and </w:t>
            </w:r>
            <w:r w:rsidR="0016282F" w:rsidRPr="00661595">
              <w:rPr>
                <w:rFonts w:ascii="Times New Roman" w:hAnsi="Times New Roman"/>
                <w:sz w:val="24"/>
              </w:rPr>
              <w:t xml:space="preserve">paragraphs 6 and 8 of </w:t>
            </w:r>
            <w:r w:rsidR="002F78EA" w:rsidRPr="00661595">
              <w:rPr>
                <w:rFonts w:ascii="Times New Roman" w:hAnsi="Times New Roman"/>
                <w:sz w:val="24"/>
              </w:rPr>
              <w:t>Article 8 AD</w:t>
            </w:r>
            <w:r w:rsidRPr="00661595">
              <w:rPr>
                <w:rFonts w:ascii="Times New Roman" w:hAnsi="Times New Roman"/>
                <w:sz w:val="24"/>
              </w:rPr>
              <w:t>; IAS 39.9</w:t>
            </w:r>
          </w:p>
          <w:p w:rsidR="00B93FA1" w:rsidRPr="00661595" w:rsidRDefault="00B93FA1" w:rsidP="001771A4">
            <w:pPr>
              <w:spacing w:beforeLines="60" w:before="144" w:afterLines="60" w:after="144"/>
              <w:rPr>
                <w:rFonts w:ascii="Times New Roman" w:hAnsi="Times New Roman"/>
                <w:sz w:val="24"/>
              </w:rPr>
            </w:pPr>
            <w:r w:rsidRPr="00661595">
              <w:rPr>
                <w:rFonts w:ascii="Times New Roman" w:hAnsi="Times New Roman"/>
                <w:sz w:val="24"/>
              </w:rPr>
              <w:t>The information reported in this row</w:t>
            </w:r>
            <w:r w:rsidR="00C11B8D" w:rsidRPr="00661595">
              <w:rPr>
                <w:rFonts w:ascii="Times New Roman" w:hAnsi="Times New Roman"/>
                <w:sz w:val="24"/>
              </w:rPr>
              <w:t xml:space="preserve"> shall </w:t>
            </w:r>
            <w:r w:rsidRPr="00661595">
              <w:rPr>
                <w:rFonts w:ascii="Times New Roman" w:hAnsi="Times New Roman"/>
                <w:sz w:val="24"/>
              </w:rPr>
              <w:t xml:space="preserve">correspond to row </w:t>
            </w:r>
            <w:r w:rsidR="00787733" w:rsidRPr="00661595">
              <w:rPr>
                <w:rFonts w:ascii="Times New Roman" w:hAnsi="Times New Roman"/>
                <w:sz w:val="24"/>
              </w:rPr>
              <w:t>0</w:t>
            </w:r>
            <w:r w:rsidRPr="00661595">
              <w:rPr>
                <w:rFonts w:ascii="Times New Roman" w:hAnsi="Times New Roman"/>
                <w:sz w:val="24"/>
              </w:rPr>
              <w:t xml:space="preserve">240 of template </w:t>
            </w:r>
            <w:r w:rsidR="002B5CD1" w:rsidRPr="00661595">
              <w:rPr>
                <w:rFonts w:ascii="Times New Roman" w:hAnsi="Times New Roman"/>
                <w:sz w:val="24"/>
              </w:rPr>
              <w:t xml:space="preserve">F 01.01 of Annexes III and IV to </w:t>
            </w:r>
            <w:r w:rsidR="00133396" w:rsidRPr="00661595">
              <w:rPr>
                <w:rFonts w:ascii="Times New Roman" w:hAnsi="Times New Roman"/>
                <w:sz w:val="24"/>
              </w:rPr>
              <w:t>this Implementing Regulation</w:t>
            </w:r>
            <w:r w:rsidR="002B5CD1" w:rsidRPr="00661595">
              <w:rPr>
                <w:rFonts w:ascii="Times New Roman" w:hAnsi="Times New Roman"/>
                <w:sz w:val="24"/>
              </w:rPr>
              <w:t>.</w:t>
            </w:r>
          </w:p>
        </w:tc>
      </w:tr>
      <w:tr w:rsidR="00B93FA1" w:rsidRPr="00661595" w:rsidTr="00672D2A">
        <w:tc>
          <w:tcPr>
            <w:tcW w:w="1101" w:type="dxa"/>
          </w:tcPr>
          <w:p w:rsidR="00B93FA1" w:rsidRPr="00661595" w:rsidDel="006529A1" w:rsidRDefault="001924F4" w:rsidP="00AF3D7A">
            <w:pPr>
              <w:spacing w:beforeLines="60" w:before="144" w:afterLines="60" w:after="144"/>
              <w:rPr>
                <w:rFonts w:ascii="Times New Roman" w:hAnsi="Times New Roman"/>
                <w:sz w:val="24"/>
              </w:rPr>
            </w:pPr>
            <w:r w:rsidRPr="00661595">
              <w:rPr>
                <w:rFonts w:ascii="Times New Roman" w:hAnsi="Times New Roman"/>
                <w:sz w:val="24"/>
              </w:rPr>
              <w:t>0</w:t>
            </w:r>
            <w:r w:rsidR="00B93FA1" w:rsidRPr="00661595">
              <w:rPr>
                <w:rFonts w:ascii="Times New Roman" w:hAnsi="Times New Roman"/>
                <w:sz w:val="24"/>
              </w:rPr>
              <w:t>120</w:t>
            </w:r>
          </w:p>
        </w:tc>
        <w:tc>
          <w:tcPr>
            <w:tcW w:w="8190" w:type="dxa"/>
          </w:tcPr>
          <w:p w:rsidR="00B93FA1" w:rsidRPr="00661595" w:rsidRDefault="00B93FA1" w:rsidP="00AF3D7A">
            <w:pPr>
              <w:spacing w:beforeLines="60" w:before="144" w:afterLines="60" w:after="144"/>
              <w:rPr>
                <w:rFonts w:ascii="Times New Roman" w:hAnsi="Times New Roman"/>
                <w:b/>
                <w:sz w:val="24"/>
                <w:u w:val="single"/>
              </w:rPr>
            </w:pPr>
            <w:r w:rsidRPr="00661595">
              <w:rPr>
                <w:rFonts w:ascii="Times New Roman" w:hAnsi="Times New Roman"/>
                <w:b/>
                <w:sz w:val="24"/>
                <w:u w:val="single"/>
              </w:rPr>
              <w:t>1.1.10 FAIR VALUE CHANGES OF THE HEDGED ITEMS IN PORTFOLIO HEDGE OF INTEREST RATE RISK</w:t>
            </w:r>
          </w:p>
          <w:p w:rsidR="00B93FA1" w:rsidRPr="00661595" w:rsidRDefault="00B93FA1" w:rsidP="008D230A">
            <w:pPr>
              <w:spacing w:beforeLines="60" w:before="144" w:afterLines="60" w:after="144"/>
              <w:rPr>
                <w:rFonts w:ascii="Times New Roman" w:hAnsi="Times New Roman"/>
                <w:b/>
                <w:sz w:val="24"/>
                <w:u w:val="single"/>
              </w:rPr>
            </w:pPr>
            <w:r w:rsidRPr="00661595">
              <w:rPr>
                <w:rFonts w:ascii="Times New Roman" w:hAnsi="Times New Roman"/>
                <w:sz w:val="24"/>
              </w:rPr>
              <w:t xml:space="preserve">IAS 39.89A(a); IFRS 9.6.5.8; </w:t>
            </w:r>
            <w:r w:rsidR="008D230A" w:rsidRPr="00661595">
              <w:rPr>
                <w:rFonts w:ascii="Times New Roman" w:hAnsi="Times New Roman"/>
                <w:sz w:val="24"/>
              </w:rPr>
              <w:t>Paragraphs 5 and 6 of</w:t>
            </w:r>
            <w:r w:rsidR="002F78EA" w:rsidRPr="00661595">
              <w:rPr>
                <w:rFonts w:ascii="Times New Roman" w:hAnsi="Times New Roman"/>
                <w:sz w:val="24"/>
              </w:rPr>
              <w:t xml:space="preserve"> Article 8</w:t>
            </w:r>
            <w:r w:rsidR="00B71CD5" w:rsidRPr="00661595">
              <w:rPr>
                <w:rFonts w:ascii="Times New Roman" w:hAnsi="Times New Roman"/>
                <w:sz w:val="24"/>
              </w:rPr>
              <w:t xml:space="preserve"> </w:t>
            </w:r>
            <w:r w:rsidR="002F78EA" w:rsidRPr="00661595">
              <w:rPr>
                <w:rFonts w:ascii="Times New Roman" w:hAnsi="Times New Roman"/>
                <w:sz w:val="24"/>
              </w:rPr>
              <w:t>AD</w:t>
            </w:r>
            <w:r w:rsidRPr="00661595">
              <w:rPr>
                <w:rFonts w:ascii="Times New Roman" w:hAnsi="Times New Roman"/>
                <w:sz w:val="24"/>
              </w:rPr>
              <w:t>The information reported in this row</w:t>
            </w:r>
            <w:r w:rsidR="00C11B8D" w:rsidRPr="00661595">
              <w:rPr>
                <w:rFonts w:ascii="Times New Roman" w:hAnsi="Times New Roman"/>
                <w:sz w:val="24"/>
              </w:rPr>
              <w:t xml:space="preserve"> shall </w:t>
            </w:r>
            <w:r w:rsidRPr="00661595">
              <w:rPr>
                <w:rFonts w:ascii="Times New Roman" w:hAnsi="Times New Roman"/>
                <w:sz w:val="24"/>
              </w:rPr>
              <w:t xml:space="preserve">correspond to row </w:t>
            </w:r>
            <w:r w:rsidR="00787733" w:rsidRPr="00661595">
              <w:rPr>
                <w:rFonts w:ascii="Times New Roman" w:hAnsi="Times New Roman"/>
                <w:sz w:val="24"/>
              </w:rPr>
              <w:t>0</w:t>
            </w:r>
            <w:r w:rsidRPr="00661595">
              <w:rPr>
                <w:rFonts w:ascii="Times New Roman" w:hAnsi="Times New Roman"/>
                <w:sz w:val="24"/>
              </w:rPr>
              <w:t xml:space="preserve">250 of template </w:t>
            </w:r>
            <w:r w:rsidR="002B5CD1" w:rsidRPr="00661595">
              <w:rPr>
                <w:rFonts w:ascii="Times New Roman" w:hAnsi="Times New Roman"/>
                <w:sz w:val="24"/>
              </w:rPr>
              <w:t xml:space="preserve">F 01.01 of Annexes III and IV to </w:t>
            </w:r>
            <w:r w:rsidR="00133396" w:rsidRPr="00661595">
              <w:rPr>
                <w:rFonts w:ascii="Times New Roman" w:hAnsi="Times New Roman"/>
                <w:sz w:val="24"/>
              </w:rPr>
              <w:t>this Implementing Regulation</w:t>
            </w:r>
            <w:r w:rsidR="002B5CD1" w:rsidRPr="00661595">
              <w:rPr>
                <w:rFonts w:ascii="Times New Roman" w:hAnsi="Times New Roman"/>
                <w:sz w:val="24"/>
              </w:rPr>
              <w:t>.</w:t>
            </w:r>
          </w:p>
        </w:tc>
      </w:tr>
      <w:tr w:rsidR="00B93FA1" w:rsidRPr="00661595" w:rsidTr="00672D2A">
        <w:tc>
          <w:tcPr>
            <w:tcW w:w="1101" w:type="dxa"/>
          </w:tcPr>
          <w:p w:rsidR="00B93FA1" w:rsidRPr="00661595" w:rsidRDefault="001924F4" w:rsidP="00AF3D7A">
            <w:pPr>
              <w:spacing w:beforeLines="60" w:before="144" w:afterLines="60" w:after="144"/>
              <w:rPr>
                <w:rFonts w:ascii="Times New Roman" w:hAnsi="Times New Roman"/>
                <w:sz w:val="24"/>
              </w:rPr>
            </w:pPr>
            <w:r w:rsidRPr="00661595">
              <w:rPr>
                <w:rFonts w:ascii="Times New Roman" w:hAnsi="Times New Roman"/>
                <w:sz w:val="24"/>
              </w:rPr>
              <w:t>0</w:t>
            </w:r>
            <w:r w:rsidR="00B93FA1" w:rsidRPr="00661595">
              <w:rPr>
                <w:rFonts w:ascii="Times New Roman" w:hAnsi="Times New Roman"/>
                <w:sz w:val="24"/>
              </w:rPr>
              <w:t>130</w:t>
            </w:r>
          </w:p>
        </w:tc>
        <w:tc>
          <w:tcPr>
            <w:tcW w:w="8190" w:type="dxa"/>
          </w:tcPr>
          <w:p w:rsidR="00B93FA1" w:rsidRPr="00661595" w:rsidRDefault="00B93FA1" w:rsidP="00AF3D7A">
            <w:pPr>
              <w:spacing w:beforeLines="60" w:before="144" w:afterLines="60" w:after="144"/>
              <w:rPr>
                <w:rFonts w:ascii="Times New Roman" w:hAnsi="Times New Roman"/>
                <w:b/>
                <w:sz w:val="24"/>
                <w:u w:val="single"/>
              </w:rPr>
            </w:pPr>
            <w:r w:rsidRPr="00661595">
              <w:rPr>
                <w:rFonts w:ascii="Times New Roman" w:hAnsi="Times New Roman"/>
                <w:b/>
                <w:sz w:val="24"/>
                <w:u w:val="single"/>
              </w:rPr>
              <w:t>1.1.11 INVESTMENTS IN SUBSIDIARIES, JOINT VENTURES AND ASSOCIATES</w:t>
            </w:r>
          </w:p>
          <w:p w:rsidR="00B93FA1" w:rsidRPr="00661595" w:rsidRDefault="00B93FA1" w:rsidP="00AF3D7A">
            <w:pPr>
              <w:spacing w:beforeLines="60" w:before="144" w:afterLines="60" w:after="144"/>
              <w:rPr>
                <w:rFonts w:ascii="Times New Roman" w:hAnsi="Times New Roman"/>
                <w:sz w:val="24"/>
              </w:rPr>
            </w:pPr>
            <w:r w:rsidRPr="00661595">
              <w:rPr>
                <w:rFonts w:ascii="Times New Roman" w:hAnsi="Times New Roman"/>
                <w:sz w:val="24"/>
              </w:rPr>
              <w:t xml:space="preserve">IAS 1.54(e); </w:t>
            </w:r>
            <w:r w:rsidR="002F78EA" w:rsidRPr="00661595">
              <w:rPr>
                <w:rFonts w:ascii="Times New Roman" w:hAnsi="Times New Roman"/>
                <w:bCs/>
                <w:sz w:val="24"/>
                <w:lang w:eastAsia="de-DE"/>
              </w:rPr>
              <w:t>Parts 1.21 and 2.4 of Annex V to this Implementing Regulation</w:t>
            </w:r>
            <w:r w:rsidRPr="00661595">
              <w:rPr>
                <w:rFonts w:ascii="Times New Roman" w:hAnsi="Times New Roman"/>
                <w:sz w:val="24"/>
              </w:rPr>
              <w:t xml:space="preserve">; </w:t>
            </w:r>
            <w:r w:rsidR="002F78EA" w:rsidRPr="00661595">
              <w:rPr>
                <w:rFonts w:ascii="Times New Roman" w:hAnsi="Times New Roman"/>
                <w:sz w:val="24"/>
              </w:rPr>
              <w:t xml:space="preserve">points (7) and (8) of Article 4 </w:t>
            </w:r>
            <w:r w:rsidRPr="00661595">
              <w:rPr>
                <w:rFonts w:ascii="Times New Roman" w:hAnsi="Times New Roman"/>
                <w:sz w:val="24"/>
              </w:rPr>
              <w:t xml:space="preserve">BAD; </w:t>
            </w:r>
            <w:r w:rsidR="002F78EA" w:rsidRPr="00661595">
              <w:rPr>
                <w:rFonts w:ascii="Times New Roman" w:hAnsi="Times New Roman"/>
                <w:sz w:val="24"/>
              </w:rPr>
              <w:t>Article 2(2) AD</w:t>
            </w:r>
          </w:p>
          <w:p w:rsidR="00B93FA1" w:rsidRPr="00661595" w:rsidRDefault="00B93FA1" w:rsidP="00F811F8">
            <w:pPr>
              <w:spacing w:beforeLines="60" w:before="144" w:afterLines="60" w:after="144"/>
              <w:rPr>
                <w:rFonts w:ascii="Times New Roman" w:hAnsi="Times New Roman"/>
                <w:b/>
                <w:sz w:val="24"/>
                <w:u w:val="single"/>
              </w:rPr>
            </w:pPr>
            <w:r w:rsidRPr="00661595">
              <w:rPr>
                <w:rFonts w:ascii="Times New Roman" w:hAnsi="Times New Roman"/>
                <w:sz w:val="24"/>
              </w:rPr>
              <w:t xml:space="preserve">The information reported in this row </w:t>
            </w:r>
            <w:r w:rsidR="00F811F8" w:rsidRPr="00661595">
              <w:rPr>
                <w:rFonts w:ascii="Times New Roman" w:hAnsi="Times New Roman"/>
                <w:sz w:val="24"/>
              </w:rPr>
              <w:t xml:space="preserve">shall </w:t>
            </w:r>
            <w:r w:rsidRPr="00661595">
              <w:rPr>
                <w:rFonts w:ascii="Times New Roman" w:hAnsi="Times New Roman"/>
                <w:sz w:val="24"/>
              </w:rPr>
              <w:t xml:space="preserve">correspond to row </w:t>
            </w:r>
            <w:r w:rsidR="00787733" w:rsidRPr="00661595">
              <w:rPr>
                <w:rFonts w:ascii="Times New Roman" w:hAnsi="Times New Roman"/>
                <w:sz w:val="24"/>
              </w:rPr>
              <w:t>0</w:t>
            </w:r>
            <w:r w:rsidRPr="00661595">
              <w:rPr>
                <w:rFonts w:ascii="Times New Roman" w:hAnsi="Times New Roman"/>
                <w:sz w:val="24"/>
              </w:rPr>
              <w:t xml:space="preserve">260 of template </w:t>
            </w:r>
            <w:r w:rsidR="002B5CD1" w:rsidRPr="00661595">
              <w:rPr>
                <w:rFonts w:ascii="Times New Roman" w:hAnsi="Times New Roman"/>
                <w:sz w:val="24"/>
              </w:rPr>
              <w:t xml:space="preserve">F 01.01 of Annexes III and IV to </w:t>
            </w:r>
            <w:r w:rsidR="00133396" w:rsidRPr="00661595">
              <w:rPr>
                <w:rFonts w:ascii="Times New Roman" w:hAnsi="Times New Roman"/>
                <w:sz w:val="24"/>
              </w:rPr>
              <w:t>this Implementing Regulation</w:t>
            </w:r>
            <w:r w:rsidR="002B5CD1" w:rsidRPr="00661595">
              <w:rPr>
                <w:rFonts w:ascii="Times New Roman" w:hAnsi="Times New Roman"/>
                <w:sz w:val="24"/>
              </w:rPr>
              <w:t>.</w:t>
            </w:r>
          </w:p>
        </w:tc>
      </w:tr>
      <w:tr w:rsidR="00B93FA1" w:rsidRPr="00661595" w:rsidTr="00672D2A">
        <w:tc>
          <w:tcPr>
            <w:tcW w:w="1101" w:type="dxa"/>
          </w:tcPr>
          <w:p w:rsidR="00B93FA1" w:rsidRPr="00661595" w:rsidRDefault="001924F4" w:rsidP="00AF3D7A">
            <w:pPr>
              <w:spacing w:beforeLines="60" w:before="144" w:afterLines="60" w:after="144"/>
              <w:rPr>
                <w:rFonts w:ascii="Times New Roman" w:hAnsi="Times New Roman"/>
                <w:sz w:val="24"/>
              </w:rPr>
            </w:pPr>
            <w:r w:rsidRPr="00661595">
              <w:rPr>
                <w:rFonts w:ascii="Times New Roman" w:hAnsi="Times New Roman"/>
                <w:sz w:val="24"/>
              </w:rPr>
              <w:t>0</w:t>
            </w:r>
            <w:r w:rsidR="00B93FA1" w:rsidRPr="00661595">
              <w:rPr>
                <w:rFonts w:ascii="Times New Roman" w:hAnsi="Times New Roman"/>
                <w:sz w:val="24"/>
              </w:rPr>
              <w:t>140</w:t>
            </w:r>
          </w:p>
        </w:tc>
        <w:tc>
          <w:tcPr>
            <w:tcW w:w="8190" w:type="dxa"/>
          </w:tcPr>
          <w:p w:rsidR="00B93FA1" w:rsidRPr="00661595" w:rsidRDefault="00B93FA1" w:rsidP="00AF3D7A">
            <w:pPr>
              <w:spacing w:beforeLines="60" w:before="144" w:afterLines="60" w:after="144"/>
              <w:rPr>
                <w:rFonts w:ascii="Times New Roman" w:hAnsi="Times New Roman"/>
                <w:b/>
                <w:sz w:val="24"/>
                <w:u w:val="single"/>
              </w:rPr>
            </w:pPr>
            <w:r w:rsidRPr="00661595">
              <w:rPr>
                <w:rFonts w:ascii="Times New Roman" w:hAnsi="Times New Roman"/>
                <w:b/>
                <w:sz w:val="24"/>
                <w:u w:val="single"/>
              </w:rPr>
              <w:t>1.1.12 (-) HAIRCUTS FOR TRADING ASSETS AT FAIR VALUE</w:t>
            </w:r>
          </w:p>
          <w:p w:rsidR="00B93FA1" w:rsidRPr="00661595" w:rsidRDefault="002F78EA" w:rsidP="00AF3D7A">
            <w:pPr>
              <w:spacing w:beforeLines="60" w:before="144" w:afterLines="60" w:after="144"/>
              <w:rPr>
                <w:rFonts w:ascii="Times New Roman" w:hAnsi="Times New Roman"/>
                <w:sz w:val="24"/>
              </w:rPr>
            </w:pPr>
            <w:r w:rsidRPr="00661595">
              <w:rPr>
                <w:rFonts w:ascii="Times New Roman" w:hAnsi="Times New Roman"/>
                <w:bCs/>
                <w:sz w:val="24"/>
                <w:lang w:eastAsia="de-DE"/>
              </w:rPr>
              <w:t>Part 1.29 of Annex V to this Implementing Regulation</w:t>
            </w:r>
          </w:p>
          <w:p w:rsidR="00B93FA1" w:rsidRPr="00661595" w:rsidRDefault="00B93FA1" w:rsidP="001771A4">
            <w:pPr>
              <w:spacing w:beforeLines="60" w:before="144" w:afterLines="60" w:after="144"/>
              <w:rPr>
                <w:rFonts w:ascii="Times New Roman" w:hAnsi="Times New Roman"/>
                <w:b/>
                <w:sz w:val="24"/>
                <w:u w:val="single"/>
              </w:rPr>
            </w:pPr>
            <w:r w:rsidRPr="00661595">
              <w:rPr>
                <w:rFonts w:ascii="Times New Roman" w:hAnsi="Times New Roman"/>
                <w:sz w:val="24"/>
              </w:rPr>
              <w:t>The information reported in this row</w:t>
            </w:r>
            <w:r w:rsidR="00F811F8" w:rsidRPr="00661595">
              <w:rPr>
                <w:rFonts w:ascii="Times New Roman" w:hAnsi="Times New Roman"/>
                <w:sz w:val="24"/>
              </w:rPr>
              <w:t xml:space="preserve"> shall </w:t>
            </w:r>
            <w:r w:rsidRPr="00661595">
              <w:rPr>
                <w:rFonts w:ascii="Times New Roman" w:hAnsi="Times New Roman"/>
                <w:sz w:val="24"/>
              </w:rPr>
              <w:t xml:space="preserve">correspond to row </w:t>
            </w:r>
            <w:r w:rsidR="00787733" w:rsidRPr="00661595">
              <w:rPr>
                <w:rFonts w:ascii="Times New Roman" w:hAnsi="Times New Roman"/>
                <w:sz w:val="24"/>
              </w:rPr>
              <w:t>0</w:t>
            </w:r>
            <w:r w:rsidRPr="00661595">
              <w:rPr>
                <w:rFonts w:ascii="Times New Roman" w:hAnsi="Times New Roman"/>
                <w:sz w:val="24"/>
              </w:rPr>
              <w:t>375 of template</w:t>
            </w:r>
            <w:r w:rsidR="002B5CD1" w:rsidRPr="00661595">
              <w:rPr>
                <w:rFonts w:ascii="Times New Roman" w:hAnsi="Times New Roman"/>
                <w:sz w:val="24"/>
              </w:rPr>
              <w:t xml:space="preserve"> F 01.01 of Annexes III and IV to </w:t>
            </w:r>
            <w:r w:rsidR="00133396" w:rsidRPr="00661595">
              <w:rPr>
                <w:rFonts w:ascii="Times New Roman" w:hAnsi="Times New Roman"/>
                <w:sz w:val="24"/>
              </w:rPr>
              <w:t>this Implementing Regulation</w:t>
            </w:r>
            <w:r w:rsidR="002B5CD1" w:rsidRPr="00661595">
              <w:rPr>
                <w:rFonts w:ascii="Times New Roman" w:hAnsi="Times New Roman"/>
                <w:sz w:val="24"/>
              </w:rPr>
              <w:t>.</w:t>
            </w:r>
          </w:p>
        </w:tc>
      </w:tr>
      <w:tr w:rsidR="00B93FA1" w:rsidRPr="00661595" w:rsidTr="00672D2A">
        <w:tc>
          <w:tcPr>
            <w:tcW w:w="1101" w:type="dxa"/>
          </w:tcPr>
          <w:p w:rsidR="00B93FA1" w:rsidRPr="00661595" w:rsidRDefault="001924F4" w:rsidP="00AF3D7A">
            <w:pPr>
              <w:spacing w:beforeLines="60" w:before="144" w:afterLines="60" w:after="144"/>
              <w:rPr>
                <w:rFonts w:ascii="Times New Roman" w:hAnsi="Times New Roman"/>
                <w:sz w:val="24"/>
              </w:rPr>
            </w:pPr>
            <w:r w:rsidRPr="00661595">
              <w:rPr>
                <w:rFonts w:ascii="Times New Roman" w:hAnsi="Times New Roman"/>
                <w:sz w:val="24"/>
              </w:rPr>
              <w:t>0</w:t>
            </w:r>
            <w:r w:rsidR="00B93FA1" w:rsidRPr="00661595">
              <w:rPr>
                <w:rFonts w:ascii="Times New Roman" w:hAnsi="Times New Roman"/>
                <w:sz w:val="24"/>
              </w:rPr>
              <w:t>150</w:t>
            </w:r>
          </w:p>
        </w:tc>
        <w:tc>
          <w:tcPr>
            <w:tcW w:w="8190" w:type="dxa"/>
          </w:tcPr>
          <w:p w:rsidR="00B93FA1" w:rsidRPr="00661595" w:rsidRDefault="00B93FA1" w:rsidP="00AF3D7A">
            <w:pPr>
              <w:spacing w:beforeLines="60" w:before="144" w:afterLines="60" w:after="144"/>
              <w:rPr>
                <w:rFonts w:ascii="Times New Roman" w:hAnsi="Times New Roman"/>
                <w:b/>
                <w:sz w:val="24"/>
                <w:u w:val="single"/>
              </w:rPr>
            </w:pPr>
            <w:r w:rsidRPr="00661595">
              <w:rPr>
                <w:rFonts w:ascii="Times New Roman" w:hAnsi="Times New Roman"/>
                <w:b/>
                <w:sz w:val="24"/>
                <w:u w:val="single"/>
              </w:rPr>
              <w:t>1.2 TOTAL FAIR-VALUED LIABILITIES</w:t>
            </w:r>
            <w:r w:rsidRPr="00661595" w:rsidDel="008404F9">
              <w:rPr>
                <w:rFonts w:ascii="Times New Roman" w:hAnsi="Times New Roman"/>
                <w:b/>
                <w:sz w:val="24"/>
                <w:u w:val="single"/>
              </w:rPr>
              <w:t xml:space="preserve"> </w:t>
            </w:r>
            <w:r w:rsidRPr="00661595">
              <w:rPr>
                <w:rFonts w:ascii="Times New Roman" w:hAnsi="Times New Roman"/>
                <w:b/>
                <w:sz w:val="24"/>
                <w:u w:val="single"/>
              </w:rPr>
              <w:t xml:space="preserve"> </w:t>
            </w:r>
          </w:p>
          <w:p w:rsidR="00B93FA1" w:rsidRPr="00661595" w:rsidRDefault="00B93FA1" w:rsidP="00AF3D7A">
            <w:pPr>
              <w:spacing w:beforeLines="60" w:before="144" w:afterLines="60" w:after="144"/>
              <w:rPr>
                <w:rFonts w:ascii="Times New Roman" w:hAnsi="Times New Roman"/>
                <w:sz w:val="24"/>
              </w:rPr>
            </w:pPr>
            <w:r w:rsidRPr="00661595">
              <w:rPr>
                <w:rFonts w:ascii="Times New Roman" w:hAnsi="Times New Roman"/>
                <w:sz w:val="24"/>
              </w:rPr>
              <w:t xml:space="preserve">Total of fair-valued liabilities reported in rows </w:t>
            </w:r>
            <w:r w:rsidR="002B5CD1" w:rsidRPr="00661595">
              <w:rPr>
                <w:rFonts w:ascii="Times New Roman" w:hAnsi="Times New Roman"/>
                <w:sz w:val="24"/>
              </w:rPr>
              <w:t>0</w:t>
            </w:r>
            <w:r w:rsidRPr="00661595">
              <w:rPr>
                <w:rFonts w:ascii="Times New Roman" w:hAnsi="Times New Roman"/>
                <w:sz w:val="24"/>
              </w:rPr>
              <w:t xml:space="preserve">160 to </w:t>
            </w:r>
            <w:r w:rsidR="002B5CD1" w:rsidRPr="00661595">
              <w:rPr>
                <w:rFonts w:ascii="Times New Roman" w:hAnsi="Times New Roman"/>
                <w:sz w:val="24"/>
              </w:rPr>
              <w:t>0</w:t>
            </w:r>
            <w:r w:rsidRPr="00661595">
              <w:rPr>
                <w:rFonts w:ascii="Times New Roman" w:hAnsi="Times New Roman"/>
                <w:sz w:val="24"/>
              </w:rPr>
              <w:t>210.</w:t>
            </w:r>
          </w:p>
          <w:p w:rsidR="00B93FA1" w:rsidRPr="00661595" w:rsidRDefault="00B93FA1" w:rsidP="00AF3D7A">
            <w:pPr>
              <w:spacing w:beforeLines="60" w:before="144" w:afterLines="60" w:after="144"/>
              <w:rPr>
                <w:rFonts w:ascii="Times New Roman" w:hAnsi="Times New Roman"/>
                <w:sz w:val="24"/>
              </w:rPr>
            </w:pPr>
            <w:r w:rsidRPr="00661595">
              <w:rPr>
                <w:rFonts w:ascii="Times New Roman" w:hAnsi="Times New Roman"/>
                <w:sz w:val="24"/>
              </w:rPr>
              <w:t xml:space="preserve">Relevant cells of rows </w:t>
            </w:r>
            <w:r w:rsidR="002B5CD1" w:rsidRPr="00661595">
              <w:rPr>
                <w:rFonts w:ascii="Times New Roman" w:hAnsi="Times New Roman"/>
                <w:sz w:val="24"/>
              </w:rPr>
              <w:t>0</w:t>
            </w:r>
            <w:r w:rsidRPr="00661595">
              <w:rPr>
                <w:rFonts w:ascii="Times New Roman" w:hAnsi="Times New Roman"/>
                <w:sz w:val="24"/>
              </w:rPr>
              <w:t xml:space="preserve">150 to </w:t>
            </w:r>
            <w:r w:rsidR="002B5CD1" w:rsidRPr="00661595">
              <w:rPr>
                <w:rFonts w:ascii="Times New Roman" w:hAnsi="Times New Roman"/>
                <w:sz w:val="24"/>
              </w:rPr>
              <w:t>0</w:t>
            </w:r>
            <w:r w:rsidRPr="00661595">
              <w:rPr>
                <w:rFonts w:ascii="Times New Roman" w:hAnsi="Times New Roman"/>
                <w:sz w:val="24"/>
              </w:rPr>
              <w:t xml:space="preserve">190 shall be reported in line with FINREP template </w:t>
            </w:r>
            <w:r w:rsidR="002B5CD1" w:rsidRPr="00661595">
              <w:rPr>
                <w:rFonts w:ascii="Times New Roman" w:hAnsi="Times New Roman"/>
                <w:sz w:val="24"/>
              </w:rPr>
              <w:t xml:space="preserve">F 01.02 of Annexes III and IV to </w:t>
            </w:r>
            <w:r w:rsidR="00133396" w:rsidRPr="00661595">
              <w:rPr>
                <w:rFonts w:ascii="Times New Roman" w:hAnsi="Times New Roman"/>
                <w:sz w:val="24"/>
              </w:rPr>
              <w:t>this Implementing Regulation</w:t>
            </w:r>
            <w:r w:rsidRPr="00661595">
              <w:rPr>
                <w:rFonts w:ascii="Times New Roman" w:hAnsi="Times New Roman"/>
                <w:sz w:val="24"/>
              </w:rPr>
              <w:t xml:space="preserve"> depending on the institution’s applicable standards: </w:t>
            </w:r>
          </w:p>
          <w:p w:rsidR="00B93FA1" w:rsidRPr="00661595" w:rsidRDefault="00B93FA1" w:rsidP="0002267E">
            <w:pPr>
              <w:pStyle w:val="ListParagraph"/>
              <w:numPr>
                <w:ilvl w:val="0"/>
                <w:numId w:val="30"/>
              </w:numPr>
              <w:spacing w:beforeLines="60" w:before="144" w:afterLines="60" w:after="144"/>
              <w:rPr>
                <w:rFonts w:ascii="Times New Roman" w:hAnsi="Times New Roman"/>
                <w:sz w:val="24"/>
              </w:rPr>
            </w:pPr>
            <w:r w:rsidRPr="00661595">
              <w:rPr>
                <w:rFonts w:ascii="Times New Roman" w:hAnsi="Times New Roman"/>
                <w:sz w:val="24"/>
              </w:rPr>
              <w:t>IFRS as endorsed by the Union in application of Regulation (E</w:t>
            </w:r>
            <w:r w:rsidR="008D230A" w:rsidRPr="00661595">
              <w:rPr>
                <w:rFonts w:ascii="Times New Roman" w:hAnsi="Times New Roman"/>
                <w:sz w:val="24"/>
              </w:rPr>
              <w:t>C</w:t>
            </w:r>
            <w:r w:rsidRPr="00661595">
              <w:rPr>
                <w:rFonts w:ascii="Times New Roman" w:hAnsi="Times New Roman"/>
                <w:sz w:val="24"/>
              </w:rPr>
              <w:t xml:space="preserve">) </w:t>
            </w:r>
            <w:r w:rsidR="008D230A" w:rsidRPr="00661595">
              <w:rPr>
                <w:rFonts w:ascii="Times New Roman" w:hAnsi="Times New Roman"/>
                <w:sz w:val="24"/>
              </w:rPr>
              <w:t>No </w:t>
            </w:r>
            <w:r w:rsidRPr="00661595">
              <w:rPr>
                <w:rFonts w:ascii="Times New Roman" w:hAnsi="Times New Roman"/>
                <w:sz w:val="24"/>
              </w:rPr>
              <w:t>1606/2002 (‘EU IFRS’)</w:t>
            </w:r>
          </w:p>
          <w:p w:rsidR="00B93FA1" w:rsidRPr="00661595" w:rsidRDefault="00B93FA1" w:rsidP="0002267E">
            <w:pPr>
              <w:pStyle w:val="ListParagraph"/>
              <w:numPr>
                <w:ilvl w:val="0"/>
                <w:numId w:val="30"/>
              </w:numPr>
              <w:spacing w:beforeLines="60" w:before="144" w:afterLines="60" w:after="144"/>
              <w:rPr>
                <w:rFonts w:ascii="Times New Roman" w:hAnsi="Times New Roman"/>
                <w:sz w:val="24"/>
              </w:rPr>
            </w:pPr>
            <w:r w:rsidRPr="00661595">
              <w:rPr>
                <w:rFonts w:ascii="Times New Roman" w:hAnsi="Times New Roman"/>
                <w:sz w:val="24"/>
              </w:rPr>
              <w:t xml:space="preserve">National accounting standards compatible with EU IFRS (‘National GAAP compatible IFRS’) </w:t>
            </w:r>
          </w:p>
          <w:p w:rsidR="00B93FA1" w:rsidRPr="00661595" w:rsidRDefault="00B93FA1" w:rsidP="0002267E">
            <w:pPr>
              <w:pStyle w:val="ListParagraph"/>
              <w:numPr>
                <w:ilvl w:val="0"/>
                <w:numId w:val="30"/>
              </w:numPr>
              <w:spacing w:beforeLines="60" w:before="144" w:afterLines="60" w:after="144"/>
              <w:rPr>
                <w:rFonts w:ascii="Times New Roman" w:hAnsi="Times New Roman"/>
                <w:sz w:val="24"/>
              </w:rPr>
            </w:pPr>
            <w:r w:rsidRPr="00661595">
              <w:rPr>
                <w:rFonts w:ascii="Times New Roman" w:hAnsi="Times New Roman"/>
                <w:sz w:val="24"/>
              </w:rPr>
              <w:t xml:space="preserve">or National GAAP based on </w:t>
            </w:r>
            <w:r w:rsidR="002F78EA" w:rsidRPr="00661595">
              <w:rPr>
                <w:rFonts w:ascii="Times New Roman" w:hAnsi="Times New Roman"/>
                <w:sz w:val="24"/>
              </w:rPr>
              <w:t>BAD</w:t>
            </w:r>
            <w:r w:rsidRPr="00661595">
              <w:rPr>
                <w:rFonts w:ascii="Times New Roman" w:hAnsi="Times New Roman"/>
                <w:sz w:val="24"/>
              </w:rPr>
              <w:t xml:space="preserve"> (FINREP ‘National GAAP based on BAD’).</w:t>
            </w:r>
          </w:p>
        </w:tc>
      </w:tr>
      <w:tr w:rsidR="00B93FA1" w:rsidRPr="00661595" w:rsidTr="00672D2A">
        <w:tc>
          <w:tcPr>
            <w:tcW w:w="1101" w:type="dxa"/>
          </w:tcPr>
          <w:p w:rsidR="00B93FA1" w:rsidRPr="00661595" w:rsidRDefault="001924F4" w:rsidP="00AF3D7A">
            <w:pPr>
              <w:spacing w:beforeLines="60" w:before="144" w:afterLines="60" w:after="144"/>
              <w:rPr>
                <w:rFonts w:ascii="Times New Roman" w:hAnsi="Times New Roman"/>
                <w:sz w:val="24"/>
              </w:rPr>
            </w:pPr>
            <w:r w:rsidRPr="00661595">
              <w:rPr>
                <w:rFonts w:ascii="Times New Roman" w:hAnsi="Times New Roman"/>
                <w:sz w:val="24"/>
              </w:rPr>
              <w:t>0</w:t>
            </w:r>
            <w:r w:rsidR="00B93FA1" w:rsidRPr="00661595">
              <w:rPr>
                <w:rFonts w:ascii="Times New Roman" w:hAnsi="Times New Roman"/>
                <w:sz w:val="24"/>
              </w:rPr>
              <w:t>160</w:t>
            </w:r>
          </w:p>
        </w:tc>
        <w:tc>
          <w:tcPr>
            <w:tcW w:w="8190" w:type="dxa"/>
          </w:tcPr>
          <w:p w:rsidR="00B93FA1" w:rsidRPr="00661595" w:rsidRDefault="00B93FA1" w:rsidP="00AF3D7A">
            <w:pPr>
              <w:spacing w:beforeLines="60" w:before="144" w:afterLines="60" w:after="144"/>
              <w:rPr>
                <w:rFonts w:ascii="Times New Roman" w:hAnsi="Times New Roman"/>
                <w:b/>
                <w:sz w:val="24"/>
                <w:u w:val="single"/>
              </w:rPr>
            </w:pPr>
            <w:r w:rsidRPr="00661595">
              <w:rPr>
                <w:rFonts w:ascii="Times New Roman" w:hAnsi="Times New Roman"/>
                <w:b/>
                <w:sz w:val="24"/>
                <w:u w:val="single"/>
              </w:rPr>
              <w:t>1.2.1 FINANCIAL LIABILITIES HELD FOR TRADING</w:t>
            </w:r>
          </w:p>
          <w:p w:rsidR="00B93FA1" w:rsidRPr="00661595" w:rsidRDefault="00B93FA1" w:rsidP="00AF3D7A">
            <w:pPr>
              <w:spacing w:beforeLines="60" w:before="144" w:afterLines="60" w:after="144"/>
              <w:rPr>
                <w:rFonts w:ascii="Times New Roman" w:hAnsi="Times New Roman"/>
                <w:sz w:val="24"/>
              </w:rPr>
            </w:pPr>
            <w:r w:rsidRPr="00661595">
              <w:rPr>
                <w:rFonts w:ascii="Times New Roman" w:hAnsi="Times New Roman"/>
                <w:sz w:val="24"/>
              </w:rPr>
              <w:t>IFRS 7.8 (e) (ii); IFRS 9.BA.6.</w:t>
            </w:r>
          </w:p>
          <w:p w:rsidR="00B93FA1" w:rsidRPr="00661595" w:rsidRDefault="00B93FA1" w:rsidP="00F811F8">
            <w:pPr>
              <w:spacing w:beforeLines="60" w:before="144" w:afterLines="60" w:after="144"/>
              <w:rPr>
                <w:rFonts w:ascii="Times New Roman" w:hAnsi="Times New Roman"/>
                <w:sz w:val="24"/>
              </w:rPr>
            </w:pPr>
            <w:r w:rsidRPr="00661595">
              <w:rPr>
                <w:rFonts w:ascii="Times New Roman" w:hAnsi="Times New Roman"/>
                <w:sz w:val="24"/>
              </w:rPr>
              <w:t>The information reported in this row</w:t>
            </w:r>
            <w:r w:rsidR="00F811F8" w:rsidRPr="00661595">
              <w:rPr>
                <w:rFonts w:ascii="Times New Roman" w:hAnsi="Times New Roman"/>
                <w:sz w:val="24"/>
              </w:rPr>
              <w:t xml:space="preserve"> shall </w:t>
            </w:r>
            <w:r w:rsidRPr="00661595">
              <w:rPr>
                <w:rFonts w:ascii="Times New Roman" w:hAnsi="Times New Roman"/>
                <w:sz w:val="24"/>
              </w:rPr>
              <w:t xml:space="preserve">correspond to row </w:t>
            </w:r>
            <w:r w:rsidR="00787733" w:rsidRPr="00661595">
              <w:rPr>
                <w:rFonts w:ascii="Times New Roman" w:hAnsi="Times New Roman"/>
                <w:sz w:val="24"/>
              </w:rPr>
              <w:t>0</w:t>
            </w:r>
            <w:r w:rsidRPr="00661595">
              <w:rPr>
                <w:rFonts w:ascii="Times New Roman" w:hAnsi="Times New Roman"/>
                <w:sz w:val="24"/>
              </w:rPr>
              <w:t xml:space="preserve">010 of template </w:t>
            </w:r>
            <w:r w:rsidR="002B5CD1" w:rsidRPr="00661595">
              <w:rPr>
                <w:rFonts w:ascii="Times New Roman" w:hAnsi="Times New Roman"/>
                <w:sz w:val="24"/>
              </w:rPr>
              <w:t xml:space="preserve">F 01.02 of Annexes III and IV to </w:t>
            </w:r>
            <w:r w:rsidR="00133396" w:rsidRPr="00661595">
              <w:rPr>
                <w:rFonts w:ascii="Times New Roman" w:hAnsi="Times New Roman"/>
                <w:sz w:val="24"/>
              </w:rPr>
              <w:t>this Implementing Regulation</w:t>
            </w:r>
            <w:r w:rsidR="002B5CD1" w:rsidRPr="00661595">
              <w:rPr>
                <w:rFonts w:ascii="Times New Roman" w:hAnsi="Times New Roman"/>
                <w:sz w:val="24"/>
              </w:rPr>
              <w:t>.</w:t>
            </w:r>
          </w:p>
        </w:tc>
      </w:tr>
      <w:tr w:rsidR="00B93FA1" w:rsidRPr="00661595" w:rsidTr="00672D2A">
        <w:tc>
          <w:tcPr>
            <w:tcW w:w="1101" w:type="dxa"/>
          </w:tcPr>
          <w:p w:rsidR="00B93FA1" w:rsidRPr="00661595" w:rsidRDefault="001924F4" w:rsidP="00AF3D7A">
            <w:pPr>
              <w:spacing w:beforeLines="60" w:before="144" w:afterLines="60" w:after="144"/>
              <w:rPr>
                <w:rFonts w:ascii="Times New Roman" w:hAnsi="Times New Roman"/>
                <w:sz w:val="24"/>
              </w:rPr>
            </w:pPr>
            <w:r w:rsidRPr="00661595">
              <w:rPr>
                <w:rFonts w:ascii="Times New Roman" w:hAnsi="Times New Roman"/>
                <w:sz w:val="24"/>
              </w:rPr>
              <w:t>0</w:t>
            </w:r>
            <w:r w:rsidR="00B93FA1" w:rsidRPr="00661595">
              <w:rPr>
                <w:rFonts w:ascii="Times New Roman" w:hAnsi="Times New Roman"/>
                <w:sz w:val="24"/>
              </w:rPr>
              <w:t>170</w:t>
            </w:r>
          </w:p>
        </w:tc>
        <w:tc>
          <w:tcPr>
            <w:tcW w:w="8190" w:type="dxa"/>
          </w:tcPr>
          <w:p w:rsidR="00B93FA1" w:rsidRPr="00661595" w:rsidRDefault="00B93FA1" w:rsidP="00AF3D7A">
            <w:pPr>
              <w:spacing w:beforeLines="60" w:before="144" w:afterLines="60" w:after="144"/>
              <w:rPr>
                <w:rFonts w:ascii="Times New Roman" w:hAnsi="Times New Roman"/>
                <w:b/>
                <w:sz w:val="24"/>
                <w:u w:val="single"/>
              </w:rPr>
            </w:pPr>
            <w:r w:rsidRPr="00661595">
              <w:rPr>
                <w:rFonts w:ascii="Times New Roman" w:hAnsi="Times New Roman"/>
                <w:b/>
                <w:sz w:val="24"/>
                <w:u w:val="single"/>
              </w:rPr>
              <w:t>1.2.2 TRADING FINANCIAL LIABILITIES</w:t>
            </w:r>
          </w:p>
          <w:p w:rsidR="00B93FA1" w:rsidRPr="00661595" w:rsidRDefault="002F78EA" w:rsidP="00AF3D7A">
            <w:pPr>
              <w:spacing w:beforeLines="60" w:before="144" w:afterLines="60" w:after="144"/>
              <w:rPr>
                <w:rFonts w:ascii="Times New Roman" w:hAnsi="Times New Roman"/>
                <w:sz w:val="24"/>
              </w:rPr>
            </w:pPr>
            <w:r w:rsidRPr="00661595">
              <w:rPr>
                <w:rFonts w:ascii="Times New Roman" w:hAnsi="Times New Roman"/>
                <w:sz w:val="24"/>
              </w:rPr>
              <w:t xml:space="preserve">Point (a) of Article 8(1) and </w:t>
            </w:r>
            <w:r w:rsidR="008D230A" w:rsidRPr="00661595">
              <w:rPr>
                <w:rFonts w:ascii="Times New Roman" w:hAnsi="Times New Roman"/>
                <w:sz w:val="24"/>
              </w:rPr>
              <w:t xml:space="preserve">paragraphs 3 and 6 of </w:t>
            </w:r>
            <w:r w:rsidRPr="00661595">
              <w:rPr>
                <w:rFonts w:ascii="Times New Roman" w:hAnsi="Times New Roman"/>
                <w:sz w:val="24"/>
              </w:rPr>
              <w:t>Article 8 AD</w:t>
            </w:r>
          </w:p>
          <w:p w:rsidR="00B93FA1" w:rsidRPr="00661595" w:rsidRDefault="00B93FA1" w:rsidP="00F811F8">
            <w:pPr>
              <w:spacing w:beforeLines="60" w:before="144" w:afterLines="60" w:after="144"/>
              <w:rPr>
                <w:rFonts w:ascii="Times New Roman" w:hAnsi="Times New Roman"/>
                <w:b/>
                <w:sz w:val="24"/>
                <w:u w:val="single"/>
              </w:rPr>
            </w:pPr>
            <w:r w:rsidRPr="00661595">
              <w:rPr>
                <w:rFonts w:ascii="Times New Roman" w:hAnsi="Times New Roman"/>
                <w:sz w:val="24"/>
              </w:rPr>
              <w:t>The information reported in this row</w:t>
            </w:r>
            <w:r w:rsidR="00F811F8" w:rsidRPr="00661595">
              <w:rPr>
                <w:rFonts w:ascii="Times New Roman" w:hAnsi="Times New Roman"/>
                <w:sz w:val="24"/>
              </w:rPr>
              <w:t xml:space="preserve"> shall </w:t>
            </w:r>
            <w:r w:rsidRPr="00661595">
              <w:rPr>
                <w:rFonts w:ascii="Times New Roman" w:hAnsi="Times New Roman"/>
                <w:sz w:val="24"/>
              </w:rPr>
              <w:t xml:space="preserve">correspond to row </w:t>
            </w:r>
            <w:r w:rsidR="00787733" w:rsidRPr="00661595">
              <w:rPr>
                <w:rFonts w:ascii="Times New Roman" w:hAnsi="Times New Roman"/>
                <w:sz w:val="24"/>
              </w:rPr>
              <w:t>0</w:t>
            </w:r>
            <w:r w:rsidRPr="00661595">
              <w:rPr>
                <w:rFonts w:ascii="Times New Roman" w:hAnsi="Times New Roman"/>
                <w:sz w:val="24"/>
              </w:rPr>
              <w:t>061 of template</w:t>
            </w:r>
            <w:r w:rsidR="002B5CD1" w:rsidRPr="00661595">
              <w:rPr>
                <w:rFonts w:ascii="Times New Roman" w:hAnsi="Times New Roman"/>
                <w:sz w:val="24"/>
              </w:rPr>
              <w:t xml:space="preserve"> F 01.02 of Annexes III and IV to </w:t>
            </w:r>
            <w:r w:rsidR="00133396" w:rsidRPr="00661595">
              <w:rPr>
                <w:rFonts w:ascii="Times New Roman" w:hAnsi="Times New Roman"/>
                <w:sz w:val="24"/>
              </w:rPr>
              <w:t>this Implementing Regulation</w:t>
            </w:r>
            <w:r w:rsidR="002B5CD1" w:rsidRPr="00661595">
              <w:rPr>
                <w:rFonts w:ascii="Times New Roman" w:hAnsi="Times New Roman"/>
                <w:sz w:val="24"/>
              </w:rPr>
              <w:t>.</w:t>
            </w:r>
          </w:p>
        </w:tc>
      </w:tr>
      <w:tr w:rsidR="00B93FA1" w:rsidRPr="00661595" w:rsidTr="00672D2A">
        <w:tc>
          <w:tcPr>
            <w:tcW w:w="1101" w:type="dxa"/>
          </w:tcPr>
          <w:p w:rsidR="00B93FA1" w:rsidRPr="00661595" w:rsidRDefault="001924F4" w:rsidP="00AF3D7A">
            <w:pPr>
              <w:spacing w:beforeLines="60" w:before="144" w:afterLines="60" w:after="144"/>
              <w:rPr>
                <w:rFonts w:ascii="Times New Roman" w:hAnsi="Times New Roman"/>
                <w:sz w:val="24"/>
              </w:rPr>
            </w:pPr>
            <w:r w:rsidRPr="00661595">
              <w:rPr>
                <w:rFonts w:ascii="Times New Roman" w:hAnsi="Times New Roman"/>
                <w:sz w:val="24"/>
              </w:rPr>
              <w:t>0</w:t>
            </w:r>
            <w:r w:rsidR="00B93FA1" w:rsidRPr="00661595">
              <w:rPr>
                <w:rFonts w:ascii="Times New Roman" w:hAnsi="Times New Roman"/>
                <w:sz w:val="24"/>
              </w:rPr>
              <w:t>180</w:t>
            </w:r>
          </w:p>
        </w:tc>
        <w:tc>
          <w:tcPr>
            <w:tcW w:w="8190" w:type="dxa"/>
          </w:tcPr>
          <w:p w:rsidR="00B93FA1" w:rsidRPr="00661595" w:rsidRDefault="00B93FA1" w:rsidP="00AF3D7A">
            <w:pPr>
              <w:spacing w:beforeLines="60" w:before="144" w:afterLines="60" w:after="144"/>
              <w:rPr>
                <w:rFonts w:ascii="Times New Roman" w:hAnsi="Times New Roman"/>
                <w:b/>
                <w:sz w:val="24"/>
                <w:u w:val="single"/>
              </w:rPr>
            </w:pPr>
            <w:r w:rsidRPr="00661595">
              <w:rPr>
                <w:rFonts w:ascii="Times New Roman" w:hAnsi="Times New Roman"/>
                <w:b/>
                <w:sz w:val="24"/>
                <w:u w:val="single"/>
              </w:rPr>
              <w:t>1.2.3 FINANCIAL LIABILITIES DESIGNATED AT FAIR VALUE THROUGH PROFIT OR LOSS</w:t>
            </w:r>
          </w:p>
          <w:p w:rsidR="00B93FA1" w:rsidRPr="00661595" w:rsidRDefault="00B93FA1" w:rsidP="00AF3D7A">
            <w:pPr>
              <w:spacing w:beforeLines="60" w:before="144" w:afterLines="60" w:after="144"/>
              <w:rPr>
                <w:rFonts w:ascii="Times New Roman" w:hAnsi="Times New Roman"/>
                <w:sz w:val="24"/>
              </w:rPr>
            </w:pPr>
            <w:r w:rsidRPr="00661595">
              <w:rPr>
                <w:rFonts w:ascii="Times New Roman" w:hAnsi="Times New Roman"/>
                <w:sz w:val="24"/>
              </w:rPr>
              <w:t>IFRS 7.8 (e)(i); IFRS 9.4.2.2;</w:t>
            </w:r>
            <w:r w:rsidRPr="00661595">
              <w:rPr>
                <w:sz w:val="24"/>
              </w:rPr>
              <w:t xml:space="preserve"> </w:t>
            </w:r>
            <w:r w:rsidR="002F78EA" w:rsidRPr="00661595">
              <w:rPr>
                <w:rFonts w:ascii="Times New Roman" w:hAnsi="Times New Roman"/>
                <w:sz w:val="24"/>
              </w:rPr>
              <w:t>point (a) of Article 8(1) and Article 8(6) AD</w:t>
            </w:r>
            <w:r w:rsidRPr="00661595">
              <w:rPr>
                <w:rFonts w:ascii="Times New Roman" w:hAnsi="Times New Roman"/>
                <w:sz w:val="24"/>
              </w:rPr>
              <w:t xml:space="preserve">; IAS 39.9. </w:t>
            </w:r>
          </w:p>
          <w:p w:rsidR="00B93FA1" w:rsidRPr="00661595" w:rsidRDefault="00B93FA1" w:rsidP="00F811F8">
            <w:pPr>
              <w:spacing w:beforeLines="60" w:before="144" w:afterLines="60" w:after="144"/>
              <w:rPr>
                <w:rFonts w:ascii="Times New Roman" w:hAnsi="Times New Roman"/>
                <w:sz w:val="24"/>
              </w:rPr>
            </w:pPr>
            <w:r w:rsidRPr="00661595">
              <w:rPr>
                <w:rFonts w:ascii="Times New Roman" w:hAnsi="Times New Roman"/>
                <w:sz w:val="24"/>
              </w:rPr>
              <w:t>The information reported in this row</w:t>
            </w:r>
            <w:r w:rsidR="00F811F8" w:rsidRPr="00661595">
              <w:rPr>
                <w:rFonts w:ascii="Times New Roman" w:hAnsi="Times New Roman"/>
                <w:sz w:val="24"/>
              </w:rPr>
              <w:t xml:space="preserve"> shall </w:t>
            </w:r>
            <w:r w:rsidRPr="00661595">
              <w:rPr>
                <w:rFonts w:ascii="Times New Roman" w:hAnsi="Times New Roman"/>
                <w:sz w:val="24"/>
              </w:rPr>
              <w:t xml:space="preserve">correspond to row </w:t>
            </w:r>
            <w:r w:rsidR="00787733" w:rsidRPr="00661595">
              <w:rPr>
                <w:rFonts w:ascii="Times New Roman" w:hAnsi="Times New Roman"/>
                <w:sz w:val="24"/>
              </w:rPr>
              <w:t>0</w:t>
            </w:r>
            <w:r w:rsidRPr="00661595">
              <w:rPr>
                <w:rFonts w:ascii="Times New Roman" w:hAnsi="Times New Roman"/>
                <w:sz w:val="24"/>
              </w:rPr>
              <w:t>070 of template</w:t>
            </w:r>
            <w:r w:rsidR="002B5CD1" w:rsidRPr="00661595">
              <w:rPr>
                <w:rFonts w:ascii="Times New Roman" w:hAnsi="Times New Roman"/>
                <w:sz w:val="24"/>
              </w:rPr>
              <w:t xml:space="preserve"> F 01.02 of Annexes III and IV to </w:t>
            </w:r>
            <w:r w:rsidR="00133396" w:rsidRPr="00661595">
              <w:rPr>
                <w:rFonts w:ascii="Times New Roman" w:hAnsi="Times New Roman"/>
                <w:sz w:val="24"/>
              </w:rPr>
              <w:t>this Implementing Regulation</w:t>
            </w:r>
            <w:r w:rsidR="002B5CD1" w:rsidRPr="00661595">
              <w:rPr>
                <w:rFonts w:ascii="Times New Roman" w:hAnsi="Times New Roman"/>
                <w:sz w:val="24"/>
              </w:rPr>
              <w:t>.</w:t>
            </w:r>
          </w:p>
        </w:tc>
      </w:tr>
      <w:tr w:rsidR="00B93FA1" w:rsidRPr="00661595" w:rsidTr="00672D2A">
        <w:tc>
          <w:tcPr>
            <w:tcW w:w="1101" w:type="dxa"/>
          </w:tcPr>
          <w:p w:rsidR="00B93FA1" w:rsidRPr="00661595" w:rsidRDefault="001924F4" w:rsidP="00AF3D7A">
            <w:pPr>
              <w:spacing w:beforeLines="60" w:before="144" w:afterLines="60" w:after="144"/>
              <w:rPr>
                <w:rFonts w:ascii="Times New Roman" w:hAnsi="Times New Roman"/>
                <w:sz w:val="24"/>
              </w:rPr>
            </w:pPr>
            <w:r w:rsidRPr="00661595">
              <w:rPr>
                <w:rFonts w:ascii="Times New Roman" w:hAnsi="Times New Roman"/>
                <w:sz w:val="24"/>
              </w:rPr>
              <w:t>0</w:t>
            </w:r>
            <w:r w:rsidR="00B93FA1" w:rsidRPr="00661595">
              <w:rPr>
                <w:rFonts w:ascii="Times New Roman" w:hAnsi="Times New Roman"/>
                <w:sz w:val="24"/>
              </w:rPr>
              <w:t>190</w:t>
            </w:r>
          </w:p>
        </w:tc>
        <w:tc>
          <w:tcPr>
            <w:tcW w:w="8190" w:type="dxa"/>
          </w:tcPr>
          <w:p w:rsidR="00B93FA1" w:rsidRPr="00661595" w:rsidRDefault="00B93FA1" w:rsidP="00AF3D7A">
            <w:pPr>
              <w:spacing w:beforeLines="60" w:before="144" w:afterLines="60" w:after="144"/>
              <w:rPr>
                <w:rFonts w:ascii="Times New Roman" w:hAnsi="Times New Roman"/>
                <w:b/>
                <w:sz w:val="24"/>
                <w:u w:val="single"/>
              </w:rPr>
            </w:pPr>
            <w:r w:rsidRPr="00661595">
              <w:rPr>
                <w:rFonts w:ascii="Times New Roman" w:hAnsi="Times New Roman"/>
                <w:b/>
                <w:sz w:val="24"/>
                <w:u w:val="single"/>
              </w:rPr>
              <w:t>1.2.4 DERIVATIVES - HEDGE ACCOUNTING</w:t>
            </w:r>
          </w:p>
          <w:p w:rsidR="00B93FA1" w:rsidRPr="00661595" w:rsidRDefault="00B93FA1" w:rsidP="00AF3D7A">
            <w:pPr>
              <w:spacing w:beforeLines="60" w:before="144" w:afterLines="60" w:after="144"/>
              <w:rPr>
                <w:rFonts w:ascii="Times New Roman" w:hAnsi="Times New Roman"/>
                <w:sz w:val="24"/>
              </w:rPr>
            </w:pPr>
            <w:r w:rsidRPr="00661595">
              <w:rPr>
                <w:rFonts w:ascii="Times New Roman" w:hAnsi="Times New Roman"/>
                <w:sz w:val="24"/>
              </w:rPr>
              <w:t xml:space="preserve">IFRS 9.6.2.1; </w:t>
            </w:r>
            <w:r w:rsidR="002F78EA" w:rsidRPr="00661595">
              <w:rPr>
                <w:rFonts w:ascii="Times New Roman" w:hAnsi="Times New Roman"/>
                <w:bCs/>
                <w:sz w:val="24"/>
                <w:lang w:eastAsia="de-DE"/>
              </w:rPr>
              <w:t>Part 1.26 of Annex V to this Implementing Regulation</w:t>
            </w:r>
            <w:r w:rsidRPr="00661595">
              <w:rPr>
                <w:rFonts w:ascii="Times New Roman" w:hAnsi="Times New Roman"/>
                <w:sz w:val="24"/>
              </w:rPr>
              <w:t xml:space="preserve">; </w:t>
            </w:r>
            <w:r w:rsidR="002F78EA" w:rsidRPr="00661595">
              <w:rPr>
                <w:rFonts w:ascii="Times New Roman" w:hAnsi="Times New Roman"/>
                <w:sz w:val="24"/>
              </w:rPr>
              <w:t>point (a) of Article 8(1), Article 8(6) and point (a) of Article 8(8) AD</w:t>
            </w:r>
          </w:p>
          <w:p w:rsidR="00B93FA1" w:rsidRPr="00661595" w:rsidRDefault="00B93FA1" w:rsidP="00F811F8">
            <w:pPr>
              <w:spacing w:beforeLines="60" w:before="144" w:afterLines="60" w:after="144"/>
              <w:rPr>
                <w:rFonts w:ascii="Times New Roman" w:hAnsi="Times New Roman"/>
                <w:sz w:val="24"/>
              </w:rPr>
            </w:pPr>
            <w:r w:rsidRPr="00661595">
              <w:rPr>
                <w:rFonts w:ascii="Times New Roman" w:hAnsi="Times New Roman"/>
                <w:sz w:val="24"/>
              </w:rPr>
              <w:t xml:space="preserve">The information reported in this row </w:t>
            </w:r>
            <w:r w:rsidR="00F811F8" w:rsidRPr="00661595">
              <w:rPr>
                <w:rFonts w:ascii="Times New Roman" w:hAnsi="Times New Roman"/>
                <w:sz w:val="24"/>
              </w:rPr>
              <w:t xml:space="preserve">shall </w:t>
            </w:r>
            <w:r w:rsidRPr="00661595">
              <w:rPr>
                <w:rFonts w:ascii="Times New Roman" w:hAnsi="Times New Roman"/>
                <w:sz w:val="24"/>
              </w:rPr>
              <w:t xml:space="preserve">correspond to row </w:t>
            </w:r>
            <w:r w:rsidR="00787733" w:rsidRPr="00661595">
              <w:rPr>
                <w:rFonts w:ascii="Times New Roman" w:hAnsi="Times New Roman"/>
                <w:sz w:val="24"/>
              </w:rPr>
              <w:t>0</w:t>
            </w:r>
            <w:r w:rsidRPr="00661595">
              <w:rPr>
                <w:rFonts w:ascii="Times New Roman" w:hAnsi="Times New Roman"/>
                <w:sz w:val="24"/>
              </w:rPr>
              <w:t>150 of template</w:t>
            </w:r>
            <w:r w:rsidR="002B5CD1" w:rsidRPr="00661595">
              <w:rPr>
                <w:rFonts w:ascii="Times New Roman" w:hAnsi="Times New Roman"/>
                <w:sz w:val="24"/>
              </w:rPr>
              <w:t xml:space="preserve"> F 01.02 of Annexes III and IV to </w:t>
            </w:r>
            <w:r w:rsidR="00133396" w:rsidRPr="00661595">
              <w:rPr>
                <w:rFonts w:ascii="Times New Roman" w:hAnsi="Times New Roman"/>
                <w:sz w:val="24"/>
              </w:rPr>
              <w:t>this</w:t>
            </w:r>
            <w:r w:rsidR="00EC7AB4" w:rsidRPr="00661595">
              <w:rPr>
                <w:rFonts w:ascii="Times New Roman" w:hAnsi="Times New Roman"/>
                <w:sz w:val="24"/>
              </w:rPr>
              <w:t xml:space="preserve"> </w:t>
            </w:r>
            <w:r w:rsidR="00133396" w:rsidRPr="00661595">
              <w:rPr>
                <w:rFonts w:ascii="Times New Roman" w:hAnsi="Times New Roman"/>
                <w:sz w:val="24"/>
              </w:rPr>
              <w:t>Implementing Regulation</w:t>
            </w:r>
            <w:r w:rsidR="002B5CD1" w:rsidRPr="00661595">
              <w:rPr>
                <w:rFonts w:ascii="Times New Roman" w:hAnsi="Times New Roman"/>
                <w:sz w:val="24"/>
              </w:rPr>
              <w:t>.</w:t>
            </w:r>
          </w:p>
        </w:tc>
      </w:tr>
      <w:tr w:rsidR="00B93FA1" w:rsidRPr="00661595" w:rsidTr="00672D2A">
        <w:tc>
          <w:tcPr>
            <w:tcW w:w="1101" w:type="dxa"/>
          </w:tcPr>
          <w:p w:rsidR="00B93FA1" w:rsidRPr="00661595" w:rsidRDefault="001924F4" w:rsidP="00AF3D7A">
            <w:pPr>
              <w:spacing w:beforeLines="60" w:before="144" w:afterLines="60" w:after="144"/>
              <w:rPr>
                <w:rFonts w:ascii="Times New Roman" w:hAnsi="Times New Roman"/>
                <w:sz w:val="24"/>
              </w:rPr>
            </w:pPr>
            <w:r w:rsidRPr="00661595">
              <w:rPr>
                <w:rFonts w:ascii="Times New Roman" w:hAnsi="Times New Roman"/>
                <w:sz w:val="24"/>
              </w:rPr>
              <w:t>0</w:t>
            </w:r>
            <w:r w:rsidR="00B93FA1" w:rsidRPr="00661595">
              <w:rPr>
                <w:rFonts w:ascii="Times New Roman" w:hAnsi="Times New Roman"/>
                <w:sz w:val="24"/>
              </w:rPr>
              <w:t>200</w:t>
            </w:r>
          </w:p>
        </w:tc>
        <w:tc>
          <w:tcPr>
            <w:tcW w:w="8190" w:type="dxa"/>
          </w:tcPr>
          <w:p w:rsidR="00B93FA1" w:rsidRPr="00661595" w:rsidRDefault="00B93FA1" w:rsidP="00AF3D7A">
            <w:pPr>
              <w:spacing w:beforeLines="60" w:before="144" w:afterLines="60" w:after="144"/>
              <w:rPr>
                <w:rFonts w:ascii="Times New Roman" w:hAnsi="Times New Roman"/>
                <w:b/>
                <w:sz w:val="24"/>
                <w:u w:val="single"/>
              </w:rPr>
            </w:pPr>
            <w:r w:rsidRPr="00661595">
              <w:rPr>
                <w:rFonts w:ascii="Times New Roman" w:hAnsi="Times New Roman"/>
                <w:b/>
                <w:sz w:val="24"/>
                <w:u w:val="single"/>
              </w:rPr>
              <w:t>1.2.5 FAIR VALUE CHANGES OF THE HEDGED ITEMS IN PORTFOLIO HEDGE OF INTEREST RATE RISK</w:t>
            </w:r>
          </w:p>
          <w:p w:rsidR="00B93FA1" w:rsidRPr="00661595" w:rsidRDefault="00B93FA1" w:rsidP="00AF3D7A">
            <w:pPr>
              <w:spacing w:beforeLines="60" w:before="144" w:afterLines="60" w:after="144"/>
              <w:rPr>
                <w:rFonts w:ascii="Times New Roman" w:hAnsi="Times New Roman"/>
                <w:sz w:val="24"/>
              </w:rPr>
            </w:pPr>
            <w:r w:rsidRPr="00661595">
              <w:rPr>
                <w:rFonts w:ascii="Times New Roman" w:hAnsi="Times New Roman"/>
                <w:sz w:val="24"/>
              </w:rPr>
              <w:t xml:space="preserve">IAS 39.89A(b), IFRS 9.6.5.8; </w:t>
            </w:r>
            <w:r w:rsidR="00EC7AB4" w:rsidRPr="00661595">
              <w:rPr>
                <w:rFonts w:ascii="Times New Roman" w:hAnsi="Times New Roman"/>
                <w:sz w:val="24"/>
              </w:rPr>
              <w:t>Paragraphs 5 and 6 of</w:t>
            </w:r>
            <w:r w:rsidR="002F78EA" w:rsidRPr="00661595">
              <w:rPr>
                <w:rFonts w:ascii="Times New Roman" w:hAnsi="Times New Roman"/>
                <w:sz w:val="24"/>
              </w:rPr>
              <w:t xml:space="preserve"> Article 8 AD</w:t>
            </w:r>
            <w:r w:rsidRPr="00661595">
              <w:rPr>
                <w:rFonts w:ascii="Times New Roman" w:hAnsi="Times New Roman"/>
                <w:sz w:val="24"/>
              </w:rPr>
              <w:t xml:space="preserve">; </w:t>
            </w:r>
            <w:r w:rsidR="002F78EA" w:rsidRPr="00661595">
              <w:rPr>
                <w:rFonts w:ascii="Times New Roman" w:hAnsi="Times New Roman"/>
                <w:sz w:val="24"/>
              </w:rPr>
              <w:t xml:space="preserve">Part 2.8 of </w:t>
            </w:r>
            <w:r w:rsidRPr="00661595">
              <w:rPr>
                <w:rFonts w:ascii="Times New Roman" w:hAnsi="Times New Roman"/>
                <w:sz w:val="24"/>
              </w:rPr>
              <w:t>Annex V</w:t>
            </w:r>
            <w:r w:rsidR="002F78EA" w:rsidRPr="00661595">
              <w:rPr>
                <w:rFonts w:ascii="Times New Roman" w:hAnsi="Times New Roman"/>
                <w:sz w:val="24"/>
              </w:rPr>
              <w:t xml:space="preserve"> to this Implementing Regulation</w:t>
            </w:r>
          </w:p>
          <w:p w:rsidR="00B93FA1" w:rsidRPr="00661595" w:rsidRDefault="00B93FA1" w:rsidP="00EC7AB4">
            <w:pPr>
              <w:spacing w:beforeLines="60" w:before="144" w:afterLines="60" w:after="144"/>
              <w:rPr>
                <w:rFonts w:ascii="Times New Roman" w:hAnsi="Times New Roman"/>
                <w:b/>
                <w:sz w:val="24"/>
                <w:u w:val="single"/>
              </w:rPr>
            </w:pPr>
            <w:r w:rsidRPr="00661595">
              <w:rPr>
                <w:rFonts w:ascii="Times New Roman" w:hAnsi="Times New Roman"/>
                <w:sz w:val="24"/>
              </w:rPr>
              <w:t>The information reported in this row</w:t>
            </w:r>
            <w:r w:rsidR="00F811F8" w:rsidRPr="00661595">
              <w:rPr>
                <w:rFonts w:ascii="Times New Roman" w:hAnsi="Times New Roman"/>
                <w:sz w:val="24"/>
              </w:rPr>
              <w:t xml:space="preserve"> shall </w:t>
            </w:r>
            <w:r w:rsidRPr="00661595">
              <w:rPr>
                <w:rFonts w:ascii="Times New Roman" w:hAnsi="Times New Roman"/>
                <w:sz w:val="24"/>
              </w:rPr>
              <w:t xml:space="preserve">correspond to row </w:t>
            </w:r>
            <w:r w:rsidR="00787733" w:rsidRPr="00661595">
              <w:rPr>
                <w:rFonts w:ascii="Times New Roman" w:hAnsi="Times New Roman"/>
                <w:sz w:val="24"/>
              </w:rPr>
              <w:t>0</w:t>
            </w:r>
            <w:r w:rsidRPr="00661595">
              <w:rPr>
                <w:rFonts w:ascii="Times New Roman" w:hAnsi="Times New Roman"/>
                <w:sz w:val="24"/>
              </w:rPr>
              <w:t>160 of template</w:t>
            </w:r>
            <w:r w:rsidR="002B5CD1" w:rsidRPr="00661595">
              <w:rPr>
                <w:rFonts w:ascii="Times New Roman" w:hAnsi="Times New Roman"/>
                <w:sz w:val="24"/>
              </w:rPr>
              <w:t xml:space="preserve"> F 01.02 of Annexes III and IV to this </w:t>
            </w:r>
            <w:r w:rsidR="002F78EA" w:rsidRPr="00661595">
              <w:rPr>
                <w:rFonts w:ascii="Times New Roman" w:hAnsi="Times New Roman"/>
                <w:sz w:val="24"/>
              </w:rPr>
              <w:t xml:space="preserve">Implementing </w:t>
            </w:r>
            <w:r w:rsidR="002B5CD1" w:rsidRPr="00661595">
              <w:rPr>
                <w:rFonts w:ascii="Times New Roman" w:hAnsi="Times New Roman"/>
                <w:sz w:val="24"/>
              </w:rPr>
              <w:t>Regulation.</w:t>
            </w:r>
          </w:p>
        </w:tc>
      </w:tr>
      <w:tr w:rsidR="00B93FA1" w:rsidRPr="00661595" w:rsidTr="00672D2A">
        <w:tc>
          <w:tcPr>
            <w:tcW w:w="1101" w:type="dxa"/>
          </w:tcPr>
          <w:p w:rsidR="00B93FA1" w:rsidRPr="00661595" w:rsidRDefault="001924F4" w:rsidP="00AF3D7A">
            <w:pPr>
              <w:spacing w:beforeLines="60" w:before="144" w:afterLines="60" w:after="144"/>
              <w:rPr>
                <w:rFonts w:ascii="Times New Roman" w:hAnsi="Times New Roman"/>
                <w:sz w:val="24"/>
              </w:rPr>
            </w:pPr>
            <w:r w:rsidRPr="00661595">
              <w:rPr>
                <w:rFonts w:ascii="Times New Roman" w:hAnsi="Times New Roman"/>
                <w:sz w:val="24"/>
              </w:rPr>
              <w:t>0</w:t>
            </w:r>
            <w:r w:rsidR="00B93FA1" w:rsidRPr="00661595">
              <w:rPr>
                <w:rFonts w:ascii="Times New Roman" w:hAnsi="Times New Roman"/>
                <w:sz w:val="24"/>
              </w:rPr>
              <w:t>210</w:t>
            </w:r>
          </w:p>
        </w:tc>
        <w:tc>
          <w:tcPr>
            <w:tcW w:w="8190" w:type="dxa"/>
          </w:tcPr>
          <w:p w:rsidR="00B93FA1" w:rsidRPr="00661595" w:rsidRDefault="00B93FA1" w:rsidP="00AF3D7A">
            <w:pPr>
              <w:spacing w:beforeLines="60" w:before="144" w:afterLines="60" w:after="144"/>
              <w:rPr>
                <w:rFonts w:ascii="Times New Roman" w:hAnsi="Times New Roman"/>
                <w:b/>
                <w:sz w:val="24"/>
                <w:u w:val="single"/>
              </w:rPr>
            </w:pPr>
            <w:r w:rsidRPr="00661595">
              <w:rPr>
                <w:rFonts w:ascii="Times New Roman" w:hAnsi="Times New Roman"/>
                <w:b/>
                <w:sz w:val="24"/>
                <w:u w:val="single"/>
              </w:rPr>
              <w:t>1.2.6 HAIRCUTS FOR TRADING LIABILITIES AT FAIR VALUE</w:t>
            </w:r>
          </w:p>
          <w:p w:rsidR="00B93FA1" w:rsidRPr="00661595" w:rsidRDefault="002F78EA" w:rsidP="00AF3D7A">
            <w:pPr>
              <w:spacing w:beforeLines="60" w:before="144" w:afterLines="60" w:after="144"/>
              <w:rPr>
                <w:rFonts w:ascii="Times New Roman" w:hAnsi="Times New Roman"/>
                <w:sz w:val="24"/>
              </w:rPr>
            </w:pPr>
            <w:r w:rsidRPr="00661595">
              <w:rPr>
                <w:rFonts w:ascii="Times New Roman" w:hAnsi="Times New Roman"/>
                <w:bCs/>
                <w:sz w:val="24"/>
                <w:lang w:eastAsia="de-DE"/>
              </w:rPr>
              <w:t>Part 1.29 of Annex V to this Implementing Regulation</w:t>
            </w:r>
          </w:p>
          <w:p w:rsidR="00B93FA1" w:rsidRPr="00661595" w:rsidRDefault="00B93FA1" w:rsidP="00EC7AB4">
            <w:pPr>
              <w:spacing w:beforeLines="60" w:before="144" w:afterLines="60" w:after="144"/>
              <w:rPr>
                <w:rFonts w:ascii="Times New Roman" w:hAnsi="Times New Roman"/>
                <w:b/>
                <w:sz w:val="24"/>
                <w:u w:val="single"/>
              </w:rPr>
            </w:pPr>
            <w:r w:rsidRPr="00661595">
              <w:rPr>
                <w:rFonts w:ascii="Times New Roman" w:hAnsi="Times New Roman"/>
                <w:sz w:val="24"/>
              </w:rPr>
              <w:t>The information reported in this row</w:t>
            </w:r>
            <w:r w:rsidR="00F811F8" w:rsidRPr="00661595">
              <w:rPr>
                <w:rFonts w:ascii="Times New Roman" w:hAnsi="Times New Roman"/>
                <w:sz w:val="24"/>
              </w:rPr>
              <w:t xml:space="preserve"> shall </w:t>
            </w:r>
            <w:r w:rsidRPr="00661595">
              <w:rPr>
                <w:rFonts w:ascii="Times New Roman" w:hAnsi="Times New Roman"/>
                <w:sz w:val="24"/>
              </w:rPr>
              <w:t xml:space="preserve">correspond to row </w:t>
            </w:r>
            <w:r w:rsidR="00787733" w:rsidRPr="00661595">
              <w:rPr>
                <w:rFonts w:ascii="Times New Roman" w:hAnsi="Times New Roman"/>
                <w:sz w:val="24"/>
              </w:rPr>
              <w:t>0</w:t>
            </w:r>
            <w:r w:rsidRPr="00661595">
              <w:rPr>
                <w:rFonts w:ascii="Times New Roman" w:hAnsi="Times New Roman"/>
                <w:sz w:val="24"/>
              </w:rPr>
              <w:t>295 of template</w:t>
            </w:r>
            <w:r w:rsidR="002B5CD1" w:rsidRPr="00661595">
              <w:rPr>
                <w:rFonts w:ascii="Times New Roman" w:hAnsi="Times New Roman"/>
                <w:sz w:val="24"/>
              </w:rPr>
              <w:t xml:space="preserve"> F 01.02 of Annexes III and IV to this </w:t>
            </w:r>
            <w:r w:rsidR="002F78EA" w:rsidRPr="00661595">
              <w:rPr>
                <w:rFonts w:ascii="Times New Roman" w:hAnsi="Times New Roman"/>
                <w:sz w:val="24"/>
              </w:rPr>
              <w:t xml:space="preserve">Implementing </w:t>
            </w:r>
            <w:r w:rsidR="002B5CD1" w:rsidRPr="00661595">
              <w:rPr>
                <w:rFonts w:ascii="Times New Roman" w:hAnsi="Times New Roman"/>
                <w:sz w:val="24"/>
              </w:rPr>
              <w:t>Regulation.</w:t>
            </w:r>
          </w:p>
        </w:tc>
      </w:tr>
    </w:tbl>
    <w:p w:rsidR="00995A7F" w:rsidRPr="00661595" w:rsidRDefault="00995A7F" w:rsidP="00C61FF5">
      <w:pPr>
        <w:rPr>
          <w:rStyle w:val="InstructionsTabelleText"/>
          <w:rFonts w:ascii="Times New Roman" w:hAnsi="Times New Roman"/>
          <w:sz w:val="24"/>
        </w:rPr>
      </w:pPr>
    </w:p>
    <w:p w:rsidR="00B93FA1" w:rsidRPr="00661595" w:rsidRDefault="00B93FA1" w:rsidP="00B93FA1">
      <w:pPr>
        <w:pStyle w:val="Instructionsberschrift2"/>
        <w:numPr>
          <w:ilvl w:val="0"/>
          <w:numId w:val="0"/>
        </w:numPr>
        <w:ind w:left="357" w:hanging="357"/>
        <w:rPr>
          <w:rFonts w:ascii="Times New Roman" w:hAnsi="Times New Roman" w:cs="Times New Roman"/>
          <w:sz w:val="24"/>
          <w:u w:val="none"/>
          <w:lang w:val="en-GB"/>
        </w:rPr>
      </w:pPr>
      <w:bookmarkStart w:id="759" w:name="_Toc57831663"/>
      <w:r w:rsidRPr="00661595">
        <w:rPr>
          <w:rFonts w:ascii="Times New Roman" w:hAnsi="Times New Roman" w:cs="Times New Roman"/>
          <w:sz w:val="24"/>
          <w:u w:val="none"/>
          <w:lang w:val="en-GB"/>
        </w:rPr>
        <w:t>6.2.</w:t>
      </w:r>
      <w:r w:rsidRPr="00661595">
        <w:rPr>
          <w:rFonts w:ascii="Times New Roman" w:hAnsi="Times New Roman" w:cs="Times New Roman"/>
          <w:sz w:val="24"/>
          <w:u w:val="none"/>
          <w:lang w:val="en-GB"/>
        </w:rPr>
        <w:tab/>
      </w:r>
      <w:r w:rsidRPr="00661595">
        <w:rPr>
          <w:rFonts w:ascii="Times New Roman" w:hAnsi="Times New Roman" w:cs="Times New Roman"/>
          <w:sz w:val="24"/>
          <w:lang w:val="en-GB"/>
        </w:rPr>
        <w:t>C 32.02 - Prudent Valuation: Core Approach (PruVal 2)</w:t>
      </w:r>
      <w:bookmarkEnd w:id="759"/>
    </w:p>
    <w:p w:rsidR="00B93FA1" w:rsidRPr="00661595" w:rsidRDefault="00B93FA1" w:rsidP="00B93FA1">
      <w:pPr>
        <w:pStyle w:val="Instructionsberschrift2"/>
        <w:numPr>
          <w:ilvl w:val="0"/>
          <w:numId w:val="0"/>
        </w:numPr>
        <w:ind w:left="357" w:hanging="357"/>
        <w:rPr>
          <w:rFonts w:ascii="Times New Roman" w:hAnsi="Times New Roman" w:cs="Times New Roman"/>
          <w:sz w:val="24"/>
          <w:u w:val="none"/>
          <w:lang w:val="en-GB"/>
        </w:rPr>
      </w:pPr>
      <w:bookmarkStart w:id="760" w:name="_Toc57831664"/>
      <w:r w:rsidRPr="00661595">
        <w:rPr>
          <w:rFonts w:ascii="Times New Roman" w:hAnsi="Times New Roman" w:cs="Times New Roman"/>
          <w:sz w:val="24"/>
          <w:u w:val="none"/>
          <w:lang w:val="en-GB"/>
        </w:rPr>
        <w:t>6.2.1.</w:t>
      </w:r>
      <w:r w:rsidRPr="00661595">
        <w:rPr>
          <w:rFonts w:ascii="Times New Roman" w:hAnsi="Times New Roman" w:cs="Times New Roman"/>
          <w:sz w:val="24"/>
          <w:u w:val="none"/>
          <w:lang w:val="en-GB"/>
        </w:rPr>
        <w:tab/>
      </w:r>
      <w:r w:rsidRPr="00661595">
        <w:rPr>
          <w:rFonts w:ascii="Times New Roman" w:hAnsi="Times New Roman" w:cs="Times New Roman"/>
          <w:sz w:val="24"/>
          <w:lang w:val="en-GB"/>
        </w:rPr>
        <w:t>General remarks</w:t>
      </w:r>
      <w:bookmarkEnd w:id="760"/>
      <w:r w:rsidRPr="00661595">
        <w:rPr>
          <w:rFonts w:ascii="Times New Roman" w:hAnsi="Times New Roman" w:cs="Times New Roman"/>
          <w:sz w:val="24"/>
          <w:u w:val="none"/>
          <w:lang w:val="en-GB"/>
        </w:rPr>
        <w:t xml:space="preserve"> </w:t>
      </w:r>
    </w:p>
    <w:p w:rsidR="00B93FA1" w:rsidRPr="00661595" w:rsidRDefault="00D11E4C" w:rsidP="00487A02">
      <w:pPr>
        <w:pStyle w:val="InstructionsText2"/>
        <w:numPr>
          <w:ilvl w:val="0"/>
          <w:numId w:val="0"/>
        </w:numPr>
        <w:ind w:left="1353" w:hanging="360"/>
      </w:pPr>
      <w:fldSimple w:instr=" seq paragraphs ">
        <w:r w:rsidR="00771068">
          <w:rPr>
            <w:noProof/>
          </w:rPr>
          <w:t>178</w:t>
        </w:r>
      </w:fldSimple>
      <w:r w:rsidR="00B93FA1" w:rsidRPr="00661595">
        <w:t>. The purpose of this template is to provide information on the composition of the total AVA to be deducted from own funds under Articles 34 and 105 CRR alongside relevant information about the accounting valuation of the positions that give rise to the determination of AVAs.</w:t>
      </w:r>
    </w:p>
    <w:p w:rsidR="00B93FA1" w:rsidRPr="00661595" w:rsidRDefault="00D11E4C" w:rsidP="00487A02">
      <w:pPr>
        <w:pStyle w:val="InstructionsText2"/>
        <w:numPr>
          <w:ilvl w:val="0"/>
          <w:numId w:val="0"/>
        </w:numPr>
        <w:ind w:left="1353" w:hanging="360"/>
      </w:pPr>
      <w:fldSimple w:instr=" seq paragraphs ">
        <w:r w:rsidR="00771068">
          <w:rPr>
            <w:noProof/>
          </w:rPr>
          <w:t>179</w:t>
        </w:r>
      </w:fldSimple>
      <w:r w:rsidR="00B93FA1" w:rsidRPr="00661595">
        <w:t xml:space="preserve">. This template shall be completed by all institutions that: </w:t>
      </w:r>
    </w:p>
    <w:p w:rsidR="00B93FA1" w:rsidRPr="00661595" w:rsidRDefault="00B93FA1" w:rsidP="00487A02">
      <w:pPr>
        <w:pStyle w:val="InstructionsText2"/>
        <w:numPr>
          <w:ilvl w:val="0"/>
          <w:numId w:val="0"/>
        </w:numPr>
        <w:ind w:left="1353" w:hanging="360"/>
      </w:pPr>
      <w:r w:rsidRPr="00661595">
        <w:t xml:space="preserve">(a) </w:t>
      </w:r>
      <w:r w:rsidR="00973707" w:rsidRPr="00661595">
        <w:t>a</w:t>
      </w:r>
      <w:r w:rsidRPr="00661595">
        <w:t xml:space="preserve">re required to use the </w:t>
      </w:r>
      <w:r w:rsidR="002A5BC5" w:rsidRPr="00661595">
        <w:t>c</w:t>
      </w:r>
      <w:r w:rsidRPr="00661595">
        <w:t xml:space="preserve">ore approach because they exceed the threshold referred to in Article 4(1) of </w:t>
      </w:r>
      <w:r w:rsidR="009F5262" w:rsidRPr="00661595">
        <w:t xml:space="preserve"> Delegated Regulation (EU) 2016/101</w:t>
      </w:r>
      <w:r w:rsidRPr="00661595">
        <w:t xml:space="preserve">, either on an individual basis or on a consolidated basis as set out in Article 4(3) </w:t>
      </w:r>
      <w:r w:rsidR="002A5BC5" w:rsidRPr="00661595">
        <w:t xml:space="preserve">of that </w:t>
      </w:r>
      <w:r w:rsidR="009F5262" w:rsidRPr="00661595">
        <w:t>Regulation</w:t>
      </w:r>
      <w:r w:rsidR="002A5BC5" w:rsidRPr="00661595">
        <w:t>;</w:t>
      </w:r>
      <w:r w:rsidR="00973707" w:rsidRPr="00661595">
        <w:t xml:space="preserve"> or</w:t>
      </w:r>
    </w:p>
    <w:p w:rsidR="00B93FA1" w:rsidRPr="00661595" w:rsidRDefault="00973707" w:rsidP="00487A02">
      <w:pPr>
        <w:pStyle w:val="InstructionsText2"/>
        <w:numPr>
          <w:ilvl w:val="0"/>
          <w:numId w:val="0"/>
        </w:numPr>
        <w:ind w:left="1353" w:hanging="360"/>
      </w:pPr>
      <w:r w:rsidRPr="00661595">
        <w:t>(b) h</w:t>
      </w:r>
      <w:r w:rsidR="00B93FA1" w:rsidRPr="00661595">
        <w:t xml:space="preserve">ave chosen to apply the </w:t>
      </w:r>
      <w:r w:rsidR="002A5BC5" w:rsidRPr="00661595">
        <w:t>c</w:t>
      </w:r>
      <w:r w:rsidR="00B93FA1" w:rsidRPr="00661595">
        <w:t xml:space="preserve">ore approach despite not exceeding the threshold. </w:t>
      </w:r>
    </w:p>
    <w:p w:rsidR="00973707" w:rsidRPr="00661595" w:rsidRDefault="00D11E4C" w:rsidP="00487A02">
      <w:pPr>
        <w:pStyle w:val="InstructionsText2"/>
        <w:numPr>
          <w:ilvl w:val="0"/>
          <w:numId w:val="0"/>
        </w:numPr>
        <w:ind w:left="1353" w:hanging="360"/>
      </w:pPr>
      <w:fldSimple w:instr=" seq paragraphs ">
        <w:r w:rsidR="00771068">
          <w:rPr>
            <w:noProof/>
          </w:rPr>
          <w:t>180</w:t>
        </w:r>
      </w:fldSimple>
      <w:r w:rsidR="00973707" w:rsidRPr="00661595">
        <w:t>. For the purposes of this template, ‘u</w:t>
      </w:r>
      <w:r w:rsidR="00B93FA1" w:rsidRPr="00661595">
        <w:t>pside uncertainty</w:t>
      </w:r>
      <w:r w:rsidR="00973707" w:rsidRPr="00661595">
        <w:t xml:space="preserve">’ shall </w:t>
      </w:r>
      <w:r w:rsidR="002A5BC5" w:rsidRPr="00661595">
        <w:t>mean the following</w:t>
      </w:r>
      <w:r w:rsidR="00B93FA1" w:rsidRPr="00661595">
        <w:t>: As determined by Article 8(2) of</w:t>
      </w:r>
      <w:r w:rsidR="009F5262" w:rsidRPr="00661595">
        <w:t xml:space="preserve"> Delegated Regulation (EU) 2016/101</w:t>
      </w:r>
      <w:r w:rsidR="00B93FA1" w:rsidRPr="00661595">
        <w:t>, AVAs are calculated as the difference between the fair value and a prudent valuation that is de</w:t>
      </w:r>
      <w:r w:rsidR="002A5BC5" w:rsidRPr="00661595">
        <w:t>termined</w:t>
      </w:r>
      <w:r w:rsidR="00B93FA1" w:rsidRPr="00661595">
        <w:t xml:space="preserve"> on the basis of a 90% confidence that institutions can exit the exposure at that point or better within the notional range of plausible values. The upside value or ‘upside uncertainty’ is the opposing point in the distribution of plausible values at which institutions are only 10% confident that they can exit the position at that point or better. The upside uncertainty shall be calculated and aggregated on the same basis as the total AVA but substituting a 10% level of certainty for the 90% used when determining the total AVA.</w:t>
      </w:r>
    </w:p>
    <w:p w:rsidR="00B93FA1" w:rsidRPr="00661595" w:rsidRDefault="00B93FA1" w:rsidP="00973707">
      <w:pPr>
        <w:pStyle w:val="Instructionsberschrift2"/>
        <w:numPr>
          <w:ilvl w:val="0"/>
          <w:numId w:val="0"/>
        </w:numPr>
        <w:ind w:left="357" w:hanging="357"/>
        <w:rPr>
          <w:rFonts w:ascii="Times New Roman" w:hAnsi="Times New Roman" w:cs="Times New Roman"/>
          <w:sz w:val="24"/>
          <w:u w:val="none"/>
          <w:lang w:val="en-GB"/>
        </w:rPr>
      </w:pPr>
      <w:bookmarkStart w:id="761" w:name="_Toc57831665"/>
      <w:r w:rsidRPr="00661595">
        <w:rPr>
          <w:rFonts w:ascii="Times New Roman" w:hAnsi="Times New Roman" w:cs="Times New Roman"/>
          <w:sz w:val="24"/>
          <w:u w:val="none"/>
          <w:lang w:val="en-GB"/>
        </w:rPr>
        <w:t>6.</w:t>
      </w:r>
      <w:r w:rsidR="00973707" w:rsidRPr="00661595">
        <w:rPr>
          <w:rFonts w:ascii="Times New Roman" w:hAnsi="Times New Roman" w:cs="Times New Roman"/>
          <w:sz w:val="24"/>
          <w:u w:val="none"/>
          <w:lang w:val="en-GB"/>
        </w:rPr>
        <w:t>2</w:t>
      </w:r>
      <w:r w:rsidRPr="00661595">
        <w:rPr>
          <w:rFonts w:ascii="Times New Roman" w:hAnsi="Times New Roman" w:cs="Times New Roman"/>
          <w:sz w:val="24"/>
          <w:u w:val="none"/>
          <w:lang w:val="en-GB"/>
        </w:rPr>
        <w:t>.2.</w:t>
      </w:r>
      <w:r w:rsidRPr="00661595">
        <w:rPr>
          <w:rFonts w:ascii="Times New Roman" w:hAnsi="Times New Roman" w:cs="Times New Roman"/>
          <w:sz w:val="24"/>
          <w:u w:val="none"/>
          <w:lang w:val="en-GB"/>
        </w:rPr>
        <w:tab/>
        <w:t>Instructions concerning specific positions</w:t>
      </w:r>
      <w:bookmarkEnd w:id="761"/>
    </w:p>
    <w:tbl>
      <w:tblPr>
        <w:tblW w:w="9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1"/>
        <w:gridCol w:w="8190"/>
      </w:tblGrid>
      <w:tr w:rsidR="00973707" w:rsidRPr="00661595" w:rsidTr="00672D2A">
        <w:tc>
          <w:tcPr>
            <w:tcW w:w="9291" w:type="dxa"/>
            <w:gridSpan w:val="2"/>
            <w:shd w:val="clear" w:color="auto" w:fill="CCCCCC"/>
          </w:tcPr>
          <w:p w:rsidR="00973707" w:rsidRPr="00661595" w:rsidRDefault="00973707" w:rsidP="00AF3D7A">
            <w:pPr>
              <w:spacing w:beforeLines="60" w:before="144" w:afterLines="60" w:after="144"/>
              <w:rPr>
                <w:rFonts w:ascii="Times New Roman" w:hAnsi="Times New Roman"/>
                <w:b/>
                <w:sz w:val="24"/>
              </w:rPr>
            </w:pPr>
            <w:r w:rsidRPr="00661595">
              <w:rPr>
                <w:rFonts w:ascii="Times New Roman" w:hAnsi="Times New Roman"/>
                <w:b/>
                <w:sz w:val="24"/>
              </w:rPr>
              <w:t>Columns</w:t>
            </w:r>
          </w:p>
        </w:tc>
      </w:tr>
      <w:tr w:rsidR="00973707" w:rsidRPr="00661595" w:rsidTr="00672D2A">
        <w:tc>
          <w:tcPr>
            <w:tcW w:w="1101" w:type="dxa"/>
          </w:tcPr>
          <w:p w:rsidR="00973707" w:rsidRPr="00661595" w:rsidRDefault="009A7A38" w:rsidP="00AF3D7A">
            <w:pPr>
              <w:spacing w:beforeLines="60" w:before="144" w:afterLines="60" w:after="144"/>
              <w:rPr>
                <w:rFonts w:ascii="Times New Roman" w:hAnsi="Times New Roman"/>
                <w:sz w:val="24"/>
              </w:rPr>
            </w:pPr>
            <w:r w:rsidRPr="00661595">
              <w:rPr>
                <w:rFonts w:ascii="Times New Roman" w:hAnsi="Times New Roman"/>
                <w:sz w:val="24"/>
              </w:rPr>
              <w:t>0</w:t>
            </w:r>
            <w:r w:rsidR="00973707" w:rsidRPr="00661595">
              <w:rPr>
                <w:rFonts w:ascii="Times New Roman" w:hAnsi="Times New Roman"/>
                <w:sz w:val="24"/>
              </w:rPr>
              <w:t xml:space="preserve">010 - </w:t>
            </w:r>
            <w:r w:rsidRPr="00661595">
              <w:rPr>
                <w:rFonts w:ascii="Times New Roman" w:hAnsi="Times New Roman"/>
                <w:sz w:val="24"/>
              </w:rPr>
              <w:t>0</w:t>
            </w:r>
            <w:r w:rsidR="00973707" w:rsidRPr="00661595">
              <w:rPr>
                <w:rFonts w:ascii="Times New Roman" w:hAnsi="Times New Roman"/>
                <w:sz w:val="24"/>
              </w:rPr>
              <w:t>100</w:t>
            </w:r>
          </w:p>
        </w:tc>
        <w:tc>
          <w:tcPr>
            <w:tcW w:w="8190" w:type="dxa"/>
          </w:tcPr>
          <w:p w:rsidR="00973707" w:rsidRPr="00661595" w:rsidRDefault="00973707" w:rsidP="00AF3D7A">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CATEGORY LEVEL AVA</w:t>
            </w:r>
          </w:p>
          <w:p w:rsidR="00973707" w:rsidRPr="00661595" w:rsidRDefault="00973707" w:rsidP="00AF3D7A">
            <w:pPr>
              <w:spacing w:beforeLines="60" w:before="144" w:afterLines="60" w:after="144"/>
              <w:rPr>
                <w:rFonts w:ascii="Times New Roman" w:hAnsi="Times New Roman"/>
                <w:sz w:val="24"/>
              </w:rPr>
            </w:pPr>
            <w:r w:rsidRPr="00661595">
              <w:rPr>
                <w:rFonts w:ascii="Times New Roman" w:hAnsi="Times New Roman"/>
                <w:sz w:val="24"/>
              </w:rPr>
              <w:t>The category level AVAs for market price uncertainty, close-out costs, model risk, concentrated positions, future administrative costs, early termination and operational risk are calculated as described in Articles 9</w:t>
            </w:r>
            <w:r w:rsidR="00614509" w:rsidRPr="00661595">
              <w:rPr>
                <w:rFonts w:ascii="Times New Roman" w:hAnsi="Times New Roman"/>
                <w:sz w:val="24"/>
              </w:rPr>
              <w:t>,</w:t>
            </w:r>
            <w:r w:rsidRPr="00661595">
              <w:rPr>
                <w:rFonts w:ascii="Times New Roman" w:hAnsi="Times New Roman"/>
                <w:sz w:val="24"/>
              </w:rPr>
              <w:t xml:space="preserve"> </w:t>
            </w:r>
            <w:r w:rsidR="00614509" w:rsidRPr="00661595">
              <w:rPr>
                <w:rFonts w:ascii="Times New Roman" w:hAnsi="Times New Roman"/>
                <w:sz w:val="24"/>
              </w:rPr>
              <w:t>10,</w:t>
            </w:r>
            <w:r w:rsidRPr="00661595">
              <w:rPr>
                <w:rFonts w:ascii="Times New Roman" w:hAnsi="Times New Roman"/>
                <w:sz w:val="24"/>
              </w:rPr>
              <w:t xml:space="preserve"> 11 and 14 to 17</w:t>
            </w:r>
            <w:r w:rsidR="00033B7C" w:rsidRPr="00661595">
              <w:rPr>
                <w:rFonts w:ascii="Times New Roman" w:hAnsi="Times New Roman"/>
                <w:sz w:val="24"/>
              </w:rPr>
              <w:t xml:space="preserve"> of </w:t>
            </w:r>
            <w:r w:rsidR="00F811F8" w:rsidRPr="00661595">
              <w:rPr>
                <w:rFonts w:ascii="Times New Roman" w:hAnsi="Times New Roman"/>
                <w:sz w:val="24"/>
              </w:rPr>
              <w:t xml:space="preserve">Delegated Regulation (EU) 2016/101 </w:t>
            </w:r>
            <w:r w:rsidRPr="00661595">
              <w:rPr>
                <w:rFonts w:ascii="Times New Roman" w:hAnsi="Times New Roman"/>
                <w:sz w:val="24"/>
              </w:rPr>
              <w:t>respectively.</w:t>
            </w:r>
          </w:p>
          <w:p w:rsidR="00973707" w:rsidRPr="00661595" w:rsidRDefault="00973707" w:rsidP="00AF3D7A">
            <w:pPr>
              <w:spacing w:beforeLines="60" w:before="144" w:afterLines="60" w:after="144"/>
              <w:rPr>
                <w:rFonts w:ascii="Times New Roman" w:hAnsi="Times New Roman"/>
                <w:sz w:val="24"/>
              </w:rPr>
            </w:pPr>
            <w:r w:rsidRPr="00661595">
              <w:rPr>
                <w:rFonts w:ascii="Times New Roman" w:hAnsi="Times New Roman"/>
                <w:sz w:val="24"/>
              </w:rPr>
              <w:t xml:space="preserve">For the market price uncertainty, close-out cost and model risk categories, which are subject to diversification benefit as set out </w:t>
            </w:r>
            <w:r w:rsidR="00614509" w:rsidRPr="00661595">
              <w:rPr>
                <w:rFonts w:ascii="Times New Roman" w:hAnsi="Times New Roman"/>
                <w:sz w:val="24"/>
              </w:rPr>
              <w:t>in</w:t>
            </w:r>
            <w:r w:rsidRPr="00661595">
              <w:rPr>
                <w:rFonts w:ascii="Times New Roman" w:hAnsi="Times New Roman"/>
                <w:sz w:val="24"/>
              </w:rPr>
              <w:t xml:space="preserve"> Articles 9(6), 10(7) and 11(7) of</w:t>
            </w:r>
            <w:r w:rsidR="00F811F8" w:rsidRPr="00661595">
              <w:rPr>
                <w:rFonts w:ascii="Times New Roman" w:hAnsi="Times New Roman"/>
                <w:sz w:val="24"/>
              </w:rPr>
              <w:t xml:space="preserve"> Delegated Regulation (EU) 2016/101</w:t>
            </w:r>
            <w:r w:rsidR="003F1103" w:rsidRPr="00661595">
              <w:rPr>
                <w:rFonts w:ascii="Times New Roman" w:hAnsi="Times New Roman"/>
                <w:sz w:val="24"/>
              </w:rPr>
              <w:t>,</w:t>
            </w:r>
            <w:r w:rsidR="00033B7C" w:rsidRPr="00661595">
              <w:rPr>
                <w:rFonts w:ascii="Times New Roman" w:hAnsi="Times New Roman"/>
                <w:sz w:val="24"/>
              </w:rPr>
              <w:t xml:space="preserve"> </w:t>
            </w:r>
            <w:r w:rsidRPr="00661595">
              <w:rPr>
                <w:rFonts w:ascii="Times New Roman" w:hAnsi="Times New Roman"/>
                <w:sz w:val="24"/>
              </w:rPr>
              <w:t xml:space="preserve">respectively, category level AVAs shall be, unless indicated otherwise, reported as the straight sum of the individual AVAs before diversification benefit </w:t>
            </w:r>
            <w:r w:rsidR="00EE34F2" w:rsidRPr="00661595">
              <w:rPr>
                <w:rFonts w:ascii="Times New Roman" w:hAnsi="Times New Roman"/>
                <w:sz w:val="24"/>
              </w:rPr>
              <w:t>[</w:t>
            </w:r>
            <w:r w:rsidRPr="00661595">
              <w:rPr>
                <w:rFonts w:ascii="Times New Roman" w:hAnsi="Times New Roman"/>
                <w:sz w:val="24"/>
              </w:rPr>
              <w:t xml:space="preserve">since diversification benefits calculated using method 1 or method 2 of the Annex of </w:t>
            </w:r>
            <w:r w:rsidR="00F811F8" w:rsidRPr="00661595">
              <w:rPr>
                <w:rFonts w:ascii="Times New Roman" w:hAnsi="Times New Roman"/>
                <w:sz w:val="24"/>
              </w:rPr>
              <w:t xml:space="preserve">Delegated Regulation (EU) 2016/101 </w:t>
            </w:r>
            <w:r w:rsidRPr="00661595">
              <w:rPr>
                <w:rFonts w:ascii="Times New Roman" w:hAnsi="Times New Roman"/>
                <w:sz w:val="24"/>
              </w:rPr>
              <w:t xml:space="preserve">are reported in </w:t>
            </w:r>
            <w:r w:rsidR="00033B7C" w:rsidRPr="00661595">
              <w:rPr>
                <w:rFonts w:ascii="Times New Roman" w:hAnsi="Times New Roman"/>
                <w:sz w:val="24"/>
              </w:rPr>
              <w:t>items</w:t>
            </w:r>
            <w:r w:rsidRPr="00661595">
              <w:rPr>
                <w:rFonts w:ascii="Times New Roman" w:hAnsi="Times New Roman"/>
                <w:sz w:val="24"/>
              </w:rPr>
              <w:t xml:space="preserve"> 1.1.2, 1.1.2.1 and 1.1.2.2 of the template</w:t>
            </w:r>
            <w:r w:rsidR="00EE34F2" w:rsidRPr="00661595">
              <w:rPr>
                <w:rFonts w:ascii="Times New Roman" w:hAnsi="Times New Roman"/>
                <w:sz w:val="24"/>
              </w:rPr>
              <w:t>]</w:t>
            </w:r>
            <w:r w:rsidRPr="00661595">
              <w:rPr>
                <w:rFonts w:ascii="Times New Roman" w:hAnsi="Times New Roman"/>
                <w:sz w:val="24"/>
              </w:rPr>
              <w:t xml:space="preserve">. </w:t>
            </w:r>
          </w:p>
          <w:p w:rsidR="00973707" w:rsidRPr="00661595" w:rsidRDefault="00973707" w:rsidP="001771A4">
            <w:pPr>
              <w:spacing w:beforeLines="60" w:before="144" w:afterLines="60" w:after="144"/>
              <w:rPr>
                <w:rFonts w:ascii="Times New Roman" w:hAnsi="Times New Roman"/>
                <w:sz w:val="24"/>
              </w:rPr>
            </w:pPr>
            <w:r w:rsidRPr="00661595">
              <w:rPr>
                <w:rFonts w:ascii="Times New Roman" w:hAnsi="Times New Roman"/>
                <w:sz w:val="24"/>
              </w:rPr>
              <w:t xml:space="preserve">For the market uncertainty, close-out cost and model risk categories, amounts calculated under the expert-based approach as </w:t>
            </w:r>
            <w:r w:rsidR="00614509" w:rsidRPr="00661595">
              <w:rPr>
                <w:rFonts w:ascii="Times New Roman" w:hAnsi="Times New Roman"/>
                <w:sz w:val="24"/>
              </w:rPr>
              <w:t>referred to</w:t>
            </w:r>
            <w:r w:rsidRPr="00661595">
              <w:rPr>
                <w:rFonts w:ascii="Times New Roman" w:hAnsi="Times New Roman"/>
                <w:sz w:val="24"/>
              </w:rPr>
              <w:t xml:space="preserve"> in </w:t>
            </w:r>
            <w:r w:rsidR="001771A4" w:rsidRPr="00661595">
              <w:rPr>
                <w:rFonts w:ascii="Times New Roman" w:hAnsi="Times New Roman"/>
                <w:sz w:val="24"/>
              </w:rPr>
              <w:t xml:space="preserve">point (b) of </w:t>
            </w:r>
            <w:r w:rsidRPr="00661595">
              <w:rPr>
                <w:rFonts w:ascii="Times New Roman" w:hAnsi="Times New Roman"/>
                <w:sz w:val="24"/>
              </w:rPr>
              <w:t>Article 9(5),</w:t>
            </w:r>
            <w:r w:rsidR="001771A4" w:rsidRPr="00661595">
              <w:rPr>
                <w:rFonts w:ascii="Times New Roman" w:hAnsi="Times New Roman"/>
                <w:sz w:val="24"/>
              </w:rPr>
              <w:t xml:space="preserve"> point (b) of Article</w:t>
            </w:r>
            <w:r w:rsidRPr="00661595">
              <w:rPr>
                <w:rFonts w:ascii="Times New Roman" w:hAnsi="Times New Roman"/>
                <w:sz w:val="24"/>
              </w:rPr>
              <w:t xml:space="preserve"> 10(6) and </w:t>
            </w:r>
            <w:r w:rsidR="00614509" w:rsidRPr="00661595">
              <w:rPr>
                <w:rFonts w:ascii="Times New Roman" w:hAnsi="Times New Roman"/>
                <w:sz w:val="24"/>
              </w:rPr>
              <w:t xml:space="preserve">Article </w:t>
            </w:r>
            <w:r w:rsidRPr="00661595">
              <w:rPr>
                <w:rFonts w:ascii="Times New Roman" w:hAnsi="Times New Roman"/>
                <w:sz w:val="24"/>
              </w:rPr>
              <w:t xml:space="preserve">11(4) </w:t>
            </w:r>
            <w:r w:rsidR="00033B7C" w:rsidRPr="00661595">
              <w:rPr>
                <w:rFonts w:ascii="Times New Roman" w:hAnsi="Times New Roman"/>
                <w:sz w:val="24"/>
              </w:rPr>
              <w:t>of</w:t>
            </w:r>
            <w:r w:rsidR="00F811F8" w:rsidRPr="00661595">
              <w:rPr>
                <w:rFonts w:ascii="Times New Roman" w:hAnsi="Times New Roman"/>
                <w:sz w:val="24"/>
              </w:rPr>
              <w:t xml:space="preserve"> Delegated Regulation (EU) 2016/101 shall</w:t>
            </w:r>
            <w:r w:rsidRPr="00661595">
              <w:rPr>
                <w:rFonts w:ascii="Times New Roman" w:hAnsi="Times New Roman"/>
                <w:sz w:val="24"/>
              </w:rPr>
              <w:t xml:space="preserve"> be separately reported in columns 0</w:t>
            </w:r>
            <w:r w:rsidR="00033B7C" w:rsidRPr="00661595">
              <w:rPr>
                <w:rFonts w:ascii="Times New Roman" w:hAnsi="Times New Roman"/>
                <w:sz w:val="24"/>
              </w:rPr>
              <w:t>0</w:t>
            </w:r>
            <w:r w:rsidRPr="00661595">
              <w:rPr>
                <w:rFonts w:ascii="Times New Roman" w:hAnsi="Times New Roman"/>
                <w:sz w:val="24"/>
              </w:rPr>
              <w:t>20, 0</w:t>
            </w:r>
            <w:r w:rsidR="00033B7C" w:rsidRPr="00661595">
              <w:rPr>
                <w:rFonts w:ascii="Times New Roman" w:hAnsi="Times New Roman"/>
                <w:sz w:val="24"/>
              </w:rPr>
              <w:t>0</w:t>
            </w:r>
            <w:r w:rsidRPr="00661595">
              <w:rPr>
                <w:rFonts w:ascii="Times New Roman" w:hAnsi="Times New Roman"/>
                <w:sz w:val="24"/>
              </w:rPr>
              <w:t>40 and 0</w:t>
            </w:r>
            <w:r w:rsidR="00033B7C" w:rsidRPr="00661595">
              <w:rPr>
                <w:rFonts w:ascii="Times New Roman" w:hAnsi="Times New Roman"/>
                <w:sz w:val="24"/>
              </w:rPr>
              <w:t>0</w:t>
            </w:r>
            <w:r w:rsidRPr="00661595">
              <w:rPr>
                <w:rFonts w:ascii="Times New Roman" w:hAnsi="Times New Roman"/>
                <w:sz w:val="24"/>
              </w:rPr>
              <w:t>60.</w:t>
            </w:r>
          </w:p>
        </w:tc>
      </w:tr>
      <w:tr w:rsidR="00973707" w:rsidRPr="00661595" w:rsidTr="00672D2A">
        <w:tc>
          <w:tcPr>
            <w:tcW w:w="1101" w:type="dxa"/>
          </w:tcPr>
          <w:p w:rsidR="00973707" w:rsidRPr="00661595" w:rsidRDefault="009A7A38" w:rsidP="00AF3D7A">
            <w:pPr>
              <w:spacing w:beforeLines="60" w:before="144" w:afterLines="60" w:after="144"/>
              <w:rPr>
                <w:rFonts w:ascii="Times New Roman" w:hAnsi="Times New Roman"/>
                <w:sz w:val="24"/>
              </w:rPr>
            </w:pPr>
            <w:r w:rsidRPr="00661595">
              <w:rPr>
                <w:rFonts w:ascii="Times New Roman" w:hAnsi="Times New Roman"/>
                <w:sz w:val="24"/>
              </w:rPr>
              <w:t>0</w:t>
            </w:r>
            <w:r w:rsidR="00973707" w:rsidRPr="00661595">
              <w:rPr>
                <w:rFonts w:ascii="Times New Roman" w:hAnsi="Times New Roman"/>
                <w:sz w:val="24"/>
              </w:rPr>
              <w:t>010</w:t>
            </w:r>
          </w:p>
        </w:tc>
        <w:tc>
          <w:tcPr>
            <w:tcW w:w="8190" w:type="dxa"/>
          </w:tcPr>
          <w:p w:rsidR="00973707" w:rsidRPr="00661595" w:rsidRDefault="00973707" w:rsidP="00AF3D7A">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MARKET PRICE UNCERTAINTY</w:t>
            </w:r>
          </w:p>
          <w:p w:rsidR="00973707" w:rsidRPr="00661595" w:rsidRDefault="00973707" w:rsidP="00AF3D7A">
            <w:pPr>
              <w:spacing w:beforeLines="60" w:before="144" w:afterLines="60" w:after="144"/>
              <w:rPr>
                <w:rFonts w:ascii="Times New Roman" w:hAnsi="Times New Roman"/>
                <w:sz w:val="24"/>
              </w:rPr>
            </w:pPr>
            <w:r w:rsidRPr="00661595">
              <w:rPr>
                <w:rFonts w:ascii="Times New Roman" w:hAnsi="Times New Roman"/>
                <w:sz w:val="24"/>
              </w:rPr>
              <w:t xml:space="preserve">Article 105(10) CRR. </w:t>
            </w:r>
          </w:p>
          <w:p w:rsidR="00973707" w:rsidRPr="00661595" w:rsidRDefault="00973707" w:rsidP="00614509">
            <w:pPr>
              <w:spacing w:beforeLines="60" w:before="144" w:afterLines="60" w:after="144"/>
              <w:rPr>
                <w:rStyle w:val="InstructionsTabelleberschrift"/>
                <w:rFonts w:ascii="Times New Roman" w:hAnsi="Times New Roman"/>
                <w:sz w:val="24"/>
              </w:rPr>
            </w:pPr>
            <w:r w:rsidRPr="00661595">
              <w:rPr>
                <w:rFonts w:ascii="Times New Roman" w:hAnsi="Times New Roman"/>
                <w:sz w:val="24"/>
              </w:rPr>
              <w:t>Market price uncertainty AVAs c</w:t>
            </w:r>
            <w:r w:rsidR="00614509" w:rsidRPr="00661595">
              <w:rPr>
                <w:rFonts w:ascii="Times New Roman" w:hAnsi="Times New Roman"/>
                <w:sz w:val="24"/>
              </w:rPr>
              <w:t>alculated</w:t>
            </w:r>
            <w:r w:rsidRPr="00661595">
              <w:rPr>
                <w:rFonts w:ascii="Times New Roman" w:hAnsi="Times New Roman"/>
                <w:sz w:val="24"/>
              </w:rPr>
              <w:t xml:space="preserve"> </w:t>
            </w:r>
            <w:r w:rsidR="00BB22D4" w:rsidRPr="00661595">
              <w:rPr>
                <w:rFonts w:ascii="Times New Roman" w:hAnsi="Times New Roman"/>
                <w:sz w:val="24"/>
              </w:rPr>
              <w:t>in accordance with</w:t>
            </w:r>
            <w:r w:rsidRPr="00661595">
              <w:rPr>
                <w:rFonts w:ascii="Times New Roman" w:hAnsi="Times New Roman"/>
                <w:sz w:val="24"/>
              </w:rPr>
              <w:t xml:space="preserve"> Article 9 of</w:t>
            </w:r>
            <w:r w:rsidR="00F811F8" w:rsidRPr="00661595">
              <w:rPr>
                <w:rFonts w:ascii="Times New Roman" w:hAnsi="Times New Roman"/>
                <w:sz w:val="24"/>
              </w:rPr>
              <w:t xml:space="preserve"> Delegated Regulation (EU) 2016/101</w:t>
            </w:r>
            <w:r w:rsidRPr="00661595">
              <w:rPr>
                <w:rFonts w:ascii="Times New Roman" w:hAnsi="Times New Roman"/>
                <w:sz w:val="24"/>
              </w:rPr>
              <w:t>.</w:t>
            </w:r>
          </w:p>
        </w:tc>
      </w:tr>
      <w:tr w:rsidR="00973707" w:rsidRPr="00661595" w:rsidTr="00672D2A">
        <w:tc>
          <w:tcPr>
            <w:tcW w:w="1101" w:type="dxa"/>
          </w:tcPr>
          <w:p w:rsidR="00973707" w:rsidRPr="00661595" w:rsidRDefault="009A7A38" w:rsidP="00AF3D7A">
            <w:pPr>
              <w:spacing w:beforeLines="60" w:before="144" w:afterLines="60" w:after="144"/>
              <w:rPr>
                <w:rFonts w:ascii="Times New Roman" w:hAnsi="Times New Roman"/>
                <w:sz w:val="24"/>
              </w:rPr>
            </w:pPr>
            <w:r w:rsidRPr="00661595">
              <w:rPr>
                <w:rFonts w:ascii="Times New Roman" w:hAnsi="Times New Roman"/>
                <w:sz w:val="24"/>
              </w:rPr>
              <w:t>0</w:t>
            </w:r>
            <w:r w:rsidR="00973707" w:rsidRPr="00661595">
              <w:rPr>
                <w:rFonts w:ascii="Times New Roman" w:hAnsi="Times New Roman"/>
                <w:sz w:val="24"/>
              </w:rPr>
              <w:t>020</w:t>
            </w:r>
          </w:p>
        </w:tc>
        <w:tc>
          <w:tcPr>
            <w:tcW w:w="8190" w:type="dxa"/>
          </w:tcPr>
          <w:p w:rsidR="00973707" w:rsidRPr="00661595" w:rsidRDefault="00973707" w:rsidP="00AF3D7A">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OF WHICH: CALCULATED USING THE EXPERT-BASED APPROACH</w:t>
            </w:r>
          </w:p>
          <w:p w:rsidR="00973707" w:rsidRPr="00661595" w:rsidRDefault="00973707" w:rsidP="00614509">
            <w:pPr>
              <w:spacing w:beforeLines="60" w:before="144" w:afterLines="60" w:after="144"/>
              <w:rPr>
                <w:rStyle w:val="InstructionsTabelleberschrift"/>
                <w:rFonts w:ascii="Times New Roman" w:hAnsi="Times New Roman"/>
                <w:sz w:val="24"/>
              </w:rPr>
            </w:pPr>
            <w:r w:rsidRPr="00661595">
              <w:rPr>
                <w:rFonts w:ascii="Times New Roman" w:hAnsi="Times New Roman"/>
                <w:sz w:val="24"/>
              </w:rPr>
              <w:t>Market price uncertainty AVAs c</w:t>
            </w:r>
            <w:r w:rsidR="00614509" w:rsidRPr="00661595">
              <w:rPr>
                <w:rFonts w:ascii="Times New Roman" w:hAnsi="Times New Roman"/>
                <w:sz w:val="24"/>
              </w:rPr>
              <w:t>alculated</w:t>
            </w:r>
            <w:r w:rsidRPr="00661595">
              <w:rPr>
                <w:rFonts w:ascii="Times New Roman" w:hAnsi="Times New Roman"/>
                <w:sz w:val="24"/>
              </w:rPr>
              <w:t xml:space="preserve"> </w:t>
            </w:r>
            <w:r w:rsidR="00BB22D4" w:rsidRPr="00661595">
              <w:rPr>
                <w:rFonts w:ascii="Times New Roman" w:hAnsi="Times New Roman"/>
                <w:sz w:val="24"/>
              </w:rPr>
              <w:t>in accordance with</w:t>
            </w:r>
            <w:r w:rsidRPr="00661595">
              <w:rPr>
                <w:rFonts w:ascii="Times New Roman" w:hAnsi="Times New Roman"/>
                <w:sz w:val="24"/>
              </w:rPr>
              <w:t xml:space="preserve"> </w:t>
            </w:r>
            <w:r w:rsidR="002B004B" w:rsidRPr="00661595">
              <w:rPr>
                <w:rFonts w:ascii="Times New Roman" w:hAnsi="Times New Roman"/>
                <w:sz w:val="24"/>
              </w:rPr>
              <w:t xml:space="preserve">point (b) of </w:t>
            </w:r>
            <w:r w:rsidRPr="00661595">
              <w:rPr>
                <w:rFonts w:ascii="Times New Roman" w:hAnsi="Times New Roman"/>
                <w:sz w:val="24"/>
              </w:rPr>
              <w:t xml:space="preserve">Article 9(5) of </w:t>
            </w:r>
            <w:r w:rsidR="00F811F8" w:rsidRPr="00661595">
              <w:rPr>
                <w:rFonts w:ascii="Times New Roman" w:hAnsi="Times New Roman"/>
                <w:sz w:val="24"/>
              </w:rPr>
              <w:t>Delegated Regulation (EU) 2016/101</w:t>
            </w:r>
            <w:r w:rsidRPr="00661595">
              <w:rPr>
                <w:rFonts w:ascii="Times New Roman" w:hAnsi="Times New Roman"/>
                <w:sz w:val="24"/>
              </w:rPr>
              <w:t>.</w:t>
            </w:r>
          </w:p>
        </w:tc>
      </w:tr>
      <w:tr w:rsidR="00973707" w:rsidRPr="00661595" w:rsidTr="00672D2A">
        <w:tc>
          <w:tcPr>
            <w:tcW w:w="1101" w:type="dxa"/>
          </w:tcPr>
          <w:p w:rsidR="00973707" w:rsidRPr="00661595" w:rsidRDefault="009A7A38" w:rsidP="00AF3D7A">
            <w:pPr>
              <w:spacing w:beforeLines="60" w:before="144" w:afterLines="60" w:after="144"/>
              <w:rPr>
                <w:rFonts w:ascii="Times New Roman" w:hAnsi="Times New Roman"/>
                <w:sz w:val="24"/>
              </w:rPr>
            </w:pPr>
            <w:r w:rsidRPr="00661595">
              <w:rPr>
                <w:rFonts w:ascii="Times New Roman" w:hAnsi="Times New Roman"/>
                <w:sz w:val="24"/>
              </w:rPr>
              <w:t>0</w:t>
            </w:r>
            <w:r w:rsidR="00973707" w:rsidRPr="00661595">
              <w:rPr>
                <w:rFonts w:ascii="Times New Roman" w:hAnsi="Times New Roman"/>
                <w:sz w:val="24"/>
              </w:rPr>
              <w:t>030</w:t>
            </w:r>
          </w:p>
        </w:tc>
        <w:tc>
          <w:tcPr>
            <w:tcW w:w="8190" w:type="dxa"/>
          </w:tcPr>
          <w:p w:rsidR="00973707" w:rsidRPr="00661595" w:rsidRDefault="00973707" w:rsidP="00AF3D7A">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CLOSE-OUT COSTS</w:t>
            </w:r>
          </w:p>
          <w:p w:rsidR="00973707" w:rsidRPr="00661595" w:rsidRDefault="00973707" w:rsidP="00AF3D7A">
            <w:pPr>
              <w:spacing w:beforeLines="60" w:before="144" w:afterLines="60" w:after="144"/>
              <w:rPr>
                <w:rFonts w:ascii="Times New Roman" w:hAnsi="Times New Roman"/>
                <w:sz w:val="24"/>
              </w:rPr>
            </w:pPr>
            <w:r w:rsidRPr="00661595">
              <w:rPr>
                <w:rFonts w:ascii="Times New Roman" w:hAnsi="Times New Roman"/>
                <w:sz w:val="24"/>
              </w:rPr>
              <w:t xml:space="preserve">Article 105(10) CRR. </w:t>
            </w:r>
          </w:p>
          <w:p w:rsidR="00973707" w:rsidRPr="00661595" w:rsidRDefault="00973707" w:rsidP="00614509">
            <w:pPr>
              <w:spacing w:beforeLines="60" w:before="144" w:afterLines="60" w:after="144"/>
              <w:rPr>
                <w:rStyle w:val="InstructionsTabelleberschrift"/>
                <w:rFonts w:ascii="Times New Roman" w:hAnsi="Times New Roman"/>
                <w:sz w:val="24"/>
              </w:rPr>
            </w:pPr>
            <w:r w:rsidRPr="00661595">
              <w:rPr>
                <w:rFonts w:ascii="Times New Roman" w:hAnsi="Times New Roman"/>
                <w:sz w:val="24"/>
              </w:rPr>
              <w:t>Close-out costs AVAs c</w:t>
            </w:r>
            <w:r w:rsidR="00614509" w:rsidRPr="00661595">
              <w:rPr>
                <w:rFonts w:ascii="Times New Roman" w:hAnsi="Times New Roman"/>
                <w:sz w:val="24"/>
              </w:rPr>
              <w:t>alculated</w:t>
            </w:r>
            <w:r w:rsidRPr="00661595">
              <w:rPr>
                <w:rFonts w:ascii="Times New Roman" w:hAnsi="Times New Roman"/>
                <w:sz w:val="24"/>
              </w:rPr>
              <w:t xml:space="preserve"> </w:t>
            </w:r>
            <w:r w:rsidR="00BB22D4" w:rsidRPr="00661595">
              <w:rPr>
                <w:rFonts w:ascii="Times New Roman" w:hAnsi="Times New Roman"/>
                <w:sz w:val="24"/>
              </w:rPr>
              <w:t>in accordance with</w:t>
            </w:r>
            <w:r w:rsidRPr="00661595">
              <w:rPr>
                <w:rFonts w:ascii="Times New Roman" w:hAnsi="Times New Roman"/>
                <w:sz w:val="24"/>
              </w:rPr>
              <w:t xml:space="preserve"> Article 10 of </w:t>
            </w:r>
            <w:r w:rsidR="00F811F8" w:rsidRPr="00661595">
              <w:rPr>
                <w:rFonts w:ascii="Times New Roman" w:hAnsi="Times New Roman"/>
                <w:sz w:val="24"/>
              </w:rPr>
              <w:t>Delegated Regulation (EU) 2016/101</w:t>
            </w:r>
            <w:r w:rsidRPr="00661595">
              <w:rPr>
                <w:rFonts w:ascii="Times New Roman" w:hAnsi="Times New Roman"/>
                <w:sz w:val="24"/>
              </w:rPr>
              <w:t xml:space="preserve">. </w:t>
            </w:r>
          </w:p>
        </w:tc>
      </w:tr>
      <w:tr w:rsidR="00973707" w:rsidRPr="00661595" w:rsidTr="00672D2A">
        <w:tc>
          <w:tcPr>
            <w:tcW w:w="1101" w:type="dxa"/>
          </w:tcPr>
          <w:p w:rsidR="00973707" w:rsidRPr="00661595" w:rsidRDefault="009A7A38" w:rsidP="00AF3D7A">
            <w:pPr>
              <w:spacing w:beforeLines="60" w:before="144" w:afterLines="60" w:after="144"/>
              <w:rPr>
                <w:rFonts w:ascii="Times New Roman" w:hAnsi="Times New Roman"/>
                <w:sz w:val="24"/>
              </w:rPr>
            </w:pPr>
            <w:r w:rsidRPr="00661595">
              <w:rPr>
                <w:rFonts w:ascii="Times New Roman" w:hAnsi="Times New Roman"/>
                <w:sz w:val="24"/>
              </w:rPr>
              <w:t>0</w:t>
            </w:r>
            <w:r w:rsidR="00973707" w:rsidRPr="00661595">
              <w:rPr>
                <w:rFonts w:ascii="Times New Roman" w:hAnsi="Times New Roman"/>
                <w:sz w:val="24"/>
              </w:rPr>
              <w:t>040</w:t>
            </w:r>
          </w:p>
        </w:tc>
        <w:tc>
          <w:tcPr>
            <w:tcW w:w="8190" w:type="dxa"/>
          </w:tcPr>
          <w:p w:rsidR="00973707" w:rsidRPr="00661595" w:rsidRDefault="00973707" w:rsidP="00AF3D7A">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OF WHICH: CALCULATED USING THE EXPERT-BASED APPROACH</w:t>
            </w:r>
          </w:p>
          <w:p w:rsidR="00973707" w:rsidRPr="00661595" w:rsidRDefault="00973707" w:rsidP="00614509">
            <w:pPr>
              <w:spacing w:beforeLines="60" w:before="144" w:afterLines="60" w:after="144"/>
              <w:rPr>
                <w:rStyle w:val="InstructionsTabelleberschrift"/>
                <w:rFonts w:ascii="Times New Roman" w:hAnsi="Times New Roman"/>
                <w:sz w:val="24"/>
              </w:rPr>
            </w:pPr>
            <w:r w:rsidRPr="00661595">
              <w:rPr>
                <w:rFonts w:ascii="Times New Roman" w:hAnsi="Times New Roman"/>
                <w:sz w:val="24"/>
              </w:rPr>
              <w:t>Close-out costs AVAs c</w:t>
            </w:r>
            <w:r w:rsidR="00614509" w:rsidRPr="00661595">
              <w:rPr>
                <w:rFonts w:ascii="Times New Roman" w:hAnsi="Times New Roman"/>
                <w:sz w:val="24"/>
              </w:rPr>
              <w:t>alculated</w:t>
            </w:r>
            <w:r w:rsidRPr="00661595">
              <w:rPr>
                <w:rFonts w:ascii="Times New Roman" w:hAnsi="Times New Roman"/>
                <w:sz w:val="24"/>
              </w:rPr>
              <w:t xml:space="preserve"> </w:t>
            </w:r>
            <w:r w:rsidR="00BB22D4" w:rsidRPr="00661595">
              <w:rPr>
                <w:rFonts w:ascii="Times New Roman" w:hAnsi="Times New Roman"/>
                <w:sz w:val="24"/>
              </w:rPr>
              <w:t>in accordance with</w:t>
            </w:r>
            <w:r w:rsidRPr="00661595">
              <w:rPr>
                <w:rFonts w:ascii="Times New Roman" w:hAnsi="Times New Roman"/>
                <w:sz w:val="24"/>
              </w:rPr>
              <w:t xml:space="preserve"> </w:t>
            </w:r>
            <w:r w:rsidR="002B004B" w:rsidRPr="00661595">
              <w:rPr>
                <w:rFonts w:ascii="Times New Roman" w:hAnsi="Times New Roman"/>
                <w:sz w:val="24"/>
              </w:rPr>
              <w:t xml:space="preserve">point (b) of </w:t>
            </w:r>
            <w:r w:rsidRPr="00661595">
              <w:rPr>
                <w:rFonts w:ascii="Times New Roman" w:hAnsi="Times New Roman"/>
                <w:sz w:val="24"/>
              </w:rPr>
              <w:t>Article 10(6)</w:t>
            </w:r>
            <w:r w:rsidR="002B004B" w:rsidRPr="00661595">
              <w:rPr>
                <w:rFonts w:ascii="Times New Roman" w:hAnsi="Times New Roman"/>
                <w:sz w:val="24"/>
              </w:rPr>
              <w:t xml:space="preserve"> </w:t>
            </w:r>
            <w:r w:rsidRPr="00661595">
              <w:rPr>
                <w:rFonts w:ascii="Times New Roman" w:hAnsi="Times New Roman"/>
                <w:sz w:val="24"/>
              </w:rPr>
              <w:t>of</w:t>
            </w:r>
            <w:r w:rsidR="00F811F8" w:rsidRPr="00661595">
              <w:rPr>
                <w:rFonts w:ascii="Times New Roman" w:hAnsi="Times New Roman"/>
                <w:sz w:val="24"/>
              </w:rPr>
              <w:t xml:space="preserve"> Delegated Regulation (EU) 2016/101</w:t>
            </w:r>
            <w:r w:rsidRPr="00661595">
              <w:rPr>
                <w:rFonts w:ascii="Times New Roman" w:hAnsi="Times New Roman"/>
                <w:sz w:val="24"/>
              </w:rPr>
              <w:t>.</w:t>
            </w:r>
          </w:p>
        </w:tc>
      </w:tr>
      <w:tr w:rsidR="00973707" w:rsidRPr="00661595" w:rsidTr="00672D2A">
        <w:tc>
          <w:tcPr>
            <w:tcW w:w="1101" w:type="dxa"/>
          </w:tcPr>
          <w:p w:rsidR="00973707" w:rsidRPr="00661595" w:rsidRDefault="009A7A38" w:rsidP="00AF3D7A">
            <w:pPr>
              <w:spacing w:beforeLines="60" w:before="144" w:afterLines="60" w:after="144"/>
              <w:rPr>
                <w:rFonts w:ascii="Times New Roman" w:hAnsi="Times New Roman"/>
                <w:sz w:val="24"/>
              </w:rPr>
            </w:pPr>
            <w:r w:rsidRPr="00661595">
              <w:rPr>
                <w:rFonts w:ascii="Times New Roman" w:hAnsi="Times New Roman"/>
                <w:sz w:val="24"/>
              </w:rPr>
              <w:t>0</w:t>
            </w:r>
            <w:r w:rsidR="00973707" w:rsidRPr="00661595">
              <w:rPr>
                <w:rFonts w:ascii="Times New Roman" w:hAnsi="Times New Roman"/>
                <w:sz w:val="24"/>
              </w:rPr>
              <w:t>050</w:t>
            </w:r>
          </w:p>
        </w:tc>
        <w:tc>
          <w:tcPr>
            <w:tcW w:w="8190" w:type="dxa"/>
          </w:tcPr>
          <w:p w:rsidR="00973707" w:rsidRPr="00661595" w:rsidRDefault="00973707" w:rsidP="00AF3D7A">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MODEL RISK</w:t>
            </w:r>
          </w:p>
          <w:p w:rsidR="00973707" w:rsidRPr="00661595" w:rsidRDefault="00973707" w:rsidP="00AF3D7A">
            <w:pPr>
              <w:spacing w:beforeLines="60" w:before="144" w:afterLines="60" w:after="144"/>
              <w:rPr>
                <w:rFonts w:ascii="Times New Roman" w:hAnsi="Times New Roman"/>
                <w:sz w:val="24"/>
              </w:rPr>
            </w:pPr>
            <w:r w:rsidRPr="00661595">
              <w:rPr>
                <w:rFonts w:ascii="Times New Roman" w:hAnsi="Times New Roman"/>
                <w:sz w:val="24"/>
              </w:rPr>
              <w:t>Article 105(10) CRR</w:t>
            </w:r>
          </w:p>
          <w:p w:rsidR="00973707" w:rsidRPr="00661595" w:rsidRDefault="00973707" w:rsidP="00A30C4C">
            <w:pPr>
              <w:spacing w:beforeLines="60" w:before="144" w:afterLines="60" w:after="144"/>
              <w:rPr>
                <w:rStyle w:val="InstructionsTabelleberschrift"/>
                <w:rFonts w:ascii="Times New Roman" w:hAnsi="Times New Roman"/>
                <w:sz w:val="24"/>
              </w:rPr>
            </w:pPr>
            <w:r w:rsidRPr="00661595">
              <w:rPr>
                <w:rFonts w:ascii="Times New Roman" w:hAnsi="Times New Roman"/>
                <w:sz w:val="24"/>
              </w:rPr>
              <w:t>Model risk AVAs c</w:t>
            </w:r>
            <w:r w:rsidR="00A30C4C" w:rsidRPr="00661595">
              <w:rPr>
                <w:rFonts w:ascii="Times New Roman" w:hAnsi="Times New Roman"/>
                <w:sz w:val="24"/>
              </w:rPr>
              <w:t>alculated</w:t>
            </w:r>
            <w:r w:rsidRPr="00661595">
              <w:rPr>
                <w:rFonts w:ascii="Times New Roman" w:hAnsi="Times New Roman"/>
                <w:sz w:val="24"/>
              </w:rPr>
              <w:t xml:space="preserve"> </w:t>
            </w:r>
            <w:r w:rsidR="00BB22D4" w:rsidRPr="00661595">
              <w:rPr>
                <w:rFonts w:ascii="Times New Roman" w:hAnsi="Times New Roman"/>
                <w:sz w:val="24"/>
              </w:rPr>
              <w:t>in accordance with</w:t>
            </w:r>
            <w:r w:rsidRPr="00661595">
              <w:rPr>
                <w:rFonts w:ascii="Times New Roman" w:hAnsi="Times New Roman"/>
                <w:sz w:val="24"/>
              </w:rPr>
              <w:t xml:space="preserve"> Article 11 of </w:t>
            </w:r>
            <w:r w:rsidR="00F811F8" w:rsidRPr="00661595">
              <w:rPr>
                <w:rFonts w:ascii="Times New Roman" w:hAnsi="Times New Roman"/>
                <w:sz w:val="24"/>
              </w:rPr>
              <w:t>Delegated Regulation (EU) 2016/101</w:t>
            </w:r>
            <w:r w:rsidRPr="00661595">
              <w:rPr>
                <w:rFonts w:ascii="Times New Roman" w:hAnsi="Times New Roman"/>
                <w:sz w:val="24"/>
              </w:rPr>
              <w:t xml:space="preserve">. </w:t>
            </w:r>
          </w:p>
        </w:tc>
      </w:tr>
      <w:tr w:rsidR="00973707" w:rsidRPr="00661595" w:rsidTr="00672D2A">
        <w:tc>
          <w:tcPr>
            <w:tcW w:w="1101" w:type="dxa"/>
          </w:tcPr>
          <w:p w:rsidR="00973707" w:rsidRPr="00661595" w:rsidRDefault="009A7A38" w:rsidP="00AF3D7A">
            <w:pPr>
              <w:spacing w:beforeLines="60" w:before="144" w:afterLines="60" w:after="144"/>
              <w:rPr>
                <w:rFonts w:ascii="Times New Roman" w:hAnsi="Times New Roman"/>
                <w:sz w:val="24"/>
              </w:rPr>
            </w:pPr>
            <w:r w:rsidRPr="00661595">
              <w:rPr>
                <w:rFonts w:ascii="Times New Roman" w:hAnsi="Times New Roman"/>
                <w:sz w:val="24"/>
              </w:rPr>
              <w:t>0</w:t>
            </w:r>
            <w:r w:rsidR="00973707" w:rsidRPr="00661595">
              <w:rPr>
                <w:rFonts w:ascii="Times New Roman" w:hAnsi="Times New Roman"/>
                <w:sz w:val="24"/>
              </w:rPr>
              <w:t>060</w:t>
            </w:r>
          </w:p>
        </w:tc>
        <w:tc>
          <w:tcPr>
            <w:tcW w:w="8190" w:type="dxa"/>
          </w:tcPr>
          <w:p w:rsidR="00973707" w:rsidRPr="00661595" w:rsidRDefault="00973707" w:rsidP="00AF3D7A">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OF WHICH: CALCULATED USING THE EXPERT BASED APPROACH</w:t>
            </w:r>
          </w:p>
          <w:p w:rsidR="00973707" w:rsidRPr="00661595" w:rsidRDefault="00973707" w:rsidP="00A30C4C">
            <w:pPr>
              <w:spacing w:beforeLines="60" w:before="144" w:afterLines="60" w:after="144"/>
              <w:rPr>
                <w:rStyle w:val="InstructionsTabelleberschrift"/>
                <w:rFonts w:ascii="Times New Roman" w:hAnsi="Times New Roman"/>
                <w:sz w:val="24"/>
              </w:rPr>
            </w:pPr>
            <w:r w:rsidRPr="00661595">
              <w:rPr>
                <w:rFonts w:ascii="Times New Roman" w:hAnsi="Times New Roman"/>
                <w:sz w:val="24"/>
              </w:rPr>
              <w:t>Model risk AVAs c</w:t>
            </w:r>
            <w:r w:rsidR="00A30C4C" w:rsidRPr="00661595">
              <w:rPr>
                <w:rFonts w:ascii="Times New Roman" w:hAnsi="Times New Roman"/>
                <w:sz w:val="24"/>
              </w:rPr>
              <w:t>alculated</w:t>
            </w:r>
            <w:r w:rsidRPr="00661595">
              <w:rPr>
                <w:rFonts w:ascii="Times New Roman" w:hAnsi="Times New Roman"/>
                <w:sz w:val="24"/>
              </w:rPr>
              <w:t xml:space="preserve"> </w:t>
            </w:r>
            <w:r w:rsidR="00BB22D4" w:rsidRPr="00661595">
              <w:rPr>
                <w:rFonts w:ascii="Times New Roman" w:hAnsi="Times New Roman"/>
                <w:sz w:val="24"/>
              </w:rPr>
              <w:t>in accordance with</w:t>
            </w:r>
            <w:r w:rsidRPr="00661595">
              <w:rPr>
                <w:rFonts w:ascii="Times New Roman" w:hAnsi="Times New Roman"/>
                <w:sz w:val="24"/>
              </w:rPr>
              <w:t xml:space="preserve"> Article 11(4) of </w:t>
            </w:r>
            <w:r w:rsidR="00F811F8" w:rsidRPr="00661595">
              <w:rPr>
                <w:rFonts w:ascii="Times New Roman" w:hAnsi="Times New Roman"/>
                <w:sz w:val="24"/>
              </w:rPr>
              <w:t>Delegated Regulation (EU) 2016/101</w:t>
            </w:r>
            <w:r w:rsidRPr="00661595">
              <w:rPr>
                <w:rFonts w:ascii="Times New Roman" w:hAnsi="Times New Roman"/>
                <w:sz w:val="24"/>
              </w:rPr>
              <w:t>.</w:t>
            </w:r>
          </w:p>
        </w:tc>
      </w:tr>
      <w:tr w:rsidR="00973707" w:rsidRPr="00661595" w:rsidTr="00672D2A">
        <w:tc>
          <w:tcPr>
            <w:tcW w:w="1101" w:type="dxa"/>
          </w:tcPr>
          <w:p w:rsidR="00973707" w:rsidRPr="00661595" w:rsidRDefault="009A7A38" w:rsidP="00AF3D7A">
            <w:pPr>
              <w:spacing w:beforeLines="60" w:before="144" w:afterLines="60" w:after="144"/>
              <w:rPr>
                <w:rFonts w:ascii="Times New Roman" w:hAnsi="Times New Roman"/>
                <w:sz w:val="24"/>
              </w:rPr>
            </w:pPr>
            <w:r w:rsidRPr="00661595">
              <w:rPr>
                <w:rFonts w:ascii="Times New Roman" w:hAnsi="Times New Roman"/>
                <w:sz w:val="24"/>
              </w:rPr>
              <w:t>0</w:t>
            </w:r>
            <w:r w:rsidR="00973707" w:rsidRPr="00661595">
              <w:rPr>
                <w:rFonts w:ascii="Times New Roman" w:hAnsi="Times New Roman"/>
                <w:sz w:val="24"/>
              </w:rPr>
              <w:t>070</w:t>
            </w:r>
          </w:p>
        </w:tc>
        <w:tc>
          <w:tcPr>
            <w:tcW w:w="8190" w:type="dxa"/>
          </w:tcPr>
          <w:p w:rsidR="00973707" w:rsidRPr="00661595" w:rsidRDefault="00973707" w:rsidP="00AF3D7A">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CONCENTRATED POSITIONS</w:t>
            </w:r>
          </w:p>
          <w:p w:rsidR="00973707" w:rsidRPr="00661595" w:rsidRDefault="00973707" w:rsidP="00AF3D7A">
            <w:pPr>
              <w:spacing w:beforeLines="60" w:before="144" w:afterLines="60" w:after="144"/>
              <w:rPr>
                <w:rFonts w:ascii="Times New Roman" w:hAnsi="Times New Roman"/>
                <w:sz w:val="24"/>
              </w:rPr>
            </w:pPr>
            <w:r w:rsidRPr="00661595">
              <w:rPr>
                <w:rFonts w:ascii="Times New Roman" w:hAnsi="Times New Roman"/>
                <w:sz w:val="24"/>
              </w:rPr>
              <w:t xml:space="preserve">Article 105(11) </w:t>
            </w:r>
            <w:r w:rsidR="00033B7C" w:rsidRPr="00661595">
              <w:rPr>
                <w:rFonts w:ascii="Times New Roman" w:hAnsi="Times New Roman"/>
                <w:sz w:val="24"/>
              </w:rPr>
              <w:t>CRR</w:t>
            </w:r>
          </w:p>
          <w:p w:rsidR="00973707" w:rsidRPr="00661595" w:rsidRDefault="00973707" w:rsidP="00A30C4C">
            <w:pPr>
              <w:spacing w:beforeLines="60" w:before="144" w:afterLines="60" w:after="144"/>
              <w:rPr>
                <w:rStyle w:val="InstructionsTabelleberschrift"/>
                <w:rFonts w:ascii="Times New Roman" w:hAnsi="Times New Roman"/>
                <w:sz w:val="24"/>
              </w:rPr>
            </w:pPr>
            <w:r w:rsidRPr="00661595">
              <w:rPr>
                <w:rFonts w:ascii="Times New Roman" w:hAnsi="Times New Roman"/>
                <w:sz w:val="24"/>
              </w:rPr>
              <w:t xml:space="preserve">Concentrated positions AVAs </w:t>
            </w:r>
            <w:r w:rsidR="00A30C4C" w:rsidRPr="00661595">
              <w:rPr>
                <w:rFonts w:ascii="Times New Roman" w:hAnsi="Times New Roman"/>
                <w:sz w:val="24"/>
              </w:rPr>
              <w:t xml:space="preserve">calculated in accordance with </w:t>
            </w:r>
            <w:r w:rsidRPr="00661595">
              <w:rPr>
                <w:rFonts w:ascii="Times New Roman" w:hAnsi="Times New Roman"/>
                <w:sz w:val="24"/>
              </w:rPr>
              <w:t xml:space="preserve">Article 14 of </w:t>
            </w:r>
            <w:r w:rsidR="00F811F8" w:rsidRPr="00661595">
              <w:rPr>
                <w:rFonts w:ascii="Times New Roman" w:hAnsi="Times New Roman"/>
                <w:sz w:val="24"/>
              </w:rPr>
              <w:t>Delegated Regulation (EU) 2016/101</w:t>
            </w:r>
            <w:r w:rsidRPr="00661595">
              <w:rPr>
                <w:rFonts w:ascii="Times New Roman" w:hAnsi="Times New Roman"/>
                <w:sz w:val="24"/>
              </w:rPr>
              <w:t>.</w:t>
            </w:r>
          </w:p>
        </w:tc>
      </w:tr>
      <w:tr w:rsidR="00973707" w:rsidRPr="00661595" w:rsidTr="00672D2A">
        <w:tc>
          <w:tcPr>
            <w:tcW w:w="1101" w:type="dxa"/>
          </w:tcPr>
          <w:p w:rsidR="00973707" w:rsidRPr="00661595" w:rsidRDefault="009A7A38" w:rsidP="00AF3D7A">
            <w:pPr>
              <w:spacing w:beforeLines="60" w:before="144" w:afterLines="60" w:after="144"/>
              <w:rPr>
                <w:rFonts w:ascii="Times New Roman" w:hAnsi="Times New Roman"/>
                <w:sz w:val="24"/>
              </w:rPr>
            </w:pPr>
            <w:r w:rsidRPr="00661595">
              <w:rPr>
                <w:rFonts w:ascii="Times New Roman" w:hAnsi="Times New Roman"/>
                <w:sz w:val="24"/>
              </w:rPr>
              <w:t>0</w:t>
            </w:r>
            <w:r w:rsidR="00973707" w:rsidRPr="00661595">
              <w:rPr>
                <w:rFonts w:ascii="Times New Roman" w:hAnsi="Times New Roman"/>
                <w:sz w:val="24"/>
              </w:rPr>
              <w:t>080</w:t>
            </w:r>
          </w:p>
        </w:tc>
        <w:tc>
          <w:tcPr>
            <w:tcW w:w="8190" w:type="dxa"/>
          </w:tcPr>
          <w:p w:rsidR="00973707" w:rsidRPr="00661595" w:rsidRDefault="00973707" w:rsidP="00AF3D7A">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FUTURE ADMINISTRATIVE COSTS</w:t>
            </w:r>
          </w:p>
          <w:p w:rsidR="00973707" w:rsidRPr="00661595" w:rsidRDefault="00973707" w:rsidP="00AF3D7A">
            <w:pPr>
              <w:spacing w:beforeLines="60" w:before="144" w:afterLines="60" w:after="144"/>
              <w:rPr>
                <w:rFonts w:ascii="Times New Roman" w:hAnsi="Times New Roman"/>
                <w:sz w:val="24"/>
              </w:rPr>
            </w:pPr>
            <w:r w:rsidRPr="00661595">
              <w:rPr>
                <w:rFonts w:ascii="Times New Roman" w:hAnsi="Times New Roman"/>
                <w:sz w:val="24"/>
              </w:rPr>
              <w:t xml:space="preserve">Article 105(10) </w:t>
            </w:r>
            <w:r w:rsidR="00033B7C" w:rsidRPr="00661595">
              <w:rPr>
                <w:rFonts w:ascii="Times New Roman" w:hAnsi="Times New Roman"/>
                <w:sz w:val="24"/>
              </w:rPr>
              <w:t>CRR</w:t>
            </w:r>
          </w:p>
          <w:p w:rsidR="00973707" w:rsidRPr="00661595" w:rsidRDefault="00973707" w:rsidP="00A30C4C">
            <w:pPr>
              <w:spacing w:beforeLines="60" w:before="144" w:afterLines="60" w:after="144"/>
              <w:rPr>
                <w:rStyle w:val="InstructionsTabelleberschrift"/>
                <w:rFonts w:ascii="Times New Roman" w:hAnsi="Times New Roman"/>
                <w:sz w:val="24"/>
              </w:rPr>
            </w:pPr>
            <w:r w:rsidRPr="00661595">
              <w:rPr>
                <w:rFonts w:ascii="Times New Roman" w:hAnsi="Times New Roman"/>
                <w:sz w:val="24"/>
              </w:rPr>
              <w:t xml:space="preserve">Future administrative costs AVAs </w:t>
            </w:r>
            <w:r w:rsidR="00A30C4C" w:rsidRPr="00661595">
              <w:rPr>
                <w:rFonts w:ascii="Times New Roman" w:hAnsi="Times New Roman"/>
                <w:sz w:val="24"/>
              </w:rPr>
              <w:t xml:space="preserve">calculated in accordance with </w:t>
            </w:r>
            <w:r w:rsidRPr="00661595">
              <w:rPr>
                <w:rFonts w:ascii="Times New Roman" w:hAnsi="Times New Roman"/>
                <w:sz w:val="24"/>
              </w:rPr>
              <w:t>Article 15 of</w:t>
            </w:r>
            <w:r w:rsidR="00F811F8" w:rsidRPr="00661595">
              <w:rPr>
                <w:rFonts w:ascii="Times New Roman" w:hAnsi="Times New Roman"/>
                <w:sz w:val="24"/>
              </w:rPr>
              <w:t xml:space="preserve"> Delegated Regulation (EU) 2016/101</w:t>
            </w:r>
            <w:r w:rsidRPr="00661595">
              <w:rPr>
                <w:rFonts w:ascii="Times New Roman" w:hAnsi="Times New Roman"/>
                <w:sz w:val="24"/>
              </w:rPr>
              <w:t>.</w:t>
            </w:r>
          </w:p>
        </w:tc>
      </w:tr>
      <w:tr w:rsidR="00973707" w:rsidRPr="00661595" w:rsidTr="00672D2A">
        <w:tc>
          <w:tcPr>
            <w:tcW w:w="1101" w:type="dxa"/>
          </w:tcPr>
          <w:p w:rsidR="00973707" w:rsidRPr="00661595" w:rsidRDefault="009A7A38" w:rsidP="00AF3D7A">
            <w:pPr>
              <w:spacing w:beforeLines="60" w:before="144" w:afterLines="60" w:after="144"/>
              <w:rPr>
                <w:rFonts w:ascii="Times New Roman" w:hAnsi="Times New Roman"/>
                <w:sz w:val="24"/>
              </w:rPr>
            </w:pPr>
            <w:r w:rsidRPr="00661595">
              <w:rPr>
                <w:rFonts w:ascii="Times New Roman" w:hAnsi="Times New Roman"/>
                <w:sz w:val="24"/>
              </w:rPr>
              <w:t>0</w:t>
            </w:r>
            <w:r w:rsidR="00973707" w:rsidRPr="00661595">
              <w:rPr>
                <w:rFonts w:ascii="Times New Roman" w:hAnsi="Times New Roman"/>
                <w:sz w:val="24"/>
              </w:rPr>
              <w:t>090</w:t>
            </w:r>
          </w:p>
        </w:tc>
        <w:tc>
          <w:tcPr>
            <w:tcW w:w="8190" w:type="dxa"/>
          </w:tcPr>
          <w:p w:rsidR="00973707" w:rsidRPr="00661595" w:rsidRDefault="00973707" w:rsidP="00AF3D7A">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EARLY TERMINATION</w:t>
            </w:r>
          </w:p>
          <w:p w:rsidR="00973707" w:rsidRPr="00661595" w:rsidRDefault="00973707" w:rsidP="00AF3D7A">
            <w:pPr>
              <w:spacing w:beforeLines="60" w:before="144" w:afterLines="60" w:after="144"/>
              <w:rPr>
                <w:rFonts w:ascii="Times New Roman" w:hAnsi="Times New Roman"/>
                <w:sz w:val="24"/>
              </w:rPr>
            </w:pPr>
            <w:r w:rsidRPr="00661595">
              <w:rPr>
                <w:rFonts w:ascii="Times New Roman" w:hAnsi="Times New Roman"/>
                <w:sz w:val="24"/>
              </w:rPr>
              <w:t xml:space="preserve">Article 105(10) </w:t>
            </w:r>
            <w:r w:rsidR="00033B7C" w:rsidRPr="00661595">
              <w:rPr>
                <w:rFonts w:ascii="Times New Roman" w:hAnsi="Times New Roman"/>
                <w:sz w:val="24"/>
              </w:rPr>
              <w:t>CRR</w:t>
            </w:r>
          </w:p>
          <w:p w:rsidR="00973707" w:rsidRPr="00661595" w:rsidRDefault="00973707" w:rsidP="00A30C4C">
            <w:pPr>
              <w:spacing w:beforeLines="60" w:before="144" w:afterLines="60" w:after="144"/>
              <w:rPr>
                <w:rStyle w:val="InstructionsTabelleberschrift"/>
                <w:rFonts w:ascii="Times New Roman" w:hAnsi="Times New Roman"/>
                <w:sz w:val="24"/>
              </w:rPr>
            </w:pPr>
            <w:r w:rsidRPr="00661595">
              <w:rPr>
                <w:rFonts w:ascii="Times New Roman" w:hAnsi="Times New Roman"/>
                <w:sz w:val="24"/>
              </w:rPr>
              <w:t xml:space="preserve">Early termination AVAs </w:t>
            </w:r>
            <w:r w:rsidR="00A30C4C" w:rsidRPr="00661595">
              <w:rPr>
                <w:rFonts w:ascii="Times New Roman" w:hAnsi="Times New Roman"/>
                <w:sz w:val="24"/>
              </w:rPr>
              <w:t xml:space="preserve">calculated in accordance with </w:t>
            </w:r>
            <w:r w:rsidRPr="00661595">
              <w:rPr>
                <w:rFonts w:ascii="Times New Roman" w:hAnsi="Times New Roman"/>
                <w:sz w:val="24"/>
              </w:rPr>
              <w:t xml:space="preserve">Article 16 of </w:t>
            </w:r>
            <w:r w:rsidR="00F811F8" w:rsidRPr="00661595">
              <w:rPr>
                <w:rFonts w:ascii="Times New Roman" w:hAnsi="Times New Roman"/>
                <w:sz w:val="24"/>
              </w:rPr>
              <w:t>Delegated Regulation (EU) 2016/101</w:t>
            </w:r>
            <w:r w:rsidRPr="00661595">
              <w:rPr>
                <w:rFonts w:ascii="Times New Roman" w:hAnsi="Times New Roman"/>
                <w:sz w:val="24"/>
              </w:rPr>
              <w:t xml:space="preserve">. </w:t>
            </w:r>
          </w:p>
        </w:tc>
      </w:tr>
      <w:tr w:rsidR="00973707" w:rsidRPr="00661595" w:rsidTr="00672D2A">
        <w:tc>
          <w:tcPr>
            <w:tcW w:w="1101" w:type="dxa"/>
          </w:tcPr>
          <w:p w:rsidR="00973707" w:rsidRPr="00661595" w:rsidRDefault="009A7A38" w:rsidP="00AF3D7A">
            <w:pPr>
              <w:spacing w:beforeLines="60" w:before="144" w:afterLines="60" w:after="144"/>
              <w:rPr>
                <w:rFonts w:ascii="Times New Roman" w:hAnsi="Times New Roman"/>
                <w:sz w:val="24"/>
              </w:rPr>
            </w:pPr>
            <w:r w:rsidRPr="00661595">
              <w:rPr>
                <w:rFonts w:ascii="Times New Roman" w:hAnsi="Times New Roman"/>
                <w:sz w:val="24"/>
              </w:rPr>
              <w:t>0</w:t>
            </w:r>
            <w:r w:rsidR="00973707" w:rsidRPr="00661595">
              <w:rPr>
                <w:rFonts w:ascii="Times New Roman" w:hAnsi="Times New Roman"/>
                <w:sz w:val="24"/>
              </w:rPr>
              <w:t>100</w:t>
            </w:r>
          </w:p>
        </w:tc>
        <w:tc>
          <w:tcPr>
            <w:tcW w:w="8190" w:type="dxa"/>
          </w:tcPr>
          <w:p w:rsidR="00973707" w:rsidRPr="00661595" w:rsidRDefault="00973707" w:rsidP="00AF3D7A">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OPERATIONAL RISK</w:t>
            </w:r>
          </w:p>
          <w:p w:rsidR="00973707" w:rsidRPr="00661595" w:rsidRDefault="00973707" w:rsidP="00AF3D7A">
            <w:pPr>
              <w:spacing w:beforeLines="60" w:before="144" w:afterLines="60" w:after="144"/>
              <w:rPr>
                <w:rFonts w:ascii="Times New Roman" w:hAnsi="Times New Roman"/>
                <w:sz w:val="24"/>
              </w:rPr>
            </w:pPr>
            <w:r w:rsidRPr="00661595">
              <w:rPr>
                <w:rFonts w:ascii="Times New Roman" w:hAnsi="Times New Roman"/>
                <w:sz w:val="24"/>
              </w:rPr>
              <w:t xml:space="preserve">Article 105(10) </w:t>
            </w:r>
            <w:r w:rsidR="00033B7C" w:rsidRPr="00661595">
              <w:rPr>
                <w:rFonts w:ascii="Times New Roman" w:hAnsi="Times New Roman"/>
                <w:sz w:val="24"/>
              </w:rPr>
              <w:t>CRR</w:t>
            </w:r>
          </w:p>
          <w:p w:rsidR="00973707" w:rsidRPr="00661595" w:rsidRDefault="00973707" w:rsidP="00A30C4C">
            <w:pPr>
              <w:spacing w:beforeLines="60" w:before="144" w:afterLines="60" w:after="144"/>
              <w:rPr>
                <w:rStyle w:val="InstructionsTabelleberschrift"/>
                <w:rFonts w:ascii="Times New Roman" w:hAnsi="Times New Roman"/>
                <w:sz w:val="24"/>
              </w:rPr>
            </w:pPr>
            <w:r w:rsidRPr="00661595">
              <w:rPr>
                <w:rFonts w:ascii="Times New Roman" w:hAnsi="Times New Roman"/>
                <w:sz w:val="24"/>
              </w:rPr>
              <w:t xml:space="preserve">Operational risk AVAs </w:t>
            </w:r>
            <w:r w:rsidR="00A30C4C" w:rsidRPr="00661595">
              <w:rPr>
                <w:rFonts w:ascii="Times New Roman" w:hAnsi="Times New Roman"/>
                <w:sz w:val="24"/>
              </w:rPr>
              <w:t xml:space="preserve">calculated in accordance with </w:t>
            </w:r>
            <w:r w:rsidRPr="00661595">
              <w:rPr>
                <w:rFonts w:ascii="Times New Roman" w:hAnsi="Times New Roman"/>
                <w:sz w:val="24"/>
              </w:rPr>
              <w:t xml:space="preserve">Article 17 of </w:t>
            </w:r>
            <w:r w:rsidR="00F811F8" w:rsidRPr="00661595">
              <w:rPr>
                <w:rFonts w:ascii="Times New Roman" w:hAnsi="Times New Roman"/>
                <w:sz w:val="24"/>
              </w:rPr>
              <w:t>Delegated Regulation (EU) 2016/101</w:t>
            </w:r>
            <w:r w:rsidRPr="00661595">
              <w:rPr>
                <w:rFonts w:ascii="Times New Roman" w:hAnsi="Times New Roman"/>
                <w:sz w:val="24"/>
              </w:rPr>
              <w:t>.</w:t>
            </w:r>
          </w:p>
        </w:tc>
      </w:tr>
      <w:tr w:rsidR="00973707" w:rsidRPr="00661595" w:rsidTr="00672D2A">
        <w:tc>
          <w:tcPr>
            <w:tcW w:w="1101" w:type="dxa"/>
            <w:tcBorders>
              <w:bottom w:val="single" w:sz="4" w:space="0" w:color="auto"/>
            </w:tcBorders>
          </w:tcPr>
          <w:p w:rsidR="00973707" w:rsidRPr="00661595" w:rsidRDefault="009A7A38" w:rsidP="00AF3D7A">
            <w:pPr>
              <w:spacing w:beforeLines="60" w:before="144" w:afterLines="60" w:after="144"/>
              <w:rPr>
                <w:rFonts w:ascii="Times New Roman" w:hAnsi="Times New Roman"/>
                <w:sz w:val="24"/>
              </w:rPr>
            </w:pPr>
            <w:r w:rsidRPr="00661595">
              <w:rPr>
                <w:rFonts w:ascii="Times New Roman" w:hAnsi="Times New Roman"/>
                <w:sz w:val="24"/>
              </w:rPr>
              <w:t>0</w:t>
            </w:r>
            <w:r w:rsidR="00973707" w:rsidRPr="00661595">
              <w:rPr>
                <w:rFonts w:ascii="Times New Roman" w:hAnsi="Times New Roman"/>
                <w:sz w:val="24"/>
              </w:rPr>
              <w:t>110</w:t>
            </w:r>
          </w:p>
        </w:tc>
        <w:tc>
          <w:tcPr>
            <w:tcW w:w="8190" w:type="dxa"/>
            <w:tcBorders>
              <w:bottom w:val="single" w:sz="4" w:space="0" w:color="auto"/>
            </w:tcBorders>
          </w:tcPr>
          <w:p w:rsidR="00973707" w:rsidRPr="00661595" w:rsidRDefault="00973707" w:rsidP="00AF3D7A">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 xml:space="preserve">TOTAL AVA </w:t>
            </w:r>
          </w:p>
          <w:p w:rsidR="00973707" w:rsidRPr="00661595" w:rsidRDefault="00973707" w:rsidP="00AF3D7A">
            <w:pPr>
              <w:spacing w:beforeLines="60" w:before="144" w:afterLines="60" w:after="144"/>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Row 0</w:t>
            </w:r>
            <w:r w:rsidR="00033B7C" w:rsidRPr="00661595">
              <w:rPr>
                <w:rStyle w:val="InstructionsTabelleberschrift"/>
                <w:rFonts w:ascii="Times New Roman" w:hAnsi="Times New Roman"/>
                <w:b w:val="0"/>
                <w:sz w:val="24"/>
                <w:u w:val="none"/>
              </w:rPr>
              <w:t>0</w:t>
            </w:r>
            <w:r w:rsidRPr="00661595">
              <w:rPr>
                <w:rStyle w:val="InstructionsTabelleberschrift"/>
                <w:rFonts w:ascii="Times New Roman" w:hAnsi="Times New Roman"/>
                <w:b w:val="0"/>
                <w:sz w:val="24"/>
                <w:u w:val="none"/>
              </w:rPr>
              <w:t xml:space="preserve">10: total AVA to be deducted from own funds </w:t>
            </w:r>
            <w:r w:rsidR="00A30C4C" w:rsidRPr="00661595">
              <w:rPr>
                <w:rStyle w:val="InstructionsTabelleberschrift"/>
                <w:rFonts w:ascii="Times New Roman" w:hAnsi="Times New Roman"/>
                <w:b w:val="0"/>
                <w:sz w:val="24"/>
                <w:u w:val="none"/>
              </w:rPr>
              <w:t xml:space="preserve">in accordance with </w:t>
            </w:r>
            <w:r w:rsidRPr="00661595">
              <w:rPr>
                <w:rStyle w:val="InstructionsTabelleberschrift"/>
                <w:rFonts w:ascii="Times New Roman" w:hAnsi="Times New Roman"/>
                <w:b w:val="0"/>
                <w:sz w:val="24"/>
                <w:u w:val="none"/>
              </w:rPr>
              <w:t>Articles 34 and 105</w:t>
            </w:r>
            <w:r w:rsidR="00033B7C" w:rsidRPr="00661595">
              <w:rPr>
                <w:rStyle w:val="InstructionsTabelleberschrift"/>
                <w:rFonts w:ascii="Times New Roman" w:hAnsi="Times New Roman"/>
                <w:b w:val="0"/>
                <w:sz w:val="24"/>
                <w:u w:val="none"/>
              </w:rPr>
              <w:t xml:space="preserve"> CRR</w:t>
            </w:r>
            <w:r w:rsidRPr="00661595">
              <w:rPr>
                <w:rStyle w:val="InstructionsTabelleberschrift"/>
                <w:rFonts w:ascii="Times New Roman" w:hAnsi="Times New Roman"/>
                <w:b w:val="0"/>
                <w:sz w:val="24"/>
                <w:u w:val="none"/>
              </w:rPr>
              <w:t xml:space="preserve"> and reported accordingly in row </w:t>
            </w:r>
            <w:r w:rsidR="00787733" w:rsidRPr="00661595">
              <w:rPr>
                <w:rStyle w:val="InstructionsTabelleberschrift"/>
                <w:rFonts w:ascii="Times New Roman" w:hAnsi="Times New Roman"/>
                <w:b w:val="0"/>
                <w:sz w:val="24"/>
                <w:u w:val="none"/>
              </w:rPr>
              <w:t>0</w:t>
            </w:r>
            <w:r w:rsidRPr="00661595">
              <w:rPr>
                <w:rStyle w:val="InstructionsTabelleberschrift"/>
                <w:rFonts w:ascii="Times New Roman" w:hAnsi="Times New Roman"/>
                <w:b w:val="0"/>
                <w:sz w:val="24"/>
                <w:u w:val="none"/>
              </w:rPr>
              <w:t>290 of C 01.00. The total AVA sh</w:t>
            </w:r>
            <w:r w:rsidR="00033B7C" w:rsidRPr="00661595">
              <w:rPr>
                <w:rStyle w:val="InstructionsTabelleberschrift"/>
                <w:rFonts w:ascii="Times New Roman" w:hAnsi="Times New Roman"/>
                <w:b w:val="0"/>
                <w:sz w:val="24"/>
                <w:u w:val="none"/>
              </w:rPr>
              <w:t>all</w:t>
            </w:r>
            <w:r w:rsidRPr="00661595">
              <w:rPr>
                <w:rStyle w:val="InstructionsTabelleberschrift"/>
                <w:rFonts w:ascii="Times New Roman" w:hAnsi="Times New Roman"/>
                <w:b w:val="0"/>
                <w:sz w:val="24"/>
                <w:u w:val="none"/>
              </w:rPr>
              <w:t xml:space="preserve"> be the sum of row</w:t>
            </w:r>
            <w:r w:rsidR="00033B7C" w:rsidRPr="00661595">
              <w:rPr>
                <w:rStyle w:val="InstructionsTabelleberschrift"/>
                <w:rFonts w:ascii="Times New Roman" w:hAnsi="Times New Roman"/>
                <w:b w:val="0"/>
                <w:sz w:val="24"/>
                <w:u w:val="none"/>
              </w:rPr>
              <w:t>s</w:t>
            </w:r>
            <w:r w:rsidRPr="00661595">
              <w:rPr>
                <w:rStyle w:val="InstructionsTabelleberschrift"/>
                <w:rFonts w:ascii="Times New Roman" w:hAnsi="Times New Roman"/>
                <w:b w:val="0"/>
                <w:sz w:val="24"/>
                <w:u w:val="none"/>
              </w:rPr>
              <w:t xml:space="preserve"> </w:t>
            </w:r>
            <w:r w:rsidR="00033B7C" w:rsidRPr="00661595">
              <w:rPr>
                <w:rStyle w:val="InstructionsTabelleberschrift"/>
                <w:rFonts w:ascii="Times New Roman" w:hAnsi="Times New Roman"/>
                <w:b w:val="0"/>
                <w:sz w:val="24"/>
                <w:u w:val="none"/>
              </w:rPr>
              <w:t>0</w:t>
            </w:r>
            <w:r w:rsidRPr="00661595">
              <w:rPr>
                <w:rStyle w:val="InstructionsTabelleberschrift"/>
                <w:rFonts w:ascii="Times New Roman" w:hAnsi="Times New Roman"/>
                <w:b w:val="0"/>
                <w:sz w:val="24"/>
                <w:u w:val="none"/>
              </w:rPr>
              <w:t xml:space="preserve">030 and </w:t>
            </w:r>
            <w:r w:rsidR="00033B7C" w:rsidRPr="00661595">
              <w:rPr>
                <w:rStyle w:val="InstructionsTabelleberschrift"/>
                <w:rFonts w:ascii="Times New Roman" w:hAnsi="Times New Roman"/>
                <w:b w:val="0"/>
                <w:sz w:val="24"/>
                <w:u w:val="none"/>
              </w:rPr>
              <w:t>0</w:t>
            </w:r>
            <w:r w:rsidRPr="00661595">
              <w:rPr>
                <w:rStyle w:val="InstructionsTabelleberschrift"/>
                <w:rFonts w:ascii="Times New Roman" w:hAnsi="Times New Roman"/>
                <w:b w:val="0"/>
                <w:sz w:val="24"/>
                <w:u w:val="none"/>
              </w:rPr>
              <w:t xml:space="preserve">180. </w:t>
            </w:r>
          </w:p>
          <w:p w:rsidR="00973707" w:rsidRPr="00661595" w:rsidRDefault="00973707" w:rsidP="00AF3D7A">
            <w:pPr>
              <w:spacing w:beforeLines="60" w:before="144" w:afterLines="60" w:after="144"/>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 xml:space="preserve">Row </w:t>
            </w:r>
            <w:r w:rsidR="00033B7C" w:rsidRPr="00661595">
              <w:rPr>
                <w:rStyle w:val="InstructionsTabelleberschrift"/>
                <w:rFonts w:ascii="Times New Roman" w:hAnsi="Times New Roman"/>
                <w:b w:val="0"/>
                <w:sz w:val="24"/>
                <w:u w:val="none"/>
              </w:rPr>
              <w:t>0</w:t>
            </w:r>
            <w:r w:rsidRPr="00661595">
              <w:rPr>
                <w:rStyle w:val="InstructionsTabelleberschrift"/>
                <w:rFonts w:ascii="Times New Roman" w:hAnsi="Times New Roman"/>
                <w:b w:val="0"/>
                <w:sz w:val="24"/>
                <w:u w:val="none"/>
              </w:rPr>
              <w:t xml:space="preserve">020: Share of the total AVA reported in row </w:t>
            </w:r>
            <w:r w:rsidR="00033B7C" w:rsidRPr="00661595">
              <w:rPr>
                <w:rStyle w:val="InstructionsTabelleberschrift"/>
                <w:rFonts w:ascii="Times New Roman" w:hAnsi="Times New Roman"/>
                <w:b w:val="0"/>
                <w:sz w:val="24"/>
                <w:u w:val="none"/>
              </w:rPr>
              <w:t>0</w:t>
            </w:r>
            <w:r w:rsidRPr="00661595">
              <w:rPr>
                <w:rStyle w:val="InstructionsTabelleberschrift"/>
                <w:rFonts w:ascii="Times New Roman" w:hAnsi="Times New Roman"/>
                <w:b w:val="0"/>
                <w:sz w:val="24"/>
                <w:u w:val="none"/>
              </w:rPr>
              <w:t xml:space="preserve">010 stemming from trading book positions (absolute value). </w:t>
            </w:r>
          </w:p>
          <w:p w:rsidR="00973707" w:rsidRPr="00661595" w:rsidRDefault="00973707" w:rsidP="00AF3D7A">
            <w:pPr>
              <w:spacing w:beforeLines="60" w:before="144" w:afterLines="60" w:after="144"/>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 xml:space="preserve">Rows </w:t>
            </w:r>
            <w:r w:rsidR="00033B7C" w:rsidRPr="00661595">
              <w:rPr>
                <w:rStyle w:val="InstructionsTabelleberschrift"/>
                <w:rFonts w:ascii="Times New Roman" w:hAnsi="Times New Roman"/>
                <w:b w:val="0"/>
                <w:sz w:val="24"/>
                <w:u w:val="none"/>
              </w:rPr>
              <w:t>0</w:t>
            </w:r>
            <w:r w:rsidRPr="00661595">
              <w:rPr>
                <w:rStyle w:val="InstructionsTabelleberschrift"/>
                <w:rFonts w:ascii="Times New Roman" w:hAnsi="Times New Roman"/>
                <w:b w:val="0"/>
                <w:sz w:val="24"/>
                <w:u w:val="none"/>
              </w:rPr>
              <w:t xml:space="preserve">030 to </w:t>
            </w:r>
            <w:r w:rsidR="00033B7C" w:rsidRPr="00661595">
              <w:rPr>
                <w:rStyle w:val="InstructionsTabelleberschrift"/>
                <w:rFonts w:ascii="Times New Roman" w:hAnsi="Times New Roman"/>
                <w:b w:val="0"/>
                <w:sz w:val="24"/>
                <w:u w:val="none"/>
              </w:rPr>
              <w:t>0</w:t>
            </w:r>
            <w:r w:rsidRPr="00661595">
              <w:rPr>
                <w:rStyle w:val="InstructionsTabelleberschrift"/>
                <w:rFonts w:ascii="Times New Roman" w:hAnsi="Times New Roman"/>
                <w:b w:val="0"/>
                <w:sz w:val="24"/>
                <w:u w:val="none"/>
              </w:rPr>
              <w:t xml:space="preserve">160: Sum of columns </w:t>
            </w:r>
            <w:r w:rsidR="00033B7C" w:rsidRPr="00661595">
              <w:rPr>
                <w:rStyle w:val="InstructionsTabelleberschrift"/>
                <w:rFonts w:ascii="Times New Roman" w:hAnsi="Times New Roman"/>
                <w:b w:val="0"/>
                <w:sz w:val="24"/>
                <w:u w:val="none"/>
              </w:rPr>
              <w:t>0</w:t>
            </w:r>
            <w:r w:rsidRPr="00661595">
              <w:rPr>
                <w:rStyle w:val="InstructionsTabelleberschrift"/>
                <w:rFonts w:ascii="Times New Roman" w:hAnsi="Times New Roman"/>
                <w:b w:val="0"/>
                <w:sz w:val="24"/>
                <w:u w:val="none"/>
              </w:rPr>
              <w:t xml:space="preserve">010, </w:t>
            </w:r>
            <w:r w:rsidR="00033B7C" w:rsidRPr="00661595">
              <w:rPr>
                <w:rStyle w:val="InstructionsTabelleberschrift"/>
                <w:rFonts w:ascii="Times New Roman" w:hAnsi="Times New Roman"/>
                <w:b w:val="0"/>
                <w:sz w:val="24"/>
                <w:u w:val="none"/>
              </w:rPr>
              <w:t>0</w:t>
            </w:r>
            <w:r w:rsidRPr="00661595">
              <w:rPr>
                <w:rStyle w:val="InstructionsTabelleberschrift"/>
                <w:rFonts w:ascii="Times New Roman" w:hAnsi="Times New Roman"/>
                <w:b w:val="0"/>
                <w:sz w:val="24"/>
                <w:u w:val="none"/>
              </w:rPr>
              <w:t xml:space="preserve">030, </w:t>
            </w:r>
            <w:r w:rsidR="00033B7C" w:rsidRPr="00661595">
              <w:rPr>
                <w:rStyle w:val="InstructionsTabelleberschrift"/>
                <w:rFonts w:ascii="Times New Roman" w:hAnsi="Times New Roman"/>
                <w:b w:val="0"/>
                <w:sz w:val="24"/>
                <w:u w:val="none"/>
              </w:rPr>
              <w:t>0</w:t>
            </w:r>
            <w:r w:rsidRPr="00661595">
              <w:rPr>
                <w:rStyle w:val="InstructionsTabelleberschrift"/>
                <w:rFonts w:ascii="Times New Roman" w:hAnsi="Times New Roman"/>
                <w:b w:val="0"/>
                <w:sz w:val="24"/>
                <w:u w:val="none"/>
              </w:rPr>
              <w:t xml:space="preserve">050 and </w:t>
            </w:r>
            <w:r w:rsidR="00033B7C" w:rsidRPr="00661595">
              <w:rPr>
                <w:rStyle w:val="InstructionsTabelleberschrift"/>
                <w:rFonts w:ascii="Times New Roman" w:hAnsi="Times New Roman"/>
                <w:b w:val="0"/>
                <w:sz w:val="24"/>
                <w:u w:val="none"/>
              </w:rPr>
              <w:t>0</w:t>
            </w:r>
            <w:r w:rsidRPr="00661595">
              <w:rPr>
                <w:rStyle w:val="InstructionsTabelleberschrift"/>
                <w:rFonts w:ascii="Times New Roman" w:hAnsi="Times New Roman"/>
                <w:b w:val="0"/>
                <w:sz w:val="24"/>
                <w:u w:val="none"/>
              </w:rPr>
              <w:t xml:space="preserve">070 to </w:t>
            </w:r>
            <w:r w:rsidR="00033B7C" w:rsidRPr="00661595">
              <w:rPr>
                <w:rStyle w:val="InstructionsTabelleberschrift"/>
                <w:rFonts w:ascii="Times New Roman" w:hAnsi="Times New Roman"/>
                <w:b w:val="0"/>
                <w:sz w:val="24"/>
                <w:u w:val="none"/>
              </w:rPr>
              <w:t>0</w:t>
            </w:r>
            <w:r w:rsidRPr="00661595">
              <w:rPr>
                <w:rStyle w:val="InstructionsTabelleberschrift"/>
                <w:rFonts w:ascii="Times New Roman" w:hAnsi="Times New Roman"/>
                <w:b w:val="0"/>
                <w:sz w:val="24"/>
                <w:u w:val="none"/>
              </w:rPr>
              <w:t xml:space="preserve">100. </w:t>
            </w:r>
          </w:p>
          <w:p w:rsidR="00973707" w:rsidRPr="00661595" w:rsidRDefault="00973707" w:rsidP="00AF3D7A">
            <w:pPr>
              <w:spacing w:beforeLines="60" w:before="144" w:afterLines="60" w:after="144"/>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Row</w:t>
            </w:r>
            <w:r w:rsidR="00033B7C" w:rsidRPr="00661595">
              <w:rPr>
                <w:rStyle w:val="InstructionsTabelleberschrift"/>
                <w:rFonts w:ascii="Times New Roman" w:hAnsi="Times New Roman"/>
                <w:b w:val="0"/>
                <w:sz w:val="24"/>
                <w:u w:val="none"/>
              </w:rPr>
              <w:t>s</w:t>
            </w:r>
            <w:r w:rsidRPr="00661595">
              <w:rPr>
                <w:rStyle w:val="InstructionsTabelleberschrift"/>
                <w:rFonts w:ascii="Times New Roman" w:hAnsi="Times New Roman"/>
                <w:b w:val="0"/>
                <w:sz w:val="24"/>
                <w:u w:val="none"/>
              </w:rPr>
              <w:t xml:space="preserve"> </w:t>
            </w:r>
            <w:r w:rsidR="00033B7C" w:rsidRPr="00661595">
              <w:rPr>
                <w:rStyle w:val="InstructionsTabelleberschrift"/>
                <w:rFonts w:ascii="Times New Roman" w:hAnsi="Times New Roman"/>
                <w:b w:val="0"/>
                <w:sz w:val="24"/>
                <w:u w:val="none"/>
              </w:rPr>
              <w:t>0</w:t>
            </w:r>
            <w:r w:rsidRPr="00661595">
              <w:rPr>
                <w:rStyle w:val="InstructionsTabelleberschrift"/>
                <w:rFonts w:ascii="Times New Roman" w:hAnsi="Times New Roman"/>
                <w:b w:val="0"/>
                <w:sz w:val="24"/>
                <w:u w:val="none"/>
              </w:rPr>
              <w:t xml:space="preserve">180 to </w:t>
            </w:r>
            <w:r w:rsidR="00033B7C" w:rsidRPr="00661595">
              <w:rPr>
                <w:rStyle w:val="InstructionsTabelleberschrift"/>
                <w:rFonts w:ascii="Times New Roman" w:hAnsi="Times New Roman"/>
                <w:b w:val="0"/>
                <w:sz w:val="24"/>
                <w:u w:val="none"/>
              </w:rPr>
              <w:t>0</w:t>
            </w:r>
            <w:r w:rsidRPr="00661595">
              <w:rPr>
                <w:rStyle w:val="InstructionsTabelleberschrift"/>
                <w:rFonts w:ascii="Times New Roman" w:hAnsi="Times New Roman"/>
                <w:b w:val="0"/>
                <w:sz w:val="24"/>
                <w:u w:val="none"/>
              </w:rPr>
              <w:t xml:space="preserve">210: Total AVA stemming from portfolios under the fall-back approach. </w:t>
            </w:r>
          </w:p>
        </w:tc>
      </w:tr>
      <w:tr w:rsidR="00973707" w:rsidRPr="00661595" w:rsidTr="00672D2A">
        <w:tc>
          <w:tcPr>
            <w:tcW w:w="1101" w:type="dxa"/>
            <w:tcBorders>
              <w:bottom w:val="single" w:sz="4" w:space="0" w:color="auto"/>
            </w:tcBorders>
          </w:tcPr>
          <w:p w:rsidR="00973707" w:rsidRPr="00661595" w:rsidRDefault="009A7A38" w:rsidP="00AF3D7A">
            <w:pPr>
              <w:spacing w:beforeLines="60" w:before="144" w:afterLines="60" w:after="144"/>
              <w:rPr>
                <w:rFonts w:ascii="Times New Roman" w:hAnsi="Times New Roman"/>
                <w:sz w:val="24"/>
              </w:rPr>
            </w:pPr>
            <w:r w:rsidRPr="00661595">
              <w:rPr>
                <w:rFonts w:ascii="Times New Roman" w:hAnsi="Times New Roman"/>
                <w:sz w:val="24"/>
              </w:rPr>
              <w:t>0</w:t>
            </w:r>
            <w:r w:rsidR="00973707" w:rsidRPr="00661595">
              <w:rPr>
                <w:rFonts w:ascii="Times New Roman" w:hAnsi="Times New Roman"/>
                <w:sz w:val="24"/>
              </w:rPr>
              <w:t>120</w:t>
            </w:r>
          </w:p>
        </w:tc>
        <w:tc>
          <w:tcPr>
            <w:tcW w:w="8190" w:type="dxa"/>
            <w:tcBorders>
              <w:bottom w:val="single" w:sz="4" w:space="0" w:color="auto"/>
            </w:tcBorders>
          </w:tcPr>
          <w:p w:rsidR="00973707" w:rsidRPr="00661595" w:rsidRDefault="00973707" w:rsidP="00AF3D7A">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UPSIDE UNCERTAINTY</w:t>
            </w:r>
          </w:p>
          <w:p w:rsidR="00973707" w:rsidRPr="00661595" w:rsidRDefault="00973707" w:rsidP="00AF3D7A">
            <w:pPr>
              <w:spacing w:beforeLines="60" w:before="144" w:afterLines="60" w:after="144"/>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Article 8(2) of</w:t>
            </w:r>
            <w:r w:rsidR="00F811F8" w:rsidRPr="00661595">
              <w:rPr>
                <w:rFonts w:ascii="Times New Roman" w:hAnsi="Times New Roman"/>
                <w:sz w:val="24"/>
              </w:rPr>
              <w:t xml:space="preserve"> Delegated Regulation (EU) 2016/101</w:t>
            </w:r>
            <w:r w:rsidR="00A30C4C" w:rsidRPr="00661595">
              <w:rPr>
                <w:rFonts w:ascii="Times New Roman" w:hAnsi="Times New Roman"/>
                <w:sz w:val="24"/>
              </w:rPr>
              <w:t>.</w:t>
            </w:r>
          </w:p>
          <w:p w:rsidR="00973707" w:rsidRPr="00661595" w:rsidRDefault="00973707" w:rsidP="00AF3D7A">
            <w:pPr>
              <w:spacing w:beforeLines="60" w:before="144" w:afterLines="60" w:after="144"/>
              <w:rPr>
                <w:rFonts w:ascii="Times New Roman" w:hAnsi="Times New Roman"/>
                <w:sz w:val="24"/>
              </w:rPr>
            </w:pPr>
            <w:r w:rsidRPr="00661595">
              <w:rPr>
                <w:rFonts w:ascii="Times New Roman" w:hAnsi="Times New Roman"/>
                <w:sz w:val="24"/>
              </w:rPr>
              <w:t xml:space="preserve">The upside uncertainty shall be calculated and aggregated on the same basis as the total AVA computed in column </w:t>
            </w:r>
            <w:r w:rsidR="00033B7C" w:rsidRPr="00661595">
              <w:rPr>
                <w:rFonts w:ascii="Times New Roman" w:hAnsi="Times New Roman"/>
                <w:sz w:val="24"/>
              </w:rPr>
              <w:t>0</w:t>
            </w:r>
            <w:r w:rsidRPr="00661595">
              <w:rPr>
                <w:rFonts w:ascii="Times New Roman" w:hAnsi="Times New Roman"/>
                <w:sz w:val="24"/>
              </w:rPr>
              <w:t>110</w:t>
            </w:r>
            <w:r w:rsidR="00033B7C" w:rsidRPr="00661595">
              <w:rPr>
                <w:rFonts w:ascii="Times New Roman" w:hAnsi="Times New Roman"/>
                <w:sz w:val="24"/>
              </w:rPr>
              <w:t>,</w:t>
            </w:r>
            <w:r w:rsidRPr="00661595">
              <w:rPr>
                <w:rFonts w:ascii="Times New Roman" w:hAnsi="Times New Roman"/>
                <w:sz w:val="24"/>
              </w:rPr>
              <w:t xml:space="preserve"> but substituting a 10% level of certainty for the 90% used when determining the total AVA.</w:t>
            </w:r>
          </w:p>
        </w:tc>
      </w:tr>
      <w:tr w:rsidR="00973707" w:rsidRPr="00661595" w:rsidTr="00672D2A">
        <w:tc>
          <w:tcPr>
            <w:tcW w:w="1101" w:type="dxa"/>
          </w:tcPr>
          <w:p w:rsidR="00973707" w:rsidRPr="00661595" w:rsidRDefault="009A7A38" w:rsidP="00AF3D7A">
            <w:pPr>
              <w:spacing w:beforeLines="60" w:before="144" w:afterLines="60" w:after="144"/>
              <w:rPr>
                <w:rFonts w:ascii="Times New Roman" w:hAnsi="Times New Roman"/>
                <w:sz w:val="24"/>
              </w:rPr>
            </w:pPr>
            <w:r w:rsidRPr="00661595">
              <w:rPr>
                <w:rFonts w:ascii="Times New Roman" w:hAnsi="Times New Roman"/>
                <w:sz w:val="24"/>
              </w:rPr>
              <w:t>0</w:t>
            </w:r>
            <w:r w:rsidR="00973707" w:rsidRPr="00661595">
              <w:rPr>
                <w:rFonts w:ascii="Times New Roman" w:hAnsi="Times New Roman"/>
                <w:sz w:val="24"/>
              </w:rPr>
              <w:t>130 -</w:t>
            </w:r>
            <w:r w:rsidRPr="00661595">
              <w:rPr>
                <w:rFonts w:ascii="Times New Roman" w:hAnsi="Times New Roman"/>
                <w:sz w:val="24"/>
              </w:rPr>
              <w:t>0</w:t>
            </w:r>
            <w:r w:rsidR="00973707" w:rsidRPr="00661595">
              <w:rPr>
                <w:rFonts w:ascii="Times New Roman" w:hAnsi="Times New Roman"/>
                <w:sz w:val="24"/>
              </w:rPr>
              <w:t>140</w:t>
            </w:r>
          </w:p>
        </w:tc>
        <w:tc>
          <w:tcPr>
            <w:tcW w:w="8190" w:type="dxa"/>
          </w:tcPr>
          <w:p w:rsidR="00973707" w:rsidRPr="00661595" w:rsidRDefault="00973707" w:rsidP="00AF3D7A">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FAIR-VALUED ASSETS AND LIABILITIES</w:t>
            </w:r>
          </w:p>
          <w:p w:rsidR="00973707" w:rsidRPr="00661595" w:rsidRDefault="00973707" w:rsidP="00AF3D7A">
            <w:pPr>
              <w:spacing w:beforeLines="60" w:before="144" w:afterLines="60" w:after="144"/>
              <w:rPr>
                <w:rFonts w:ascii="Times New Roman" w:hAnsi="Times New Roman"/>
                <w:sz w:val="24"/>
              </w:rPr>
            </w:pPr>
            <w:r w:rsidRPr="00661595">
              <w:rPr>
                <w:rFonts w:ascii="Times New Roman" w:hAnsi="Times New Roman"/>
                <w:sz w:val="24"/>
              </w:rPr>
              <w:t xml:space="preserve">Absolute value of fair-valued assets and liabilities corresponding to the AVA amounts </w:t>
            </w:r>
            <w:r w:rsidR="00033B7C" w:rsidRPr="00661595">
              <w:rPr>
                <w:rFonts w:ascii="Times New Roman" w:hAnsi="Times New Roman"/>
                <w:sz w:val="24"/>
              </w:rPr>
              <w:t>reported</w:t>
            </w:r>
            <w:r w:rsidRPr="00661595">
              <w:rPr>
                <w:rFonts w:ascii="Times New Roman" w:hAnsi="Times New Roman"/>
                <w:sz w:val="24"/>
              </w:rPr>
              <w:t xml:space="preserve"> in rows </w:t>
            </w:r>
            <w:r w:rsidR="00033B7C" w:rsidRPr="00661595">
              <w:rPr>
                <w:rFonts w:ascii="Times New Roman" w:hAnsi="Times New Roman"/>
                <w:sz w:val="24"/>
              </w:rPr>
              <w:t>0</w:t>
            </w:r>
            <w:r w:rsidRPr="00661595">
              <w:rPr>
                <w:rFonts w:ascii="Times New Roman" w:hAnsi="Times New Roman"/>
                <w:sz w:val="24"/>
              </w:rPr>
              <w:t xml:space="preserve">010 to </w:t>
            </w:r>
            <w:r w:rsidR="00033B7C" w:rsidRPr="00661595">
              <w:rPr>
                <w:rFonts w:ascii="Times New Roman" w:hAnsi="Times New Roman"/>
                <w:sz w:val="24"/>
              </w:rPr>
              <w:t>0</w:t>
            </w:r>
            <w:r w:rsidRPr="00661595">
              <w:rPr>
                <w:rFonts w:ascii="Times New Roman" w:hAnsi="Times New Roman"/>
                <w:sz w:val="24"/>
              </w:rPr>
              <w:t xml:space="preserve">130 and row </w:t>
            </w:r>
            <w:r w:rsidR="00033B7C" w:rsidRPr="00661595">
              <w:rPr>
                <w:rFonts w:ascii="Times New Roman" w:hAnsi="Times New Roman"/>
                <w:sz w:val="24"/>
              </w:rPr>
              <w:t>0</w:t>
            </w:r>
            <w:r w:rsidRPr="00661595">
              <w:rPr>
                <w:rFonts w:ascii="Times New Roman" w:hAnsi="Times New Roman"/>
                <w:sz w:val="24"/>
              </w:rPr>
              <w:t>180.</w:t>
            </w:r>
            <w:r w:rsidRPr="00661595" w:rsidDel="00291BB8">
              <w:rPr>
                <w:rFonts w:ascii="Times New Roman" w:hAnsi="Times New Roman"/>
                <w:sz w:val="24"/>
              </w:rPr>
              <w:t xml:space="preserve"> </w:t>
            </w:r>
            <w:r w:rsidRPr="00661595">
              <w:rPr>
                <w:rFonts w:ascii="Times New Roman" w:hAnsi="Times New Roman"/>
                <w:sz w:val="24"/>
              </w:rPr>
              <w:t xml:space="preserve">For some rows, in particular rows </w:t>
            </w:r>
            <w:r w:rsidR="00033B7C" w:rsidRPr="00661595">
              <w:rPr>
                <w:rFonts w:ascii="Times New Roman" w:hAnsi="Times New Roman"/>
                <w:sz w:val="24"/>
              </w:rPr>
              <w:t>0</w:t>
            </w:r>
            <w:r w:rsidRPr="00661595">
              <w:rPr>
                <w:rFonts w:ascii="Times New Roman" w:hAnsi="Times New Roman"/>
                <w:sz w:val="24"/>
              </w:rPr>
              <w:t xml:space="preserve">090 to </w:t>
            </w:r>
            <w:r w:rsidR="00033B7C" w:rsidRPr="00661595">
              <w:rPr>
                <w:rFonts w:ascii="Times New Roman" w:hAnsi="Times New Roman"/>
                <w:sz w:val="24"/>
              </w:rPr>
              <w:t>0</w:t>
            </w:r>
            <w:r w:rsidRPr="00661595">
              <w:rPr>
                <w:rFonts w:ascii="Times New Roman" w:hAnsi="Times New Roman"/>
                <w:sz w:val="24"/>
              </w:rPr>
              <w:t xml:space="preserve">130, these amounts may have to be approximated or allocated based on expert judgement. </w:t>
            </w:r>
          </w:p>
          <w:p w:rsidR="001771A4" w:rsidRPr="00661595" w:rsidRDefault="00973707" w:rsidP="0002267E">
            <w:pPr>
              <w:spacing w:beforeLines="60" w:before="144" w:afterLines="60" w:after="144"/>
              <w:jc w:val="left"/>
              <w:rPr>
                <w:rFonts w:ascii="Times New Roman" w:hAnsi="Times New Roman"/>
                <w:sz w:val="24"/>
              </w:rPr>
            </w:pPr>
            <w:r w:rsidRPr="00661595">
              <w:rPr>
                <w:rFonts w:ascii="Times New Roman" w:hAnsi="Times New Roman"/>
                <w:sz w:val="24"/>
              </w:rPr>
              <w:t xml:space="preserve">Row </w:t>
            </w:r>
            <w:r w:rsidR="00033B7C" w:rsidRPr="00661595">
              <w:rPr>
                <w:rFonts w:ascii="Times New Roman" w:hAnsi="Times New Roman"/>
                <w:sz w:val="24"/>
              </w:rPr>
              <w:t>0</w:t>
            </w:r>
            <w:r w:rsidRPr="00661595">
              <w:rPr>
                <w:rFonts w:ascii="Times New Roman" w:hAnsi="Times New Roman"/>
                <w:sz w:val="24"/>
              </w:rPr>
              <w:t xml:space="preserve">010: Total absolute value of fair-valued assets and liabilities included in </w:t>
            </w:r>
            <w:r w:rsidR="00033B7C" w:rsidRPr="00661595">
              <w:rPr>
                <w:rFonts w:ascii="Times New Roman" w:hAnsi="Times New Roman"/>
                <w:sz w:val="24"/>
              </w:rPr>
              <w:t xml:space="preserve">the threshold computation of </w:t>
            </w:r>
            <w:r w:rsidRPr="00661595">
              <w:rPr>
                <w:rFonts w:ascii="Times New Roman" w:hAnsi="Times New Roman"/>
                <w:sz w:val="24"/>
              </w:rPr>
              <w:t xml:space="preserve">Article 4(1) </w:t>
            </w:r>
            <w:r w:rsidR="00033B7C" w:rsidRPr="00661595">
              <w:rPr>
                <w:rFonts w:ascii="Times New Roman" w:hAnsi="Times New Roman"/>
                <w:sz w:val="24"/>
              </w:rPr>
              <w:t xml:space="preserve">of </w:t>
            </w:r>
            <w:r w:rsidR="00F811F8" w:rsidRPr="00661595">
              <w:rPr>
                <w:rFonts w:ascii="Times New Roman" w:hAnsi="Times New Roman"/>
                <w:sz w:val="24"/>
              </w:rPr>
              <w:t>Delegated Regulation (EU) 2016/101</w:t>
            </w:r>
            <w:r w:rsidRPr="00661595">
              <w:rPr>
                <w:rFonts w:ascii="Times New Roman" w:hAnsi="Times New Roman"/>
                <w:sz w:val="24"/>
              </w:rPr>
              <w:t>. Th</w:t>
            </w:r>
            <w:r w:rsidR="00A30C4C" w:rsidRPr="00661595">
              <w:rPr>
                <w:rFonts w:ascii="Times New Roman" w:hAnsi="Times New Roman"/>
                <w:sz w:val="24"/>
              </w:rPr>
              <w:t>at</w:t>
            </w:r>
            <w:r w:rsidRPr="00661595">
              <w:rPr>
                <w:rFonts w:ascii="Times New Roman" w:hAnsi="Times New Roman"/>
                <w:sz w:val="24"/>
              </w:rPr>
              <w:t xml:space="preserve"> includes the absolute value of fair-valued assets and liabilities for which AVAs are assessed to have zero value </w:t>
            </w:r>
            <w:r w:rsidR="00BB22D4" w:rsidRPr="00661595">
              <w:rPr>
                <w:rFonts w:ascii="Times New Roman" w:hAnsi="Times New Roman"/>
                <w:sz w:val="24"/>
              </w:rPr>
              <w:t>in accordance with</w:t>
            </w:r>
            <w:r w:rsidRPr="00661595">
              <w:rPr>
                <w:rFonts w:ascii="Times New Roman" w:hAnsi="Times New Roman"/>
                <w:sz w:val="24"/>
              </w:rPr>
              <w:t xml:space="preserve"> Article</w:t>
            </w:r>
            <w:r w:rsidR="00A30C4C" w:rsidRPr="00661595">
              <w:rPr>
                <w:rFonts w:ascii="Times New Roman" w:hAnsi="Times New Roman"/>
                <w:sz w:val="24"/>
              </w:rPr>
              <w:t>s</w:t>
            </w:r>
            <w:r w:rsidRPr="00661595">
              <w:rPr>
                <w:rFonts w:ascii="Times New Roman" w:hAnsi="Times New Roman"/>
                <w:sz w:val="24"/>
              </w:rPr>
              <w:t xml:space="preserve"> 9(2), 10(2) or 10(3) of </w:t>
            </w:r>
            <w:r w:rsidR="00F811F8" w:rsidRPr="00661595">
              <w:rPr>
                <w:rFonts w:ascii="Times New Roman" w:hAnsi="Times New Roman"/>
                <w:sz w:val="24"/>
              </w:rPr>
              <w:t>Delegated Regulation (EU) 2016/101</w:t>
            </w:r>
            <w:r w:rsidRPr="00661595">
              <w:rPr>
                <w:rFonts w:ascii="Times New Roman" w:hAnsi="Times New Roman"/>
                <w:sz w:val="24"/>
              </w:rPr>
              <w:t xml:space="preserve">, which are also separately reported in rows </w:t>
            </w:r>
            <w:r w:rsidR="00152B33" w:rsidRPr="00661595">
              <w:rPr>
                <w:rFonts w:ascii="Times New Roman" w:hAnsi="Times New Roman"/>
                <w:sz w:val="24"/>
              </w:rPr>
              <w:t>0</w:t>
            </w:r>
            <w:r w:rsidRPr="00661595">
              <w:rPr>
                <w:rFonts w:ascii="Times New Roman" w:hAnsi="Times New Roman"/>
                <w:sz w:val="24"/>
              </w:rPr>
              <w:t xml:space="preserve">070 and </w:t>
            </w:r>
            <w:r w:rsidR="00152B33" w:rsidRPr="00661595">
              <w:rPr>
                <w:rFonts w:ascii="Times New Roman" w:hAnsi="Times New Roman"/>
                <w:sz w:val="24"/>
              </w:rPr>
              <w:t>0</w:t>
            </w:r>
            <w:r w:rsidRPr="00661595">
              <w:rPr>
                <w:rFonts w:ascii="Times New Roman" w:hAnsi="Times New Roman"/>
                <w:sz w:val="24"/>
              </w:rPr>
              <w:t xml:space="preserve">080. </w:t>
            </w:r>
          </w:p>
          <w:p w:rsidR="00973707" w:rsidRPr="00661595" w:rsidRDefault="00973707" w:rsidP="0002267E">
            <w:pPr>
              <w:spacing w:beforeLines="60" w:before="144" w:afterLines="60" w:after="144"/>
              <w:jc w:val="left"/>
              <w:rPr>
                <w:rFonts w:ascii="Times New Roman" w:hAnsi="Times New Roman"/>
                <w:sz w:val="24"/>
              </w:rPr>
            </w:pPr>
            <w:r w:rsidRPr="00661595">
              <w:rPr>
                <w:rFonts w:ascii="Times New Roman" w:hAnsi="Times New Roman"/>
                <w:sz w:val="24"/>
              </w:rPr>
              <w:t xml:space="preserve">Row </w:t>
            </w:r>
            <w:r w:rsidR="00033B7C" w:rsidRPr="00661595">
              <w:rPr>
                <w:rFonts w:ascii="Times New Roman" w:hAnsi="Times New Roman"/>
                <w:sz w:val="24"/>
              </w:rPr>
              <w:t>0</w:t>
            </w:r>
            <w:r w:rsidRPr="00661595">
              <w:rPr>
                <w:rFonts w:ascii="Times New Roman" w:hAnsi="Times New Roman"/>
                <w:sz w:val="24"/>
              </w:rPr>
              <w:t xml:space="preserve">010 is the sum of row </w:t>
            </w:r>
            <w:r w:rsidR="00152B33" w:rsidRPr="00661595">
              <w:rPr>
                <w:rFonts w:ascii="Times New Roman" w:hAnsi="Times New Roman"/>
                <w:sz w:val="24"/>
              </w:rPr>
              <w:t>0</w:t>
            </w:r>
            <w:r w:rsidRPr="00661595">
              <w:rPr>
                <w:rFonts w:ascii="Times New Roman" w:hAnsi="Times New Roman"/>
                <w:sz w:val="24"/>
              </w:rPr>
              <w:t xml:space="preserve">030 and row </w:t>
            </w:r>
            <w:r w:rsidR="00152B33" w:rsidRPr="00661595">
              <w:rPr>
                <w:rFonts w:ascii="Times New Roman" w:hAnsi="Times New Roman"/>
                <w:sz w:val="24"/>
              </w:rPr>
              <w:t>0</w:t>
            </w:r>
            <w:r w:rsidRPr="00661595">
              <w:rPr>
                <w:rFonts w:ascii="Times New Roman" w:hAnsi="Times New Roman"/>
                <w:sz w:val="24"/>
              </w:rPr>
              <w:t xml:space="preserve">180. </w:t>
            </w:r>
          </w:p>
          <w:p w:rsidR="00973707" w:rsidRPr="00661595" w:rsidRDefault="00973707" w:rsidP="00AF3D7A">
            <w:pPr>
              <w:spacing w:beforeLines="60" w:before="144" w:afterLines="60" w:after="144"/>
              <w:rPr>
                <w:rFonts w:ascii="Times New Roman" w:hAnsi="Times New Roman"/>
                <w:sz w:val="24"/>
              </w:rPr>
            </w:pPr>
            <w:r w:rsidRPr="00661595">
              <w:rPr>
                <w:rFonts w:ascii="Times New Roman" w:hAnsi="Times New Roman"/>
                <w:sz w:val="24"/>
              </w:rPr>
              <w:t xml:space="preserve">Row </w:t>
            </w:r>
            <w:r w:rsidR="00033B7C" w:rsidRPr="00661595">
              <w:rPr>
                <w:rFonts w:ascii="Times New Roman" w:hAnsi="Times New Roman"/>
                <w:sz w:val="24"/>
              </w:rPr>
              <w:t>0</w:t>
            </w:r>
            <w:r w:rsidRPr="00661595">
              <w:rPr>
                <w:rFonts w:ascii="Times New Roman" w:hAnsi="Times New Roman"/>
                <w:sz w:val="24"/>
              </w:rPr>
              <w:t>020: share of total absolute value of fair-valued assets and liabilities reported in row 0</w:t>
            </w:r>
            <w:r w:rsidR="00152B33" w:rsidRPr="00661595">
              <w:rPr>
                <w:rFonts w:ascii="Times New Roman" w:hAnsi="Times New Roman"/>
                <w:sz w:val="24"/>
              </w:rPr>
              <w:t>0</w:t>
            </w:r>
            <w:r w:rsidRPr="00661595">
              <w:rPr>
                <w:rFonts w:ascii="Times New Roman" w:hAnsi="Times New Roman"/>
                <w:sz w:val="24"/>
              </w:rPr>
              <w:t xml:space="preserve">10 stemming from trading book positions (absolute value). </w:t>
            </w:r>
          </w:p>
          <w:p w:rsidR="00973707" w:rsidRPr="00661595" w:rsidRDefault="00973707" w:rsidP="00AF3D7A">
            <w:pPr>
              <w:spacing w:beforeLines="60" w:before="144" w:afterLines="60" w:after="144"/>
              <w:rPr>
                <w:rFonts w:ascii="Times New Roman" w:hAnsi="Times New Roman"/>
                <w:sz w:val="24"/>
              </w:rPr>
            </w:pPr>
            <w:r w:rsidRPr="00661595">
              <w:rPr>
                <w:rFonts w:ascii="Times New Roman" w:hAnsi="Times New Roman"/>
                <w:sz w:val="24"/>
              </w:rPr>
              <w:t xml:space="preserve">Row </w:t>
            </w:r>
            <w:r w:rsidR="00033B7C" w:rsidRPr="00661595">
              <w:rPr>
                <w:rFonts w:ascii="Times New Roman" w:hAnsi="Times New Roman"/>
                <w:sz w:val="24"/>
              </w:rPr>
              <w:t>0</w:t>
            </w:r>
            <w:r w:rsidRPr="00661595">
              <w:rPr>
                <w:rFonts w:ascii="Times New Roman" w:hAnsi="Times New Roman"/>
                <w:sz w:val="24"/>
              </w:rPr>
              <w:t xml:space="preserve">030: Absolute value of fair-valued assets and liabilities corresponding to the portfolios </w:t>
            </w:r>
            <w:r w:rsidR="002300C6" w:rsidRPr="00661595">
              <w:rPr>
                <w:rFonts w:ascii="Times New Roman" w:hAnsi="Times New Roman"/>
                <w:sz w:val="24"/>
              </w:rPr>
              <w:t xml:space="preserve">referred to in </w:t>
            </w:r>
            <w:r w:rsidRPr="00661595">
              <w:rPr>
                <w:rFonts w:ascii="Times New Roman" w:hAnsi="Times New Roman"/>
                <w:sz w:val="24"/>
              </w:rPr>
              <w:t xml:space="preserve">Articles 9 to 17 of </w:t>
            </w:r>
            <w:r w:rsidR="00F811F8" w:rsidRPr="00661595">
              <w:rPr>
                <w:rFonts w:ascii="Times New Roman" w:hAnsi="Times New Roman"/>
                <w:sz w:val="24"/>
              </w:rPr>
              <w:t>Delegated Regulation (EU) 2016/101</w:t>
            </w:r>
            <w:r w:rsidRPr="00661595">
              <w:rPr>
                <w:rFonts w:ascii="Times New Roman" w:hAnsi="Times New Roman"/>
                <w:sz w:val="24"/>
              </w:rPr>
              <w:t>. Th</w:t>
            </w:r>
            <w:r w:rsidR="00A30C4C" w:rsidRPr="00661595">
              <w:rPr>
                <w:rFonts w:ascii="Times New Roman" w:hAnsi="Times New Roman"/>
                <w:sz w:val="24"/>
              </w:rPr>
              <w:t>at</w:t>
            </w:r>
            <w:r w:rsidRPr="00661595">
              <w:rPr>
                <w:rFonts w:ascii="Times New Roman" w:hAnsi="Times New Roman"/>
                <w:sz w:val="24"/>
              </w:rPr>
              <w:t xml:space="preserve"> includes the absolute value of fair-valued assets and liabilities for which AVAs are assessed to have zero value </w:t>
            </w:r>
            <w:r w:rsidR="00BB22D4" w:rsidRPr="00661595">
              <w:rPr>
                <w:rFonts w:ascii="Times New Roman" w:hAnsi="Times New Roman"/>
                <w:sz w:val="24"/>
              </w:rPr>
              <w:t>in accordance with</w:t>
            </w:r>
            <w:r w:rsidRPr="00661595">
              <w:rPr>
                <w:rFonts w:ascii="Times New Roman" w:hAnsi="Times New Roman"/>
                <w:sz w:val="24"/>
              </w:rPr>
              <w:t xml:space="preserve"> Article</w:t>
            </w:r>
            <w:r w:rsidR="00A30C4C" w:rsidRPr="00661595">
              <w:rPr>
                <w:rFonts w:ascii="Times New Roman" w:hAnsi="Times New Roman"/>
                <w:sz w:val="24"/>
              </w:rPr>
              <w:t>s</w:t>
            </w:r>
            <w:r w:rsidRPr="00661595">
              <w:rPr>
                <w:rFonts w:ascii="Times New Roman" w:hAnsi="Times New Roman"/>
                <w:sz w:val="24"/>
              </w:rPr>
              <w:t xml:space="preserve"> 9(2), 10(2) or 10(3) of </w:t>
            </w:r>
            <w:r w:rsidR="00F811F8" w:rsidRPr="00661595">
              <w:rPr>
                <w:rFonts w:ascii="Times New Roman" w:hAnsi="Times New Roman"/>
                <w:sz w:val="24"/>
              </w:rPr>
              <w:t>Delegated Regulation (EU) 2016/101</w:t>
            </w:r>
            <w:r w:rsidRPr="00661595">
              <w:rPr>
                <w:rFonts w:ascii="Times New Roman" w:hAnsi="Times New Roman"/>
                <w:sz w:val="24"/>
              </w:rPr>
              <w:t xml:space="preserve">, which are also separately reported in rows </w:t>
            </w:r>
            <w:r w:rsidR="00152B33" w:rsidRPr="00661595">
              <w:rPr>
                <w:rFonts w:ascii="Times New Roman" w:hAnsi="Times New Roman"/>
                <w:sz w:val="24"/>
              </w:rPr>
              <w:t>0</w:t>
            </w:r>
            <w:r w:rsidRPr="00661595">
              <w:rPr>
                <w:rFonts w:ascii="Times New Roman" w:hAnsi="Times New Roman"/>
                <w:sz w:val="24"/>
              </w:rPr>
              <w:t xml:space="preserve">070 and </w:t>
            </w:r>
            <w:r w:rsidR="00152B33" w:rsidRPr="00661595">
              <w:rPr>
                <w:rFonts w:ascii="Times New Roman" w:hAnsi="Times New Roman"/>
                <w:sz w:val="24"/>
              </w:rPr>
              <w:t>0</w:t>
            </w:r>
            <w:r w:rsidRPr="00661595">
              <w:rPr>
                <w:rFonts w:ascii="Times New Roman" w:hAnsi="Times New Roman"/>
                <w:sz w:val="24"/>
              </w:rPr>
              <w:t xml:space="preserve">080. Row </w:t>
            </w:r>
            <w:r w:rsidR="00152B33" w:rsidRPr="00661595">
              <w:rPr>
                <w:rFonts w:ascii="Times New Roman" w:hAnsi="Times New Roman"/>
                <w:sz w:val="24"/>
              </w:rPr>
              <w:t>0</w:t>
            </w:r>
            <w:r w:rsidRPr="00661595">
              <w:rPr>
                <w:rFonts w:ascii="Times New Roman" w:hAnsi="Times New Roman"/>
                <w:sz w:val="24"/>
              </w:rPr>
              <w:t>030</w:t>
            </w:r>
            <w:r w:rsidR="00F811F8" w:rsidRPr="00661595">
              <w:rPr>
                <w:rFonts w:ascii="Times New Roman" w:hAnsi="Times New Roman"/>
                <w:sz w:val="24"/>
              </w:rPr>
              <w:t xml:space="preserve"> shall</w:t>
            </w:r>
            <w:r w:rsidRPr="00661595">
              <w:rPr>
                <w:rFonts w:ascii="Times New Roman" w:hAnsi="Times New Roman"/>
                <w:sz w:val="24"/>
              </w:rPr>
              <w:t xml:space="preserve"> be the sum of row</w:t>
            </w:r>
            <w:r w:rsidR="00152B33" w:rsidRPr="00661595">
              <w:rPr>
                <w:rFonts w:ascii="Times New Roman" w:hAnsi="Times New Roman"/>
                <w:sz w:val="24"/>
              </w:rPr>
              <w:t>s</w:t>
            </w:r>
            <w:r w:rsidRPr="00661595">
              <w:rPr>
                <w:rFonts w:ascii="Times New Roman" w:hAnsi="Times New Roman"/>
                <w:sz w:val="24"/>
              </w:rPr>
              <w:t xml:space="preserve"> </w:t>
            </w:r>
            <w:r w:rsidR="00152B33" w:rsidRPr="00661595">
              <w:rPr>
                <w:rFonts w:ascii="Times New Roman" w:hAnsi="Times New Roman"/>
                <w:sz w:val="24"/>
              </w:rPr>
              <w:t>0</w:t>
            </w:r>
            <w:r w:rsidRPr="00661595">
              <w:rPr>
                <w:rFonts w:ascii="Times New Roman" w:hAnsi="Times New Roman"/>
                <w:sz w:val="24"/>
              </w:rPr>
              <w:t xml:space="preserve">090 to </w:t>
            </w:r>
            <w:r w:rsidR="00152B33" w:rsidRPr="00661595">
              <w:rPr>
                <w:rFonts w:ascii="Times New Roman" w:hAnsi="Times New Roman"/>
                <w:sz w:val="24"/>
              </w:rPr>
              <w:t>0</w:t>
            </w:r>
            <w:r w:rsidRPr="00661595">
              <w:rPr>
                <w:rFonts w:ascii="Times New Roman" w:hAnsi="Times New Roman"/>
                <w:sz w:val="24"/>
              </w:rPr>
              <w:t>130.</w:t>
            </w:r>
          </w:p>
          <w:p w:rsidR="00973707" w:rsidRPr="00661595" w:rsidRDefault="00973707" w:rsidP="00AF3D7A">
            <w:pPr>
              <w:spacing w:beforeLines="60" w:before="144" w:afterLines="60" w:after="144"/>
              <w:rPr>
                <w:rFonts w:ascii="Times New Roman" w:hAnsi="Times New Roman"/>
                <w:sz w:val="24"/>
              </w:rPr>
            </w:pPr>
            <w:r w:rsidRPr="00661595">
              <w:rPr>
                <w:rFonts w:ascii="Times New Roman" w:hAnsi="Times New Roman"/>
                <w:sz w:val="24"/>
              </w:rPr>
              <w:t xml:space="preserve">Row </w:t>
            </w:r>
            <w:r w:rsidR="00033B7C" w:rsidRPr="00661595">
              <w:rPr>
                <w:rFonts w:ascii="Times New Roman" w:hAnsi="Times New Roman"/>
                <w:sz w:val="24"/>
              </w:rPr>
              <w:t>0</w:t>
            </w:r>
            <w:r w:rsidRPr="00661595">
              <w:rPr>
                <w:rFonts w:ascii="Times New Roman" w:hAnsi="Times New Roman"/>
                <w:sz w:val="24"/>
              </w:rPr>
              <w:t xml:space="preserve">050: Absolute value of fair-valued assets and liabilities included in the scope of the computation of unearned credit spread AVA. </w:t>
            </w:r>
            <w:r w:rsidR="006477B8" w:rsidRPr="00661595">
              <w:rPr>
                <w:rFonts w:ascii="Times New Roman" w:hAnsi="Times New Roman"/>
                <w:sz w:val="24"/>
              </w:rPr>
              <w:t>For the purpose of the computation of this AVA,</w:t>
            </w:r>
            <w:r w:rsidRPr="00661595">
              <w:rPr>
                <w:rFonts w:ascii="Times New Roman" w:hAnsi="Times New Roman"/>
                <w:sz w:val="24"/>
              </w:rPr>
              <w:t xml:space="preserve"> exactly matching, offsetting fair-valued assets and liabilities, excluded from the threshold computation in accordance with Article 4(2)</w:t>
            </w:r>
            <w:r w:rsidR="00152B33" w:rsidRPr="00661595">
              <w:rPr>
                <w:rFonts w:ascii="Times New Roman" w:hAnsi="Times New Roman"/>
                <w:sz w:val="24"/>
              </w:rPr>
              <w:t xml:space="preserve"> of </w:t>
            </w:r>
            <w:r w:rsidR="00F811F8" w:rsidRPr="00661595">
              <w:rPr>
                <w:rFonts w:ascii="Times New Roman" w:hAnsi="Times New Roman"/>
                <w:sz w:val="24"/>
              </w:rPr>
              <w:t>Delegated Regulation (EU) 2016/101</w:t>
            </w:r>
            <w:r w:rsidRPr="00661595">
              <w:rPr>
                <w:rFonts w:ascii="Times New Roman" w:hAnsi="Times New Roman"/>
                <w:sz w:val="24"/>
              </w:rPr>
              <w:t xml:space="preserve">, may not be considered exactly matching, offsetting anymore. </w:t>
            </w:r>
          </w:p>
          <w:p w:rsidR="00973707" w:rsidRPr="00661595" w:rsidRDefault="00973707" w:rsidP="00AF3D7A">
            <w:pPr>
              <w:spacing w:beforeLines="60" w:before="144" w:afterLines="60" w:after="144"/>
              <w:rPr>
                <w:rFonts w:ascii="Times New Roman" w:hAnsi="Times New Roman"/>
                <w:sz w:val="24"/>
              </w:rPr>
            </w:pPr>
            <w:r w:rsidRPr="00661595">
              <w:rPr>
                <w:rFonts w:ascii="Times New Roman" w:hAnsi="Times New Roman"/>
                <w:sz w:val="24"/>
              </w:rPr>
              <w:t xml:space="preserve">Row </w:t>
            </w:r>
            <w:r w:rsidR="00033B7C" w:rsidRPr="00661595">
              <w:rPr>
                <w:rFonts w:ascii="Times New Roman" w:hAnsi="Times New Roman"/>
                <w:sz w:val="24"/>
              </w:rPr>
              <w:t>0</w:t>
            </w:r>
            <w:r w:rsidRPr="00661595">
              <w:rPr>
                <w:rFonts w:ascii="Times New Roman" w:hAnsi="Times New Roman"/>
                <w:sz w:val="24"/>
              </w:rPr>
              <w:t xml:space="preserve">060: Absolute value of fair-valued assets and liabilities included in the scope of the computation of investment and funding costs AVA. </w:t>
            </w:r>
            <w:r w:rsidR="00130EEF" w:rsidRPr="00661595">
              <w:rPr>
                <w:rFonts w:ascii="Times New Roman" w:hAnsi="Times New Roman"/>
                <w:sz w:val="24"/>
              </w:rPr>
              <w:t xml:space="preserve">For the purpose of the computation of this AVA, </w:t>
            </w:r>
            <w:r w:rsidRPr="00661595">
              <w:rPr>
                <w:rFonts w:ascii="Times New Roman" w:hAnsi="Times New Roman"/>
                <w:sz w:val="24"/>
              </w:rPr>
              <w:t>exactly matching, offsetting fair-valued assets and liabilities, excluded from the threshold computation in accordance with Article 4(2)</w:t>
            </w:r>
            <w:r w:rsidR="00152B33" w:rsidRPr="00661595">
              <w:rPr>
                <w:rFonts w:ascii="Times New Roman" w:hAnsi="Times New Roman"/>
                <w:sz w:val="24"/>
              </w:rPr>
              <w:t xml:space="preserve"> of </w:t>
            </w:r>
            <w:r w:rsidR="00F811F8" w:rsidRPr="00661595">
              <w:rPr>
                <w:rFonts w:ascii="Times New Roman" w:hAnsi="Times New Roman"/>
                <w:sz w:val="24"/>
              </w:rPr>
              <w:t>Delegated Regulation (EU) 2016/101</w:t>
            </w:r>
            <w:r w:rsidRPr="00661595">
              <w:rPr>
                <w:rFonts w:ascii="Times New Roman" w:hAnsi="Times New Roman"/>
                <w:sz w:val="24"/>
              </w:rPr>
              <w:t xml:space="preserve">, may not be considered exactly matching, offsetting anymore. </w:t>
            </w:r>
          </w:p>
          <w:p w:rsidR="00973707" w:rsidRPr="00661595" w:rsidRDefault="00973707" w:rsidP="00AF3D7A">
            <w:pPr>
              <w:spacing w:beforeLines="60" w:before="144" w:afterLines="60" w:after="144"/>
              <w:rPr>
                <w:rFonts w:ascii="Times New Roman" w:hAnsi="Times New Roman"/>
                <w:sz w:val="24"/>
              </w:rPr>
            </w:pPr>
            <w:r w:rsidRPr="00661595">
              <w:rPr>
                <w:rFonts w:ascii="Times New Roman" w:hAnsi="Times New Roman"/>
                <w:sz w:val="24"/>
              </w:rPr>
              <w:t xml:space="preserve">Row </w:t>
            </w:r>
            <w:r w:rsidR="00033B7C" w:rsidRPr="00661595">
              <w:rPr>
                <w:rFonts w:ascii="Times New Roman" w:hAnsi="Times New Roman"/>
                <w:sz w:val="24"/>
              </w:rPr>
              <w:t>0</w:t>
            </w:r>
            <w:r w:rsidRPr="00661595">
              <w:rPr>
                <w:rFonts w:ascii="Times New Roman" w:hAnsi="Times New Roman"/>
                <w:sz w:val="24"/>
              </w:rPr>
              <w:t xml:space="preserve">070: Absolute value of fair-valued assets and liabilities corresponding to the valuation exposures assessed to have zero AVA value </w:t>
            </w:r>
            <w:r w:rsidR="002300C6" w:rsidRPr="00661595">
              <w:rPr>
                <w:rFonts w:ascii="Times New Roman" w:hAnsi="Times New Roman"/>
                <w:sz w:val="24"/>
              </w:rPr>
              <w:t xml:space="preserve">referred to in </w:t>
            </w:r>
            <w:r w:rsidRPr="00661595">
              <w:rPr>
                <w:rFonts w:ascii="Times New Roman" w:hAnsi="Times New Roman"/>
                <w:sz w:val="24"/>
              </w:rPr>
              <w:t xml:space="preserve">Article 9(2) of </w:t>
            </w:r>
            <w:r w:rsidR="00F811F8" w:rsidRPr="00661595">
              <w:rPr>
                <w:rFonts w:ascii="Times New Roman" w:hAnsi="Times New Roman"/>
                <w:sz w:val="24"/>
              </w:rPr>
              <w:t>Delegated Regulation (EU) 2016/101</w:t>
            </w:r>
            <w:r w:rsidRPr="00661595">
              <w:rPr>
                <w:rFonts w:ascii="Times New Roman" w:hAnsi="Times New Roman"/>
                <w:sz w:val="24"/>
              </w:rPr>
              <w:t xml:space="preserve">. </w:t>
            </w:r>
          </w:p>
          <w:p w:rsidR="00973707" w:rsidRPr="00661595" w:rsidRDefault="00973707" w:rsidP="00AF3D7A">
            <w:pPr>
              <w:spacing w:beforeLines="60" w:before="144" w:afterLines="60" w:after="144"/>
              <w:rPr>
                <w:rFonts w:ascii="Times New Roman" w:hAnsi="Times New Roman"/>
                <w:sz w:val="24"/>
              </w:rPr>
            </w:pPr>
            <w:r w:rsidRPr="00661595">
              <w:rPr>
                <w:rFonts w:ascii="Times New Roman" w:hAnsi="Times New Roman"/>
                <w:sz w:val="24"/>
              </w:rPr>
              <w:t xml:space="preserve">Row </w:t>
            </w:r>
            <w:r w:rsidR="00033B7C" w:rsidRPr="00661595">
              <w:rPr>
                <w:rFonts w:ascii="Times New Roman" w:hAnsi="Times New Roman"/>
                <w:sz w:val="24"/>
              </w:rPr>
              <w:t>0</w:t>
            </w:r>
            <w:r w:rsidRPr="00661595">
              <w:rPr>
                <w:rFonts w:ascii="Times New Roman" w:hAnsi="Times New Roman"/>
                <w:sz w:val="24"/>
              </w:rPr>
              <w:t xml:space="preserve">080: Absolute value of fair-valued assets and liabilities corresponding to the valuation exposures assessed to have zero AVA value </w:t>
            </w:r>
            <w:r w:rsidR="002300C6" w:rsidRPr="00661595">
              <w:rPr>
                <w:rFonts w:ascii="Times New Roman" w:hAnsi="Times New Roman"/>
                <w:sz w:val="24"/>
              </w:rPr>
              <w:t xml:space="preserve">referred to in </w:t>
            </w:r>
            <w:r w:rsidR="00A30C4C" w:rsidRPr="00661595">
              <w:rPr>
                <w:rFonts w:ascii="Times New Roman" w:hAnsi="Times New Roman"/>
                <w:sz w:val="24"/>
              </w:rPr>
              <w:t xml:space="preserve">paragraphs 2 and 3 of </w:t>
            </w:r>
            <w:r w:rsidRPr="00661595">
              <w:rPr>
                <w:rFonts w:ascii="Times New Roman" w:hAnsi="Times New Roman"/>
                <w:sz w:val="24"/>
              </w:rPr>
              <w:t xml:space="preserve">Article 10 of </w:t>
            </w:r>
            <w:r w:rsidR="00F811F8" w:rsidRPr="00661595">
              <w:rPr>
                <w:rFonts w:ascii="Times New Roman" w:hAnsi="Times New Roman"/>
                <w:sz w:val="24"/>
              </w:rPr>
              <w:t>Delegated Regulation (EU) 2016/101</w:t>
            </w:r>
            <w:r w:rsidRPr="00661595">
              <w:rPr>
                <w:rFonts w:ascii="Times New Roman" w:hAnsi="Times New Roman"/>
                <w:sz w:val="24"/>
              </w:rPr>
              <w:t xml:space="preserve">. </w:t>
            </w:r>
          </w:p>
          <w:p w:rsidR="00973707" w:rsidRPr="00661595" w:rsidRDefault="00973707" w:rsidP="00AF3D7A">
            <w:pPr>
              <w:spacing w:beforeLines="60" w:before="144" w:afterLines="60" w:after="144"/>
              <w:rPr>
                <w:rFonts w:ascii="Times New Roman" w:hAnsi="Times New Roman"/>
                <w:sz w:val="24"/>
              </w:rPr>
            </w:pPr>
            <w:r w:rsidRPr="00661595">
              <w:rPr>
                <w:rFonts w:ascii="Times New Roman" w:hAnsi="Times New Roman"/>
                <w:sz w:val="24"/>
              </w:rPr>
              <w:t>Row</w:t>
            </w:r>
            <w:r w:rsidR="00033B7C" w:rsidRPr="00661595">
              <w:rPr>
                <w:rFonts w:ascii="Times New Roman" w:hAnsi="Times New Roman"/>
                <w:sz w:val="24"/>
              </w:rPr>
              <w:t>s</w:t>
            </w:r>
            <w:r w:rsidRPr="00661595">
              <w:rPr>
                <w:rFonts w:ascii="Times New Roman" w:hAnsi="Times New Roman"/>
                <w:sz w:val="24"/>
              </w:rPr>
              <w:t xml:space="preserve"> </w:t>
            </w:r>
            <w:r w:rsidR="00033B7C" w:rsidRPr="00661595">
              <w:rPr>
                <w:rFonts w:ascii="Times New Roman" w:hAnsi="Times New Roman"/>
                <w:sz w:val="24"/>
              </w:rPr>
              <w:t>0</w:t>
            </w:r>
            <w:r w:rsidRPr="00661595">
              <w:rPr>
                <w:rFonts w:ascii="Times New Roman" w:hAnsi="Times New Roman"/>
                <w:sz w:val="24"/>
              </w:rPr>
              <w:t xml:space="preserve">090 to </w:t>
            </w:r>
            <w:r w:rsidR="00033B7C" w:rsidRPr="00661595">
              <w:rPr>
                <w:rFonts w:ascii="Times New Roman" w:hAnsi="Times New Roman"/>
                <w:sz w:val="24"/>
              </w:rPr>
              <w:t>0</w:t>
            </w:r>
            <w:r w:rsidRPr="00661595">
              <w:rPr>
                <w:rFonts w:ascii="Times New Roman" w:hAnsi="Times New Roman"/>
                <w:sz w:val="24"/>
              </w:rPr>
              <w:t xml:space="preserve">130: Absolute value of fair-valued assets and liabilities allocated as set out below (see corresponding row instructions) </w:t>
            </w:r>
            <w:r w:rsidR="00BB22D4" w:rsidRPr="00661595">
              <w:rPr>
                <w:rFonts w:ascii="Times New Roman" w:hAnsi="Times New Roman"/>
                <w:sz w:val="24"/>
              </w:rPr>
              <w:t>in accordance with</w:t>
            </w:r>
            <w:r w:rsidRPr="00661595">
              <w:rPr>
                <w:rFonts w:ascii="Times New Roman" w:hAnsi="Times New Roman"/>
                <w:sz w:val="24"/>
              </w:rPr>
              <w:t xml:space="preserve"> the following risk categories: </w:t>
            </w:r>
            <w:r w:rsidR="00152B33" w:rsidRPr="00661595">
              <w:rPr>
                <w:rFonts w:ascii="Times New Roman" w:hAnsi="Times New Roman"/>
                <w:sz w:val="24"/>
              </w:rPr>
              <w:t>i</w:t>
            </w:r>
            <w:r w:rsidRPr="00661595">
              <w:rPr>
                <w:rFonts w:ascii="Times New Roman" w:hAnsi="Times New Roman"/>
                <w:sz w:val="24"/>
              </w:rPr>
              <w:t xml:space="preserve">nterest </w:t>
            </w:r>
            <w:r w:rsidR="00152B33" w:rsidRPr="00661595">
              <w:rPr>
                <w:rFonts w:ascii="Times New Roman" w:hAnsi="Times New Roman"/>
                <w:sz w:val="24"/>
              </w:rPr>
              <w:t>r</w:t>
            </w:r>
            <w:r w:rsidRPr="00661595">
              <w:rPr>
                <w:rFonts w:ascii="Times New Roman" w:hAnsi="Times New Roman"/>
                <w:sz w:val="24"/>
              </w:rPr>
              <w:t xml:space="preserve">ates, </w:t>
            </w:r>
            <w:r w:rsidR="00152B33" w:rsidRPr="00661595">
              <w:rPr>
                <w:rFonts w:ascii="Times New Roman" w:hAnsi="Times New Roman"/>
                <w:sz w:val="24"/>
              </w:rPr>
              <w:t>foreign exchange, c</w:t>
            </w:r>
            <w:r w:rsidRPr="00661595">
              <w:rPr>
                <w:rFonts w:ascii="Times New Roman" w:hAnsi="Times New Roman"/>
                <w:sz w:val="24"/>
              </w:rPr>
              <w:t xml:space="preserve">redit, </w:t>
            </w:r>
            <w:r w:rsidR="00152B33" w:rsidRPr="00661595">
              <w:rPr>
                <w:rFonts w:ascii="Times New Roman" w:hAnsi="Times New Roman"/>
                <w:sz w:val="24"/>
              </w:rPr>
              <w:t>e</w:t>
            </w:r>
            <w:r w:rsidRPr="00661595">
              <w:rPr>
                <w:rFonts w:ascii="Times New Roman" w:hAnsi="Times New Roman"/>
                <w:sz w:val="24"/>
              </w:rPr>
              <w:t xml:space="preserve">quities, </w:t>
            </w:r>
            <w:r w:rsidR="00152B33" w:rsidRPr="00661595">
              <w:rPr>
                <w:rFonts w:ascii="Times New Roman" w:hAnsi="Times New Roman"/>
                <w:sz w:val="24"/>
              </w:rPr>
              <w:t>c</w:t>
            </w:r>
            <w:r w:rsidRPr="00661595">
              <w:rPr>
                <w:rFonts w:ascii="Times New Roman" w:hAnsi="Times New Roman"/>
                <w:sz w:val="24"/>
              </w:rPr>
              <w:t>ommodities. Th</w:t>
            </w:r>
            <w:r w:rsidR="00A30C4C" w:rsidRPr="00661595">
              <w:rPr>
                <w:rFonts w:ascii="Times New Roman" w:hAnsi="Times New Roman"/>
                <w:sz w:val="24"/>
              </w:rPr>
              <w:t>at</w:t>
            </w:r>
            <w:r w:rsidRPr="00661595">
              <w:rPr>
                <w:rFonts w:ascii="Times New Roman" w:hAnsi="Times New Roman"/>
                <w:sz w:val="24"/>
              </w:rPr>
              <w:t xml:space="preserve"> includes the absolute value of fair-valued assets and liabilities for which AVAs are assessed to have zero value </w:t>
            </w:r>
            <w:r w:rsidR="00BB22D4" w:rsidRPr="00661595">
              <w:rPr>
                <w:rFonts w:ascii="Times New Roman" w:hAnsi="Times New Roman"/>
                <w:sz w:val="24"/>
              </w:rPr>
              <w:t>in accordance with</w:t>
            </w:r>
            <w:r w:rsidRPr="00661595">
              <w:rPr>
                <w:rFonts w:ascii="Times New Roman" w:hAnsi="Times New Roman"/>
                <w:sz w:val="24"/>
              </w:rPr>
              <w:t xml:space="preserve"> Article</w:t>
            </w:r>
            <w:r w:rsidR="00A30C4C" w:rsidRPr="00661595">
              <w:rPr>
                <w:rFonts w:ascii="Times New Roman" w:hAnsi="Times New Roman"/>
                <w:sz w:val="24"/>
              </w:rPr>
              <w:t>s</w:t>
            </w:r>
            <w:r w:rsidRPr="00661595">
              <w:rPr>
                <w:rFonts w:ascii="Times New Roman" w:hAnsi="Times New Roman"/>
                <w:sz w:val="24"/>
              </w:rPr>
              <w:t xml:space="preserve"> 9(2), 10(2) or 10(3) of </w:t>
            </w:r>
            <w:r w:rsidR="00F811F8" w:rsidRPr="00661595">
              <w:rPr>
                <w:rFonts w:ascii="Times New Roman" w:hAnsi="Times New Roman"/>
                <w:sz w:val="24"/>
              </w:rPr>
              <w:t>Delegated Regulation (EU) 2016/101</w:t>
            </w:r>
            <w:r w:rsidRPr="00661595">
              <w:rPr>
                <w:rFonts w:ascii="Times New Roman" w:hAnsi="Times New Roman"/>
                <w:sz w:val="24"/>
              </w:rPr>
              <w:t xml:space="preserve">, which are also separately reported in rows </w:t>
            </w:r>
            <w:r w:rsidR="00152B33" w:rsidRPr="00661595">
              <w:rPr>
                <w:rFonts w:ascii="Times New Roman" w:hAnsi="Times New Roman"/>
                <w:sz w:val="24"/>
              </w:rPr>
              <w:t>0</w:t>
            </w:r>
            <w:r w:rsidRPr="00661595">
              <w:rPr>
                <w:rFonts w:ascii="Times New Roman" w:hAnsi="Times New Roman"/>
                <w:sz w:val="24"/>
              </w:rPr>
              <w:t xml:space="preserve">070 and </w:t>
            </w:r>
            <w:r w:rsidR="00152B33" w:rsidRPr="00661595">
              <w:rPr>
                <w:rFonts w:ascii="Times New Roman" w:hAnsi="Times New Roman"/>
                <w:sz w:val="24"/>
              </w:rPr>
              <w:t>0</w:t>
            </w:r>
            <w:r w:rsidRPr="00661595">
              <w:rPr>
                <w:rFonts w:ascii="Times New Roman" w:hAnsi="Times New Roman"/>
                <w:sz w:val="24"/>
              </w:rPr>
              <w:t>080.</w:t>
            </w:r>
          </w:p>
          <w:p w:rsidR="00973707" w:rsidRPr="00661595" w:rsidRDefault="00973707" w:rsidP="00AF3D7A">
            <w:pPr>
              <w:spacing w:beforeLines="60" w:before="144" w:afterLines="60" w:after="144"/>
              <w:rPr>
                <w:rFonts w:ascii="Times New Roman" w:hAnsi="Times New Roman"/>
                <w:sz w:val="24"/>
              </w:rPr>
            </w:pPr>
            <w:r w:rsidRPr="00661595">
              <w:rPr>
                <w:rFonts w:ascii="Times New Roman" w:hAnsi="Times New Roman"/>
                <w:sz w:val="24"/>
              </w:rPr>
              <w:t xml:space="preserve">Row </w:t>
            </w:r>
            <w:r w:rsidR="00033B7C" w:rsidRPr="00661595">
              <w:rPr>
                <w:rFonts w:ascii="Times New Roman" w:hAnsi="Times New Roman"/>
                <w:sz w:val="24"/>
              </w:rPr>
              <w:t>0</w:t>
            </w:r>
            <w:r w:rsidRPr="00661595">
              <w:rPr>
                <w:rFonts w:ascii="Times New Roman" w:hAnsi="Times New Roman"/>
                <w:sz w:val="24"/>
              </w:rPr>
              <w:t xml:space="preserve">180: Absolute value of fair-valued assets and liabilities corresponding to the portfolios under the fall-back approach </w:t>
            </w:r>
          </w:p>
        </w:tc>
      </w:tr>
      <w:tr w:rsidR="00973707" w:rsidRPr="00661595" w:rsidTr="00672D2A">
        <w:tc>
          <w:tcPr>
            <w:tcW w:w="1101" w:type="dxa"/>
          </w:tcPr>
          <w:p w:rsidR="00973707" w:rsidRPr="00661595" w:rsidRDefault="009A7A38" w:rsidP="00AF3D7A">
            <w:pPr>
              <w:spacing w:beforeLines="60" w:before="144" w:afterLines="60" w:after="144"/>
              <w:rPr>
                <w:rFonts w:ascii="Times New Roman" w:hAnsi="Times New Roman"/>
                <w:sz w:val="24"/>
              </w:rPr>
            </w:pPr>
            <w:r w:rsidRPr="00661595">
              <w:rPr>
                <w:rFonts w:ascii="Times New Roman" w:hAnsi="Times New Roman"/>
                <w:sz w:val="24"/>
              </w:rPr>
              <w:t>0</w:t>
            </w:r>
            <w:r w:rsidR="00973707" w:rsidRPr="00661595">
              <w:rPr>
                <w:rFonts w:ascii="Times New Roman" w:hAnsi="Times New Roman"/>
                <w:sz w:val="24"/>
              </w:rPr>
              <w:t>130</w:t>
            </w:r>
          </w:p>
        </w:tc>
        <w:tc>
          <w:tcPr>
            <w:tcW w:w="8190" w:type="dxa"/>
          </w:tcPr>
          <w:p w:rsidR="00973707" w:rsidRPr="00661595" w:rsidRDefault="00973707" w:rsidP="00AF3D7A">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FAIR-VALUED ASSETS</w:t>
            </w:r>
          </w:p>
          <w:p w:rsidR="00973707" w:rsidRPr="00661595" w:rsidRDefault="00973707" w:rsidP="00AF3D7A">
            <w:pPr>
              <w:spacing w:beforeLines="60" w:before="144" w:afterLines="60" w:after="144"/>
              <w:rPr>
                <w:rStyle w:val="InstructionsTabelleberschrift"/>
                <w:rFonts w:ascii="Times New Roman" w:hAnsi="Times New Roman"/>
                <w:sz w:val="24"/>
                <w:u w:val="none"/>
              </w:rPr>
            </w:pPr>
            <w:r w:rsidRPr="00661595">
              <w:rPr>
                <w:rFonts w:ascii="Times New Roman" w:hAnsi="Times New Roman"/>
                <w:sz w:val="24"/>
              </w:rPr>
              <w:t>Absolute value of f</w:t>
            </w:r>
            <w:r w:rsidRPr="00661595">
              <w:rPr>
                <w:rStyle w:val="InstructionsTabelleberschrift"/>
                <w:rFonts w:ascii="Times New Roman" w:hAnsi="Times New Roman"/>
                <w:b w:val="0"/>
                <w:sz w:val="24"/>
                <w:u w:val="none"/>
              </w:rPr>
              <w:t>air-valued assets corresponding to the different rows as explained in</w:t>
            </w:r>
            <w:r w:rsidR="00152B33" w:rsidRPr="00661595">
              <w:rPr>
                <w:rStyle w:val="InstructionsTabelleberschrift"/>
                <w:rFonts w:ascii="Times New Roman" w:hAnsi="Times New Roman"/>
                <w:b w:val="0"/>
                <w:sz w:val="24"/>
                <w:u w:val="none"/>
              </w:rPr>
              <w:t xml:space="preserve"> the instructions on</w:t>
            </w:r>
            <w:r w:rsidRPr="00661595">
              <w:rPr>
                <w:rStyle w:val="InstructionsTabelleberschrift"/>
                <w:rFonts w:ascii="Times New Roman" w:hAnsi="Times New Roman"/>
                <w:b w:val="0"/>
                <w:sz w:val="24"/>
                <w:u w:val="none"/>
              </w:rPr>
              <w:t xml:space="preserve"> column</w:t>
            </w:r>
            <w:r w:rsidR="00152B33" w:rsidRPr="00661595">
              <w:rPr>
                <w:rStyle w:val="InstructionsTabelleberschrift"/>
                <w:rFonts w:ascii="Times New Roman" w:hAnsi="Times New Roman"/>
                <w:b w:val="0"/>
                <w:sz w:val="24"/>
                <w:u w:val="none"/>
              </w:rPr>
              <w:t>s</w:t>
            </w:r>
            <w:r w:rsidRPr="00661595">
              <w:rPr>
                <w:rStyle w:val="InstructionsTabelleberschrift"/>
                <w:rFonts w:ascii="Times New Roman" w:hAnsi="Times New Roman"/>
                <w:b w:val="0"/>
                <w:sz w:val="24"/>
                <w:u w:val="none"/>
              </w:rPr>
              <w:t xml:space="preserve"> </w:t>
            </w:r>
            <w:r w:rsidR="00152B33" w:rsidRPr="00661595">
              <w:rPr>
                <w:rStyle w:val="InstructionsTabelleberschrift"/>
                <w:rFonts w:ascii="Times New Roman" w:hAnsi="Times New Roman"/>
                <w:b w:val="0"/>
                <w:sz w:val="24"/>
                <w:u w:val="none"/>
              </w:rPr>
              <w:t>0</w:t>
            </w:r>
            <w:r w:rsidRPr="00661595">
              <w:rPr>
                <w:rStyle w:val="InstructionsTabelleberschrift"/>
                <w:rFonts w:ascii="Times New Roman" w:hAnsi="Times New Roman"/>
                <w:b w:val="0"/>
                <w:sz w:val="24"/>
                <w:u w:val="none"/>
              </w:rPr>
              <w:t>130-</w:t>
            </w:r>
            <w:r w:rsidR="00152B33" w:rsidRPr="00661595">
              <w:rPr>
                <w:rStyle w:val="InstructionsTabelleberschrift"/>
                <w:rFonts w:ascii="Times New Roman" w:hAnsi="Times New Roman"/>
                <w:b w:val="0"/>
                <w:sz w:val="24"/>
                <w:u w:val="none"/>
              </w:rPr>
              <w:t>0</w:t>
            </w:r>
            <w:r w:rsidRPr="00661595">
              <w:rPr>
                <w:rStyle w:val="InstructionsTabelleberschrift"/>
                <w:rFonts w:ascii="Times New Roman" w:hAnsi="Times New Roman"/>
                <w:b w:val="0"/>
                <w:sz w:val="24"/>
                <w:u w:val="none"/>
              </w:rPr>
              <w:t>140 above.</w:t>
            </w:r>
          </w:p>
        </w:tc>
      </w:tr>
      <w:tr w:rsidR="00973707" w:rsidRPr="00661595" w:rsidTr="00672D2A">
        <w:tc>
          <w:tcPr>
            <w:tcW w:w="1101" w:type="dxa"/>
          </w:tcPr>
          <w:p w:rsidR="00973707" w:rsidRPr="00661595" w:rsidRDefault="009A7A38" w:rsidP="00AF3D7A">
            <w:pPr>
              <w:spacing w:beforeLines="60" w:before="144" w:afterLines="60" w:after="144"/>
              <w:rPr>
                <w:rFonts w:ascii="Times New Roman" w:hAnsi="Times New Roman"/>
                <w:sz w:val="24"/>
              </w:rPr>
            </w:pPr>
            <w:r w:rsidRPr="00661595">
              <w:rPr>
                <w:rFonts w:ascii="Times New Roman" w:hAnsi="Times New Roman"/>
                <w:sz w:val="24"/>
              </w:rPr>
              <w:t>0</w:t>
            </w:r>
            <w:r w:rsidR="00973707" w:rsidRPr="00661595">
              <w:rPr>
                <w:rFonts w:ascii="Times New Roman" w:hAnsi="Times New Roman"/>
                <w:sz w:val="24"/>
              </w:rPr>
              <w:t>140</w:t>
            </w:r>
          </w:p>
        </w:tc>
        <w:tc>
          <w:tcPr>
            <w:tcW w:w="8190" w:type="dxa"/>
          </w:tcPr>
          <w:p w:rsidR="00973707" w:rsidRPr="00661595" w:rsidRDefault="00973707" w:rsidP="00AF3D7A">
            <w:pPr>
              <w:tabs>
                <w:tab w:val="center" w:pos="3894"/>
              </w:tabs>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FAIR-VALUED LIABILITIES</w:t>
            </w:r>
          </w:p>
          <w:p w:rsidR="00973707" w:rsidRPr="00661595" w:rsidRDefault="00973707" w:rsidP="00AF3D7A">
            <w:pPr>
              <w:spacing w:beforeLines="60" w:before="144" w:afterLines="60" w:after="144"/>
              <w:rPr>
                <w:rStyle w:val="InstructionsTabelleberschrift"/>
                <w:rFonts w:ascii="Times New Roman" w:hAnsi="Times New Roman"/>
                <w:sz w:val="24"/>
              </w:rPr>
            </w:pPr>
            <w:r w:rsidRPr="00661595">
              <w:rPr>
                <w:rFonts w:ascii="Times New Roman" w:hAnsi="Times New Roman"/>
                <w:sz w:val="24"/>
              </w:rPr>
              <w:t>Absolute value of f</w:t>
            </w:r>
            <w:r w:rsidRPr="00661595">
              <w:rPr>
                <w:rStyle w:val="InstructionsTabelleberschrift"/>
                <w:rFonts w:ascii="Times New Roman" w:hAnsi="Times New Roman"/>
                <w:b w:val="0"/>
                <w:sz w:val="24"/>
                <w:u w:val="none"/>
              </w:rPr>
              <w:t xml:space="preserve">air-valued liabilities corresponding to the different rows as explained </w:t>
            </w:r>
            <w:r w:rsidR="00152B33" w:rsidRPr="00661595">
              <w:rPr>
                <w:rStyle w:val="InstructionsTabelleberschrift"/>
                <w:rFonts w:ascii="Times New Roman" w:hAnsi="Times New Roman"/>
                <w:b w:val="0"/>
                <w:sz w:val="24"/>
                <w:u w:val="none"/>
              </w:rPr>
              <w:t>in the instructions on columns 0130-0140</w:t>
            </w:r>
            <w:r w:rsidRPr="00661595">
              <w:rPr>
                <w:rStyle w:val="InstructionsTabelleberschrift"/>
                <w:rFonts w:ascii="Times New Roman" w:hAnsi="Times New Roman"/>
                <w:b w:val="0"/>
                <w:sz w:val="24"/>
                <w:u w:val="none"/>
              </w:rPr>
              <w:t xml:space="preserve"> above.</w:t>
            </w:r>
          </w:p>
        </w:tc>
      </w:tr>
      <w:tr w:rsidR="00973707" w:rsidRPr="00661595" w:rsidTr="00672D2A">
        <w:tc>
          <w:tcPr>
            <w:tcW w:w="1101" w:type="dxa"/>
          </w:tcPr>
          <w:p w:rsidR="00973707" w:rsidRPr="00661595" w:rsidRDefault="009A7A38" w:rsidP="00AF3D7A">
            <w:pPr>
              <w:spacing w:beforeLines="60" w:before="144" w:afterLines="60" w:after="144"/>
              <w:rPr>
                <w:rFonts w:ascii="Times New Roman" w:hAnsi="Times New Roman"/>
                <w:sz w:val="24"/>
              </w:rPr>
            </w:pPr>
            <w:r w:rsidRPr="00661595">
              <w:rPr>
                <w:rFonts w:ascii="Times New Roman" w:hAnsi="Times New Roman"/>
                <w:sz w:val="24"/>
              </w:rPr>
              <w:t>0</w:t>
            </w:r>
            <w:r w:rsidR="00973707" w:rsidRPr="00661595">
              <w:rPr>
                <w:rFonts w:ascii="Times New Roman" w:hAnsi="Times New Roman"/>
                <w:sz w:val="24"/>
              </w:rPr>
              <w:t>150</w:t>
            </w:r>
          </w:p>
        </w:tc>
        <w:tc>
          <w:tcPr>
            <w:tcW w:w="8190" w:type="dxa"/>
          </w:tcPr>
          <w:p w:rsidR="00973707" w:rsidRPr="00661595" w:rsidRDefault="00973707" w:rsidP="00AF3D7A">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QTD REVENUE</w:t>
            </w:r>
          </w:p>
          <w:p w:rsidR="00973707" w:rsidRPr="00661595" w:rsidRDefault="00973707" w:rsidP="00AF3D7A">
            <w:pPr>
              <w:spacing w:beforeLines="60" w:before="144" w:afterLines="60" w:after="144"/>
              <w:rPr>
                <w:rFonts w:ascii="Times New Roman" w:hAnsi="Times New Roman"/>
                <w:sz w:val="24"/>
              </w:rPr>
            </w:pPr>
            <w:r w:rsidRPr="00661595">
              <w:rPr>
                <w:rFonts w:ascii="Times New Roman" w:hAnsi="Times New Roman"/>
                <w:sz w:val="24"/>
              </w:rPr>
              <w:t>The quarter-to-date revenues (‘QTD revenue’) since the last reporting date attribu</w:t>
            </w:r>
            <w:r w:rsidR="00152B33" w:rsidRPr="00661595">
              <w:rPr>
                <w:rFonts w:ascii="Times New Roman" w:hAnsi="Times New Roman"/>
                <w:sz w:val="24"/>
              </w:rPr>
              <w:softHyphen/>
            </w:r>
            <w:r w:rsidRPr="00661595">
              <w:rPr>
                <w:rFonts w:ascii="Times New Roman" w:hAnsi="Times New Roman"/>
                <w:sz w:val="24"/>
              </w:rPr>
              <w:t xml:space="preserve">ted to the fair valued assets and liabilities </w:t>
            </w:r>
            <w:r w:rsidRPr="00661595">
              <w:rPr>
                <w:rStyle w:val="InstructionsTabelleberschrift"/>
                <w:rFonts w:ascii="Times New Roman" w:hAnsi="Times New Roman"/>
                <w:b w:val="0"/>
                <w:sz w:val="24"/>
                <w:u w:val="none"/>
              </w:rPr>
              <w:t xml:space="preserve">corresponding to the different rows as explained </w:t>
            </w:r>
            <w:r w:rsidR="00152B33" w:rsidRPr="00661595">
              <w:rPr>
                <w:rStyle w:val="InstructionsTabelleberschrift"/>
                <w:rFonts w:ascii="Times New Roman" w:hAnsi="Times New Roman"/>
                <w:b w:val="0"/>
                <w:sz w:val="24"/>
                <w:u w:val="none"/>
              </w:rPr>
              <w:t>in the instructions on columns 0130-0140</w:t>
            </w:r>
            <w:r w:rsidRPr="00661595">
              <w:rPr>
                <w:rStyle w:val="InstructionsTabelleberschrift"/>
                <w:rFonts w:ascii="Times New Roman" w:hAnsi="Times New Roman"/>
                <w:b w:val="0"/>
                <w:sz w:val="24"/>
                <w:u w:val="none"/>
              </w:rPr>
              <w:t xml:space="preserve"> above, where relevant allocated or approximated based on expert judgment</w:t>
            </w:r>
            <w:r w:rsidRPr="00661595">
              <w:rPr>
                <w:rFonts w:ascii="Times New Roman" w:hAnsi="Times New Roman"/>
                <w:sz w:val="24"/>
              </w:rPr>
              <w:t>.</w:t>
            </w:r>
          </w:p>
        </w:tc>
      </w:tr>
      <w:tr w:rsidR="00973707" w:rsidRPr="00661595" w:rsidTr="00672D2A">
        <w:tc>
          <w:tcPr>
            <w:tcW w:w="1101" w:type="dxa"/>
          </w:tcPr>
          <w:p w:rsidR="00973707" w:rsidRPr="00661595" w:rsidRDefault="009A7A38" w:rsidP="00AF3D7A">
            <w:pPr>
              <w:spacing w:beforeLines="60" w:before="144" w:afterLines="60" w:after="144"/>
              <w:rPr>
                <w:rFonts w:ascii="Times New Roman" w:hAnsi="Times New Roman"/>
                <w:sz w:val="24"/>
              </w:rPr>
            </w:pPr>
            <w:r w:rsidRPr="00661595">
              <w:rPr>
                <w:rFonts w:ascii="Times New Roman" w:hAnsi="Times New Roman"/>
                <w:sz w:val="24"/>
              </w:rPr>
              <w:t>0</w:t>
            </w:r>
            <w:r w:rsidR="00973707" w:rsidRPr="00661595">
              <w:rPr>
                <w:rFonts w:ascii="Times New Roman" w:hAnsi="Times New Roman"/>
                <w:sz w:val="24"/>
              </w:rPr>
              <w:t>160</w:t>
            </w:r>
          </w:p>
        </w:tc>
        <w:tc>
          <w:tcPr>
            <w:tcW w:w="8190" w:type="dxa"/>
          </w:tcPr>
          <w:p w:rsidR="00973707" w:rsidRPr="00661595" w:rsidRDefault="00973707" w:rsidP="00AF3D7A">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IPV DIFFERENCE</w:t>
            </w:r>
          </w:p>
          <w:p w:rsidR="00973707" w:rsidRPr="00661595" w:rsidRDefault="00973707" w:rsidP="00AF3D7A">
            <w:pPr>
              <w:spacing w:beforeLines="60" w:before="144" w:afterLines="60" w:after="144"/>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 xml:space="preserve">The sum across all positions and risk factors of unadjusted difference amounts (‘IPV difference’) calculated at the month end closest to the reporting date under the independent price verification process performed in accordance with Article 105(8) </w:t>
            </w:r>
            <w:r w:rsidR="00C7103D" w:rsidRPr="00661595">
              <w:rPr>
                <w:rStyle w:val="InstructionsTabelleberschrift"/>
                <w:rFonts w:ascii="Times New Roman" w:hAnsi="Times New Roman"/>
                <w:b w:val="0"/>
                <w:sz w:val="24"/>
                <w:u w:val="none"/>
              </w:rPr>
              <w:t>CRR</w:t>
            </w:r>
            <w:r w:rsidRPr="00661595">
              <w:rPr>
                <w:rStyle w:val="InstructionsTabelleberschrift"/>
                <w:rFonts w:ascii="Times New Roman" w:hAnsi="Times New Roman"/>
                <w:b w:val="0"/>
                <w:sz w:val="24"/>
                <w:u w:val="none"/>
              </w:rPr>
              <w:t xml:space="preserve">, with respect to the best available independent data for the relevant position or risk factor. </w:t>
            </w:r>
          </w:p>
          <w:p w:rsidR="00973707" w:rsidRPr="00661595" w:rsidRDefault="00973707" w:rsidP="00AF3D7A">
            <w:pPr>
              <w:spacing w:beforeLines="60" w:before="144" w:afterLines="60" w:after="144"/>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 xml:space="preserve">Unadjusted difference amounts refer to unadjusted differences between the trading system generated valuations and the valuations assessed during the monthly IPV process. </w:t>
            </w:r>
          </w:p>
          <w:p w:rsidR="00973707" w:rsidRPr="00661595" w:rsidRDefault="004D2753" w:rsidP="004D2753">
            <w:pPr>
              <w:spacing w:beforeLines="60" w:before="144" w:afterLines="60" w:after="144"/>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No</w:t>
            </w:r>
            <w:r w:rsidR="00973707" w:rsidRPr="00661595">
              <w:rPr>
                <w:rStyle w:val="InstructionsTabelleberschrift"/>
                <w:rFonts w:ascii="Times New Roman" w:hAnsi="Times New Roman"/>
                <w:b w:val="0"/>
                <w:sz w:val="24"/>
                <w:u w:val="none"/>
              </w:rPr>
              <w:t xml:space="preserve"> </w:t>
            </w:r>
            <w:r w:rsidRPr="00661595">
              <w:rPr>
                <w:rStyle w:val="InstructionsTabelleberschrift"/>
                <w:rFonts w:ascii="Times New Roman" w:hAnsi="Times New Roman"/>
                <w:b w:val="0"/>
                <w:sz w:val="24"/>
                <w:u w:val="none"/>
              </w:rPr>
              <w:t xml:space="preserve">adjusted </w:t>
            </w:r>
            <w:r w:rsidR="00973707" w:rsidRPr="00661595">
              <w:rPr>
                <w:rStyle w:val="InstructionsTabelleberschrift"/>
                <w:rFonts w:ascii="Times New Roman" w:hAnsi="Times New Roman"/>
                <w:b w:val="0"/>
                <w:sz w:val="24"/>
                <w:u w:val="none"/>
              </w:rPr>
              <w:t xml:space="preserve">difference amounts in the books and records of the institution for the relevant month end date shall be </w:t>
            </w:r>
            <w:r w:rsidRPr="00661595">
              <w:rPr>
                <w:rStyle w:val="InstructionsTabelleberschrift"/>
                <w:rFonts w:ascii="Times New Roman" w:hAnsi="Times New Roman"/>
                <w:b w:val="0"/>
                <w:sz w:val="24"/>
                <w:u w:val="none"/>
              </w:rPr>
              <w:t>included in the calculation of IPV difference</w:t>
            </w:r>
            <w:r w:rsidR="00973707" w:rsidRPr="00661595">
              <w:rPr>
                <w:rStyle w:val="InstructionsTabelleberschrift"/>
                <w:rFonts w:ascii="Times New Roman" w:hAnsi="Times New Roman"/>
                <w:b w:val="0"/>
                <w:sz w:val="24"/>
                <w:u w:val="none"/>
              </w:rPr>
              <w:t>.</w:t>
            </w:r>
          </w:p>
        </w:tc>
      </w:tr>
      <w:tr w:rsidR="00973707" w:rsidRPr="00661595" w:rsidTr="00672D2A">
        <w:tc>
          <w:tcPr>
            <w:tcW w:w="1101" w:type="dxa"/>
          </w:tcPr>
          <w:p w:rsidR="00973707" w:rsidRPr="00661595" w:rsidRDefault="009A7A38" w:rsidP="009A7A38">
            <w:pPr>
              <w:spacing w:beforeLines="60" w:before="144" w:afterLines="60" w:after="144"/>
              <w:rPr>
                <w:rFonts w:ascii="Times New Roman" w:hAnsi="Times New Roman"/>
                <w:sz w:val="24"/>
              </w:rPr>
            </w:pPr>
            <w:r w:rsidRPr="00661595">
              <w:rPr>
                <w:rFonts w:ascii="Times New Roman" w:hAnsi="Times New Roman"/>
                <w:sz w:val="24"/>
              </w:rPr>
              <w:t>0</w:t>
            </w:r>
            <w:r w:rsidR="00973707" w:rsidRPr="00661595">
              <w:rPr>
                <w:rFonts w:ascii="Times New Roman" w:hAnsi="Times New Roman"/>
                <w:sz w:val="24"/>
              </w:rPr>
              <w:t xml:space="preserve">170 - </w:t>
            </w:r>
            <w:r w:rsidRPr="00661595">
              <w:rPr>
                <w:rFonts w:ascii="Times New Roman" w:hAnsi="Times New Roman"/>
                <w:sz w:val="24"/>
              </w:rPr>
              <w:t>0</w:t>
            </w:r>
            <w:r w:rsidR="00973707" w:rsidRPr="00661595">
              <w:rPr>
                <w:rFonts w:ascii="Times New Roman" w:hAnsi="Times New Roman"/>
                <w:sz w:val="24"/>
              </w:rPr>
              <w:t>250</w:t>
            </w:r>
          </w:p>
        </w:tc>
        <w:tc>
          <w:tcPr>
            <w:tcW w:w="8190" w:type="dxa"/>
          </w:tcPr>
          <w:p w:rsidR="00973707" w:rsidRPr="00661595" w:rsidRDefault="00973707" w:rsidP="00AF3D7A">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FAIR VALUE ADJUSTMENTS</w:t>
            </w:r>
          </w:p>
          <w:p w:rsidR="001B1531" w:rsidRPr="00661595" w:rsidRDefault="00973707" w:rsidP="001B1531">
            <w:pPr>
              <w:spacing w:beforeLines="60" w:before="144" w:afterLines="60" w:after="144"/>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 xml:space="preserve">Adjustments, sometimes also referred to as ‘reserves’, potentially applied in the institution’s accounting fair value that are made outside of the valuation model used to generate carrying </w:t>
            </w:r>
            <w:r w:rsidR="001B1531" w:rsidRPr="00661595">
              <w:rPr>
                <w:rStyle w:val="InstructionsTabelleberschrift"/>
                <w:rFonts w:ascii="Times New Roman" w:hAnsi="Times New Roman"/>
                <w:b w:val="0"/>
                <w:sz w:val="24"/>
                <w:u w:val="none"/>
              </w:rPr>
              <w:t xml:space="preserve">amounts (excluding </w:t>
            </w:r>
            <w:r w:rsidR="00A30C4C" w:rsidRPr="00661595">
              <w:rPr>
                <w:rStyle w:val="InstructionsTabelleberschrift"/>
                <w:rFonts w:ascii="Times New Roman" w:hAnsi="Times New Roman"/>
                <w:b w:val="0"/>
                <w:sz w:val="24"/>
                <w:u w:val="none"/>
              </w:rPr>
              <w:t>d</w:t>
            </w:r>
            <w:r w:rsidR="001B1531" w:rsidRPr="00661595">
              <w:rPr>
                <w:rStyle w:val="InstructionsTabelleberschrift"/>
                <w:rFonts w:ascii="Times New Roman" w:hAnsi="Times New Roman"/>
                <w:b w:val="0"/>
                <w:sz w:val="24"/>
                <w:u w:val="none"/>
              </w:rPr>
              <w:t>eferral of day one gains and losses)</w:t>
            </w:r>
            <w:r w:rsidRPr="00661595">
              <w:rPr>
                <w:rStyle w:val="InstructionsTabelleberschrift"/>
                <w:rFonts w:ascii="Times New Roman" w:hAnsi="Times New Roman"/>
                <w:b w:val="0"/>
                <w:sz w:val="24"/>
                <w:u w:val="none"/>
              </w:rPr>
              <w:t xml:space="preserve"> and </w:t>
            </w:r>
            <w:r w:rsidR="001B1531" w:rsidRPr="00661595">
              <w:rPr>
                <w:rStyle w:val="InstructionsTabelleberschrift"/>
                <w:rFonts w:ascii="Times New Roman" w:hAnsi="Times New Roman"/>
                <w:b w:val="0"/>
                <w:sz w:val="24"/>
                <w:u w:val="none"/>
              </w:rPr>
              <w:t xml:space="preserve">that </w:t>
            </w:r>
            <w:r w:rsidRPr="00661595">
              <w:rPr>
                <w:rStyle w:val="InstructionsTabelleberschrift"/>
                <w:rFonts w:ascii="Times New Roman" w:hAnsi="Times New Roman"/>
                <w:b w:val="0"/>
                <w:sz w:val="24"/>
                <w:u w:val="none"/>
              </w:rPr>
              <w:t xml:space="preserve">can be identified as addressing the same source of valuation uncertainty as the relevant AVA. </w:t>
            </w:r>
            <w:r w:rsidR="001B1531" w:rsidRPr="00661595">
              <w:rPr>
                <w:rStyle w:val="InstructionsTabelleberschrift"/>
                <w:rFonts w:ascii="Times New Roman" w:hAnsi="Times New Roman"/>
                <w:b w:val="0"/>
                <w:sz w:val="24"/>
                <w:u w:val="none"/>
              </w:rPr>
              <w:t xml:space="preserve">They could reflect risk factors not captured within the valuation technique that are in a form of a risk premium or exit cost and are compliant with the definition of </w:t>
            </w:r>
            <w:r w:rsidR="00A30C4C" w:rsidRPr="00661595">
              <w:rPr>
                <w:rStyle w:val="InstructionsTabelleberschrift"/>
                <w:rFonts w:ascii="Times New Roman" w:hAnsi="Times New Roman"/>
                <w:b w:val="0"/>
                <w:sz w:val="24"/>
                <w:u w:val="none"/>
              </w:rPr>
              <w:t>f</w:t>
            </w:r>
            <w:r w:rsidR="001B1531" w:rsidRPr="00661595">
              <w:rPr>
                <w:rStyle w:val="InstructionsTabelleberschrift"/>
                <w:rFonts w:ascii="Times New Roman" w:hAnsi="Times New Roman"/>
                <w:b w:val="0"/>
                <w:sz w:val="24"/>
                <w:u w:val="none"/>
              </w:rPr>
              <w:t>air value. They sh</w:t>
            </w:r>
            <w:r w:rsidR="00A30C4C" w:rsidRPr="00661595">
              <w:rPr>
                <w:rStyle w:val="InstructionsTabelleberschrift"/>
                <w:rFonts w:ascii="Times New Roman" w:hAnsi="Times New Roman"/>
                <w:b w:val="0"/>
                <w:sz w:val="24"/>
                <w:u w:val="none"/>
              </w:rPr>
              <w:t>all</w:t>
            </w:r>
            <w:r w:rsidR="001B1531" w:rsidRPr="00661595">
              <w:rPr>
                <w:rStyle w:val="InstructionsTabelleberschrift"/>
                <w:rFonts w:ascii="Times New Roman" w:hAnsi="Times New Roman"/>
                <w:b w:val="0"/>
                <w:sz w:val="24"/>
                <w:u w:val="none"/>
              </w:rPr>
              <w:t xml:space="preserve"> nevertheless be considered by market participants when setting a price. (IFRS 13.9 and IFRS13.88)</w:t>
            </w:r>
          </w:p>
        </w:tc>
      </w:tr>
      <w:tr w:rsidR="00973707" w:rsidRPr="00661595" w:rsidTr="00672D2A">
        <w:tc>
          <w:tcPr>
            <w:tcW w:w="1101" w:type="dxa"/>
          </w:tcPr>
          <w:p w:rsidR="00973707" w:rsidRPr="00661595" w:rsidRDefault="009A7A38" w:rsidP="00AF3D7A">
            <w:pPr>
              <w:spacing w:beforeLines="60" w:before="144" w:afterLines="60" w:after="144"/>
              <w:rPr>
                <w:rFonts w:ascii="Times New Roman" w:hAnsi="Times New Roman"/>
                <w:sz w:val="24"/>
              </w:rPr>
            </w:pPr>
            <w:r w:rsidRPr="00661595">
              <w:rPr>
                <w:rFonts w:ascii="Times New Roman" w:hAnsi="Times New Roman"/>
                <w:sz w:val="24"/>
              </w:rPr>
              <w:t>0</w:t>
            </w:r>
            <w:r w:rsidR="00973707" w:rsidRPr="00661595">
              <w:rPr>
                <w:rFonts w:ascii="Times New Roman" w:hAnsi="Times New Roman"/>
                <w:sz w:val="24"/>
              </w:rPr>
              <w:t>170</w:t>
            </w:r>
          </w:p>
        </w:tc>
        <w:tc>
          <w:tcPr>
            <w:tcW w:w="8190" w:type="dxa"/>
          </w:tcPr>
          <w:p w:rsidR="00973707" w:rsidRPr="00661595" w:rsidRDefault="00973707" w:rsidP="00AF3D7A">
            <w:pPr>
              <w:spacing w:beforeLines="60" w:before="144" w:afterLines="60" w:after="144"/>
              <w:rPr>
                <w:rStyle w:val="InstructionsTabelleberschrift"/>
                <w:rFonts w:ascii="Times New Roman" w:hAnsi="Times New Roman"/>
                <w:b w:val="0"/>
                <w:sz w:val="24"/>
                <w:u w:val="none"/>
              </w:rPr>
            </w:pPr>
            <w:r w:rsidRPr="00661595">
              <w:rPr>
                <w:rStyle w:val="InstructionsTabelleberschrift"/>
                <w:rFonts w:ascii="Times New Roman" w:hAnsi="Times New Roman"/>
                <w:sz w:val="24"/>
              </w:rPr>
              <w:t>MARKET PRICE UNCERTAINTY</w:t>
            </w:r>
          </w:p>
          <w:p w:rsidR="00973707" w:rsidRPr="00661595" w:rsidRDefault="00973707" w:rsidP="00AF3D7A">
            <w:pPr>
              <w:spacing w:beforeLines="60" w:before="144" w:afterLines="60" w:after="144"/>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 xml:space="preserve">Adjustment applied in the institution’s fair value to reflect the risk premium arising from the existence of a range of observed prices for equivalent instruments or, in respect of a market parameter input to a valuation model, the instruments from which the input has been calibrated, and thus that can be identified as addressing the same source of valuation uncertainty as the Market price uncertainty AVA. </w:t>
            </w:r>
          </w:p>
        </w:tc>
      </w:tr>
      <w:tr w:rsidR="00973707" w:rsidRPr="00661595" w:rsidTr="00672D2A">
        <w:tc>
          <w:tcPr>
            <w:tcW w:w="1101" w:type="dxa"/>
          </w:tcPr>
          <w:p w:rsidR="00973707" w:rsidRPr="00661595" w:rsidRDefault="009A7A38" w:rsidP="00AF3D7A">
            <w:pPr>
              <w:spacing w:beforeLines="60" w:before="144" w:afterLines="60" w:after="144"/>
              <w:rPr>
                <w:rFonts w:ascii="Times New Roman" w:hAnsi="Times New Roman"/>
                <w:sz w:val="24"/>
              </w:rPr>
            </w:pPr>
            <w:r w:rsidRPr="00661595">
              <w:rPr>
                <w:rFonts w:ascii="Times New Roman" w:hAnsi="Times New Roman"/>
                <w:sz w:val="24"/>
              </w:rPr>
              <w:t>0</w:t>
            </w:r>
            <w:r w:rsidR="00973707" w:rsidRPr="00661595">
              <w:rPr>
                <w:rFonts w:ascii="Times New Roman" w:hAnsi="Times New Roman"/>
                <w:sz w:val="24"/>
              </w:rPr>
              <w:t>180</w:t>
            </w:r>
          </w:p>
        </w:tc>
        <w:tc>
          <w:tcPr>
            <w:tcW w:w="8190" w:type="dxa"/>
          </w:tcPr>
          <w:p w:rsidR="00973707" w:rsidRPr="00661595" w:rsidRDefault="00973707" w:rsidP="00AF3D7A">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CLOSE-OUT COSTS</w:t>
            </w:r>
          </w:p>
          <w:p w:rsidR="00973707" w:rsidRPr="00661595" w:rsidRDefault="00973707" w:rsidP="00AF3D7A">
            <w:pPr>
              <w:spacing w:beforeLines="60" w:before="144" w:afterLines="60" w:after="144"/>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 xml:space="preserve">Adjustment applied in the institution’s fair value to adjust for the fact that the position level valuations do not reflect an exit price for the position or portfolio, in particular where such valuations are calibrated to a mid-market price, and thus that can be identified as addressing the same source of valuation uncertainty as the </w:t>
            </w:r>
            <w:r w:rsidR="00A30C4C" w:rsidRPr="00661595">
              <w:rPr>
                <w:rFonts w:ascii="Times New Roman" w:hAnsi="Times New Roman"/>
                <w:sz w:val="24"/>
              </w:rPr>
              <w:t>c</w:t>
            </w:r>
            <w:r w:rsidRPr="00661595">
              <w:rPr>
                <w:rFonts w:ascii="Times New Roman" w:hAnsi="Times New Roman"/>
                <w:sz w:val="24"/>
              </w:rPr>
              <w:t>lose-out costs AVA</w:t>
            </w:r>
            <w:r w:rsidRPr="00661595">
              <w:rPr>
                <w:rStyle w:val="InstructionsTabelleberschrift"/>
                <w:rFonts w:ascii="Times New Roman" w:hAnsi="Times New Roman"/>
                <w:b w:val="0"/>
                <w:sz w:val="24"/>
                <w:u w:val="none"/>
              </w:rPr>
              <w:t>.</w:t>
            </w:r>
          </w:p>
        </w:tc>
      </w:tr>
      <w:tr w:rsidR="00973707" w:rsidRPr="00661595" w:rsidTr="00672D2A">
        <w:tc>
          <w:tcPr>
            <w:tcW w:w="1101" w:type="dxa"/>
          </w:tcPr>
          <w:p w:rsidR="00973707" w:rsidRPr="00661595" w:rsidRDefault="009A7A38" w:rsidP="00AF3D7A">
            <w:pPr>
              <w:spacing w:beforeLines="60" w:before="144" w:afterLines="60" w:after="144"/>
              <w:rPr>
                <w:rFonts w:ascii="Times New Roman" w:hAnsi="Times New Roman"/>
                <w:sz w:val="24"/>
              </w:rPr>
            </w:pPr>
            <w:r w:rsidRPr="00661595">
              <w:rPr>
                <w:rFonts w:ascii="Times New Roman" w:hAnsi="Times New Roman"/>
                <w:sz w:val="24"/>
              </w:rPr>
              <w:t>0</w:t>
            </w:r>
            <w:r w:rsidR="00973707" w:rsidRPr="00661595">
              <w:rPr>
                <w:rFonts w:ascii="Times New Roman" w:hAnsi="Times New Roman"/>
                <w:sz w:val="24"/>
              </w:rPr>
              <w:t>190</w:t>
            </w:r>
          </w:p>
        </w:tc>
        <w:tc>
          <w:tcPr>
            <w:tcW w:w="8190" w:type="dxa"/>
          </w:tcPr>
          <w:p w:rsidR="00973707" w:rsidRPr="00661595" w:rsidRDefault="00973707" w:rsidP="00AF3D7A">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MODEL RISK</w:t>
            </w:r>
          </w:p>
          <w:p w:rsidR="00973707" w:rsidRPr="00661595" w:rsidRDefault="00973707" w:rsidP="00AF3D7A">
            <w:pPr>
              <w:spacing w:beforeLines="60" w:before="144" w:afterLines="60" w:after="144"/>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 xml:space="preserve">Adjustment applied in the institution’s fair value to reflect market or product factors that are not captured by the model used to calculate daily position values and risks (‘valuation model’) or to reflect an appropriate level of prudence given the uncertainty arising from the existence of a range of alternative valid models and model calibrations and thus that can be identified as addressing the same source of valuation uncertainty as the </w:t>
            </w:r>
            <w:r w:rsidR="00A30C4C" w:rsidRPr="00661595">
              <w:rPr>
                <w:rFonts w:ascii="Times New Roman" w:hAnsi="Times New Roman"/>
                <w:sz w:val="24"/>
              </w:rPr>
              <w:t>m</w:t>
            </w:r>
            <w:r w:rsidRPr="00661595">
              <w:rPr>
                <w:rFonts w:ascii="Times New Roman" w:hAnsi="Times New Roman"/>
                <w:sz w:val="24"/>
              </w:rPr>
              <w:t>odel risk AVA</w:t>
            </w:r>
            <w:r w:rsidRPr="00661595">
              <w:rPr>
                <w:rStyle w:val="InstructionsTabelleberschrift"/>
                <w:rFonts w:ascii="Times New Roman" w:hAnsi="Times New Roman"/>
                <w:b w:val="0"/>
                <w:sz w:val="24"/>
                <w:u w:val="none"/>
              </w:rPr>
              <w:t>.</w:t>
            </w:r>
          </w:p>
        </w:tc>
      </w:tr>
      <w:tr w:rsidR="00973707" w:rsidRPr="00661595" w:rsidTr="00672D2A">
        <w:tc>
          <w:tcPr>
            <w:tcW w:w="1101" w:type="dxa"/>
          </w:tcPr>
          <w:p w:rsidR="00973707" w:rsidRPr="00661595" w:rsidRDefault="009A7A38" w:rsidP="00AF3D7A">
            <w:pPr>
              <w:spacing w:beforeLines="60" w:before="144" w:afterLines="60" w:after="144"/>
              <w:rPr>
                <w:rFonts w:ascii="Times New Roman" w:hAnsi="Times New Roman"/>
                <w:sz w:val="24"/>
              </w:rPr>
            </w:pPr>
            <w:r w:rsidRPr="00661595">
              <w:rPr>
                <w:rFonts w:ascii="Times New Roman" w:hAnsi="Times New Roman"/>
                <w:sz w:val="24"/>
              </w:rPr>
              <w:t>0</w:t>
            </w:r>
            <w:r w:rsidR="00973707" w:rsidRPr="00661595">
              <w:rPr>
                <w:rFonts w:ascii="Times New Roman" w:hAnsi="Times New Roman"/>
                <w:sz w:val="24"/>
              </w:rPr>
              <w:t>200</w:t>
            </w:r>
          </w:p>
        </w:tc>
        <w:tc>
          <w:tcPr>
            <w:tcW w:w="8190" w:type="dxa"/>
          </w:tcPr>
          <w:p w:rsidR="00973707" w:rsidRPr="00661595" w:rsidRDefault="00973707" w:rsidP="00AF3D7A">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CONCENTRATED POSITIONS</w:t>
            </w:r>
          </w:p>
          <w:p w:rsidR="00973707" w:rsidRPr="00661595" w:rsidRDefault="00973707" w:rsidP="00A30C4C">
            <w:pPr>
              <w:spacing w:beforeLines="60" w:before="144" w:afterLines="60" w:after="144"/>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 xml:space="preserve">Adjustment applied in the institution’s fair value to reflect the fact that the aggregate position held by the institution is larger than normal traded volume or larger than the position sizes on which observable quotes or trades that are used to calibrate the price or inputs used by the valuation model are based and thus can be identified as addressing the same source of valuation uncertainty as the </w:t>
            </w:r>
            <w:r w:rsidR="00A30C4C" w:rsidRPr="00661595">
              <w:rPr>
                <w:rFonts w:ascii="Times New Roman" w:hAnsi="Times New Roman"/>
                <w:sz w:val="24"/>
              </w:rPr>
              <w:t>c</w:t>
            </w:r>
            <w:r w:rsidRPr="00661595">
              <w:rPr>
                <w:rFonts w:ascii="Times New Roman" w:hAnsi="Times New Roman"/>
                <w:sz w:val="24"/>
              </w:rPr>
              <w:t>oncentrated positions AVA</w:t>
            </w:r>
            <w:r w:rsidRPr="00661595">
              <w:rPr>
                <w:rStyle w:val="InstructionsTabelleberschrift"/>
                <w:rFonts w:ascii="Times New Roman" w:hAnsi="Times New Roman"/>
                <w:b w:val="0"/>
                <w:sz w:val="24"/>
                <w:u w:val="none"/>
              </w:rPr>
              <w:t xml:space="preserve">. </w:t>
            </w:r>
          </w:p>
        </w:tc>
      </w:tr>
      <w:tr w:rsidR="00973707" w:rsidRPr="00661595" w:rsidTr="00672D2A">
        <w:tc>
          <w:tcPr>
            <w:tcW w:w="1101" w:type="dxa"/>
          </w:tcPr>
          <w:p w:rsidR="00973707" w:rsidRPr="00661595" w:rsidRDefault="009A7A38" w:rsidP="00AF3D7A">
            <w:pPr>
              <w:spacing w:beforeLines="60" w:before="144" w:afterLines="60" w:after="144"/>
              <w:rPr>
                <w:rFonts w:ascii="Times New Roman" w:hAnsi="Times New Roman"/>
                <w:sz w:val="24"/>
              </w:rPr>
            </w:pPr>
            <w:r w:rsidRPr="00661595">
              <w:rPr>
                <w:rFonts w:ascii="Times New Roman" w:hAnsi="Times New Roman"/>
                <w:sz w:val="24"/>
              </w:rPr>
              <w:t>0</w:t>
            </w:r>
            <w:r w:rsidR="00973707" w:rsidRPr="00661595">
              <w:rPr>
                <w:rFonts w:ascii="Times New Roman" w:hAnsi="Times New Roman"/>
                <w:sz w:val="24"/>
              </w:rPr>
              <w:t>210</w:t>
            </w:r>
          </w:p>
        </w:tc>
        <w:tc>
          <w:tcPr>
            <w:tcW w:w="8190" w:type="dxa"/>
          </w:tcPr>
          <w:p w:rsidR="00973707" w:rsidRPr="00661595" w:rsidRDefault="00973707" w:rsidP="00AF3D7A">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UNEARNED CREDIT SPREADS</w:t>
            </w:r>
          </w:p>
          <w:p w:rsidR="00973707" w:rsidRPr="00661595" w:rsidRDefault="00973707" w:rsidP="00AF3D7A">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b w:val="0"/>
                <w:sz w:val="24"/>
                <w:u w:val="none"/>
              </w:rPr>
              <w:t>Adjustment applied in the institution’s fair value to cover expected losses due to counterparty default on derivative positions (i.e. total Credit Valuation Adjustment ‘CVA’ at institution level).</w:t>
            </w:r>
          </w:p>
        </w:tc>
      </w:tr>
      <w:tr w:rsidR="00973707" w:rsidRPr="00661595" w:rsidTr="00672D2A">
        <w:tc>
          <w:tcPr>
            <w:tcW w:w="1101" w:type="dxa"/>
          </w:tcPr>
          <w:p w:rsidR="00973707" w:rsidRPr="00661595" w:rsidRDefault="009A7A38" w:rsidP="00AF3D7A">
            <w:pPr>
              <w:spacing w:beforeLines="60" w:before="144" w:afterLines="60" w:after="144"/>
              <w:rPr>
                <w:rFonts w:ascii="Times New Roman" w:hAnsi="Times New Roman"/>
                <w:sz w:val="24"/>
              </w:rPr>
            </w:pPr>
            <w:r w:rsidRPr="00661595">
              <w:rPr>
                <w:rFonts w:ascii="Times New Roman" w:hAnsi="Times New Roman"/>
                <w:sz w:val="24"/>
              </w:rPr>
              <w:t>0</w:t>
            </w:r>
            <w:r w:rsidR="00973707" w:rsidRPr="00661595">
              <w:rPr>
                <w:rFonts w:ascii="Times New Roman" w:hAnsi="Times New Roman"/>
                <w:sz w:val="24"/>
              </w:rPr>
              <w:t>220</w:t>
            </w:r>
          </w:p>
        </w:tc>
        <w:tc>
          <w:tcPr>
            <w:tcW w:w="8190" w:type="dxa"/>
          </w:tcPr>
          <w:p w:rsidR="00973707" w:rsidRPr="00661595" w:rsidRDefault="00973707" w:rsidP="00AF3D7A">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INVESTING AND FUNDING COSTS</w:t>
            </w:r>
          </w:p>
          <w:p w:rsidR="00973707" w:rsidRPr="00661595" w:rsidRDefault="00973707" w:rsidP="00AF3D7A">
            <w:pPr>
              <w:spacing w:beforeLines="60" w:before="144" w:afterLines="60" w:after="144"/>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Adjustment applied in the institution’s fair value to compensate where valuation models do not fully reflect the funding cost that market participants would factor into the exit price for a position or portfolio (i.e. total Funding Valuation Adjustment at institution level where an institution computes such adjustment, or alternatively, equivalent adjustment).</w:t>
            </w:r>
          </w:p>
        </w:tc>
      </w:tr>
      <w:tr w:rsidR="00973707" w:rsidRPr="00661595" w:rsidTr="00672D2A">
        <w:tc>
          <w:tcPr>
            <w:tcW w:w="1101" w:type="dxa"/>
          </w:tcPr>
          <w:p w:rsidR="00973707" w:rsidRPr="00661595" w:rsidRDefault="009A7A38" w:rsidP="00AF3D7A">
            <w:pPr>
              <w:spacing w:beforeLines="60" w:before="144" w:afterLines="60" w:after="144"/>
              <w:rPr>
                <w:rFonts w:ascii="Times New Roman" w:hAnsi="Times New Roman"/>
                <w:sz w:val="24"/>
              </w:rPr>
            </w:pPr>
            <w:r w:rsidRPr="00661595">
              <w:rPr>
                <w:rFonts w:ascii="Times New Roman" w:hAnsi="Times New Roman"/>
                <w:sz w:val="24"/>
              </w:rPr>
              <w:t>0</w:t>
            </w:r>
            <w:r w:rsidR="00973707" w:rsidRPr="00661595">
              <w:rPr>
                <w:rFonts w:ascii="Times New Roman" w:hAnsi="Times New Roman"/>
                <w:sz w:val="24"/>
              </w:rPr>
              <w:t>230</w:t>
            </w:r>
          </w:p>
        </w:tc>
        <w:tc>
          <w:tcPr>
            <w:tcW w:w="8190" w:type="dxa"/>
          </w:tcPr>
          <w:p w:rsidR="00973707" w:rsidRPr="00661595" w:rsidRDefault="00973707" w:rsidP="00AF3D7A">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FUTURE ADMINISTRATION COSTS</w:t>
            </w:r>
          </w:p>
          <w:p w:rsidR="00973707" w:rsidRPr="00661595" w:rsidRDefault="00973707" w:rsidP="00AF3D7A">
            <w:pPr>
              <w:spacing w:beforeLines="60" w:before="144" w:afterLines="60" w:after="144"/>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Adjustment applied in the institution’s fair value to reflect administrative costs that are incurred by the portfolio or position but are not reflected in the valuation model or the prices used to calibrate inputs to that model, and thus that can be identified as addressing the same source of valuation uncertainty as the Future administrative costs AVA.</w:t>
            </w:r>
          </w:p>
        </w:tc>
      </w:tr>
      <w:tr w:rsidR="00973707" w:rsidRPr="00661595" w:rsidTr="00672D2A">
        <w:tc>
          <w:tcPr>
            <w:tcW w:w="1101" w:type="dxa"/>
          </w:tcPr>
          <w:p w:rsidR="00973707" w:rsidRPr="00661595" w:rsidRDefault="009A7A38" w:rsidP="00AF3D7A">
            <w:pPr>
              <w:spacing w:beforeLines="60" w:before="144" w:afterLines="60" w:after="144"/>
              <w:rPr>
                <w:rFonts w:ascii="Times New Roman" w:hAnsi="Times New Roman"/>
                <w:sz w:val="24"/>
              </w:rPr>
            </w:pPr>
            <w:r w:rsidRPr="00661595">
              <w:rPr>
                <w:rFonts w:ascii="Times New Roman" w:hAnsi="Times New Roman"/>
                <w:sz w:val="24"/>
              </w:rPr>
              <w:t>0</w:t>
            </w:r>
            <w:r w:rsidR="00973707" w:rsidRPr="00661595">
              <w:rPr>
                <w:rFonts w:ascii="Times New Roman" w:hAnsi="Times New Roman"/>
                <w:sz w:val="24"/>
              </w:rPr>
              <w:t>240</w:t>
            </w:r>
          </w:p>
        </w:tc>
        <w:tc>
          <w:tcPr>
            <w:tcW w:w="8190" w:type="dxa"/>
          </w:tcPr>
          <w:p w:rsidR="00973707" w:rsidRPr="00661595" w:rsidRDefault="00973707" w:rsidP="00AF3D7A">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EARLY TERMINATION</w:t>
            </w:r>
          </w:p>
          <w:p w:rsidR="00973707" w:rsidRPr="00661595" w:rsidRDefault="00973707" w:rsidP="00AF3D7A">
            <w:pPr>
              <w:spacing w:beforeLines="60" w:before="144" w:afterLines="60" w:after="144"/>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Adjustments applied in the institution’s fair value to reflect contractual or non-contractual early termination expectations that are not reflected in the valuation model and thus can be identified as addressing the same source of valuation uncertainty as the Early termination AVA.</w:t>
            </w:r>
          </w:p>
        </w:tc>
      </w:tr>
      <w:tr w:rsidR="00973707" w:rsidRPr="00661595" w:rsidTr="00672D2A">
        <w:tc>
          <w:tcPr>
            <w:tcW w:w="1101" w:type="dxa"/>
          </w:tcPr>
          <w:p w:rsidR="00973707" w:rsidRPr="00661595" w:rsidRDefault="009A7A38" w:rsidP="00AF3D7A">
            <w:pPr>
              <w:spacing w:beforeLines="60" w:before="144" w:afterLines="60" w:after="144"/>
              <w:rPr>
                <w:rFonts w:ascii="Times New Roman" w:hAnsi="Times New Roman"/>
                <w:sz w:val="24"/>
              </w:rPr>
            </w:pPr>
            <w:r w:rsidRPr="00661595">
              <w:rPr>
                <w:rFonts w:ascii="Times New Roman" w:hAnsi="Times New Roman"/>
                <w:sz w:val="24"/>
              </w:rPr>
              <w:t>0</w:t>
            </w:r>
            <w:r w:rsidR="00973707" w:rsidRPr="00661595">
              <w:rPr>
                <w:rFonts w:ascii="Times New Roman" w:hAnsi="Times New Roman"/>
                <w:sz w:val="24"/>
              </w:rPr>
              <w:t>250</w:t>
            </w:r>
          </w:p>
        </w:tc>
        <w:tc>
          <w:tcPr>
            <w:tcW w:w="8190" w:type="dxa"/>
          </w:tcPr>
          <w:p w:rsidR="00973707" w:rsidRPr="00661595" w:rsidRDefault="00973707" w:rsidP="00AF3D7A">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OPERATIONAL RISK</w:t>
            </w:r>
          </w:p>
          <w:p w:rsidR="00973707" w:rsidRPr="00661595" w:rsidRDefault="00973707" w:rsidP="00A30C4C">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b w:val="0"/>
                <w:sz w:val="24"/>
                <w:u w:val="none"/>
              </w:rPr>
              <w:t xml:space="preserve">Adjustments applied in the institution’s fair value to reflect the risk premium that market participants would charge to compensate for operational risks arising from hedging, administration and settlement of contracts in the portfolio, and thus can be identified as addressing the same source of valuation uncertainty as the </w:t>
            </w:r>
            <w:r w:rsidR="00A30C4C" w:rsidRPr="00661595">
              <w:rPr>
                <w:rStyle w:val="InstructionsTabelleberschrift"/>
                <w:rFonts w:ascii="Times New Roman" w:hAnsi="Times New Roman"/>
                <w:b w:val="0"/>
                <w:sz w:val="24"/>
                <w:u w:val="none"/>
              </w:rPr>
              <w:t>o</w:t>
            </w:r>
            <w:r w:rsidRPr="00661595">
              <w:rPr>
                <w:rStyle w:val="InstructionsTabelleberschrift"/>
                <w:rFonts w:ascii="Times New Roman" w:hAnsi="Times New Roman"/>
                <w:b w:val="0"/>
                <w:sz w:val="24"/>
                <w:u w:val="none"/>
              </w:rPr>
              <w:t>perational risk AVA.</w:t>
            </w:r>
          </w:p>
        </w:tc>
      </w:tr>
      <w:tr w:rsidR="00973707" w:rsidRPr="00661595" w:rsidTr="00672D2A">
        <w:tc>
          <w:tcPr>
            <w:tcW w:w="1101" w:type="dxa"/>
          </w:tcPr>
          <w:p w:rsidR="00973707" w:rsidRPr="00661595" w:rsidRDefault="009A7A38" w:rsidP="00AF3D7A">
            <w:pPr>
              <w:spacing w:beforeLines="60" w:before="144" w:afterLines="60" w:after="144"/>
              <w:rPr>
                <w:rFonts w:ascii="Times New Roman" w:hAnsi="Times New Roman"/>
                <w:sz w:val="24"/>
              </w:rPr>
            </w:pPr>
            <w:r w:rsidRPr="00661595">
              <w:rPr>
                <w:rFonts w:ascii="Times New Roman" w:hAnsi="Times New Roman"/>
                <w:sz w:val="24"/>
              </w:rPr>
              <w:t>0</w:t>
            </w:r>
            <w:r w:rsidR="00973707" w:rsidRPr="00661595">
              <w:rPr>
                <w:rFonts w:ascii="Times New Roman" w:hAnsi="Times New Roman"/>
                <w:sz w:val="24"/>
              </w:rPr>
              <w:t>260</w:t>
            </w:r>
          </w:p>
        </w:tc>
        <w:tc>
          <w:tcPr>
            <w:tcW w:w="8190" w:type="dxa"/>
          </w:tcPr>
          <w:p w:rsidR="00973707" w:rsidRPr="00661595" w:rsidRDefault="00973707" w:rsidP="00AF3D7A">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DAY 1 P&amp;L</w:t>
            </w:r>
          </w:p>
          <w:p w:rsidR="001B1531" w:rsidRPr="00661595" w:rsidRDefault="00973707" w:rsidP="00AF3D7A">
            <w:pPr>
              <w:spacing w:beforeLines="60" w:before="144" w:afterLines="60" w:after="144"/>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Adjustments to reflect instances where the valuation model plus all other relevant fair value adjustments applicable to a position or portfolio did not reflect the price paid or received a</w:t>
            </w:r>
            <w:r w:rsidR="001B1531" w:rsidRPr="00661595">
              <w:rPr>
                <w:rStyle w:val="InstructionsTabelleberschrift"/>
                <w:rFonts w:ascii="Times New Roman" w:hAnsi="Times New Roman"/>
                <w:b w:val="0"/>
                <w:sz w:val="24"/>
                <w:u w:val="none"/>
              </w:rPr>
              <w:t>t first day recognition, i.e. the deferral of day one gains and losses (IFRS 9.B5.1.2.A)</w:t>
            </w:r>
            <w:r w:rsidRPr="00661595">
              <w:rPr>
                <w:rStyle w:val="InstructionsTabelleberschrift"/>
                <w:rFonts w:ascii="Times New Roman" w:hAnsi="Times New Roman"/>
                <w:b w:val="0"/>
                <w:sz w:val="24"/>
                <w:u w:val="none"/>
              </w:rPr>
              <w:t>.</w:t>
            </w:r>
          </w:p>
        </w:tc>
      </w:tr>
      <w:tr w:rsidR="00973707" w:rsidRPr="00661595" w:rsidTr="00672D2A">
        <w:tc>
          <w:tcPr>
            <w:tcW w:w="1101" w:type="dxa"/>
          </w:tcPr>
          <w:p w:rsidR="00973707" w:rsidRPr="00661595" w:rsidRDefault="009A7A38" w:rsidP="00AF3D7A">
            <w:pPr>
              <w:spacing w:beforeLines="60" w:before="144" w:afterLines="60" w:after="144"/>
              <w:rPr>
                <w:rFonts w:ascii="Times New Roman" w:hAnsi="Times New Roman"/>
                <w:sz w:val="24"/>
              </w:rPr>
            </w:pPr>
            <w:r w:rsidRPr="00661595">
              <w:rPr>
                <w:rFonts w:ascii="Times New Roman" w:hAnsi="Times New Roman"/>
                <w:sz w:val="24"/>
              </w:rPr>
              <w:t>0</w:t>
            </w:r>
            <w:r w:rsidR="00973707" w:rsidRPr="00661595">
              <w:rPr>
                <w:rFonts w:ascii="Times New Roman" w:hAnsi="Times New Roman"/>
                <w:sz w:val="24"/>
              </w:rPr>
              <w:t>270</w:t>
            </w:r>
          </w:p>
        </w:tc>
        <w:tc>
          <w:tcPr>
            <w:tcW w:w="8190" w:type="dxa"/>
          </w:tcPr>
          <w:p w:rsidR="00973707" w:rsidRPr="00661595" w:rsidRDefault="00973707" w:rsidP="00AF3D7A">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EXPLANATION DESCRIPTION</w:t>
            </w:r>
          </w:p>
          <w:p w:rsidR="00973707" w:rsidRPr="00661595" w:rsidRDefault="00973707" w:rsidP="00A30C4C">
            <w:pPr>
              <w:spacing w:beforeLines="60" w:before="144" w:afterLines="60" w:after="144"/>
              <w:rPr>
                <w:rStyle w:val="InstructionsTabelleberschrift"/>
                <w:rFonts w:ascii="Times New Roman" w:hAnsi="Times New Roman"/>
                <w:b w:val="0"/>
                <w:sz w:val="24"/>
                <w:u w:val="none"/>
              </w:rPr>
            </w:pPr>
            <w:r w:rsidRPr="00661595">
              <w:rPr>
                <w:rFonts w:ascii="Times New Roman" w:hAnsi="Times New Roman"/>
                <w:sz w:val="24"/>
              </w:rPr>
              <w:t xml:space="preserve">Description of the positions treated </w:t>
            </w:r>
            <w:r w:rsidR="002F78EA" w:rsidRPr="00661595">
              <w:rPr>
                <w:rFonts w:ascii="Times New Roman" w:hAnsi="Times New Roman"/>
                <w:sz w:val="24"/>
              </w:rPr>
              <w:t xml:space="preserve">in accordance with </w:t>
            </w:r>
            <w:r w:rsidR="002B004B" w:rsidRPr="00661595">
              <w:rPr>
                <w:rFonts w:ascii="Times New Roman" w:hAnsi="Times New Roman"/>
                <w:sz w:val="24"/>
              </w:rPr>
              <w:t xml:space="preserve">point (b) of </w:t>
            </w:r>
            <w:r w:rsidRPr="00661595">
              <w:rPr>
                <w:rFonts w:ascii="Times New Roman" w:hAnsi="Times New Roman"/>
                <w:sz w:val="24"/>
              </w:rPr>
              <w:t xml:space="preserve">Article 7(2) of </w:t>
            </w:r>
            <w:r w:rsidR="00FD239F" w:rsidRPr="00661595">
              <w:rPr>
                <w:rFonts w:ascii="Times New Roman" w:hAnsi="Times New Roman"/>
                <w:sz w:val="24"/>
              </w:rPr>
              <w:t>Delegated Regulation (EU) 2016/101</w:t>
            </w:r>
            <w:r w:rsidR="009A7A38" w:rsidRPr="00661595">
              <w:rPr>
                <w:rFonts w:ascii="Times New Roman" w:hAnsi="Times New Roman"/>
                <w:sz w:val="24"/>
              </w:rPr>
              <w:t xml:space="preserve"> </w:t>
            </w:r>
            <w:r w:rsidRPr="00661595">
              <w:rPr>
                <w:rFonts w:ascii="Times New Roman" w:hAnsi="Times New Roman"/>
                <w:sz w:val="24"/>
              </w:rPr>
              <w:t xml:space="preserve">and the reason why it was not possible to apply Articles 9 to 17 </w:t>
            </w:r>
            <w:r w:rsidR="009A7A38" w:rsidRPr="00661595">
              <w:rPr>
                <w:rFonts w:ascii="Times New Roman" w:hAnsi="Times New Roman"/>
                <w:sz w:val="24"/>
              </w:rPr>
              <w:t>thereof</w:t>
            </w:r>
            <w:r w:rsidRPr="00661595">
              <w:rPr>
                <w:rFonts w:ascii="Times New Roman" w:hAnsi="Times New Roman"/>
                <w:sz w:val="24"/>
              </w:rPr>
              <w:t>.</w:t>
            </w:r>
          </w:p>
        </w:tc>
      </w:tr>
    </w:tbl>
    <w:p w:rsidR="00B93FA1" w:rsidRPr="00661595" w:rsidRDefault="00B93FA1" w:rsidP="00C61FF5">
      <w:pPr>
        <w:rPr>
          <w:rStyle w:val="InstructionsTabelleText"/>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
        <w:gridCol w:w="7974"/>
      </w:tblGrid>
      <w:tr w:rsidR="00973707" w:rsidRPr="00661595" w:rsidTr="00672D2A">
        <w:tc>
          <w:tcPr>
            <w:tcW w:w="9288" w:type="dxa"/>
            <w:gridSpan w:val="2"/>
            <w:shd w:val="clear" w:color="auto" w:fill="CCCCCC"/>
          </w:tcPr>
          <w:p w:rsidR="00973707" w:rsidRPr="00661595" w:rsidRDefault="00973707" w:rsidP="00AF3D7A">
            <w:pPr>
              <w:spacing w:beforeLines="60" w:before="144" w:afterLines="60" w:after="144"/>
              <w:rPr>
                <w:rFonts w:ascii="Times New Roman" w:hAnsi="Times New Roman"/>
                <w:b/>
                <w:sz w:val="24"/>
              </w:rPr>
            </w:pPr>
            <w:r w:rsidRPr="00661595">
              <w:rPr>
                <w:rFonts w:ascii="Times New Roman" w:hAnsi="Times New Roman"/>
                <w:b/>
                <w:sz w:val="24"/>
              </w:rPr>
              <w:t>Rows</w:t>
            </w:r>
          </w:p>
        </w:tc>
      </w:tr>
      <w:tr w:rsidR="00973707" w:rsidRPr="00661595" w:rsidTr="00672D2A">
        <w:tc>
          <w:tcPr>
            <w:tcW w:w="1101" w:type="dxa"/>
          </w:tcPr>
          <w:p w:rsidR="00973707" w:rsidRPr="00661595" w:rsidRDefault="009A7A38" w:rsidP="00AF3D7A">
            <w:pPr>
              <w:spacing w:beforeLines="60" w:before="144" w:afterLines="60" w:after="144"/>
              <w:rPr>
                <w:rFonts w:ascii="Times New Roman" w:hAnsi="Times New Roman"/>
                <w:sz w:val="24"/>
              </w:rPr>
            </w:pPr>
            <w:r w:rsidRPr="00661595">
              <w:rPr>
                <w:rFonts w:ascii="Times New Roman" w:hAnsi="Times New Roman"/>
                <w:sz w:val="24"/>
              </w:rPr>
              <w:t>0</w:t>
            </w:r>
            <w:r w:rsidR="00973707" w:rsidRPr="00661595">
              <w:rPr>
                <w:rFonts w:ascii="Times New Roman" w:hAnsi="Times New Roman"/>
                <w:sz w:val="24"/>
              </w:rPr>
              <w:t>010</w:t>
            </w:r>
          </w:p>
        </w:tc>
        <w:tc>
          <w:tcPr>
            <w:tcW w:w="8187" w:type="dxa"/>
          </w:tcPr>
          <w:p w:rsidR="00973707" w:rsidRPr="00661595" w:rsidRDefault="00973707" w:rsidP="00AF3D7A">
            <w:pPr>
              <w:spacing w:beforeLines="60" w:before="144" w:afterLines="60" w:after="144"/>
              <w:rPr>
                <w:rFonts w:ascii="Times New Roman" w:hAnsi="Times New Roman"/>
                <w:b/>
                <w:sz w:val="24"/>
                <w:u w:val="single"/>
              </w:rPr>
            </w:pPr>
            <w:r w:rsidRPr="00661595">
              <w:rPr>
                <w:rFonts w:ascii="Times New Roman" w:hAnsi="Times New Roman"/>
                <w:b/>
                <w:sz w:val="24"/>
                <w:u w:val="single"/>
              </w:rPr>
              <w:t xml:space="preserve">1. TOTAL CORE APPROACH </w:t>
            </w:r>
          </w:p>
          <w:p w:rsidR="00973707" w:rsidRPr="00661595" w:rsidRDefault="00973707" w:rsidP="00AF3D7A">
            <w:pPr>
              <w:spacing w:beforeLines="60" w:before="144" w:afterLines="60" w:after="144"/>
              <w:rPr>
                <w:rFonts w:ascii="Times New Roman" w:hAnsi="Times New Roman"/>
                <w:sz w:val="24"/>
              </w:rPr>
            </w:pPr>
            <w:r w:rsidRPr="00661595">
              <w:rPr>
                <w:rFonts w:ascii="Times New Roman" w:hAnsi="Times New Roman"/>
                <w:sz w:val="24"/>
              </w:rPr>
              <w:t xml:space="preserve">Article 7(2) of </w:t>
            </w:r>
            <w:r w:rsidR="00F811F8" w:rsidRPr="00661595">
              <w:rPr>
                <w:rFonts w:ascii="Times New Roman" w:hAnsi="Times New Roman"/>
                <w:sz w:val="24"/>
              </w:rPr>
              <w:t>Delegated Regulation (EU) 2016/101</w:t>
            </w:r>
            <w:r w:rsidR="00A30C4C" w:rsidRPr="00661595">
              <w:rPr>
                <w:rFonts w:ascii="Times New Roman" w:hAnsi="Times New Roman"/>
                <w:sz w:val="24"/>
              </w:rPr>
              <w:t>.</w:t>
            </w:r>
          </w:p>
          <w:p w:rsidR="00973707" w:rsidRPr="00661595" w:rsidRDefault="00973707" w:rsidP="00A30C4C">
            <w:pPr>
              <w:spacing w:beforeLines="60" w:before="144" w:afterLines="60" w:after="144"/>
              <w:rPr>
                <w:rFonts w:ascii="Times New Roman" w:hAnsi="Times New Roman"/>
                <w:sz w:val="24"/>
              </w:rPr>
            </w:pPr>
            <w:r w:rsidRPr="00661595">
              <w:rPr>
                <w:rFonts w:ascii="Times New Roman" w:hAnsi="Times New Roman"/>
                <w:sz w:val="24"/>
              </w:rPr>
              <w:t xml:space="preserve">For each relevant category of AVAs referred to in columns </w:t>
            </w:r>
            <w:r w:rsidR="009A7A38" w:rsidRPr="00661595">
              <w:rPr>
                <w:rFonts w:ascii="Times New Roman" w:hAnsi="Times New Roman"/>
                <w:sz w:val="24"/>
              </w:rPr>
              <w:t>0</w:t>
            </w:r>
            <w:r w:rsidRPr="00661595">
              <w:rPr>
                <w:rFonts w:ascii="Times New Roman" w:hAnsi="Times New Roman"/>
                <w:sz w:val="24"/>
              </w:rPr>
              <w:t xml:space="preserve">010 to </w:t>
            </w:r>
            <w:r w:rsidR="009A7A38" w:rsidRPr="00661595">
              <w:rPr>
                <w:rFonts w:ascii="Times New Roman" w:hAnsi="Times New Roman"/>
                <w:sz w:val="24"/>
              </w:rPr>
              <w:t>0</w:t>
            </w:r>
            <w:r w:rsidRPr="00661595">
              <w:rPr>
                <w:rFonts w:ascii="Times New Roman" w:hAnsi="Times New Roman"/>
                <w:sz w:val="24"/>
              </w:rPr>
              <w:t xml:space="preserve">110, total AVAs computed under the </w:t>
            </w:r>
            <w:r w:rsidR="00A30C4C" w:rsidRPr="00661595">
              <w:rPr>
                <w:rFonts w:ascii="Times New Roman" w:hAnsi="Times New Roman"/>
                <w:sz w:val="24"/>
              </w:rPr>
              <w:t>c</w:t>
            </w:r>
            <w:r w:rsidRPr="00661595">
              <w:rPr>
                <w:rFonts w:ascii="Times New Roman" w:hAnsi="Times New Roman"/>
                <w:sz w:val="24"/>
              </w:rPr>
              <w:t xml:space="preserve">ore approach as set out in Chapter 3 of </w:t>
            </w:r>
            <w:r w:rsidR="00F811F8" w:rsidRPr="00661595">
              <w:rPr>
                <w:rFonts w:ascii="Times New Roman" w:hAnsi="Times New Roman"/>
                <w:sz w:val="24"/>
              </w:rPr>
              <w:t>Delegated Regulation (EU) 2016/101 o</w:t>
            </w:r>
            <w:r w:rsidR="009A7A38" w:rsidRPr="00661595">
              <w:rPr>
                <w:rFonts w:ascii="Times New Roman" w:hAnsi="Times New Roman"/>
                <w:sz w:val="24"/>
              </w:rPr>
              <w:t xml:space="preserve"> </w:t>
            </w:r>
            <w:r w:rsidRPr="00661595">
              <w:rPr>
                <w:rFonts w:ascii="Times New Roman" w:hAnsi="Times New Roman"/>
                <w:sz w:val="24"/>
              </w:rPr>
              <w:t xml:space="preserve">for fair-valued assets and liabilities included in the threshold computation in accordance with Article 4(1) of </w:t>
            </w:r>
            <w:r w:rsidR="00F811F8" w:rsidRPr="00661595">
              <w:rPr>
                <w:rFonts w:ascii="Times New Roman" w:hAnsi="Times New Roman"/>
                <w:sz w:val="24"/>
              </w:rPr>
              <w:t>th</w:t>
            </w:r>
            <w:r w:rsidR="00A30C4C" w:rsidRPr="00661595">
              <w:rPr>
                <w:rFonts w:ascii="Times New Roman" w:hAnsi="Times New Roman"/>
                <w:sz w:val="24"/>
              </w:rPr>
              <w:t xml:space="preserve">at </w:t>
            </w:r>
            <w:r w:rsidR="00F811F8" w:rsidRPr="00661595">
              <w:rPr>
                <w:rFonts w:ascii="Times New Roman" w:hAnsi="Times New Roman"/>
                <w:sz w:val="24"/>
              </w:rPr>
              <w:t>Regulation</w:t>
            </w:r>
            <w:r w:rsidRPr="00661595">
              <w:rPr>
                <w:rFonts w:ascii="Times New Roman" w:hAnsi="Times New Roman"/>
                <w:sz w:val="24"/>
              </w:rPr>
              <w:t>. Th</w:t>
            </w:r>
            <w:r w:rsidR="00A30C4C" w:rsidRPr="00661595">
              <w:rPr>
                <w:rFonts w:ascii="Times New Roman" w:hAnsi="Times New Roman"/>
                <w:sz w:val="24"/>
              </w:rPr>
              <w:t>at</w:t>
            </w:r>
            <w:r w:rsidRPr="00661595">
              <w:rPr>
                <w:rFonts w:ascii="Times New Roman" w:hAnsi="Times New Roman"/>
                <w:sz w:val="24"/>
              </w:rPr>
              <w:t xml:space="preserve"> includes the diversification benefits reported in row </w:t>
            </w:r>
            <w:r w:rsidR="009A7A38" w:rsidRPr="00661595">
              <w:rPr>
                <w:rFonts w:ascii="Times New Roman" w:hAnsi="Times New Roman"/>
                <w:sz w:val="24"/>
              </w:rPr>
              <w:t>0</w:t>
            </w:r>
            <w:r w:rsidRPr="00661595">
              <w:rPr>
                <w:rFonts w:ascii="Times New Roman" w:hAnsi="Times New Roman"/>
                <w:sz w:val="24"/>
              </w:rPr>
              <w:t>140 in accordance with Articles 9(6), 10(7) and 11(7) of</w:t>
            </w:r>
            <w:r w:rsidR="00A30C4C" w:rsidRPr="00661595">
              <w:rPr>
                <w:rFonts w:ascii="Times New Roman" w:hAnsi="Times New Roman"/>
                <w:sz w:val="24"/>
              </w:rPr>
              <w:t xml:space="preserve"> </w:t>
            </w:r>
            <w:r w:rsidR="00F811F8" w:rsidRPr="00661595">
              <w:rPr>
                <w:rFonts w:ascii="Times New Roman" w:hAnsi="Times New Roman"/>
                <w:sz w:val="24"/>
              </w:rPr>
              <w:t>Delegated Regulation (EU) 2016/101</w:t>
            </w:r>
            <w:r w:rsidRPr="00661595">
              <w:rPr>
                <w:rFonts w:ascii="Times New Roman" w:hAnsi="Times New Roman"/>
                <w:sz w:val="24"/>
              </w:rPr>
              <w:t xml:space="preserve">. </w:t>
            </w:r>
          </w:p>
        </w:tc>
      </w:tr>
      <w:tr w:rsidR="00973707" w:rsidRPr="00661595" w:rsidTr="00672D2A">
        <w:tc>
          <w:tcPr>
            <w:tcW w:w="1101" w:type="dxa"/>
          </w:tcPr>
          <w:p w:rsidR="00973707" w:rsidRPr="00661595" w:rsidRDefault="009A7A38" w:rsidP="00AF3D7A">
            <w:pPr>
              <w:spacing w:beforeLines="60" w:before="144" w:afterLines="60" w:after="144"/>
              <w:rPr>
                <w:rFonts w:ascii="Times New Roman" w:hAnsi="Times New Roman"/>
                <w:sz w:val="24"/>
              </w:rPr>
            </w:pPr>
            <w:r w:rsidRPr="00661595">
              <w:rPr>
                <w:rFonts w:ascii="Times New Roman" w:hAnsi="Times New Roman"/>
                <w:sz w:val="24"/>
              </w:rPr>
              <w:t>0</w:t>
            </w:r>
            <w:r w:rsidR="00973707" w:rsidRPr="00661595">
              <w:rPr>
                <w:rFonts w:ascii="Times New Roman" w:hAnsi="Times New Roman"/>
                <w:sz w:val="24"/>
              </w:rPr>
              <w:t>020</w:t>
            </w:r>
          </w:p>
        </w:tc>
        <w:tc>
          <w:tcPr>
            <w:tcW w:w="8187" w:type="dxa"/>
          </w:tcPr>
          <w:p w:rsidR="00973707" w:rsidRPr="00661595" w:rsidRDefault="00973707" w:rsidP="00AF3D7A">
            <w:pPr>
              <w:spacing w:beforeLines="60" w:before="144" w:afterLines="60" w:after="144"/>
              <w:rPr>
                <w:rFonts w:ascii="Times New Roman" w:hAnsi="Times New Roman"/>
                <w:b/>
                <w:sz w:val="24"/>
                <w:u w:val="single"/>
              </w:rPr>
            </w:pPr>
            <w:r w:rsidRPr="00661595">
              <w:rPr>
                <w:rFonts w:ascii="Times New Roman" w:hAnsi="Times New Roman"/>
                <w:b/>
                <w:sz w:val="24"/>
                <w:u w:val="single"/>
              </w:rPr>
              <w:t xml:space="preserve">OF WHICH: TRADING BOOK </w:t>
            </w:r>
          </w:p>
          <w:p w:rsidR="00973707" w:rsidRPr="00661595" w:rsidRDefault="00973707" w:rsidP="00AF3D7A">
            <w:pPr>
              <w:spacing w:beforeLines="60" w:before="144" w:afterLines="60" w:after="144"/>
              <w:rPr>
                <w:rFonts w:ascii="Times New Roman" w:hAnsi="Times New Roman"/>
                <w:sz w:val="24"/>
              </w:rPr>
            </w:pPr>
            <w:r w:rsidRPr="00661595">
              <w:rPr>
                <w:rFonts w:ascii="Times New Roman" w:hAnsi="Times New Roman"/>
                <w:sz w:val="24"/>
              </w:rPr>
              <w:t>Article 7(2) of</w:t>
            </w:r>
            <w:r w:rsidR="00A30C4C" w:rsidRPr="00661595">
              <w:rPr>
                <w:rFonts w:ascii="Times New Roman" w:hAnsi="Times New Roman"/>
                <w:sz w:val="24"/>
              </w:rPr>
              <w:t xml:space="preserve"> </w:t>
            </w:r>
            <w:r w:rsidR="00F811F8" w:rsidRPr="00661595">
              <w:rPr>
                <w:rFonts w:ascii="Times New Roman" w:hAnsi="Times New Roman"/>
                <w:sz w:val="24"/>
              </w:rPr>
              <w:t>Delegated Regulation (EU) 2016/101</w:t>
            </w:r>
            <w:r w:rsidR="00A30C4C" w:rsidRPr="00661595">
              <w:rPr>
                <w:rFonts w:ascii="Times New Roman" w:hAnsi="Times New Roman"/>
                <w:sz w:val="24"/>
              </w:rPr>
              <w:t>.</w:t>
            </w:r>
          </w:p>
          <w:p w:rsidR="00973707" w:rsidRPr="00661595" w:rsidRDefault="00973707" w:rsidP="009A7A38">
            <w:pPr>
              <w:spacing w:beforeLines="60" w:before="144" w:afterLines="60" w:after="144"/>
              <w:rPr>
                <w:rFonts w:ascii="Times New Roman" w:hAnsi="Times New Roman"/>
                <w:b/>
                <w:sz w:val="24"/>
                <w:u w:val="single"/>
              </w:rPr>
            </w:pPr>
            <w:r w:rsidRPr="00661595">
              <w:rPr>
                <w:rFonts w:ascii="Times New Roman" w:hAnsi="Times New Roman"/>
                <w:sz w:val="24"/>
              </w:rPr>
              <w:t xml:space="preserve">For each relevant category of AVAs referred to in columns </w:t>
            </w:r>
            <w:r w:rsidR="009A7A38" w:rsidRPr="00661595">
              <w:rPr>
                <w:rFonts w:ascii="Times New Roman" w:hAnsi="Times New Roman"/>
                <w:sz w:val="24"/>
              </w:rPr>
              <w:t>0</w:t>
            </w:r>
            <w:r w:rsidRPr="00661595">
              <w:rPr>
                <w:rFonts w:ascii="Times New Roman" w:hAnsi="Times New Roman"/>
                <w:sz w:val="24"/>
              </w:rPr>
              <w:t xml:space="preserve">010 to </w:t>
            </w:r>
            <w:r w:rsidR="009A7A38" w:rsidRPr="00661595">
              <w:rPr>
                <w:rFonts w:ascii="Times New Roman" w:hAnsi="Times New Roman"/>
                <w:sz w:val="24"/>
              </w:rPr>
              <w:t>0</w:t>
            </w:r>
            <w:r w:rsidRPr="00661595">
              <w:rPr>
                <w:rFonts w:ascii="Times New Roman" w:hAnsi="Times New Roman"/>
                <w:sz w:val="24"/>
              </w:rPr>
              <w:t xml:space="preserve">110, share of total AVAs reported in row </w:t>
            </w:r>
            <w:r w:rsidR="009A7A38" w:rsidRPr="00661595">
              <w:rPr>
                <w:rFonts w:ascii="Times New Roman" w:hAnsi="Times New Roman"/>
                <w:sz w:val="24"/>
              </w:rPr>
              <w:t>0</w:t>
            </w:r>
            <w:r w:rsidRPr="00661595">
              <w:rPr>
                <w:rFonts w:ascii="Times New Roman" w:hAnsi="Times New Roman"/>
                <w:sz w:val="24"/>
              </w:rPr>
              <w:t>010 stemming from trading book positions (absolute value).</w:t>
            </w:r>
          </w:p>
        </w:tc>
      </w:tr>
      <w:tr w:rsidR="00973707" w:rsidRPr="00661595" w:rsidTr="00672D2A">
        <w:tc>
          <w:tcPr>
            <w:tcW w:w="1101" w:type="dxa"/>
          </w:tcPr>
          <w:p w:rsidR="00973707" w:rsidRPr="00661595" w:rsidRDefault="009A7A38" w:rsidP="00AF3D7A">
            <w:pPr>
              <w:spacing w:beforeLines="60" w:before="144" w:afterLines="60" w:after="144"/>
              <w:rPr>
                <w:rFonts w:ascii="Times New Roman" w:hAnsi="Times New Roman"/>
                <w:sz w:val="24"/>
              </w:rPr>
            </w:pPr>
            <w:r w:rsidRPr="00661595">
              <w:rPr>
                <w:rFonts w:ascii="Times New Roman" w:hAnsi="Times New Roman"/>
                <w:sz w:val="24"/>
              </w:rPr>
              <w:t>0</w:t>
            </w:r>
            <w:r w:rsidR="00973707" w:rsidRPr="00661595">
              <w:rPr>
                <w:rFonts w:ascii="Times New Roman" w:hAnsi="Times New Roman"/>
                <w:sz w:val="24"/>
              </w:rPr>
              <w:t>030</w:t>
            </w:r>
          </w:p>
        </w:tc>
        <w:tc>
          <w:tcPr>
            <w:tcW w:w="8187" w:type="dxa"/>
          </w:tcPr>
          <w:p w:rsidR="00973707" w:rsidRPr="00661595" w:rsidRDefault="00973707" w:rsidP="00AF3D7A">
            <w:pPr>
              <w:spacing w:beforeLines="60" w:before="144" w:afterLines="60" w:after="144"/>
              <w:rPr>
                <w:rFonts w:ascii="Times New Roman" w:hAnsi="Times New Roman"/>
                <w:b/>
                <w:sz w:val="24"/>
                <w:u w:val="single"/>
              </w:rPr>
            </w:pPr>
            <w:r w:rsidRPr="00661595">
              <w:rPr>
                <w:rFonts w:ascii="Times New Roman" w:hAnsi="Times New Roman"/>
                <w:b/>
                <w:sz w:val="24"/>
                <w:u w:val="single"/>
              </w:rPr>
              <w:t xml:space="preserve">1.1 PORTFOLIOS UNDER ARTICLES 9 TO 17 </w:t>
            </w:r>
            <w:r w:rsidR="00127986" w:rsidRPr="00661595">
              <w:t xml:space="preserve"> </w:t>
            </w:r>
            <w:r w:rsidR="001771A4" w:rsidRPr="00661595">
              <w:rPr>
                <w:rFonts w:ascii="Times New Roman" w:hAnsi="Times New Roman"/>
                <w:b/>
                <w:sz w:val="24"/>
                <w:u w:val="single"/>
              </w:rPr>
              <w:t xml:space="preserve">OF COMMISSION DELEGATED REGULATION </w:t>
            </w:r>
            <w:r w:rsidR="00127986" w:rsidRPr="00661595">
              <w:rPr>
                <w:rFonts w:ascii="Times New Roman" w:hAnsi="Times New Roman"/>
                <w:b/>
                <w:sz w:val="24"/>
                <w:u w:val="single"/>
              </w:rPr>
              <w:t>(EU) 2016/101</w:t>
            </w:r>
            <w:r w:rsidRPr="00661595">
              <w:rPr>
                <w:rFonts w:ascii="Times New Roman" w:hAnsi="Times New Roman"/>
                <w:b/>
                <w:sz w:val="24"/>
                <w:u w:val="single"/>
              </w:rPr>
              <w:t xml:space="preserve">- TOTAL CATEGORY LEVEL POST-DIVERSIFICATION </w:t>
            </w:r>
          </w:p>
          <w:p w:rsidR="00973707" w:rsidRPr="00661595" w:rsidRDefault="002B004B" w:rsidP="00AF3D7A">
            <w:pPr>
              <w:spacing w:beforeLines="60" w:before="144" w:afterLines="60" w:after="144"/>
              <w:rPr>
                <w:rFonts w:ascii="Times New Roman" w:hAnsi="Times New Roman"/>
                <w:sz w:val="24"/>
              </w:rPr>
            </w:pPr>
            <w:r w:rsidRPr="00661595">
              <w:rPr>
                <w:rFonts w:ascii="Times New Roman" w:hAnsi="Times New Roman"/>
                <w:sz w:val="24"/>
              </w:rPr>
              <w:t xml:space="preserve">Point (a) of </w:t>
            </w:r>
            <w:r w:rsidR="00973707" w:rsidRPr="00661595">
              <w:rPr>
                <w:rFonts w:ascii="Times New Roman" w:hAnsi="Times New Roman"/>
                <w:sz w:val="24"/>
              </w:rPr>
              <w:t xml:space="preserve">Article 7(2) of </w:t>
            </w:r>
            <w:r w:rsidR="00F811F8" w:rsidRPr="00661595">
              <w:rPr>
                <w:rFonts w:ascii="Times New Roman" w:hAnsi="Times New Roman"/>
                <w:sz w:val="24"/>
              </w:rPr>
              <w:t>Delegated Regulation (EU) 2016/101</w:t>
            </w:r>
            <w:r w:rsidR="00A30C4C" w:rsidRPr="00661595">
              <w:rPr>
                <w:rFonts w:ascii="Times New Roman" w:hAnsi="Times New Roman"/>
                <w:sz w:val="24"/>
              </w:rPr>
              <w:t>.</w:t>
            </w:r>
          </w:p>
          <w:p w:rsidR="00973707" w:rsidRPr="00661595" w:rsidRDefault="00973707" w:rsidP="00AF3D7A">
            <w:pPr>
              <w:spacing w:beforeLines="60" w:before="144" w:afterLines="60" w:after="144"/>
              <w:rPr>
                <w:rFonts w:ascii="Times New Roman" w:hAnsi="Times New Roman"/>
                <w:sz w:val="24"/>
              </w:rPr>
            </w:pPr>
            <w:r w:rsidRPr="00661595">
              <w:rPr>
                <w:rFonts w:ascii="Times New Roman" w:hAnsi="Times New Roman"/>
                <w:sz w:val="24"/>
              </w:rPr>
              <w:t xml:space="preserve">For each relevant category of AVAs referred to in columns </w:t>
            </w:r>
            <w:r w:rsidR="009A7A38" w:rsidRPr="00661595">
              <w:rPr>
                <w:rFonts w:ascii="Times New Roman" w:hAnsi="Times New Roman"/>
                <w:sz w:val="24"/>
              </w:rPr>
              <w:t>0</w:t>
            </w:r>
            <w:r w:rsidRPr="00661595">
              <w:rPr>
                <w:rFonts w:ascii="Times New Roman" w:hAnsi="Times New Roman"/>
                <w:sz w:val="24"/>
              </w:rPr>
              <w:t xml:space="preserve">010 to </w:t>
            </w:r>
            <w:r w:rsidR="009A7A38" w:rsidRPr="00661595">
              <w:rPr>
                <w:rFonts w:ascii="Times New Roman" w:hAnsi="Times New Roman"/>
                <w:sz w:val="24"/>
              </w:rPr>
              <w:t>0</w:t>
            </w:r>
            <w:r w:rsidRPr="00661595">
              <w:rPr>
                <w:rFonts w:ascii="Times New Roman" w:hAnsi="Times New Roman"/>
                <w:sz w:val="24"/>
              </w:rPr>
              <w:t xml:space="preserve">110, total AVAs computed </w:t>
            </w:r>
            <w:r w:rsidR="00BB22D4" w:rsidRPr="00661595">
              <w:rPr>
                <w:rFonts w:ascii="Times New Roman" w:hAnsi="Times New Roman"/>
                <w:sz w:val="24"/>
              </w:rPr>
              <w:t>in accordance with</w:t>
            </w:r>
            <w:r w:rsidRPr="00661595">
              <w:rPr>
                <w:rFonts w:ascii="Times New Roman" w:hAnsi="Times New Roman"/>
                <w:sz w:val="24"/>
              </w:rPr>
              <w:t xml:space="preserve"> Articles 9 to 17 of</w:t>
            </w:r>
            <w:r w:rsidR="00F811F8" w:rsidRPr="00661595">
              <w:rPr>
                <w:rFonts w:ascii="Times New Roman" w:hAnsi="Times New Roman"/>
                <w:sz w:val="24"/>
              </w:rPr>
              <w:t xml:space="preserve"> Delegated Regulation (EU) 2016/101</w:t>
            </w:r>
            <w:r w:rsidR="009A7A38" w:rsidRPr="00661595">
              <w:rPr>
                <w:rFonts w:ascii="Times New Roman" w:hAnsi="Times New Roman"/>
                <w:sz w:val="24"/>
              </w:rPr>
              <w:t xml:space="preserve"> </w:t>
            </w:r>
            <w:r w:rsidRPr="00661595">
              <w:rPr>
                <w:rFonts w:ascii="Times New Roman" w:hAnsi="Times New Roman"/>
                <w:sz w:val="24"/>
              </w:rPr>
              <w:t xml:space="preserve">for fair-valued assets and liabilities included in the threshold computation in accordance with Article 4(1) of </w:t>
            </w:r>
            <w:r w:rsidR="00F811F8" w:rsidRPr="00661595">
              <w:rPr>
                <w:rFonts w:ascii="Times New Roman" w:hAnsi="Times New Roman"/>
                <w:sz w:val="24"/>
              </w:rPr>
              <w:t>th</w:t>
            </w:r>
            <w:r w:rsidR="00A30C4C" w:rsidRPr="00661595">
              <w:rPr>
                <w:rFonts w:ascii="Times New Roman" w:hAnsi="Times New Roman"/>
                <w:sz w:val="24"/>
              </w:rPr>
              <w:t>at</w:t>
            </w:r>
            <w:r w:rsidR="00F811F8" w:rsidRPr="00661595">
              <w:rPr>
                <w:rFonts w:ascii="Times New Roman" w:hAnsi="Times New Roman"/>
                <w:sz w:val="24"/>
              </w:rPr>
              <w:t xml:space="preserve"> Regulation</w:t>
            </w:r>
            <w:r w:rsidRPr="00661595">
              <w:rPr>
                <w:rFonts w:ascii="Times New Roman" w:hAnsi="Times New Roman"/>
                <w:sz w:val="24"/>
              </w:rPr>
              <w:t>, except fair-valued assets and liabilities subject to the treatment described in</w:t>
            </w:r>
            <w:r w:rsidR="002F78EA" w:rsidRPr="00661595">
              <w:rPr>
                <w:rFonts w:ascii="Times New Roman" w:hAnsi="Times New Roman"/>
                <w:sz w:val="24"/>
              </w:rPr>
              <w:t xml:space="preserve"> point (b) of</w:t>
            </w:r>
            <w:r w:rsidRPr="00661595">
              <w:rPr>
                <w:rFonts w:ascii="Times New Roman" w:hAnsi="Times New Roman"/>
                <w:sz w:val="24"/>
              </w:rPr>
              <w:t xml:space="preserve"> Article 7(2) of </w:t>
            </w:r>
            <w:r w:rsidR="00F811F8" w:rsidRPr="00661595">
              <w:rPr>
                <w:rFonts w:ascii="Times New Roman" w:hAnsi="Times New Roman"/>
                <w:sz w:val="24"/>
              </w:rPr>
              <w:t>Delegated Regulation (EU) 2016/101</w:t>
            </w:r>
            <w:r w:rsidRPr="00661595">
              <w:rPr>
                <w:rFonts w:ascii="Times New Roman" w:hAnsi="Times New Roman"/>
                <w:sz w:val="24"/>
              </w:rPr>
              <w:t xml:space="preserve">. </w:t>
            </w:r>
          </w:p>
          <w:p w:rsidR="00973707" w:rsidRPr="00661595" w:rsidRDefault="00973707" w:rsidP="00AF3D7A">
            <w:pPr>
              <w:spacing w:beforeLines="60" w:before="144" w:afterLines="60" w:after="144"/>
              <w:rPr>
                <w:rFonts w:ascii="Times New Roman" w:hAnsi="Times New Roman"/>
                <w:sz w:val="24"/>
              </w:rPr>
            </w:pPr>
            <w:r w:rsidRPr="00661595">
              <w:rPr>
                <w:rFonts w:ascii="Times New Roman" w:hAnsi="Times New Roman"/>
                <w:sz w:val="24"/>
              </w:rPr>
              <w:t>Th</w:t>
            </w:r>
            <w:r w:rsidR="00A30C4C" w:rsidRPr="00661595">
              <w:rPr>
                <w:rFonts w:ascii="Times New Roman" w:hAnsi="Times New Roman"/>
                <w:sz w:val="24"/>
              </w:rPr>
              <w:t>at</w:t>
            </w:r>
            <w:r w:rsidRPr="00661595">
              <w:rPr>
                <w:rFonts w:ascii="Times New Roman" w:hAnsi="Times New Roman"/>
                <w:sz w:val="24"/>
              </w:rPr>
              <w:t xml:space="preserve"> includes the AVAs computed in accordance with Articles 12 and 13 of </w:t>
            </w:r>
            <w:r w:rsidR="00F811F8" w:rsidRPr="00661595">
              <w:rPr>
                <w:rFonts w:ascii="Times New Roman" w:hAnsi="Times New Roman"/>
                <w:sz w:val="24"/>
              </w:rPr>
              <w:t xml:space="preserve">Delegated Regulation (EU) 2016/101 </w:t>
            </w:r>
            <w:r w:rsidRPr="00661595">
              <w:rPr>
                <w:rFonts w:ascii="Times New Roman" w:hAnsi="Times New Roman"/>
                <w:sz w:val="24"/>
              </w:rPr>
              <w:t xml:space="preserve">that are reported in rows </w:t>
            </w:r>
            <w:r w:rsidR="009A7A38" w:rsidRPr="00661595">
              <w:rPr>
                <w:rFonts w:ascii="Times New Roman" w:hAnsi="Times New Roman"/>
                <w:sz w:val="24"/>
              </w:rPr>
              <w:t>0</w:t>
            </w:r>
            <w:r w:rsidRPr="00661595">
              <w:rPr>
                <w:rFonts w:ascii="Times New Roman" w:hAnsi="Times New Roman"/>
                <w:sz w:val="24"/>
              </w:rPr>
              <w:t xml:space="preserve">050 and </w:t>
            </w:r>
            <w:r w:rsidR="009A7A38" w:rsidRPr="00661595">
              <w:rPr>
                <w:rFonts w:ascii="Times New Roman" w:hAnsi="Times New Roman"/>
                <w:sz w:val="24"/>
              </w:rPr>
              <w:t>0</w:t>
            </w:r>
            <w:r w:rsidRPr="00661595">
              <w:rPr>
                <w:rFonts w:ascii="Times New Roman" w:hAnsi="Times New Roman"/>
                <w:sz w:val="24"/>
              </w:rPr>
              <w:t xml:space="preserve">060 and are included in market price uncertainty AVAs, close-out costs AVAs and model risk AVAs as set out in Articles 12(2) and 13(2) of </w:t>
            </w:r>
            <w:r w:rsidR="00F811F8" w:rsidRPr="00661595">
              <w:rPr>
                <w:rFonts w:ascii="Times New Roman" w:hAnsi="Times New Roman"/>
                <w:sz w:val="24"/>
              </w:rPr>
              <w:t>th</w:t>
            </w:r>
            <w:r w:rsidR="00A30C4C" w:rsidRPr="00661595">
              <w:rPr>
                <w:rFonts w:ascii="Times New Roman" w:hAnsi="Times New Roman"/>
                <w:sz w:val="24"/>
              </w:rPr>
              <w:t>at</w:t>
            </w:r>
            <w:r w:rsidR="00F811F8" w:rsidRPr="00661595">
              <w:rPr>
                <w:rFonts w:ascii="Times New Roman" w:hAnsi="Times New Roman"/>
                <w:sz w:val="24"/>
              </w:rPr>
              <w:t xml:space="preserve"> Regulation</w:t>
            </w:r>
            <w:r w:rsidRPr="00661595">
              <w:rPr>
                <w:rFonts w:ascii="Times New Roman" w:hAnsi="Times New Roman"/>
                <w:sz w:val="24"/>
              </w:rPr>
              <w:t xml:space="preserve">. </w:t>
            </w:r>
          </w:p>
          <w:p w:rsidR="00973707" w:rsidRPr="00661595" w:rsidRDefault="00973707" w:rsidP="00AF3D7A">
            <w:pPr>
              <w:spacing w:beforeLines="60" w:before="144" w:afterLines="60" w:after="144"/>
              <w:rPr>
                <w:rFonts w:ascii="Times New Roman" w:hAnsi="Times New Roman"/>
                <w:sz w:val="24"/>
              </w:rPr>
            </w:pPr>
            <w:r w:rsidRPr="00661595">
              <w:rPr>
                <w:rFonts w:ascii="Times New Roman" w:hAnsi="Times New Roman"/>
                <w:sz w:val="24"/>
              </w:rPr>
              <w:t>Th</w:t>
            </w:r>
            <w:r w:rsidR="00A30C4C" w:rsidRPr="00661595">
              <w:rPr>
                <w:rFonts w:ascii="Times New Roman" w:hAnsi="Times New Roman"/>
                <w:sz w:val="24"/>
              </w:rPr>
              <w:t>at</w:t>
            </w:r>
            <w:r w:rsidRPr="00661595">
              <w:rPr>
                <w:rFonts w:ascii="Times New Roman" w:hAnsi="Times New Roman"/>
                <w:sz w:val="24"/>
              </w:rPr>
              <w:t xml:space="preserve"> includes the diversification benefits reported in row </w:t>
            </w:r>
            <w:r w:rsidR="009A7A38" w:rsidRPr="00661595">
              <w:rPr>
                <w:rFonts w:ascii="Times New Roman" w:hAnsi="Times New Roman"/>
                <w:sz w:val="24"/>
              </w:rPr>
              <w:t>0</w:t>
            </w:r>
            <w:r w:rsidRPr="00661595">
              <w:rPr>
                <w:rFonts w:ascii="Times New Roman" w:hAnsi="Times New Roman"/>
                <w:sz w:val="24"/>
              </w:rPr>
              <w:t xml:space="preserve">140 in accordance with Articles 9(6), 10(7) and 11(7) of </w:t>
            </w:r>
            <w:r w:rsidR="00F811F8" w:rsidRPr="00661595">
              <w:rPr>
                <w:rFonts w:ascii="Times New Roman" w:hAnsi="Times New Roman"/>
                <w:sz w:val="24"/>
              </w:rPr>
              <w:t>Delegated Regulation (EU) 2016/101</w:t>
            </w:r>
            <w:r w:rsidRPr="00661595">
              <w:rPr>
                <w:rFonts w:ascii="Times New Roman" w:hAnsi="Times New Roman"/>
                <w:sz w:val="24"/>
              </w:rPr>
              <w:t xml:space="preserve">. </w:t>
            </w:r>
          </w:p>
          <w:p w:rsidR="00973707" w:rsidRPr="00661595" w:rsidRDefault="00973707" w:rsidP="00127986">
            <w:pPr>
              <w:spacing w:beforeLines="60" w:before="144" w:afterLines="60" w:after="144"/>
              <w:rPr>
                <w:rFonts w:ascii="Times New Roman" w:hAnsi="Times New Roman"/>
                <w:sz w:val="24"/>
              </w:rPr>
            </w:pPr>
            <w:r w:rsidRPr="00661595">
              <w:rPr>
                <w:rFonts w:ascii="Times New Roman" w:hAnsi="Times New Roman"/>
                <w:sz w:val="24"/>
              </w:rPr>
              <w:t xml:space="preserve">Row </w:t>
            </w:r>
            <w:r w:rsidR="009A7A38" w:rsidRPr="00661595">
              <w:rPr>
                <w:rFonts w:ascii="Times New Roman" w:hAnsi="Times New Roman"/>
                <w:sz w:val="24"/>
              </w:rPr>
              <w:t>0</w:t>
            </w:r>
            <w:r w:rsidRPr="00661595">
              <w:rPr>
                <w:rFonts w:ascii="Times New Roman" w:hAnsi="Times New Roman"/>
                <w:sz w:val="24"/>
              </w:rPr>
              <w:t xml:space="preserve">030 </w:t>
            </w:r>
            <w:r w:rsidR="00127986" w:rsidRPr="00661595">
              <w:rPr>
                <w:rFonts w:ascii="Times New Roman" w:hAnsi="Times New Roman"/>
                <w:sz w:val="24"/>
              </w:rPr>
              <w:t>shall</w:t>
            </w:r>
            <w:r w:rsidRPr="00661595">
              <w:rPr>
                <w:rFonts w:ascii="Times New Roman" w:hAnsi="Times New Roman"/>
                <w:sz w:val="24"/>
              </w:rPr>
              <w:t xml:space="preserve"> be the difference between row</w:t>
            </w:r>
            <w:r w:rsidR="009A7A38" w:rsidRPr="00661595">
              <w:rPr>
                <w:rFonts w:ascii="Times New Roman" w:hAnsi="Times New Roman"/>
                <w:sz w:val="24"/>
              </w:rPr>
              <w:t>s</w:t>
            </w:r>
            <w:r w:rsidRPr="00661595">
              <w:rPr>
                <w:rFonts w:ascii="Times New Roman" w:hAnsi="Times New Roman"/>
                <w:sz w:val="24"/>
              </w:rPr>
              <w:t xml:space="preserve"> </w:t>
            </w:r>
            <w:r w:rsidR="009A7A38" w:rsidRPr="00661595">
              <w:rPr>
                <w:rFonts w:ascii="Times New Roman" w:hAnsi="Times New Roman"/>
                <w:sz w:val="24"/>
              </w:rPr>
              <w:t>0</w:t>
            </w:r>
            <w:r w:rsidRPr="00661595">
              <w:rPr>
                <w:rFonts w:ascii="Times New Roman" w:hAnsi="Times New Roman"/>
                <w:sz w:val="24"/>
              </w:rPr>
              <w:t xml:space="preserve">040 and </w:t>
            </w:r>
            <w:r w:rsidR="009A7A38" w:rsidRPr="00661595">
              <w:rPr>
                <w:rFonts w:ascii="Times New Roman" w:hAnsi="Times New Roman"/>
                <w:sz w:val="24"/>
              </w:rPr>
              <w:t>0</w:t>
            </w:r>
            <w:r w:rsidRPr="00661595">
              <w:rPr>
                <w:rFonts w:ascii="Times New Roman" w:hAnsi="Times New Roman"/>
                <w:sz w:val="24"/>
              </w:rPr>
              <w:t xml:space="preserve">140. </w:t>
            </w:r>
          </w:p>
        </w:tc>
      </w:tr>
      <w:tr w:rsidR="00973707" w:rsidRPr="00661595" w:rsidTr="00672D2A">
        <w:tc>
          <w:tcPr>
            <w:tcW w:w="1101" w:type="dxa"/>
          </w:tcPr>
          <w:p w:rsidR="00973707" w:rsidRPr="00661595" w:rsidRDefault="009A7A38" w:rsidP="00AF3D7A">
            <w:pPr>
              <w:spacing w:beforeLines="60" w:before="144" w:afterLines="60" w:after="144"/>
              <w:rPr>
                <w:rFonts w:ascii="Times New Roman" w:hAnsi="Times New Roman"/>
                <w:sz w:val="24"/>
              </w:rPr>
            </w:pPr>
            <w:r w:rsidRPr="00661595">
              <w:rPr>
                <w:rFonts w:ascii="Times New Roman" w:hAnsi="Times New Roman"/>
                <w:sz w:val="24"/>
              </w:rPr>
              <w:t>0</w:t>
            </w:r>
            <w:r w:rsidR="00973707" w:rsidRPr="00661595">
              <w:rPr>
                <w:rFonts w:ascii="Times New Roman" w:hAnsi="Times New Roman"/>
                <w:sz w:val="24"/>
              </w:rPr>
              <w:t xml:space="preserve">040 - </w:t>
            </w:r>
            <w:r w:rsidRPr="00661595">
              <w:rPr>
                <w:rFonts w:ascii="Times New Roman" w:hAnsi="Times New Roman"/>
                <w:sz w:val="24"/>
              </w:rPr>
              <w:t>0</w:t>
            </w:r>
            <w:r w:rsidR="00973707" w:rsidRPr="00661595">
              <w:rPr>
                <w:rFonts w:ascii="Times New Roman" w:hAnsi="Times New Roman"/>
                <w:sz w:val="24"/>
              </w:rPr>
              <w:t>130</w:t>
            </w:r>
          </w:p>
        </w:tc>
        <w:tc>
          <w:tcPr>
            <w:tcW w:w="8187" w:type="dxa"/>
          </w:tcPr>
          <w:p w:rsidR="00973707" w:rsidRPr="00661595" w:rsidRDefault="00973707" w:rsidP="00AF3D7A">
            <w:pPr>
              <w:spacing w:beforeLines="60" w:before="144" w:afterLines="60" w:after="144"/>
              <w:rPr>
                <w:rFonts w:ascii="Times New Roman" w:hAnsi="Times New Roman"/>
                <w:b/>
                <w:sz w:val="24"/>
                <w:u w:val="single"/>
              </w:rPr>
            </w:pPr>
            <w:r w:rsidRPr="00661595">
              <w:rPr>
                <w:rFonts w:ascii="Times New Roman" w:hAnsi="Times New Roman"/>
                <w:b/>
                <w:sz w:val="24"/>
                <w:u w:val="single"/>
              </w:rPr>
              <w:t>1.1.1 TOTAL CATEGORY LEVEL PRE-DIVERSIFICATION</w:t>
            </w:r>
          </w:p>
          <w:p w:rsidR="00973707" w:rsidRPr="00661595" w:rsidRDefault="00973707" w:rsidP="00AF3D7A">
            <w:pPr>
              <w:spacing w:beforeLines="60" w:before="144" w:afterLines="60" w:after="144"/>
              <w:rPr>
                <w:rFonts w:ascii="Times New Roman" w:hAnsi="Times New Roman"/>
                <w:sz w:val="24"/>
              </w:rPr>
            </w:pPr>
            <w:r w:rsidRPr="00661595">
              <w:rPr>
                <w:rFonts w:ascii="Times New Roman" w:hAnsi="Times New Roman"/>
                <w:sz w:val="24"/>
              </w:rPr>
              <w:t xml:space="preserve">For rows </w:t>
            </w:r>
            <w:r w:rsidR="009A7A38" w:rsidRPr="00661595">
              <w:rPr>
                <w:rFonts w:ascii="Times New Roman" w:hAnsi="Times New Roman"/>
                <w:sz w:val="24"/>
              </w:rPr>
              <w:t>0</w:t>
            </w:r>
            <w:r w:rsidRPr="00661595">
              <w:rPr>
                <w:rFonts w:ascii="Times New Roman" w:hAnsi="Times New Roman"/>
                <w:sz w:val="24"/>
              </w:rPr>
              <w:t xml:space="preserve">090 to </w:t>
            </w:r>
            <w:r w:rsidR="009A7A38" w:rsidRPr="00661595">
              <w:rPr>
                <w:rFonts w:ascii="Times New Roman" w:hAnsi="Times New Roman"/>
                <w:sz w:val="24"/>
              </w:rPr>
              <w:t>0</w:t>
            </w:r>
            <w:r w:rsidRPr="00661595">
              <w:rPr>
                <w:rFonts w:ascii="Times New Roman" w:hAnsi="Times New Roman"/>
                <w:sz w:val="24"/>
              </w:rPr>
              <w:t>130</w:t>
            </w:r>
            <w:r w:rsidR="005A2182" w:rsidRPr="00661595">
              <w:rPr>
                <w:rFonts w:ascii="Times New Roman" w:hAnsi="Times New Roman"/>
                <w:sz w:val="24"/>
              </w:rPr>
              <w:t>,</w:t>
            </w:r>
            <w:r w:rsidRPr="00661595">
              <w:rPr>
                <w:rFonts w:ascii="Times New Roman" w:hAnsi="Times New Roman"/>
                <w:sz w:val="24"/>
              </w:rPr>
              <w:t xml:space="preserve"> institutions</w:t>
            </w:r>
            <w:r w:rsidR="00F811F8" w:rsidRPr="00661595">
              <w:rPr>
                <w:rFonts w:ascii="Times New Roman" w:hAnsi="Times New Roman"/>
                <w:sz w:val="24"/>
              </w:rPr>
              <w:t xml:space="preserve"> shall </w:t>
            </w:r>
            <w:r w:rsidRPr="00661595">
              <w:rPr>
                <w:rFonts w:ascii="Times New Roman" w:hAnsi="Times New Roman"/>
                <w:sz w:val="24"/>
              </w:rPr>
              <w:t xml:space="preserve">allocate their fair-valued assets and liabilities included in the threshold computation in accordance with Article 4(1) of </w:t>
            </w:r>
            <w:r w:rsidR="00F811F8" w:rsidRPr="00661595">
              <w:rPr>
                <w:rFonts w:ascii="Times New Roman" w:hAnsi="Times New Roman"/>
                <w:sz w:val="24"/>
              </w:rPr>
              <w:t xml:space="preserve">Delegated Regulation (EU) 2016/101 </w:t>
            </w:r>
            <w:r w:rsidRPr="00661595">
              <w:rPr>
                <w:rFonts w:ascii="Times New Roman" w:hAnsi="Times New Roman"/>
                <w:sz w:val="24"/>
              </w:rPr>
              <w:t xml:space="preserve">(trading book and non-trading book) </w:t>
            </w:r>
            <w:r w:rsidR="001771A4" w:rsidRPr="00661595">
              <w:rPr>
                <w:rFonts w:ascii="Times New Roman" w:hAnsi="Times New Roman"/>
                <w:sz w:val="24"/>
              </w:rPr>
              <w:t>to</w:t>
            </w:r>
            <w:r w:rsidRPr="00661595">
              <w:rPr>
                <w:rFonts w:ascii="Times New Roman" w:hAnsi="Times New Roman"/>
                <w:sz w:val="24"/>
              </w:rPr>
              <w:t xml:space="preserve"> the following risk categories</w:t>
            </w:r>
            <w:r w:rsidR="009A7A38" w:rsidRPr="00661595">
              <w:rPr>
                <w:rFonts w:ascii="Times New Roman" w:hAnsi="Times New Roman"/>
                <w:sz w:val="24"/>
              </w:rPr>
              <w:t>: i</w:t>
            </w:r>
            <w:r w:rsidRPr="00661595">
              <w:rPr>
                <w:rFonts w:ascii="Times New Roman" w:hAnsi="Times New Roman"/>
                <w:sz w:val="24"/>
              </w:rPr>
              <w:t xml:space="preserve">nterest </w:t>
            </w:r>
            <w:r w:rsidR="009A7A38" w:rsidRPr="00661595">
              <w:rPr>
                <w:rFonts w:ascii="Times New Roman" w:hAnsi="Times New Roman"/>
                <w:sz w:val="24"/>
              </w:rPr>
              <w:t>r</w:t>
            </w:r>
            <w:r w:rsidRPr="00661595">
              <w:rPr>
                <w:rFonts w:ascii="Times New Roman" w:hAnsi="Times New Roman"/>
                <w:sz w:val="24"/>
              </w:rPr>
              <w:t xml:space="preserve">ates, </w:t>
            </w:r>
            <w:r w:rsidR="009A7A38" w:rsidRPr="00661595">
              <w:rPr>
                <w:rFonts w:ascii="Times New Roman" w:hAnsi="Times New Roman"/>
                <w:sz w:val="24"/>
              </w:rPr>
              <w:t>f</w:t>
            </w:r>
            <w:r w:rsidR="00AF3D7A" w:rsidRPr="00661595">
              <w:rPr>
                <w:rFonts w:ascii="Times New Roman" w:hAnsi="Times New Roman"/>
                <w:sz w:val="24"/>
              </w:rPr>
              <w:t xml:space="preserve">oreign exchange, </w:t>
            </w:r>
            <w:r w:rsidR="009A7A38" w:rsidRPr="00661595">
              <w:rPr>
                <w:rFonts w:ascii="Times New Roman" w:hAnsi="Times New Roman"/>
                <w:sz w:val="24"/>
              </w:rPr>
              <w:t>c</w:t>
            </w:r>
            <w:r w:rsidRPr="00661595">
              <w:rPr>
                <w:rFonts w:ascii="Times New Roman" w:hAnsi="Times New Roman"/>
                <w:sz w:val="24"/>
              </w:rPr>
              <w:t xml:space="preserve">redit, </w:t>
            </w:r>
            <w:r w:rsidR="009A7A38" w:rsidRPr="00661595">
              <w:rPr>
                <w:rFonts w:ascii="Times New Roman" w:hAnsi="Times New Roman"/>
                <w:sz w:val="24"/>
              </w:rPr>
              <w:t>e</w:t>
            </w:r>
            <w:r w:rsidRPr="00661595">
              <w:rPr>
                <w:rFonts w:ascii="Times New Roman" w:hAnsi="Times New Roman"/>
                <w:sz w:val="24"/>
              </w:rPr>
              <w:t xml:space="preserve">quities, </w:t>
            </w:r>
            <w:r w:rsidR="009A7A38" w:rsidRPr="00661595">
              <w:rPr>
                <w:rFonts w:ascii="Times New Roman" w:hAnsi="Times New Roman"/>
                <w:sz w:val="24"/>
              </w:rPr>
              <w:t>c</w:t>
            </w:r>
            <w:r w:rsidRPr="00661595">
              <w:rPr>
                <w:rFonts w:ascii="Times New Roman" w:hAnsi="Times New Roman"/>
                <w:sz w:val="24"/>
              </w:rPr>
              <w:t xml:space="preserve">ommodities. </w:t>
            </w:r>
          </w:p>
          <w:p w:rsidR="00973707" w:rsidRPr="00661595" w:rsidRDefault="00973707" w:rsidP="00AF3D7A">
            <w:pPr>
              <w:spacing w:beforeLines="60" w:before="144" w:afterLines="60" w:after="144"/>
              <w:rPr>
                <w:rFonts w:ascii="Times New Roman" w:hAnsi="Times New Roman"/>
                <w:sz w:val="24"/>
              </w:rPr>
            </w:pPr>
            <w:r w:rsidRPr="00661595">
              <w:rPr>
                <w:rFonts w:ascii="Times New Roman" w:hAnsi="Times New Roman"/>
                <w:sz w:val="24"/>
              </w:rPr>
              <w:t>To th</w:t>
            </w:r>
            <w:r w:rsidR="00A30C4C" w:rsidRPr="00661595">
              <w:rPr>
                <w:rFonts w:ascii="Times New Roman" w:hAnsi="Times New Roman"/>
                <w:sz w:val="24"/>
              </w:rPr>
              <w:t>at</w:t>
            </w:r>
            <w:r w:rsidRPr="00661595">
              <w:rPr>
                <w:rFonts w:ascii="Times New Roman" w:hAnsi="Times New Roman"/>
                <w:sz w:val="24"/>
              </w:rPr>
              <w:t xml:space="preserve"> end, institutions </w:t>
            </w:r>
            <w:r w:rsidR="00F75FD2" w:rsidRPr="00661595">
              <w:rPr>
                <w:rFonts w:ascii="Times New Roman" w:hAnsi="Times New Roman"/>
                <w:sz w:val="24"/>
              </w:rPr>
              <w:t>shall</w:t>
            </w:r>
            <w:r w:rsidRPr="00661595">
              <w:rPr>
                <w:rFonts w:ascii="Times New Roman" w:hAnsi="Times New Roman"/>
                <w:sz w:val="24"/>
              </w:rPr>
              <w:t xml:space="preserve"> rely on their internal risk management structure and, following a mapping developed based on expert judgement, allocate their business lines or trading desks to the most appropriate risk category. AVAs, Fair Value Adjustments and other</w:t>
            </w:r>
            <w:r w:rsidR="00F811F8" w:rsidRPr="00661595">
              <w:rPr>
                <w:rFonts w:ascii="Times New Roman" w:hAnsi="Times New Roman"/>
                <w:sz w:val="24"/>
              </w:rPr>
              <w:t xml:space="preserve"> required</w:t>
            </w:r>
            <w:r w:rsidRPr="00661595">
              <w:rPr>
                <w:rFonts w:ascii="Times New Roman" w:hAnsi="Times New Roman"/>
                <w:sz w:val="24"/>
              </w:rPr>
              <w:t xml:space="preserve"> information which correspond to the allocated business lines or trading desks, sh</w:t>
            </w:r>
            <w:r w:rsidR="00F75FD2" w:rsidRPr="00661595">
              <w:rPr>
                <w:rFonts w:ascii="Times New Roman" w:hAnsi="Times New Roman"/>
                <w:sz w:val="24"/>
              </w:rPr>
              <w:t>all</w:t>
            </w:r>
            <w:r w:rsidRPr="00661595">
              <w:rPr>
                <w:rFonts w:ascii="Times New Roman" w:hAnsi="Times New Roman"/>
                <w:sz w:val="24"/>
              </w:rPr>
              <w:t xml:space="preserve"> be allocated to the same relevant risk category to provide at row level for each risk category a consistent overview of the adjustments performed both for prudential purposes and accounting purposes, as well as an indication of the size of the positions concerned (in terms of fair-valued assets and liabilities). Where AVAs or other adjustments are computed at a different level of aggregation, in particular at firm level, institutions sh</w:t>
            </w:r>
            <w:r w:rsidR="00F75FD2" w:rsidRPr="00661595">
              <w:rPr>
                <w:rFonts w:ascii="Times New Roman" w:hAnsi="Times New Roman"/>
                <w:sz w:val="24"/>
              </w:rPr>
              <w:t>all</w:t>
            </w:r>
            <w:r w:rsidRPr="00661595">
              <w:rPr>
                <w:rFonts w:ascii="Times New Roman" w:hAnsi="Times New Roman"/>
                <w:sz w:val="24"/>
              </w:rPr>
              <w:t xml:space="preserve"> develop an allocation methodology of the AVAs to the relevant sets of positions. The allocation methodology sh</w:t>
            </w:r>
            <w:r w:rsidR="00F75FD2" w:rsidRPr="00661595">
              <w:rPr>
                <w:rFonts w:ascii="Times New Roman" w:hAnsi="Times New Roman"/>
                <w:sz w:val="24"/>
              </w:rPr>
              <w:t>all</w:t>
            </w:r>
            <w:r w:rsidRPr="00661595">
              <w:rPr>
                <w:rFonts w:ascii="Times New Roman" w:hAnsi="Times New Roman"/>
                <w:sz w:val="24"/>
              </w:rPr>
              <w:t xml:space="preserve"> lead to row </w:t>
            </w:r>
            <w:r w:rsidR="00F75FD2" w:rsidRPr="00661595">
              <w:rPr>
                <w:rFonts w:ascii="Times New Roman" w:hAnsi="Times New Roman"/>
                <w:sz w:val="24"/>
              </w:rPr>
              <w:t>0</w:t>
            </w:r>
            <w:r w:rsidRPr="00661595">
              <w:rPr>
                <w:rFonts w:ascii="Times New Roman" w:hAnsi="Times New Roman"/>
                <w:sz w:val="24"/>
              </w:rPr>
              <w:t xml:space="preserve">040 being the sum of rows </w:t>
            </w:r>
            <w:r w:rsidR="00F75FD2" w:rsidRPr="00661595">
              <w:rPr>
                <w:rFonts w:ascii="Times New Roman" w:hAnsi="Times New Roman"/>
                <w:sz w:val="24"/>
              </w:rPr>
              <w:t>00</w:t>
            </w:r>
            <w:r w:rsidRPr="00661595">
              <w:rPr>
                <w:rFonts w:ascii="Times New Roman" w:hAnsi="Times New Roman"/>
                <w:sz w:val="24"/>
              </w:rPr>
              <w:t xml:space="preserve">50 to </w:t>
            </w:r>
            <w:r w:rsidR="00F75FD2" w:rsidRPr="00661595">
              <w:rPr>
                <w:rFonts w:ascii="Times New Roman" w:hAnsi="Times New Roman"/>
                <w:sz w:val="24"/>
              </w:rPr>
              <w:t>0</w:t>
            </w:r>
            <w:r w:rsidRPr="00661595">
              <w:rPr>
                <w:rFonts w:ascii="Times New Roman" w:hAnsi="Times New Roman"/>
                <w:sz w:val="24"/>
              </w:rPr>
              <w:t xml:space="preserve">130 for columns </w:t>
            </w:r>
            <w:r w:rsidR="00F75FD2" w:rsidRPr="00661595">
              <w:rPr>
                <w:rFonts w:ascii="Times New Roman" w:hAnsi="Times New Roman"/>
                <w:sz w:val="24"/>
              </w:rPr>
              <w:t>0</w:t>
            </w:r>
            <w:r w:rsidRPr="00661595">
              <w:rPr>
                <w:rFonts w:ascii="Times New Roman" w:hAnsi="Times New Roman"/>
                <w:sz w:val="24"/>
              </w:rPr>
              <w:t xml:space="preserve">010 to </w:t>
            </w:r>
            <w:r w:rsidR="00F75FD2" w:rsidRPr="00661595">
              <w:rPr>
                <w:rFonts w:ascii="Times New Roman" w:hAnsi="Times New Roman"/>
                <w:sz w:val="24"/>
              </w:rPr>
              <w:t>0</w:t>
            </w:r>
            <w:r w:rsidRPr="00661595">
              <w:rPr>
                <w:rFonts w:ascii="Times New Roman" w:hAnsi="Times New Roman"/>
                <w:sz w:val="24"/>
              </w:rPr>
              <w:t xml:space="preserve">100. </w:t>
            </w:r>
          </w:p>
          <w:p w:rsidR="00973707" w:rsidRPr="00661595" w:rsidRDefault="00973707" w:rsidP="00AF3D7A">
            <w:pPr>
              <w:spacing w:beforeLines="60" w:before="144" w:afterLines="60" w:after="144"/>
              <w:rPr>
                <w:rFonts w:ascii="Times New Roman" w:hAnsi="Times New Roman"/>
                <w:sz w:val="24"/>
              </w:rPr>
            </w:pPr>
            <w:r w:rsidRPr="00661595">
              <w:rPr>
                <w:rFonts w:ascii="Times New Roman" w:hAnsi="Times New Roman"/>
                <w:sz w:val="24"/>
              </w:rPr>
              <w:t>Regardless of the approach applied, the information reported sh</w:t>
            </w:r>
            <w:r w:rsidR="00F75FD2" w:rsidRPr="00661595">
              <w:rPr>
                <w:rFonts w:ascii="Times New Roman" w:hAnsi="Times New Roman"/>
                <w:sz w:val="24"/>
              </w:rPr>
              <w:t>all</w:t>
            </w:r>
            <w:r w:rsidRPr="00661595">
              <w:rPr>
                <w:rFonts w:ascii="Times New Roman" w:hAnsi="Times New Roman"/>
                <w:sz w:val="24"/>
              </w:rPr>
              <w:t xml:space="preserve">, as much as possible, be consistent at row level, since the information provided will be compared at this level (AVA amounts, upside uncertainty, fair-value amounts and potential fair-value adjustments). </w:t>
            </w:r>
          </w:p>
          <w:p w:rsidR="00973707" w:rsidRPr="00661595" w:rsidRDefault="00973707" w:rsidP="00AF3D7A">
            <w:pPr>
              <w:spacing w:beforeLines="60" w:before="144" w:afterLines="60" w:after="144"/>
              <w:rPr>
                <w:rFonts w:ascii="Times New Roman" w:hAnsi="Times New Roman"/>
                <w:sz w:val="24"/>
              </w:rPr>
            </w:pPr>
            <w:r w:rsidRPr="00661595">
              <w:rPr>
                <w:rFonts w:ascii="Times New Roman" w:hAnsi="Times New Roman"/>
                <w:sz w:val="24"/>
              </w:rPr>
              <w:t xml:space="preserve">The breakdown in rows </w:t>
            </w:r>
            <w:r w:rsidR="00F75FD2" w:rsidRPr="00661595">
              <w:rPr>
                <w:rFonts w:ascii="Times New Roman" w:hAnsi="Times New Roman"/>
                <w:sz w:val="24"/>
              </w:rPr>
              <w:t>0</w:t>
            </w:r>
            <w:r w:rsidRPr="00661595">
              <w:rPr>
                <w:rFonts w:ascii="Times New Roman" w:hAnsi="Times New Roman"/>
                <w:sz w:val="24"/>
              </w:rPr>
              <w:t xml:space="preserve">090 to </w:t>
            </w:r>
            <w:r w:rsidR="00F75FD2" w:rsidRPr="00661595">
              <w:rPr>
                <w:rFonts w:ascii="Times New Roman" w:hAnsi="Times New Roman"/>
                <w:sz w:val="24"/>
              </w:rPr>
              <w:t>0</w:t>
            </w:r>
            <w:r w:rsidRPr="00661595">
              <w:rPr>
                <w:rFonts w:ascii="Times New Roman" w:hAnsi="Times New Roman"/>
                <w:sz w:val="24"/>
              </w:rPr>
              <w:t xml:space="preserve">130 excludes the AVAs computed in accordance with Articles 12 and 13 of </w:t>
            </w:r>
            <w:r w:rsidR="00F811F8" w:rsidRPr="00661595">
              <w:rPr>
                <w:rFonts w:ascii="Times New Roman" w:hAnsi="Times New Roman"/>
                <w:sz w:val="24"/>
              </w:rPr>
              <w:t>Delegated Regulation (EU) 2016/101</w:t>
            </w:r>
            <w:r w:rsidRPr="00661595">
              <w:rPr>
                <w:rFonts w:ascii="Times New Roman" w:hAnsi="Times New Roman"/>
                <w:sz w:val="24"/>
              </w:rPr>
              <w:t xml:space="preserve"> that are reported in rows </w:t>
            </w:r>
            <w:r w:rsidR="00F75FD2" w:rsidRPr="00661595">
              <w:rPr>
                <w:rFonts w:ascii="Times New Roman" w:hAnsi="Times New Roman"/>
                <w:sz w:val="24"/>
              </w:rPr>
              <w:t>00</w:t>
            </w:r>
            <w:r w:rsidRPr="00661595">
              <w:rPr>
                <w:rFonts w:ascii="Times New Roman" w:hAnsi="Times New Roman"/>
                <w:sz w:val="24"/>
              </w:rPr>
              <w:t xml:space="preserve">50 and </w:t>
            </w:r>
            <w:r w:rsidR="00F75FD2" w:rsidRPr="00661595">
              <w:rPr>
                <w:rFonts w:ascii="Times New Roman" w:hAnsi="Times New Roman"/>
                <w:sz w:val="24"/>
              </w:rPr>
              <w:t>00</w:t>
            </w:r>
            <w:r w:rsidRPr="00661595">
              <w:rPr>
                <w:rFonts w:ascii="Times New Roman" w:hAnsi="Times New Roman"/>
                <w:sz w:val="24"/>
              </w:rPr>
              <w:t xml:space="preserve">60 and are included in market price uncertainty AVAs, close-out costs AVAs and model risk AVAs as set out in Articles 12(2) and 13(2) of </w:t>
            </w:r>
            <w:r w:rsidR="00F811F8" w:rsidRPr="00661595">
              <w:rPr>
                <w:rFonts w:ascii="Times New Roman" w:hAnsi="Times New Roman"/>
                <w:sz w:val="24"/>
              </w:rPr>
              <w:t>th</w:t>
            </w:r>
            <w:r w:rsidR="00A30C4C" w:rsidRPr="00661595">
              <w:rPr>
                <w:rFonts w:ascii="Times New Roman" w:hAnsi="Times New Roman"/>
                <w:sz w:val="24"/>
              </w:rPr>
              <w:t>at</w:t>
            </w:r>
            <w:r w:rsidR="00F811F8" w:rsidRPr="00661595">
              <w:rPr>
                <w:rFonts w:ascii="Times New Roman" w:hAnsi="Times New Roman"/>
                <w:sz w:val="24"/>
              </w:rPr>
              <w:t xml:space="preserve"> Regulation</w:t>
            </w:r>
            <w:r w:rsidRPr="00661595">
              <w:rPr>
                <w:rFonts w:ascii="Times New Roman" w:hAnsi="Times New Roman"/>
                <w:sz w:val="24"/>
              </w:rPr>
              <w:t>.</w:t>
            </w:r>
          </w:p>
          <w:p w:rsidR="00973707" w:rsidRPr="00661595" w:rsidRDefault="00973707" w:rsidP="00A30C4C">
            <w:pPr>
              <w:spacing w:beforeLines="60" w:before="144" w:afterLines="60" w:after="144"/>
              <w:rPr>
                <w:rFonts w:ascii="Times New Roman" w:hAnsi="Times New Roman"/>
                <w:sz w:val="24"/>
              </w:rPr>
            </w:pPr>
            <w:r w:rsidRPr="00661595">
              <w:rPr>
                <w:rFonts w:ascii="Times New Roman" w:hAnsi="Times New Roman"/>
                <w:sz w:val="24"/>
              </w:rPr>
              <w:t xml:space="preserve">Diversification benefits are reported in row </w:t>
            </w:r>
            <w:r w:rsidR="00F75FD2" w:rsidRPr="00661595">
              <w:rPr>
                <w:rFonts w:ascii="Times New Roman" w:hAnsi="Times New Roman"/>
                <w:sz w:val="24"/>
              </w:rPr>
              <w:t>0</w:t>
            </w:r>
            <w:r w:rsidRPr="00661595">
              <w:rPr>
                <w:rFonts w:ascii="Times New Roman" w:hAnsi="Times New Roman"/>
                <w:sz w:val="24"/>
              </w:rPr>
              <w:t xml:space="preserve">140 in accordance with Articles 9(6), 10(7) and 11(7) of </w:t>
            </w:r>
            <w:r w:rsidR="00F811F8" w:rsidRPr="00661595">
              <w:rPr>
                <w:rFonts w:ascii="Times New Roman" w:hAnsi="Times New Roman"/>
                <w:sz w:val="24"/>
              </w:rPr>
              <w:t xml:space="preserve">Delegated Regulation (EU) 2016/101 </w:t>
            </w:r>
            <w:r w:rsidRPr="00661595">
              <w:rPr>
                <w:rFonts w:ascii="Times New Roman" w:hAnsi="Times New Roman"/>
                <w:sz w:val="24"/>
              </w:rPr>
              <w:t xml:space="preserve">and </w:t>
            </w:r>
            <w:r w:rsidR="00F75FD2" w:rsidRPr="00661595">
              <w:rPr>
                <w:rFonts w:ascii="Times New Roman" w:hAnsi="Times New Roman"/>
                <w:sz w:val="24"/>
              </w:rPr>
              <w:t xml:space="preserve">are </w:t>
            </w:r>
            <w:r w:rsidRPr="00661595">
              <w:rPr>
                <w:rFonts w:ascii="Times New Roman" w:hAnsi="Times New Roman"/>
                <w:sz w:val="24"/>
              </w:rPr>
              <w:t xml:space="preserve">therefore excluded from rows </w:t>
            </w:r>
            <w:r w:rsidR="00F75FD2" w:rsidRPr="00661595">
              <w:rPr>
                <w:rFonts w:ascii="Times New Roman" w:hAnsi="Times New Roman"/>
                <w:sz w:val="24"/>
              </w:rPr>
              <w:t>0</w:t>
            </w:r>
            <w:r w:rsidRPr="00661595">
              <w:rPr>
                <w:rFonts w:ascii="Times New Roman" w:hAnsi="Times New Roman"/>
                <w:sz w:val="24"/>
              </w:rPr>
              <w:t xml:space="preserve">040 to </w:t>
            </w:r>
            <w:r w:rsidR="00F75FD2" w:rsidRPr="00661595">
              <w:rPr>
                <w:rFonts w:ascii="Times New Roman" w:hAnsi="Times New Roman"/>
                <w:sz w:val="24"/>
              </w:rPr>
              <w:t>0</w:t>
            </w:r>
            <w:r w:rsidRPr="00661595">
              <w:rPr>
                <w:rFonts w:ascii="Times New Roman" w:hAnsi="Times New Roman"/>
                <w:sz w:val="24"/>
              </w:rPr>
              <w:t xml:space="preserve">130. </w:t>
            </w:r>
          </w:p>
        </w:tc>
      </w:tr>
      <w:tr w:rsidR="00973707" w:rsidRPr="00661595" w:rsidTr="00672D2A">
        <w:tc>
          <w:tcPr>
            <w:tcW w:w="1101" w:type="dxa"/>
          </w:tcPr>
          <w:p w:rsidR="00973707" w:rsidRPr="00661595" w:rsidRDefault="009A7A38" w:rsidP="00AF3D7A">
            <w:pPr>
              <w:spacing w:beforeLines="60" w:before="144" w:afterLines="60" w:after="144"/>
              <w:rPr>
                <w:rFonts w:ascii="Times New Roman" w:hAnsi="Times New Roman"/>
                <w:sz w:val="24"/>
              </w:rPr>
            </w:pPr>
            <w:r w:rsidRPr="00661595">
              <w:rPr>
                <w:rFonts w:ascii="Times New Roman" w:hAnsi="Times New Roman"/>
                <w:sz w:val="24"/>
              </w:rPr>
              <w:t>0</w:t>
            </w:r>
            <w:r w:rsidR="00973707" w:rsidRPr="00661595">
              <w:rPr>
                <w:rFonts w:ascii="Times New Roman" w:hAnsi="Times New Roman"/>
                <w:sz w:val="24"/>
              </w:rPr>
              <w:t>050</w:t>
            </w:r>
          </w:p>
        </w:tc>
        <w:tc>
          <w:tcPr>
            <w:tcW w:w="8187" w:type="dxa"/>
            <w:shd w:val="clear" w:color="auto" w:fill="auto"/>
          </w:tcPr>
          <w:p w:rsidR="00973707" w:rsidRPr="00661595" w:rsidRDefault="00973707" w:rsidP="00AF3D7A">
            <w:pPr>
              <w:spacing w:beforeLines="60" w:before="144" w:afterLines="60" w:after="144"/>
              <w:rPr>
                <w:rFonts w:ascii="Times New Roman" w:hAnsi="Times New Roman"/>
                <w:b/>
                <w:sz w:val="24"/>
                <w:u w:val="single"/>
              </w:rPr>
            </w:pPr>
            <w:r w:rsidRPr="00661595">
              <w:rPr>
                <w:rFonts w:ascii="Times New Roman" w:hAnsi="Times New Roman"/>
                <w:b/>
                <w:sz w:val="24"/>
                <w:u w:val="single"/>
              </w:rPr>
              <w:t>OF WHICH: UNEARNED CREDIT SPREADS AVA</w:t>
            </w:r>
          </w:p>
          <w:p w:rsidR="00973707" w:rsidRPr="00661595" w:rsidRDefault="00973707" w:rsidP="00AF3D7A">
            <w:pPr>
              <w:spacing w:beforeLines="60" w:before="144" w:afterLines="60" w:after="144"/>
              <w:rPr>
                <w:rFonts w:ascii="Times New Roman" w:hAnsi="Times New Roman"/>
                <w:sz w:val="24"/>
              </w:rPr>
            </w:pPr>
            <w:r w:rsidRPr="00661595">
              <w:rPr>
                <w:rFonts w:ascii="Times New Roman" w:hAnsi="Times New Roman"/>
                <w:sz w:val="24"/>
              </w:rPr>
              <w:t>Article 105(10) CRR, Article 12 of</w:t>
            </w:r>
            <w:r w:rsidR="00F811F8" w:rsidRPr="00661595">
              <w:rPr>
                <w:rFonts w:ascii="Times New Roman" w:hAnsi="Times New Roman"/>
                <w:sz w:val="24"/>
              </w:rPr>
              <w:t xml:space="preserve"> Delegated Regulation (EU) 2016/101</w:t>
            </w:r>
            <w:r w:rsidR="00A30C4C" w:rsidRPr="00661595">
              <w:rPr>
                <w:rFonts w:ascii="Times New Roman" w:hAnsi="Times New Roman"/>
                <w:sz w:val="24"/>
              </w:rPr>
              <w:t>.</w:t>
            </w:r>
          </w:p>
          <w:p w:rsidR="00973707" w:rsidRPr="00661595" w:rsidRDefault="00973707" w:rsidP="00AF3D7A">
            <w:pPr>
              <w:spacing w:beforeLines="60" w:before="144" w:afterLines="60" w:after="144"/>
              <w:rPr>
                <w:rFonts w:ascii="Times New Roman" w:hAnsi="Times New Roman"/>
                <w:sz w:val="24"/>
              </w:rPr>
            </w:pPr>
            <w:r w:rsidRPr="00661595">
              <w:rPr>
                <w:rFonts w:ascii="Times New Roman" w:hAnsi="Times New Roman"/>
                <w:sz w:val="24"/>
              </w:rPr>
              <w:t xml:space="preserve">The total AVA calculated for unearned credit spreads (‘AVA on CVA’) and its allocation between market price uncertainty, close-out cost or model risk AVAs under Article 12 of </w:t>
            </w:r>
            <w:r w:rsidR="007466A4" w:rsidRPr="00661595">
              <w:rPr>
                <w:rFonts w:ascii="Times New Roman" w:hAnsi="Times New Roman"/>
                <w:sz w:val="24"/>
              </w:rPr>
              <w:t>Delegated Regulation (EU) 2016/101</w:t>
            </w:r>
            <w:r w:rsidRPr="00661595">
              <w:rPr>
                <w:rFonts w:ascii="Times New Roman" w:hAnsi="Times New Roman"/>
                <w:sz w:val="24"/>
              </w:rPr>
              <w:t xml:space="preserve">. </w:t>
            </w:r>
          </w:p>
          <w:p w:rsidR="00973707" w:rsidRPr="00661595" w:rsidRDefault="00973707" w:rsidP="00AF3D7A">
            <w:pPr>
              <w:spacing w:beforeLines="60" w:before="144" w:afterLines="60" w:after="144"/>
              <w:rPr>
                <w:rFonts w:ascii="Times New Roman" w:hAnsi="Times New Roman"/>
                <w:sz w:val="24"/>
              </w:rPr>
            </w:pPr>
            <w:r w:rsidRPr="00661595">
              <w:rPr>
                <w:rFonts w:ascii="Times New Roman" w:hAnsi="Times New Roman"/>
                <w:sz w:val="24"/>
              </w:rPr>
              <w:t xml:space="preserve">Column </w:t>
            </w:r>
            <w:r w:rsidR="00F75FD2" w:rsidRPr="00661595">
              <w:rPr>
                <w:rFonts w:ascii="Times New Roman" w:hAnsi="Times New Roman"/>
                <w:sz w:val="24"/>
              </w:rPr>
              <w:t>0</w:t>
            </w:r>
            <w:r w:rsidRPr="00661595">
              <w:rPr>
                <w:rFonts w:ascii="Times New Roman" w:hAnsi="Times New Roman"/>
                <w:sz w:val="24"/>
              </w:rPr>
              <w:t xml:space="preserve">110: The total AVA is given for information only as its allocation between market price uncertainty, close-out cost or model risk AVAs leads to its inclusion – after taking into account diversification benefits – under the respective category level AVAs. </w:t>
            </w:r>
          </w:p>
          <w:p w:rsidR="00973707" w:rsidRPr="00661595" w:rsidRDefault="00973707" w:rsidP="00127986">
            <w:pPr>
              <w:spacing w:beforeLines="60" w:before="144" w:afterLines="60" w:after="144"/>
              <w:rPr>
                <w:rFonts w:ascii="Times New Roman" w:hAnsi="Times New Roman"/>
                <w:sz w:val="24"/>
              </w:rPr>
            </w:pPr>
            <w:r w:rsidRPr="00661595">
              <w:rPr>
                <w:rFonts w:ascii="Times New Roman" w:hAnsi="Times New Roman"/>
                <w:sz w:val="24"/>
              </w:rPr>
              <w:t xml:space="preserve">Columns </w:t>
            </w:r>
            <w:r w:rsidR="00F75FD2" w:rsidRPr="00661595">
              <w:rPr>
                <w:rFonts w:ascii="Times New Roman" w:hAnsi="Times New Roman"/>
                <w:sz w:val="24"/>
              </w:rPr>
              <w:t>0</w:t>
            </w:r>
            <w:r w:rsidRPr="00661595">
              <w:rPr>
                <w:rFonts w:ascii="Times New Roman" w:hAnsi="Times New Roman"/>
                <w:sz w:val="24"/>
              </w:rPr>
              <w:t xml:space="preserve">130 and </w:t>
            </w:r>
            <w:r w:rsidR="00F75FD2" w:rsidRPr="00661595">
              <w:rPr>
                <w:rFonts w:ascii="Times New Roman" w:hAnsi="Times New Roman"/>
                <w:sz w:val="24"/>
              </w:rPr>
              <w:t>0</w:t>
            </w:r>
            <w:r w:rsidRPr="00661595">
              <w:rPr>
                <w:rFonts w:ascii="Times New Roman" w:hAnsi="Times New Roman"/>
                <w:sz w:val="24"/>
              </w:rPr>
              <w:t xml:space="preserve">140: Absolute value of fair-valued assets and liabilities included in the scope of the computation of unearned credit spread AVAs. </w:t>
            </w:r>
            <w:r w:rsidR="00130EEF" w:rsidRPr="00661595">
              <w:rPr>
                <w:rFonts w:ascii="Times New Roman" w:hAnsi="Times New Roman"/>
                <w:sz w:val="24"/>
              </w:rPr>
              <w:t xml:space="preserve">For the purpose of the computation of this AVA, </w:t>
            </w:r>
            <w:r w:rsidRPr="00661595">
              <w:rPr>
                <w:rFonts w:ascii="Times New Roman" w:hAnsi="Times New Roman"/>
                <w:sz w:val="24"/>
              </w:rPr>
              <w:t>exactly matching, offsetting fair-valued assets and liabilities, excluded from the threshold computation in accordance with Article 4(2)</w:t>
            </w:r>
            <w:r w:rsidR="00F75FD2" w:rsidRPr="00661595">
              <w:rPr>
                <w:rFonts w:ascii="Times New Roman" w:hAnsi="Times New Roman"/>
                <w:sz w:val="24"/>
              </w:rPr>
              <w:t xml:space="preserve"> of </w:t>
            </w:r>
            <w:r w:rsidR="007466A4" w:rsidRPr="00661595">
              <w:rPr>
                <w:rFonts w:ascii="Times New Roman" w:hAnsi="Times New Roman"/>
                <w:sz w:val="24"/>
              </w:rPr>
              <w:t xml:space="preserve">Delegated Regulation (EU) 2016/101 </w:t>
            </w:r>
            <w:r w:rsidR="00127986" w:rsidRPr="00661595">
              <w:rPr>
                <w:rFonts w:ascii="Times New Roman" w:hAnsi="Times New Roman"/>
                <w:sz w:val="24"/>
              </w:rPr>
              <w:t xml:space="preserve">shall </w:t>
            </w:r>
            <w:r w:rsidRPr="00661595">
              <w:rPr>
                <w:rFonts w:ascii="Times New Roman" w:hAnsi="Times New Roman"/>
                <w:sz w:val="24"/>
              </w:rPr>
              <w:t>not be considered exactly matching, offsetting anymore.</w:t>
            </w:r>
          </w:p>
        </w:tc>
      </w:tr>
      <w:tr w:rsidR="00973707" w:rsidRPr="00661595" w:rsidTr="00672D2A">
        <w:tc>
          <w:tcPr>
            <w:tcW w:w="1101" w:type="dxa"/>
          </w:tcPr>
          <w:p w:rsidR="00973707" w:rsidRPr="00661595" w:rsidRDefault="009A7A38" w:rsidP="00AF3D7A">
            <w:pPr>
              <w:spacing w:beforeLines="60" w:before="144" w:afterLines="60" w:after="144"/>
              <w:rPr>
                <w:rFonts w:ascii="Times New Roman" w:hAnsi="Times New Roman"/>
                <w:sz w:val="24"/>
              </w:rPr>
            </w:pPr>
            <w:r w:rsidRPr="00661595">
              <w:rPr>
                <w:rFonts w:ascii="Times New Roman" w:hAnsi="Times New Roman"/>
                <w:sz w:val="24"/>
              </w:rPr>
              <w:t>0</w:t>
            </w:r>
            <w:r w:rsidR="00973707" w:rsidRPr="00661595">
              <w:rPr>
                <w:rFonts w:ascii="Times New Roman" w:hAnsi="Times New Roman"/>
                <w:sz w:val="24"/>
              </w:rPr>
              <w:t>060</w:t>
            </w:r>
          </w:p>
        </w:tc>
        <w:tc>
          <w:tcPr>
            <w:tcW w:w="8187" w:type="dxa"/>
            <w:shd w:val="clear" w:color="auto" w:fill="auto"/>
          </w:tcPr>
          <w:p w:rsidR="00973707" w:rsidRPr="00661595" w:rsidRDefault="00973707" w:rsidP="00AF3D7A">
            <w:pPr>
              <w:spacing w:beforeLines="60" w:before="144" w:afterLines="60" w:after="144"/>
              <w:rPr>
                <w:rFonts w:ascii="Times New Roman" w:hAnsi="Times New Roman"/>
                <w:b/>
                <w:sz w:val="24"/>
                <w:u w:val="single"/>
              </w:rPr>
            </w:pPr>
            <w:r w:rsidRPr="00661595">
              <w:rPr>
                <w:rFonts w:ascii="Times New Roman" w:hAnsi="Times New Roman"/>
                <w:b/>
                <w:sz w:val="24"/>
                <w:u w:val="single"/>
              </w:rPr>
              <w:t>OF WHICH: INVESTMENT AND FUNDING COSTS AVA</w:t>
            </w:r>
            <w:r w:rsidRPr="00661595" w:rsidDel="00EF5A01">
              <w:rPr>
                <w:rFonts w:ascii="Times New Roman" w:hAnsi="Times New Roman"/>
                <w:b/>
                <w:sz w:val="24"/>
                <w:u w:val="single"/>
              </w:rPr>
              <w:t xml:space="preserve"> </w:t>
            </w:r>
          </w:p>
          <w:p w:rsidR="00973707" w:rsidRPr="00661595" w:rsidRDefault="00973707" w:rsidP="00AF3D7A">
            <w:pPr>
              <w:spacing w:beforeLines="60" w:before="144" w:afterLines="60" w:after="144"/>
              <w:rPr>
                <w:rFonts w:ascii="Times New Roman" w:hAnsi="Times New Roman"/>
                <w:caps/>
                <w:sz w:val="24"/>
                <w:u w:val="single"/>
              </w:rPr>
            </w:pPr>
            <w:r w:rsidRPr="00661595">
              <w:rPr>
                <w:rFonts w:ascii="Times New Roman" w:hAnsi="Times New Roman"/>
                <w:sz w:val="24"/>
              </w:rPr>
              <w:t xml:space="preserve">Article 105(10) CRR, Article 17 of </w:t>
            </w:r>
            <w:r w:rsidR="007466A4" w:rsidRPr="00661595">
              <w:rPr>
                <w:rFonts w:ascii="Times New Roman" w:hAnsi="Times New Roman"/>
                <w:sz w:val="24"/>
              </w:rPr>
              <w:t>Delegated Regulation (EU) 2016/101</w:t>
            </w:r>
            <w:r w:rsidR="00A30C4C" w:rsidRPr="00661595">
              <w:rPr>
                <w:rFonts w:ascii="Times New Roman" w:hAnsi="Times New Roman"/>
                <w:sz w:val="24"/>
              </w:rPr>
              <w:t>.</w:t>
            </w:r>
          </w:p>
          <w:p w:rsidR="00973707" w:rsidRPr="00661595" w:rsidRDefault="00973707" w:rsidP="00AF3D7A">
            <w:pPr>
              <w:spacing w:beforeLines="60" w:before="144" w:afterLines="60" w:after="144"/>
              <w:rPr>
                <w:rFonts w:ascii="Times New Roman" w:hAnsi="Times New Roman"/>
                <w:sz w:val="24"/>
              </w:rPr>
            </w:pPr>
            <w:r w:rsidRPr="00661595">
              <w:rPr>
                <w:rFonts w:ascii="Times New Roman" w:hAnsi="Times New Roman"/>
                <w:sz w:val="24"/>
              </w:rPr>
              <w:t xml:space="preserve">The total AVA calculated for investing and funding costs and its allocation between market price uncertainty, close-out cost or model risk AVAs under Article 13 of </w:t>
            </w:r>
            <w:r w:rsidR="007466A4" w:rsidRPr="00661595">
              <w:rPr>
                <w:rFonts w:ascii="Times New Roman" w:hAnsi="Times New Roman"/>
                <w:sz w:val="24"/>
              </w:rPr>
              <w:t>Delegated Regulation (EU) 2016/101</w:t>
            </w:r>
            <w:r w:rsidRPr="00661595">
              <w:rPr>
                <w:rFonts w:ascii="Times New Roman" w:hAnsi="Times New Roman"/>
                <w:sz w:val="24"/>
              </w:rPr>
              <w:t xml:space="preserve">. </w:t>
            </w:r>
          </w:p>
          <w:p w:rsidR="00973707" w:rsidRPr="00661595" w:rsidRDefault="00973707" w:rsidP="00AF3D7A">
            <w:pPr>
              <w:spacing w:beforeLines="60" w:before="144" w:afterLines="60" w:after="144"/>
              <w:rPr>
                <w:rFonts w:ascii="Times New Roman" w:hAnsi="Times New Roman"/>
                <w:sz w:val="24"/>
              </w:rPr>
            </w:pPr>
            <w:r w:rsidRPr="00661595">
              <w:rPr>
                <w:rFonts w:ascii="Times New Roman" w:hAnsi="Times New Roman"/>
                <w:sz w:val="24"/>
              </w:rPr>
              <w:t xml:space="preserve">Column </w:t>
            </w:r>
            <w:r w:rsidR="00F75FD2" w:rsidRPr="00661595">
              <w:rPr>
                <w:rFonts w:ascii="Times New Roman" w:hAnsi="Times New Roman"/>
                <w:sz w:val="24"/>
              </w:rPr>
              <w:t>0</w:t>
            </w:r>
            <w:r w:rsidRPr="00661595">
              <w:rPr>
                <w:rFonts w:ascii="Times New Roman" w:hAnsi="Times New Roman"/>
                <w:sz w:val="24"/>
              </w:rPr>
              <w:t xml:space="preserve">110: The total AVA is given for information only as its allocation between market price uncertainty, close-out cost or model risk AVAs leads to its inclusion – after taking into account diversification benefits – under the respective category level AVAs. </w:t>
            </w:r>
          </w:p>
          <w:p w:rsidR="00973707" w:rsidRPr="00661595" w:rsidRDefault="00973707" w:rsidP="00127986">
            <w:pPr>
              <w:spacing w:beforeLines="60" w:before="144" w:afterLines="60" w:after="144"/>
              <w:rPr>
                <w:rFonts w:ascii="Times New Roman" w:hAnsi="Times New Roman"/>
                <w:sz w:val="24"/>
              </w:rPr>
            </w:pPr>
            <w:r w:rsidRPr="00661595">
              <w:rPr>
                <w:rFonts w:ascii="Times New Roman" w:hAnsi="Times New Roman"/>
                <w:sz w:val="24"/>
              </w:rPr>
              <w:t xml:space="preserve">Columns </w:t>
            </w:r>
            <w:r w:rsidR="00F75FD2" w:rsidRPr="00661595">
              <w:rPr>
                <w:rFonts w:ascii="Times New Roman" w:hAnsi="Times New Roman"/>
                <w:sz w:val="24"/>
              </w:rPr>
              <w:t>0</w:t>
            </w:r>
            <w:r w:rsidRPr="00661595">
              <w:rPr>
                <w:rFonts w:ascii="Times New Roman" w:hAnsi="Times New Roman"/>
                <w:sz w:val="24"/>
              </w:rPr>
              <w:t xml:space="preserve">130 and </w:t>
            </w:r>
            <w:r w:rsidR="00F75FD2" w:rsidRPr="00661595">
              <w:rPr>
                <w:rFonts w:ascii="Times New Roman" w:hAnsi="Times New Roman"/>
                <w:sz w:val="24"/>
              </w:rPr>
              <w:t>0</w:t>
            </w:r>
            <w:r w:rsidRPr="00661595">
              <w:rPr>
                <w:rFonts w:ascii="Times New Roman" w:hAnsi="Times New Roman"/>
                <w:sz w:val="24"/>
              </w:rPr>
              <w:t xml:space="preserve">140: Absolute value of fair-valued assets and liabilities included in the scope of the computation of investment and funding costs AVA. </w:t>
            </w:r>
            <w:r w:rsidR="00130EEF" w:rsidRPr="00661595">
              <w:rPr>
                <w:rFonts w:ascii="Times New Roman" w:hAnsi="Times New Roman"/>
                <w:sz w:val="24"/>
              </w:rPr>
              <w:t xml:space="preserve">For the purpose of the computation of this AVA, </w:t>
            </w:r>
            <w:r w:rsidRPr="00661595">
              <w:rPr>
                <w:rFonts w:ascii="Times New Roman" w:hAnsi="Times New Roman"/>
                <w:sz w:val="24"/>
              </w:rPr>
              <w:t>exactly matching, offsetting fair-valued assets and liabilities, excluded from the threshold computation in accordance with Article 4(2)</w:t>
            </w:r>
            <w:r w:rsidR="00F75FD2" w:rsidRPr="00661595">
              <w:rPr>
                <w:rFonts w:ascii="Times New Roman" w:hAnsi="Times New Roman"/>
                <w:sz w:val="24"/>
              </w:rPr>
              <w:t xml:space="preserve"> of</w:t>
            </w:r>
            <w:r w:rsidR="007466A4" w:rsidRPr="00661595">
              <w:rPr>
                <w:rFonts w:ascii="Times New Roman" w:hAnsi="Times New Roman"/>
                <w:sz w:val="24"/>
              </w:rPr>
              <w:t xml:space="preserve"> Delegated Regulation (EU) 2016/101</w:t>
            </w:r>
            <w:r w:rsidRPr="00661595">
              <w:rPr>
                <w:rFonts w:ascii="Times New Roman" w:hAnsi="Times New Roman"/>
                <w:sz w:val="24"/>
              </w:rPr>
              <w:t xml:space="preserve"> </w:t>
            </w:r>
            <w:r w:rsidR="00127986" w:rsidRPr="00661595">
              <w:rPr>
                <w:rFonts w:ascii="Times New Roman" w:hAnsi="Times New Roman"/>
                <w:sz w:val="24"/>
              </w:rPr>
              <w:t xml:space="preserve">shall </w:t>
            </w:r>
            <w:r w:rsidRPr="00661595">
              <w:rPr>
                <w:rFonts w:ascii="Times New Roman" w:hAnsi="Times New Roman"/>
                <w:sz w:val="24"/>
              </w:rPr>
              <w:t>not be considered exactly matching, offsetting anymore.</w:t>
            </w:r>
          </w:p>
        </w:tc>
      </w:tr>
      <w:tr w:rsidR="00973707" w:rsidRPr="00661595" w:rsidTr="00672D2A">
        <w:tc>
          <w:tcPr>
            <w:tcW w:w="1101" w:type="dxa"/>
          </w:tcPr>
          <w:p w:rsidR="00973707" w:rsidRPr="00661595" w:rsidRDefault="009A7A38" w:rsidP="00AF3D7A">
            <w:pPr>
              <w:spacing w:beforeLines="60" w:before="144" w:afterLines="60" w:after="144"/>
              <w:rPr>
                <w:rFonts w:ascii="Times New Roman" w:hAnsi="Times New Roman"/>
                <w:sz w:val="24"/>
              </w:rPr>
            </w:pPr>
            <w:r w:rsidRPr="00661595">
              <w:rPr>
                <w:rFonts w:ascii="Times New Roman" w:hAnsi="Times New Roman"/>
                <w:sz w:val="24"/>
              </w:rPr>
              <w:t>0</w:t>
            </w:r>
            <w:r w:rsidR="00973707" w:rsidRPr="00661595">
              <w:rPr>
                <w:rFonts w:ascii="Times New Roman" w:hAnsi="Times New Roman"/>
                <w:sz w:val="24"/>
              </w:rPr>
              <w:t>070</w:t>
            </w:r>
          </w:p>
        </w:tc>
        <w:tc>
          <w:tcPr>
            <w:tcW w:w="8187" w:type="dxa"/>
          </w:tcPr>
          <w:p w:rsidR="00973707" w:rsidRPr="00661595" w:rsidRDefault="00973707" w:rsidP="00AF3D7A">
            <w:pPr>
              <w:spacing w:beforeLines="60" w:before="144" w:afterLines="60" w:after="144"/>
              <w:rPr>
                <w:rFonts w:ascii="Times New Roman" w:hAnsi="Times New Roman"/>
                <w:b/>
                <w:sz w:val="24"/>
                <w:u w:val="single"/>
              </w:rPr>
            </w:pPr>
            <w:r w:rsidRPr="00661595">
              <w:rPr>
                <w:rFonts w:ascii="Times New Roman" w:hAnsi="Times New Roman"/>
                <w:b/>
                <w:sz w:val="24"/>
                <w:u w:val="single"/>
              </w:rPr>
              <w:t>OF WHICH: AVA ASSESSED TO HAVE ZERO VALUE UNDER ARTICLE 9(2)</w:t>
            </w:r>
            <w:r w:rsidRPr="00661595" w:rsidDel="00EF5A01">
              <w:rPr>
                <w:rFonts w:ascii="Times New Roman" w:hAnsi="Times New Roman"/>
                <w:b/>
                <w:sz w:val="24"/>
                <w:u w:val="single"/>
              </w:rPr>
              <w:t xml:space="preserve"> </w:t>
            </w:r>
            <w:r w:rsidR="00A30C4C" w:rsidRPr="00661595">
              <w:rPr>
                <w:rFonts w:ascii="Times New Roman" w:hAnsi="Times New Roman"/>
                <w:b/>
                <w:sz w:val="24"/>
                <w:u w:val="single"/>
              </w:rPr>
              <w:t>OF</w:t>
            </w:r>
            <w:r w:rsidR="00A30C4C" w:rsidRPr="00661595">
              <w:rPr>
                <w:rFonts w:ascii="Times New Roman" w:hAnsi="Times New Roman"/>
                <w:sz w:val="24"/>
              </w:rPr>
              <w:t xml:space="preserve"> </w:t>
            </w:r>
            <w:r w:rsidR="00A30C4C" w:rsidRPr="00661595">
              <w:rPr>
                <w:rFonts w:ascii="Times New Roman" w:hAnsi="Times New Roman"/>
                <w:b/>
                <w:caps/>
                <w:sz w:val="24"/>
              </w:rPr>
              <w:t>Delegated Regulation (EU) 2016/101</w:t>
            </w:r>
          </w:p>
          <w:p w:rsidR="00973707" w:rsidRPr="00661595" w:rsidRDefault="00973707" w:rsidP="00A30C4C">
            <w:pPr>
              <w:spacing w:beforeLines="60" w:before="144" w:afterLines="60" w:after="144"/>
              <w:rPr>
                <w:rFonts w:ascii="Times New Roman" w:hAnsi="Times New Roman"/>
                <w:sz w:val="24"/>
              </w:rPr>
            </w:pPr>
            <w:r w:rsidRPr="00661595">
              <w:rPr>
                <w:rFonts w:ascii="Times New Roman" w:hAnsi="Times New Roman"/>
                <w:sz w:val="24"/>
              </w:rPr>
              <w:t xml:space="preserve">Absolute value of fair-valued assets and liabilities corresponding to the valuation exposures assessed to have zero AVA value under Article 9(2) of </w:t>
            </w:r>
            <w:r w:rsidR="007466A4" w:rsidRPr="00661595">
              <w:rPr>
                <w:rFonts w:ascii="Times New Roman" w:hAnsi="Times New Roman"/>
                <w:sz w:val="24"/>
              </w:rPr>
              <w:t>Delegated Regulation (EU) 2016/101</w:t>
            </w:r>
            <w:r w:rsidRPr="00661595">
              <w:rPr>
                <w:rFonts w:ascii="Times New Roman" w:hAnsi="Times New Roman"/>
                <w:sz w:val="24"/>
              </w:rPr>
              <w:t xml:space="preserve">. </w:t>
            </w:r>
          </w:p>
        </w:tc>
      </w:tr>
      <w:tr w:rsidR="00973707" w:rsidRPr="00661595" w:rsidTr="00672D2A">
        <w:tc>
          <w:tcPr>
            <w:tcW w:w="1101" w:type="dxa"/>
          </w:tcPr>
          <w:p w:rsidR="00973707" w:rsidRPr="00661595" w:rsidRDefault="009A7A38" w:rsidP="00AF3D7A">
            <w:pPr>
              <w:spacing w:beforeLines="60" w:before="144" w:afterLines="60" w:after="144"/>
              <w:rPr>
                <w:rFonts w:ascii="Times New Roman" w:hAnsi="Times New Roman"/>
                <w:sz w:val="24"/>
              </w:rPr>
            </w:pPr>
            <w:r w:rsidRPr="00661595">
              <w:rPr>
                <w:rFonts w:ascii="Times New Roman" w:hAnsi="Times New Roman"/>
                <w:sz w:val="24"/>
              </w:rPr>
              <w:t>0</w:t>
            </w:r>
            <w:r w:rsidR="00973707" w:rsidRPr="00661595">
              <w:rPr>
                <w:rFonts w:ascii="Times New Roman" w:hAnsi="Times New Roman"/>
                <w:sz w:val="24"/>
              </w:rPr>
              <w:t>080</w:t>
            </w:r>
          </w:p>
        </w:tc>
        <w:tc>
          <w:tcPr>
            <w:tcW w:w="8187" w:type="dxa"/>
          </w:tcPr>
          <w:p w:rsidR="00973707" w:rsidRPr="00661595" w:rsidRDefault="00973707" w:rsidP="00AF3D7A">
            <w:pPr>
              <w:spacing w:beforeLines="60" w:before="144" w:afterLines="60" w:after="144"/>
              <w:rPr>
                <w:rFonts w:ascii="Times New Roman" w:hAnsi="Times New Roman"/>
                <w:b/>
                <w:sz w:val="24"/>
                <w:u w:val="single"/>
              </w:rPr>
            </w:pPr>
            <w:r w:rsidRPr="00661595">
              <w:rPr>
                <w:rFonts w:ascii="Times New Roman" w:hAnsi="Times New Roman"/>
                <w:b/>
                <w:sz w:val="24"/>
                <w:u w:val="single"/>
              </w:rPr>
              <w:t xml:space="preserve">OF WHICH: AVA ASSESSED TO HAVE ZERO VALUE UNDER </w:t>
            </w:r>
            <w:r w:rsidR="00A30C4C" w:rsidRPr="00661595">
              <w:rPr>
                <w:rFonts w:ascii="Times New Roman" w:hAnsi="Times New Roman"/>
                <w:b/>
                <w:sz w:val="24"/>
                <w:u w:val="single"/>
              </w:rPr>
              <w:t xml:space="preserve">PARAGRAPHS 2 AND 3 OF </w:t>
            </w:r>
            <w:r w:rsidRPr="00661595">
              <w:rPr>
                <w:rFonts w:ascii="Times New Roman" w:hAnsi="Times New Roman"/>
                <w:b/>
                <w:sz w:val="24"/>
                <w:u w:val="single"/>
              </w:rPr>
              <w:t>ARTICLE 10</w:t>
            </w:r>
            <w:r w:rsidRPr="00661595" w:rsidDel="00EF5A01">
              <w:rPr>
                <w:rFonts w:ascii="Times New Roman" w:hAnsi="Times New Roman"/>
                <w:b/>
                <w:sz w:val="24"/>
                <w:u w:val="single"/>
              </w:rPr>
              <w:t xml:space="preserve"> </w:t>
            </w:r>
            <w:r w:rsidR="00A30C4C" w:rsidRPr="00661595">
              <w:rPr>
                <w:rFonts w:ascii="Times New Roman" w:hAnsi="Times New Roman"/>
                <w:b/>
                <w:sz w:val="24"/>
                <w:u w:val="single"/>
              </w:rPr>
              <w:t>OF</w:t>
            </w:r>
            <w:r w:rsidR="00A30C4C" w:rsidRPr="00661595">
              <w:rPr>
                <w:rFonts w:ascii="Times New Roman" w:hAnsi="Times New Roman"/>
                <w:sz w:val="24"/>
              </w:rPr>
              <w:t xml:space="preserve"> </w:t>
            </w:r>
            <w:r w:rsidR="00A30C4C" w:rsidRPr="00661595">
              <w:rPr>
                <w:rFonts w:ascii="Times New Roman" w:hAnsi="Times New Roman"/>
                <w:b/>
                <w:caps/>
                <w:sz w:val="24"/>
              </w:rPr>
              <w:t>Delegated Regulation (EU) 2016/101</w:t>
            </w:r>
          </w:p>
          <w:p w:rsidR="00973707" w:rsidRPr="00661595" w:rsidRDefault="00973707" w:rsidP="00A30C4C">
            <w:pPr>
              <w:spacing w:beforeLines="60" w:before="144" w:afterLines="60" w:after="144"/>
              <w:rPr>
                <w:rFonts w:ascii="Times New Roman" w:hAnsi="Times New Roman"/>
                <w:sz w:val="24"/>
              </w:rPr>
            </w:pPr>
            <w:r w:rsidRPr="00661595">
              <w:rPr>
                <w:rFonts w:ascii="Times New Roman" w:hAnsi="Times New Roman"/>
                <w:sz w:val="24"/>
              </w:rPr>
              <w:t xml:space="preserve">Absolute value of fair-valued assets and liabilities corresponding to the valuation exposures assessed to have zero AVA value under Article 10(2) or 10(3) of </w:t>
            </w:r>
            <w:r w:rsidR="007466A4" w:rsidRPr="00661595">
              <w:rPr>
                <w:rFonts w:ascii="Times New Roman" w:hAnsi="Times New Roman"/>
                <w:sz w:val="24"/>
              </w:rPr>
              <w:t>Delegated Regulation (EU) 2016/101</w:t>
            </w:r>
            <w:r w:rsidRPr="00661595">
              <w:rPr>
                <w:rFonts w:ascii="Times New Roman" w:hAnsi="Times New Roman"/>
                <w:sz w:val="24"/>
              </w:rPr>
              <w:t>.</w:t>
            </w:r>
          </w:p>
        </w:tc>
      </w:tr>
      <w:tr w:rsidR="00973707" w:rsidRPr="00661595" w:rsidTr="00672D2A">
        <w:tc>
          <w:tcPr>
            <w:tcW w:w="1101" w:type="dxa"/>
          </w:tcPr>
          <w:p w:rsidR="00973707" w:rsidRPr="00661595" w:rsidRDefault="009A7A38" w:rsidP="00AF3D7A">
            <w:pPr>
              <w:spacing w:beforeLines="60" w:before="144" w:afterLines="60" w:after="144"/>
              <w:rPr>
                <w:rFonts w:ascii="Times New Roman" w:hAnsi="Times New Roman"/>
                <w:sz w:val="24"/>
              </w:rPr>
            </w:pPr>
            <w:r w:rsidRPr="00661595">
              <w:rPr>
                <w:rFonts w:ascii="Times New Roman" w:hAnsi="Times New Roman"/>
                <w:sz w:val="24"/>
              </w:rPr>
              <w:t>0</w:t>
            </w:r>
            <w:r w:rsidR="00973707" w:rsidRPr="00661595">
              <w:rPr>
                <w:rFonts w:ascii="Times New Roman" w:hAnsi="Times New Roman"/>
                <w:sz w:val="24"/>
              </w:rPr>
              <w:t>090</w:t>
            </w:r>
          </w:p>
        </w:tc>
        <w:tc>
          <w:tcPr>
            <w:tcW w:w="8187" w:type="dxa"/>
          </w:tcPr>
          <w:p w:rsidR="00973707" w:rsidRPr="00661595" w:rsidRDefault="00973707" w:rsidP="00AF3D7A">
            <w:pPr>
              <w:spacing w:beforeLines="60" w:before="144" w:afterLines="60" w:after="144"/>
              <w:rPr>
                <w:rFonts w:ascii="Times New Roman" w:hAnsi="Times New Roman"/>
                <w:b/>
                <w:sz w:val="24"/>
                <w:u w:val="single"/>
              </w:rPr>
            </w:pPr>
            <w:r w:rsidRPr="00661595">
              <w:rPr>
                <w:rFonts w:ascii="Times New Roman" w:hAnsi="Times New Roman"/>
                <w:b/>
                <w:sz w:val="24"/>
                <w:u w:val="single"/>
              </w:rPr>
              <w:t>1.1.1.1 INTEREST RATES</w:t>
            </w:r>
          </w:p>
        </w:tc>
      </w:tr>
      <w:tr w:rsidR="00AF3D7A" w:rsidRPr="00661595" w:rsidTr="00672D2A">
        <w:tc>
          <w:tcPr>
            <w:tcW w:w="1101" w:type="dxa"/>
          </w:tcPr>
          <w:p w:rsidR="00AF3D7A" w:rsidRPr="00661595" w:rsidRDefault="009A7A38" w:rsidP="00AF3D7A">
            <w:pPr>
              <w:spacing w:beforeLines="60" w:before="144" w:afterLines="60" w:after="144"/>
              <w:rPr>
                <w:rFonts w:ascii="Times New Roman" w:hAnsi="Times New Roman"/>
                <w:sz w:val="24"/>
              </w:rPr>
            </w:pPr>
            <w:r w:rsidRPr="00661595">
              <w:rPr>
                <w:rFonts w:ascii="Times New Roman" w:hAnsi="Times New Roman"/>
                <w:sz w:val="24"/>
              </w:rPr>
              <w:t>0</w:t>
            </w:r>
            <w:r w:rsidR="00AF3D7A" w:rsidRPr="00661595">
              <w:rPr>
                <w:rFonts w:ascii="Times New Roman" w:hAnsi="Times New Roman"/>
                <w:sz w:val="24"/>
              </w:rPr>
              <w:t>100</w:t>
            </w:r>
          </w:p>
        </w:tc>
        <w:tc>
          <w:tcPr>
            <w:tcW w:w="8187" w:type="dxa"/>
          </w:tcPr>
          <w:p w:rsidR="00AF3D7A" w:rsidRPr="00661595" w:rsidRDefault="00AF3D7A" w:rsidP="00AF3D7A">
            <w:pPr>
              <w:spacing w:beforeLines="60" w:before="144" w:afterLines="60" w:after="144"/>
              <w:rPr>
                <w:rFonts w:ascii="Times New Roman" w:hAnsi="Times New Roman"/>
                <w:b/>
                <w:sz w:val="24"/>
                <w:u w:val="single"/>
              </w:rPr>
            </w:pPr>
            <w:r w:rsidRPr="00661595">
              <w:rPr>
                <w:rFonts w:ascii="Times New Roman" w:hAnsi="Times New Roman"/>
                <w:b/>
                <w:sz w:val="24"/>
                <w:u w:val="single"/>
              </w:rPr>
              <w:t>1.1.1.2 FOREIGN EXCHANGE</w:t>
            </w:r>
          </w:p>
        </w:tc>
      </w:tr>
      <w:tr w:rsidR="00AF3D7A" w:rsidRPr="00661595" w:rsidTr="00672D2A">
        <w:tc>
          <w:tcPr>
            <w:tcW w:w="1101" w:type="dxa"/>
          </w:tcPr>
          <w:p w:rsidR="00AF3D7A" w:rsidRPr="00661595" w:rsidRDefault="009A7A38" w:rsidP="00AF3D7A">
            <w:pPr>
              <w:spacing w:beforeLines="60" w:before="144" w:afterLines="60" w:after="144"/>
              <w:rPr>
                <w:rFonts w:ascii="Times New Roman" w:hAnsi="Times New Roman"/>
                <w:sz w:val="24"/>
              </w:rPr>
            </w:pPr>
            <w:r w:rsidRPr="00661595">
              <w:rPr>
                <w:rFonts w:ascii="Times New Roman" w:hAnsi="Times New Roman"/>
                <w:sz w:val="24"/>
              </w:rPr>
              <w:t>0</w:t>
            </w:r>
            <w:r w:rsidR="00AF3D7A" w:rsidRPr="00661595">
              <w:rPr>
                <w:rFonts w:ascii="Times New Roman" w:hAnsi="Times New Roman"/>
                <w:sz w:val="24"/>
              </w:rPr>
              <w:t>110</w:t>
            </w:r>
          </w:p>
        </w:tc>
        <w:tc>
          <w:tcPr>
            <w:tcW w:w="8187" w:type="dxa"/>
          </w:tcPr>
          <w:p w:rsidR="00AF3D7A" w:rsidRPr="00661595" w:rsidRDefault="00AF3D7A" w:rsidP="00AF3D7A">
            <w:pPr>
              <w:spacing w:beforeLines="60" w:before="144" w:afterLines="60" w:after="144"/>
              <w:rPr>
                <w:rFonts w:ascii="Times New Roman" w:hAnsi="Times New Roman"/>
                <w:b/>
                <w:sz w:val="24"/>
                <w:u w:val="single"/>
              </w:rPr>
            </w:pPr>
            <w:r w:rsidRPr="00661595">
              <w:rPr>
                <w:rFonts w:ascii="Times New Roman" w:hAnsi="Times New Roman"/>
                <w:b/>
                <w:sz w:val="24"/>
                <w:u w:val="single"/>
              </w:rPr>
              <w:t>1.1.1.3 CREDIT</w:t>
            </w:r>
          </w:p>
        </w:tc>
      </w:tr>
      <w:tr w:rsidR="00AF3D7A" w:rsidRPr="00661595" w:rsidTr="00672D2A">
        <w:tc>
          <w:tcPr>
            <w:tcW w:w="1101" w:type="dxa"/>
          </w:tcPr>
          <w:p w:rsidR="00AF3D7A" w:rsidRPr="00661595" w:rsidRDefault="009A7A38" w:rsidP="00AF3D7A">
            <w:pPr>
              <w:spacing w:beforeLines="60" w:before="144" w:afterLines="60" w:after="144"/>
              <w:rPr>
                <w:rFonts w:ascii="Times New Roman" w:hAnsi="Times New Roman"/>
                <w:sz w:val="24"/>
              </w:rPr>
            </w:pPr>
            <w:r w:rsidRPr="00661595">
              <w:rPr>
                <w:rFonts w:ascii="Times New Roman" w:hAnsi="Times New Roman"/>
                <w:sz w:val="24"/>
              </w:rPr>
              <w:t>0</w:t>
            </w:r>
            <w:r w:rsidR="00AF3D7A" w:rsidRPr="00661595">
              <w:rPr>
                <w:rFonts w:ascii="Times New Roman" w:hAnsi="Times New Roman"/>
                <w:sz w:val="24"/>
              </w:rPr>
              <w:t>120</w:t>
            </w:r>
          </w:p>
        </w:tc>
        <w:tc>
          <w:tcPr>
            <w:tcW w:w="8187" w:type="dxa"/>
          </w:tcPr>
          <w:p w:rsidR="00AF3D7A" w:rsidRPr="00661595" w:rsidRDefault="00AF3D7A" w:rsidP="00AF3D7A">
            <w:pPr>
              <w:spacing w:beforeLines="60" w:before="144" w:afterLines="60" w:after="144"/>
              <w:rPr>
                <w:rFonts w:ascii="Times New Roman" w:hAnsi="Times New Roman"/>
                <w:b/>
                <w:sz w:val="24"/>
                <w:u w:val="single"/>
              </w:rPr>
            </w:pPr>
            <w:r w:rsidRPr="00661595">
              <w:rPr>
                <w:rFonts w:ascii="Times New Roman" w:hAnsi="Times New Roman"/>
                <w:b/>
                <w:sz w:val="24"/>
                <w:u w:val="single"/>
              </w:rPr>
              <w:t>1.1.1.4 EQUITIES</w:t>
            </w:r>
          </w:p>
        </w:tc>
      </w:tr>
      <w:tr w:rsidR="00973707" w:rsidRPr="00661595" w:rsidTr="00672D2A">
        <w:tc>
          <w:tcPr>
            <w:tcW w:w="1101" w:type="dxa"/>
          </w:tcPr>
          <w:p w:rsidR="00973707" w:rsidRPr="00661595" w:rsidRDefault="009A7A38" w:rsidP="00AF3D7A">
            <w:pPr>
              <w:spacing w:beforeLines="60" w:before="144" w:afterLines="60" w:after="144"/>
              <w:rPr>
                <w:rFonts w:ascii="Times New Roman" w:hAnsi="Times New Roman"/>
                <w:sz w:val="24"/>
              </w:rPr>
            </w:pPr>
            <w:r w:rsidRPr="00661595">
              <w:rPr>
                <w:rFonts w:ascii="Times New Roman" w:hAnsi="Times New Roman"/>
                <w:sz w:val="24"/>
              </w:rPr>
              <w:t>0</w:t>
            </w:r>
            <w:r w:rsidR="00973707" w:rsidRPr="00661595">
              <w:rPr>
                <w:rFonts w:ascii="Times New Roman" w:hAnsi="Times New Roman"/>
                <w:sz w:val="24"/>
              </w:rPr>
              <w:t>1</w:t>
            </w:r>
            <w:r w:rsidR="00AF3D7A" w:rsidRPr="00661595">
              <w:rPr>
                <w:rFonts w:ascii="Times New Roman" w:hAnsi="Times New Roman"/>
                <w:sz w:val="24"/>
              </w:rPr>
              <w:t>3</w:t>
            </w:r>
            <w:r w:rsidR="00973707" w:rsidRPr="00661595">
              <w:rPr>
                <w:rFonts w:ascii="Times New Roman" w:hAnsi="Times New Roman"/>
                <w:sz w:val="24"/>
              </w:rPr>
              <w:t>0</w:t>
            </w:r>
          </w:p>
        </w:tc>
        <w:tc>
          <w:tcPr>
            <w:tcW w:w="8187" w:type="dxa"/>
          </w:tcPr>
          <w:p w:rsidR="00973707" w:rsidRPr="00661595" w:rsidRDefault="00973707" w:rsidP="00AF3D7A">
            <w:pPr>
              <w:spacing w:beforeLines="60" w:before="144" w:afterLines="60" w:after="144"/>
              <w:rPr>
                <w:rFonts w:ascii="Times New Roman" w:hAnsi="Times New Roman"/>
                <w:b/>
                <w:sz w:val="24"/>
                <w:u w:val="single"/>
              </w:rPr>
            </w:pPr>
            <w:r w:rsidRPr="00661595">
              <w:rPr>
                <w:rFonts w:ascii="Times New Roman" w:hAnsi="Times New Roman"/>
                <w:b/>
                <w:sz w:val="24"/>
                <w:u w:val="single"/>
              </w:rPr>
              <w:t>1.1.1.</w:t>
            </w:r>
            <w:r w:rsidR="00AF3D7A" w:rsidRPr="00661595">
              <w:rPr>
                <w:rFonts w:ascii="Times New Roman" w:hAnsi="Times New Roman"/>
                <w:b/>
                <w:sz w:val="24"/>
                <w:u w:val="single"/>
              </w:rPr>
              <w:t>5</w:t>
            </w:r>
            <w:r w:rsidRPr="00661595">
              <w:rPr>
                <w:rFonts w:ascii="Times New Roman" w:hAnsi="Times New Roman"/>
                <w:b/>
                <w:sz w:val="24"/>
                <w:u w:val="single"/>
              </w:rPr>
              <w:t xml:space="preserve"> COMMODITIES</w:t>
            </w:r>
          </w:p>
        </w:tc>
      </w:tr>
      <w:tr w:rsidR="00973707" w:rsidRPr="00661595" w:rsidTr="00672D2A">
        <w:tc>
          <w:tcPr>
            <w:tcW w:w="1101" w:type="dxa"/>
          </w:tcPr>
          <w:p w:rsidR="00973707" w:rsidRPr="00661595" w:rsidRDefault="009A7A38" w:rsidP="00AF3D7A">
            <w:pPr>
              <w:spacing w:beforeLines="60" w:before="144" w:afterLines="60" w:after="144"/>
              <w:rPr>
                <w:rFonts w:ascii="Times New Roman" w:hAnsi="Times New Roman"/>
                <w:sz w:val="24"/>
              </w:rPr>
            </w:pPr>
            <w:r w:rsidRPr="00661595">
              <w:rPr>
                <w:rFonts w:ascii="Times New Roman" w:hAnsi="Times New Roman"/>
                <w:sz w:val="24"/>
              </w:rPr>
              <w:t>0</w:t>
            </w:r>
            <w:r w:rsidR="00973707" w:rsidRPr="00661595">
              <w:rPr>
                <w:rFonts w:ascii="Times New Roman" w:hAnsi="Times New Roman"/>
                <w:sz w:val="24"/>
              </w:rPr>
              <w:t>140</w:t>
            </w:r>
          </w:p>
        </w:tc>
        <w:tc>
          <w:tcPr>
            <w:tcW w:w="8187" w:type="dxa"/>
          </w:tcPr>
          <w:p w:rsidR="00973707" w:rsidRPr="00661595" w:rsidRDefault="00973707" w:rsidP="00AF3D7A">
            <w:pPr>
              <w:spacing w:beforeLines="60" w:before="144" w:afterLines="60" w:after="144"/>
              <w:rPr>
                <w:rFonts w:ascii="Times New Roman" w:hAnsi="Times New Roman"/>
                <w:b/>
                <w:caps/>
                <w:sz w:val="24"/>
                <w:u w:val="single"/>
              </w:rPr>
            </w:pPr>
            <w:r w:rsidRPr="00661595">
              <w:rPr>
                <w:rFonts w:ascii="Times New Roman" w:hAnsi="Times New Roman"/>
                <w:b/>
                <w:caps/>
                <w:sz w:val="24"/>
                <w:u w:val="single"/>
              </w:rPr>
              <w:t xml:space="preserve">1.1.2 </w:t>
            </w:r>
            <w:r w:rsidR="00F75FD2" w:rsidRPr="00661595">
              <w:rPr>
                <w:rFonts w:ascii="Times New Roman" w:hAnsi="Times New Roman"/>
                <w:b/>
                <w:caps/>
                <w:sz w:val="24"/>
                <w:u w:val="single"/>
              </w:rPr>
              <w:t xml:space="preserve">(-) </w:t>
            </w:r>
            <w:r w:rsidRPr="00661595">
              <w:rPr>
                <w:rFonts w:ascii="Times New Roman" w:hAnsi="Times New Roman"/>
                <w:b/>
                <w:caps/>
                <w:sz w:val="24"/>
                <w:u w:val="single"/>
              </w:rPr>
              <w:t>Diversification BenefitS</w:t>
            </w:r>
          </w:p>
          <w:p w:rsidR="00973707" w:rsidRPr="00661595" w:rsidRDefault="00973707" w:rsidP="00AF3D7A">
            <w:pPr>
              <w:spacing w:beforeLines="60" w:before="144" w:afterLines="60" w:after="144"/>
              <w:rPr>
                <w:rFonts w:ascii="Times New Roman" w:hAnsi="Times New Roman"/>
                <w:sz w:val="24"/>
              </w:rPr>
            </w:pPr>
            <w:r w:rsidRPr="00661595">
              <w:rPr>
                <w:rFonts w:ascii="Times New Roman" w:hAnsi="Times New Roman"/>
                <w:sz w:val="24"/>
              </w:rPr>
              <w:t xml:space="preserve">Total diversification benefit. Sum of rows </w:t>
            </w:r>
            <w:r w:rsidR="00F75FD2" w:rsidRPr="00661595">
              <w:rPr>
                <w:rFonts w:ascii="Times New Roman" w:hAnsi="Times New Roman"/>
                <w:sz w:val="24"/>
              </w:rPr>
              <w:t>0</w:t>
            </w:r>
            <w:r w:rsidRPr="00661595">
              <w:rPr>
                <w:rFonts w:ascii="Times New Roman" w:hAnsi="Times New Roman"/>
                <w:sz w:val="24"/>
              </w:rPr>
              <w:t xml:space="preserve">150 and </w:t>
            </w:r>
            <w:r w:rsidR="00F75FD2" w:rsidRPr="00661595">
              <w:rPr>
                <w:rFonts w:ascii="Times New Roman" w:hAnsi="Times New Roman"/>
                <w:sz w:val="24"/>
              </w:rPr>
              <w:t>0</w:t>
            </w:r>
            <w:r w:rsidRPr="00661595">
              <w:rPr>
                <w:rFonts w:ascii="Times New Roman" w:hAnsi="Times New Roman"/>
                <w:sz w:val="24"/>
              </w:rPr>
              <w:t>160.</w:t>
            </w:r>
          </w:p>
        </w:tc>
      </w:tr>
      <w:tr w:rsidR="00973707" w:rsidRPr="00661595" w:rsidTr="00672D2A">
        <w:tc>
          <w:tcPr>
            <w:tcW w:w="1101" w:type="dxa"/>
          </w:tcPr>
          <w:p w:rsidR="00973707" w:rsidRPr="00661595" w:rsidRDefault="009A7A38" w:rsidP="00AF3D7A">
            <w:pPr>
              <w:spacing w:beforeLines="60" w:before="144" w:afterLines="60" w:after="144"/>
              <w:rPr>
                <w:rFonts w:ascii="Times New Roman" w:hAnsi="Times New Roman"/>
                <w:sz w:val="24"/>
              </w:rPr>
            </w:pPr>
            <w:r w:rsidRPr="00661595">
              <w:rPr>
                <w:rFonts w:ascii="Times New Roman" w:hAnsi="Times New Roman"/>
                <w:sz w:val="24"/>
              </w:rPr>
              <w:t>0</w:t>
            </w:r>
            <w:r w:rsidR="00973707" w:rsidRPr="00661595">
              <w:rPr>
                <w:rFonts w:ascii="Times New Roman" w:hAnsi="Times New Roman"/>
                <w:sz w:val="24"/>
              </w:rPr>
              <w:t>150</w:t>
            </w:r>
          </w:p>
        </w:tc>
        <w:tc>
          <w:tcPr>
            <w:tcW w:w="8187" w:type="dxa"/>
          </w:tcPr>
          <w:p w:rsidR="00973707" w:rsidRPr="00661595" w:rsidRDefault="00973707" w:rsidP="00AF3D7A">
            <w:pPr>
              <w:spacing w:beforeLines="60" w:before="144" w:afterLines="60" w:after="144"/>
              <w:rPr>
                <w:rFonts w:ascii="Times New Roman" w:hAnsi="Times New Roman"/>
                <w:b/>
                <w:caps/>
                <w:sz w:val="24"/>
                <w:u w:val="single"/>
              </w:rPr>
            </w:pPr>
            <w:r w:rsidRPr="00661595">
              <w:rPr>
                <w:rFonts w:ascii="Times New Roman" w:hAnsi="Times New Roman"/>
                <w:b/>
                <w:caps/>
                <w:sz w:val="24"/>
                <w:u w:val="single"/>
              </w:rPr>
              <w:t xml:space="preserve">1.1.2.1 </w:t>
            </w:r>
            <w:r w:rsidR="00F75FD2" w:rsidRPr="00661595">
              <w:rPr>
                <w:rFonts w:ascii="Times New Roman" w:hAnsi="Times New Roman"/>
                <w:b/>
                <w:caps/>
                <w:sz w:val="24"/>
                <w:u w:val="single"/>
              </w:rPr>
              <w:t xml:space="preserve">(-) </w:t>
            </w:r>
            <w:r w:rsidRPr="00661595">
              <w:rPr>
                <w:rFonts w:ascii="Times New Roman" w:hAnsi="Times New Roman"/>
                <w:b/>
                <w:caps/>
                <w:sz w:val="24"/>
                <w:u w:val="single"/>
              </w:rPr>
              <w:t>Diversification Benefit calculated using Me</w:t>
            </w:r>
            <w:r w:rsidR="00F75FD2" w:rsidRPr="00661595">
              <w:rPr>
                <w:rFonts w:ascii="Times New Roman" w:hAnsi="Times New Roman"/>
                <w:b/>
                <w:caps/>
                <w:sz w:val="24"/>
                <w:u w:val="single"/>
              </w:rPr>
              <w:softHyphen/>
            </w:r>
            <w:r w:rsidRPr="00661595">
              <w:rPr>
                <w:rFonts w:ascii="Times New Roman" w:hAnsi="Times New Roman"/>
                <w:b/>
                <w:caps/>
                <w:sz w:val="24"/>
                <w:u w:val="single"/>
              </w:rPr>
              <w:t>thod 1</w:t>
            </w:r>
          </w:p>
          <w:p w:rsidR="00973707" w:rsidRPr="00661595" w:rsidRDefault="00973707" w:rsidP="00A30C4C">
            <w:pPr>
              <w:spacing w:beforeLines="60" w:before="144" w:afterLines="60" w:after="144"/>
              <w:rPr>
                <w:rFonts w:ascii="Times New Roman" w:hAnsi="Times New Roman"/>
                <w:sz w:val="24"/>
              </w:rPr>
            </w:pPr>
            <w:r w:rsidRPr="00661595">
              <w:rPr>
                <w:rFonts w:ascii="Times New Roman" w:hAnsi="Times New Roman"/>
                <w:sz w:val="24"/>
              </w:rPr>
              <w:t xml:space="preserve">For those categories of AVA aggregated under Method 1 </w:t>
            </w:r>
            <w:r w:rsidR="00F75FD2" w:rsidRPr="00661595">
              <w:rPr>
                <w:rFonts w:ascii="Times New Roman" w:hAnsi="Times New Roman"/>
                <w:sz w:val="24"/>
              </w:rPr>
              <w:t>in accordance with</w:t>
            </w:r>
            <w:r w:rsidRPr="00661595">
              <w:rPr>
                <w:rFonts w:ascii="Times New Roman" w:hAnsi="Times New Roman"/>
                <w:sz w:val="24"/>
              </w:rPr>
              <w:t xml:space="preserve"> Articles 9(6), 10(7) and 11(6) of </w:t>
            </w:r>
            <w:r w:rsidR="007466A4" w:rsidRPr="00661595">
              <w:rPr>
                <w:rFonts w:ascii="Times New Roman" w:hAnsi="Times New Roman"/>
                <w:sz w:val="24"/>
              </w:rPr>
              <w:t>Delegated Regulation (EU) 2016/101</w:t>
            </w:r>
            <w:r w:rsidRPr="00661595">
              <w:rPr>
                <w:rFonts w:ascii="Times New Roman" w:hAnsi="Times New Roman"/>
                <w:sz w:val="24"/>
              </w:rPr>
              <w:t>, the difference between the sum of the individual AVAs and the total category level AVA after adjusting for aggregation.</w:t>
            </w:r>
          </w:p>
        </w:tc>
      </w:tr>
      <w:tr w:rsidR="00973707" w:rsidRPr="00661595" w:rsidTr="00672D2A">
        <w:tc>
          <w:tcPr>
            <w:tcW w:w="1101" w:type="dxa"/>
          </w:tcPr>
          <w:p w:rsidR="00973707" w:rsidRPr="00661595" w:rsidRDefault="009A7A38" w:rsidP="00AF3D7A">
            <w:pPr>
              <w:spacing w:beforeLines="60" w:before="144" w:afterLines="60" w:after="144"/>
              <w:rPr>
                <w:rFonts w:ascii="Times New Roman" w:hAnsi="Times New Roman"/>
                <w:sz w:val="24"/>
              </w:rPr>
            </w:pPr>
            <w:r w:rsidRPr="00661595">
              <w:rPr>
                <w:rFonts w:ascii="Times New Roman" w:hAnsi="Times New Roman"/>
                <w:sz w:val="24"/>
              </w:rPr>
              <w:t>0</w:t>
            </w:r>
            <w:r w:rsidR="00973707" w:rsidRPr="00661595">
              <w:rPr>
                <w:rFonts w:ascii="Times New Roman" w:hAnsi="Times New Roman"/>
                <w:sz w:val="24"/>
              </w:rPr>
              <w:t>160</w:t>
            </w:r>
          </w:p>
        </w:tc>
        <w:tc>
          <w:tcPr>
            <w:tcW w:w="8187" w:type="dxa"/>
          </w:tcPr>
          <w:p w:rsidR="00973707" w:rsidRPr="00661595" w:rsidRDefault="00973707" w:rsidP="00AF3D7A">
            <w:pPr>
              <w:spacing w:beforeLines="60" w:before="144" w:afterLines="60" w:after="144"/>
              <w:rPr>
                <w:rFonts w:ascii="Times New Roman" w:hAnsi="Times New Roman"/>
                <w:b/>
                <w:caps/>
                <w:sz w:val="24"/>
                <w:u w:val="single"/>
              </w:rPr>
            </w:pPr>
            <w:r w:rsidRPr="00661595">
              <w:rPr>
                <w:rFonts w:ascii="Times New Roman" w:hAnsi="Times New Roman"/>
                <w:b/>
                <w:caps/>
                <w:sz w:val="24"/>
                <w:u w:val="single"/>
              </w:rPr>
              <w:t xml:space="preserve">1.1.2.2 </w:t>
            </w:r>
            <w:r w:rsidR="00F75FD2" w:rsidRPr="00661595">
              <w:rPr>
                <w:rFonts w:ascii="Times New Roman" w:hAnsi="Times New Roman"/>
                <w:b/>
                <w:caps/>
                <w:sz w:val="24"/>
                <w:u w:val="single"/>
              </w:rPr>
              <w:t xml:space="preserve">(-) </w:t>
            </w:r>
            <w:r w:rsidRPr="00661595">
              <w:rPr>
                <w:rFonts w:ascii="Times New Roman" w:hAnsi="Times New Roman"/>
                <w:b/>
                <w:caps/>
                <w:sz w:val="24"/>
                <w:u w:val="single"/>
              </w:rPr>
              <w:t>Diversification Benefit calculated using Me</w:t>
            </w:r>
            <w:r w:rsidR="00F75FD2" w:rsidRPr="00661595">
              <w:rPr>
                <w:rFonts w:ascii="Times New Roman" w:hAnsi="Times New Roman"/>
                <w:b/>
                <w:caps/>
                <w:sz w:val="24"/>
                <w:u w:val="single"/>
              </w:rPr>
              <w:softHyphen/>
            </w:r>
            <w:r w:rsidRPr="00661595">
              <w:rPr>
                <w:rFonts w:ascii="Times New Roman" w:hAnsi="Times New Roman"/>
                <w:b/>
                <w:caps/>
                <w:sz w:val="24"/>
                <w:u w:val="single"/>
              </w:rPr>
              <w:t>thod 2</w:t>
            </w:r>
          </w:p>
          <w:p w:rsidR="00973707" w:rsidRPr="00661595" w:rsidRDefault="00973707" w:rsidP="00A30C4C">
            <w:pPr>
              <w:spacing w:beforeLines="60" w:before="144" w:afterLines="60" w:after="144"/>
              <w:rPr>
                <w:rFonts w:ascii="Times New Roman" w:hAnsi="Times New Roman"/>
                <w:sz w:val="24"/>
              </w:rPr>
            </w:pPr>
            <w:r w:rsidRPr="00661595">
              <w:rPr>
                <w:rFonts w:ascii="Times New Roman" w:hAnsi="Times New Roman"/>
                <w:sz w:val="24"/>
              </w:rPr>
              <w:t>For those categories of AVA aggregated under Method 2</w:t>
            </w:r>
            <w:r w:rsidR="00F75FD2" w:rsidRPr="00661595">
              <w:rPr>
                <w:rFonts w:ascii="Times New Roman" w:hAnsi="Times New Roman"/>
                <w:sz w:val="24"/>
              </w:rPr>
              <w:t xml:space="preserve"> in accordance with</w:t>
            </w:r>
            <w:r w:rsidRPr="00661595">
              <w:rPr>
                <w:rFonts w:ascii="Times New Roman" w:hAnsi="Times New Roman"/>
                <w:sz w:val="24"/>
              </w:rPr>
              <w:t xml:space="preserve"> Articles 9(6), 10(7) and 11(6) of </w:t>
            </w:r>
            <w:r w:rsidR="007466A4" w:rsidRPr="00661595">
              <w:rPr>
                <w:rFonts w:ascii="Times New Roman" w:hAnsi="Times New Roman"/>
                <w:sz w:val="24"/>
              </w:rPr>
              <w:t>Delegated Regulation (EU) 2016/101</w:t>
            </w:r>
            <w:r w:rsidRPr="00661595">
              <w:rPr>
                <w:rFonts w:ascii="Times New Roman" w:hAnsi="Times New Roman"/>
                <w:sz w:val="24"/>
              </w:rPr>
              <w:t>, the difference between the sum of the individual AVAs and the total category level AVA after adjusting for aggrega</w:t>
            </w:r>
            <w:r w:rsidR="00F75FD2" w:rsidRPr="00661595">
              <w:rPr>
                <w:rFonts w:ascii="Times New Roman" w:hAnsi="Times New Roman"/>
                <w:sz w:val="24"/>
              </w:rPr>
              <w:t>tion.</w:t>
            </w:r>
          </w:p>
        </w:tc>
      </w:tr>
      <w:tr w:rsidR="00973707" w:rsidRPr="00661595" w:rsidTr="00672D2A">
        <w:tc>
          <w:tcPr>
            <w:tcW w:w="1101" w:type="dxa"/>
          </w:tcPr>
          <w:p w:rsidR="00973707" w:rsidRPr="00661595" w:rsidRDefault="009A7A38" w:rsidP="00AF3D7A">
            <w:pPr>
              <w:spacing w:beforeLines="60" w:before="144" w:afterLines="60" w:after="144"/>
              <w:rPr>
                <w:rFonts w:ascii="Times New Roman" w:hAnsi="Times New Roman"/>
                <w:sz w:val="24"/>
              </w:rPr>
            </w:pPr>
            <w:r w:rsidRPr="00661595">
              <w:rPr>
                <w:rFonts w:ascii="Times New Roman" w:hAnsi="Times New Roman"/>
                <w:sz w:val="24"/>
              </w:rPr>
              <w:t>0</w:t>
            </w:r>
            <w:r w:rsidR="00973707" w:rsidRPr="00661595">
              <w:rPr>
                <w:rFonts w:ascii="Times New Roman" w:hAnsi="Times New Roman"/>
                <w:sz w:val="24"/>
              </w:rPr>
              <w:t>170</w:t>
            </w:r>
          </w:p>
        </w:tc>
        <w:tc>
          <w:tcPr>
            <w:tcW w:w="8187" w:type="dxa"/>
          </w:tcPr>
          <w:p w:rsidR="00973707" w:rsidRPr="00661595" w:rsidRDefault="00973707" w:rsidP="00AF3D7A">
            <w:pPr>
              <w:spacing w:beforeLines="60" w:before="144" w:afterLines="60" w:after="144"/>
              <w:rPr>
                <w:rFonts w:ascii="Times New Roman" w:hAnsi="Times New Roman"/>
                <w:b/>
                <w:caps/>
                <w:sz w:val="24"/>
                <w:u w:val="single"/>
              </w:rPr>
            </w:pPr>
            <w:r w:rsidRPr="00661595">
              <w:rPr>
                <w:rFonts w:ascii="Times New Roman" w:hAnsi="Times New Roman"/>
                <w:b/>
                <w:caps/>
                <w:sz w:val="24"/>
                <w:u w:val="single"/>
              </w:rPr>
              <w:t>1.1.2.2* Memorandum item: pre-diversification AVAs reduced by more than 90% by diversification under Me</w:t>
            </w:r>
            <w:r w:rsidR="00310F96" w:rsidRPr="00661595">
              <w:rPr>
                <w:rFonts w:ascii="Times New Roman" w:hAnsi="Times New Roman"/>
                <w:b/>
                <w:caps/>
                <w:sz w:val="24"/>
                <w:u w:val="single"/>
              </w:rPr>
              <w:softHyphen/>
            </w:r>
            <w:r w:rsidRPr="00661595">
              <w:rPr>
                <w:rFonts w:ascii="Times New Roman" w:hAnsi="Times New Roman"/>
                <w:b/>
                <w:caps/>
                <w:sz w:val="24"/>
                <w:u w:val="single"/>
              </w:rPr>
              <w:t>thod 2</w:t>
            </w:r>
          </w:p>
          <w:p w:rsidR="00973707" w:rsidRPr="00661595" w:rsidRDefault="00973707" w:rsidP="00DD41BE">
            <w:pPr>
              <w:spacing w:beforeLines="60" w:before="144" w:afterLines="60" w:after="144"/>
              <w:rPr>
                <w:rFonts w:ascii="Times New Roman" w:hAnsi="Times New Roman"/>
                <w:sz w:val="24"/>
              </w:rPr>
            </w:pPr>
            <w:r w:rsidRPr="00661595">
              <w:rPr>
                <w:rFonts w:ascii="Times New Roman" w:hAnsi="Times New Roman"/>
                <w:sz w:val="24"/>
              </w:rPr>
              <w:t>In the terminology of Method 2, the sum of FV – PV for all valuation exposures for which APVA &lt; 10% (FV – PV).</w:t>
            </w:r>
          </w:p>
        </w:tc>
      </w:tr>
      <w:tr w:rsidR="00973707" w:rsidRPr="00661595" w:rsidTr="00672D2A">
        <w:tc>
          <w:tcPr>
            <w:tcW w:w="1101" w:type="dxa"/>
          </w:tcPr>
          <w:p w:rsidR="00973707" w:rsidRPr="00661595" w:rsidRDefault="009A7A38" w:rsidP="00AF3D7A">
            <w:pPr>
              <w:spacing w:beforeLines="60" w:before="144" w:afterLines="60" w:after="144"/>
              <w:rPr>
                <w:rFonts w:ascii="Times New Roman" w:hAnsi="Times New Roman"/>
                <w:sz w:val="24"/>
              </w:rPr>
            </w:pPr>
            <w:r w:rsidRPr="00661595">
              <w:rPr>
                <w:rFonts w:ascii="Times New Roman" w:hAnsi="Times New Roman"/>
                <w:sz w:val="24"/>
              </w:rPr>
              <w:t>0</w:t>
            </w:r>
            <w:r w:rsidR="00973707" w:rsidRPr="00661595">
              <w:rPr>
                <w:rFonts w:ascii="Times New Roman" w:hAnsi="Times New Roman"/>
                <w:sz w:val="24"/>
              </w:rPr>
              <w:t>180</w:t>
            </w:r>
          </w:p>
        </w:tc>
        <w:tc>
          <w:tcPr>
            <w:tcW w:w="8187" w:type="dxa"/>
          </w:tcPr>
          <w:p w:rsidR="00973707" w:rsidRPr="00661595" w:rsidRDefault="00973707" w:rsidP="00AF3D7A">
            <w:pPr>
              <w:spacing w:beforeLines="60" w:before="144" w:afterLines="60" w:after="144"/>
              <w:rPr>
                <w:rFonts w:ascii="Times New Roman" w:hAnsi="Times New Roman"/>
                <w:b/>
                <w:caps/>
                <w:sz w:val="24"/>
                <w:u w:val="single"/>
              </w:rPr>
            </w:pPr>
            <w:r w:rsidRPr="00661595">
              <w:rPr>
                <w:rFonts w:ascii="Times New Roman" w:hAnsi="Times New Roman"/>
                <w:b/>
                <w:caps/>
                <w:sz w:val="24"/>
                <w:u w:val="single"/>
              </w:rPr>
              <w:t>1.2 Portfolios calculated under the fall-back approach</w:t>
            </w:r>
          </w:p>
          <w:p w:rsidR="00973707" w:rsidRPr="00661595" w:rsidRDefault="002F78EA" w:rsidP="00AF3D7A">
            <w:pPr>
              <w:spacing w:beforeLines="60" w:before="144" w:afterLines="60" w:after="144"/>
              <w:rPr>
                <w:rFonts w:ascii="Times New Roman" w:hAnsi="Times New Roman"/>
                <w:sz w:val="24"/>
              </w:rPr>
            </w:pPr>
            <w:r w:rsidRPr="00661595">
              <w:rPr>
                <w:rFonts w:ascii="Times New Roman" w:hAnsi="Times New Roman"/>
                <w:sz w:val="24"/>
              </w:rPr>
              <w:t xml:space="preserve">Point (b) of </w:t>
            </w:r>
            <w:r w:rsidR="00973707" w:rsidRPr="00661595">
              <w:rPr>
                <w:rFonts w:ascii="Times New Roman" w:hAnsi="Times New Roman"/>
                <w:sz w:val="24"/>
              </w:rPr>
              <w:t xml:space="preserve">Article 7(2) of </w:t>
            </w:r>
            <w:r w:rsidR="007466A4" w:rsidRPr="00661595">
              <w:rPr>
                <w:rFonts w:ascii="Times New Roman" w:hAnsi="Times New Roman"/>
                <w:sz w:val="24"/>
              </w:rPr>
              <w:t>Delegated Regulation (EU) 2016/101</w:t>
            </w:r>
            <w:r w:rsidR="00A30C4C" w:rsidRPr="00661595">
              <w:rPr>
                <w:rFonts w:ascii="Times New Roman" w:hAnsi="Times New Roman"/>
                <w:sz w:val="24"/>
              </w:rPr>
              <w:t>.</w:t>
            </w:r>
          </w:p>
          <w:p w:rsidR="00973707" w:rsidRPr="00661595" w:rsidRDefault="00973707" w:rsidP="00AF3D7A">
            <w:pPr>
              <w:spacing w:beforeLines="60" w:before="144" w:afterLines="60" w:after="144"/>
              <w:rPr>
                <w:rFonts w:ascii="Times New Roman" w:hAnsi="Times New Roman"/>
                <w:sz w:val="24"/>
              </w:rPr>
            </w:pPr>
            <w:r w:rsidRPr="00661595">
              <w:rPr>
                <w:rFonts w:ascii="Times New Roman" w:hAnsi="Times New Roman"/>
                <w:sz w:val="24"/>
              </w:rPr>
              <w:t xml:space="preserve">For portfolios subject to the fall-back approach under </w:t>
            </w:r>
            <w:r w:rsidR="002F78EA" w:rsidRPr="00661595">
              <w:rPr>
                <w:rFonts w:ascii="Times New Roman" w:hAnsi="Times New Roman"/>
                <w:sz w:val="24"/>
              </w:rPr>
              <w:t xml:space="preserve">point (b) of </w:t>
            </w:r>
            <w:r w:rsidRPr="00661595">
              <w:rPr>
                <w:rFonts w:ascii="Times New Roman" w:hAnsi="Times New Roman"/>
                <w:sz w:val="24"/>
              </w:rPr>
              <w:t>Article 7(2) of</w:t>
            </w:r>
            <w:r w:rsidR="00A30C4C" w:rsidRPr="00661595">
              <w:rPr>
                <w:rFonts w:ascii="Times New Roman" w:hAnsi="Times New Roman"/>
                <w:sz w:val="24"/>
              </w:rPr>
              <w:t xml:space="preserve"> </w:t>
            </w:r>
            <w:r w:rsidR="007466A4" w:rsidRPr="00661595">
              <w:rPr>
                <w:rFonts w:ascii="Times New Roman" w:hAnsi="Times New Roman"/>
                <w:sz w:val="24"/>
              </w:rPr>
              <w:t>Delegated Regulation (EU) 2016/101</w:t>
            </w:r>
            <w:r w:rsidRPr="00661595">
              <w:rPr>
                <w:rFonts w:ascii="Times New Roman" w:hAnsi="Times New Roman"/>
                <w:sz w:val="24"/>
              </w:rPr>
              <w:t xml:space="preserve">, the total AVA shall be computed as a sum of rows </w:t>
            </w:r>
            <w:r w:rsidR="00310F96" w:rsidRPr="00661595">
              <w:rPr>
                <w:rFonts w:ascii="Times New Roman" w:hAnsi="Times New Roman"/>
                <w:sz w:val="24"/>
              </w:rPr>
              <w:t>0</w:t>
            </w:r>
            <w:r w:rsidRPr="00661595">
              <w:rPr>
                <w:rFonts w:ascii="Times New Roman" w:hAnsi="Times New Roman"/>
                <w:sz w:val="24"/>
              </w:rPr>
              <w:t xml:space="preserve">190, </w:t>
            </w:r>
            <w:r w:rsidR="00310F96" w:rsidRPr="00661595">
              <w:rPr>
                <w:rFonts w:ascii="Times New Roman" w:hAnsi="Times New Roman"/>
                <w:sz w:val="24"/>
              </w:rPr>
              <w:t>0</w:t>
            </w:r>
            <w:r w:rsidRPr="00661595">
              <w:rPr>
                <w:rFonts w:ascii="Times New Roman" w:hAnsi="Times New Roman"/>
                <w:sz w:val="24"/>
              </w:rPr>
              <w:t xml:space="preserve">200 and </w:t>
            </w:r>
            <w:r w:rsidR="00310F96" w:rsidRPr="00661595">
              <w:rPr>
                <w:rFonts w:ascii="Times New Roman" w:hAnsi="Times New Roman"/>
                <w:sz w:val="24"/>
              </w:rPr>
              <w:t>0</w:t>
            </w:r>
            <w:r w:rsidRPr="00661595">
              <w:rPr>
                <w:rFonts w:ascii="Times New Roman" w:hAnsi="Times New Roman"/>
                <w:sz w:val="24"/>
              </w:rPr>
              <w:t xml:space="preserve">210. </w:t>
            </w:r>
          </w:p>
          <w:p w:rsidR="00973707" w:rsidRPr="00661595" w:rsidRDefault="00973707" w:rsidP="00A30C4C">
            <w:pPr>
              <w:spacing w:beforeLines="60" w:before="144" w:afterLines="60" w:after="144"/>
              <w:rPr>
                <w:rFonts w:ascii="Times New Roman" w:hAnsi="Times New Roman"/>
                <w:sz w:val="24"/>
              </w:rPr>
            </w:pPr>
            <w:r w:rsidRPr="00661595">
              <w:rPr>
                <w:rFonts w:ascii="Times New Roman" w:hAnsi="Times New Roman"/>
                <w:sz w:val="24"/>
              </w:rPr>
              <w:t>Relevant balance sheet and other contextual information shall be provided in co</w:t>
            </w:r>
            <w:r w:rsidR="00310F96" w:rsidRPr="00661595">
              <w:rPr>
                <w:rFonts w:ascii="Times New Roman" w:hAnsi="Times New Roman"/>
                <w:sz w:val="24"/>
              </w:rPr>
              <w:softHyphen/>
            </w:r>
            <w:r w:rsidRPr="00661595">
              <w:rPr>
                <w:rFonts w:ascii="Times New Roman" w:hAnsi="Times New Roman"/>
                <w:sz w:val="24"/>
              </w:rPr>
              <w:t xml:space="preserve">lumns </w:t>
            </w:r>
            <w:r w:rsidR="00310F96" w:rsidRPr="00661595">
              <w:rPr>
                <w:rFonts w:ascii="Times New Roman" w:hAnsi="Times New Roman"/>
                <w:sz w:val="24"/>
              </w:rPr>
              <w:t>0</w:t>
            </w:r>
            <w:r w:rsidRPr="00661595">
              <w:rPr>
                <w:rFonts w:ascii="Times New Roman" w:hAnsi="Times New Roman"/>
                <w:sz w:val="24"/>
              </w:rPr>
              <w:t xml:space="preserve">130 - </w:t>
            </w:r>
            <w:r w:rsidR="00310F96" w:rsidRPr="00661595">
              <w:rPr>
                <w:rFonts w:ascii="Times New Roman" w:hAnsi="Times New Roman"/>
                <w:sz w:val="24"/>
              </w:rPr>
              <w:t>0</w:t>
            </w:r>
            <w:r w:rsidRPr="00661595">
              <w:rPr>
                <w:rFonts w:ascii="Times New Roman" w:hAnsi="Times New Roman"/>
                <w:sz w:val="24"/>
              </w:rPr>
              <w:t>260. A description of the positions and the reason why it was not possible to apply Articles 9 to 17 of</w:t>
            </w:r>
            <w:r w:rsidR="007466A4" w:rsidRPr="00661595">
              <w:rPr>
                <w:rFonts w:ascii="Times New Roman" w:hAnsi="Times New Roman"/>
                <w:sz w:val="24"/>
              </w:rPr>
              <w:t xml:space="preserve"> Delegated Regulation (EU) 2016/101</w:t>
            </w:r>
            <w:r w:rsidRPr="00661595">
              <w:rPr>
                <w:rFonts w:ascii="Times New Roman" w:hAnsi="Times New Roman"/>
                <w:sz w:val="24"/>
              </w:rPr>
              <w:t xml:space="preserve"> shall be provided in column </w:t>
            </w:r>
            <w:r w:rsidR="00310F96" w:rsidRPr="00661595">
              <w:rPr>
                <w:rFonts w:ascii="Times New Roman" w:hAnsi="Times New Roman"/>
                <w:sz w:val="24"/>
              </w:rPr>
              <w:t>0</w:t>
            </w:r>
            <w:r w:rsidRPr="00661595">
              <w:rPr>
                <w:rFonts w:ascii="Times New Roman" w:hAnsi="Times New Roman"/>
                <w:sz w:val="24"/>
              </w:rPr>
              <w:t xml:space="preserve">270. </w:t>
            </w:r>
          </w:p>
        </w:tc>
      </w:tr>
      <w:tr w:rsidR="00973707" w:rsidRPr="00661595" w:rsidTr="00672D2A">
        <w:tc>
          <w:tcPr>
            <w:tcW w:w="1101" w:type="dxa"/>
          </w:tcPr>
          <w:p w:rsidR="00973707" w:rsidRPr="00661595" w:rsidRDefault="009A7A38" w:rsidP="00AF3D7A">
            <w:pPr>
              <w:spacing w:beforeLines="60" w:before="144" w:afterLines="60" w:after="144"/>
              <w:rPr>
                <w:rFonts w:ascii="Times New Roman" w:hAnsi="Times New Roman"/>
                <w:sz w:val="24"/>
              </w:rPr>
            </w:pPr>
            <w:r w:rsidRPr="00661595">
              <w:rPr>
                <w:rFonts w:ascii="Times New Roman" w:hAnsi="Times New Roman"/>
                <w:sz w:val="24"/>
              </w:rPr>
              <w:t>0</w:t>
            </w:r>
            <w:r w:rsidR="00973707" w:rsidRPr="00661595">
              <w:rPr>
                <w:rFonts w:ascii="Times New Roman" w:hAnsi="Times New Roman"/>
                <w:sz w:val="24"/>
              </w:rPr>
              <w:t>190</w:t>
            </w:r>
          </w:p>
        </w:tc>
        <w:tc>
          <w:tcPr>
            <w:tcW w:w="8187" w:type="dxa"/>
          </w:tcPr>
          <w:p w:rsidR="00973707" w:rsidRPr="00661595" w:rsidRDefault="00973707" w:rsidP="00AF3D7A">
            <w:pPr>
              <w:spacing w:beforeLines="60" w:before="144" w:afterLines="60" w:after="144"/>
              <w:rPr>
                <w:rFonts w:ascii="Times New Roman" w:hAnsi="Times New Roman"/>
                <w:b/>
                <w:caps/>
                <w:sz w:val="24"/>
                <w:u w:val="single"/>
              </w:rPr>
            </w:pPr>
            <w:r w:rsidRPr="00661595">
              <w:rPr>
                <w:rFonts w:ascii="Times New Roman" w:hAnsi="Times New Roman"/>
                <w:b/>
                <w:caps/>
                <w:sz w:val="24"/>
                <w:u w:val="single"/>
              </w:rPr>
              <w:t>1.2.1 Fall-back approach; 100% unrealised profit</w:t>
            </w:r>
          </w:p>
          <w:p w:rsidR="00973707" w:rsidRPr="00661595" w:rsidRDefault="002F78EA" w:rsidP="00A30C4C">
            <w:pPr>
              <w:spacing w:beforeLines="60" w:before="144" w:afterLines="60" w:after="144"/>
              <w:rPr>
                <w:rFonts w:ascii="Times New Roman" w:hAnsi="Times New Roman"/>
                <w:sz w:val="24"/>
              </w:rPr>
            </w:pPr>
            <w:r w:rsidRPr="00661595">
              <w:rPr>
                <w:rFonts w:ascii="Times New Roman" w:hAnsi="Times New Roman"/>
                <w:sz w:val="24"/>
              </w:rPr>
              <w:t xml:space="preserve">Point (b)(i) of </w:t>
            </w:r>
            <w:r w:rsidR="00973707" w:rsidRPr="00661595">
              <w:rPr>
                <w:rFonts w:ascii="Times New Roman" w:hAnsi="Times New Roman"/>
                <w:sz w:val="24"/>
              </w:rPr>
              <w:t xml:space="preserve">Article 7(2) of </w:t>
            </w:r>
            <w:r w:rsidR="007466A4" w:rsidRPr="00661595">
              <w:rPr>
                <w:rFonts w:ascii="Times New Roman" w:hAnsi="Times New Roman"/>
                <w:sz w:val="24"/>
              </w:rPr>
              <w:t>Delegated Regulation (EU) 2016/101</w:t>
            </w:r>
            <w:r w:rsidR="00A30C4C" w:rsidRPr="00661595">
              <w:rPr>
                <w:rFonts w:ascii="Times New Roman" w:hAnsi="Times New Roman"/>
                <w:sz w:val="24"/>
              </w:rPr>
              <w:t>.</w:t>
            </w:r>
          </w:p>
        </w:tc>
      </w:tr>
      <w:tr w:rsidR="00973707" w:rsidRPr="00661595" w:rsidTr="00672D2A">
        <w:tc>
          <w:tcPr>
            <w:tcW w:w="1101" w:type="dxa"/>
          </w:tcPr>
          <w:p w:rsidR="00973707" w:rsidRPr="00661595" w:rsidRDefault="009A7A38" w:rsidP="00AF3D7A">
            <w:pPr>
              <w:spacing w:beforeLines="60" w:before="144" w:afterLines="60" w:after="144"/>
              <w:rPr>
                <w:rFonts w:ascii="Times New Roman" w:hAnsi="Times New Roman"/>
                <w:sz w:val="24"/>
              </w:rPr>
            </w:pPr>
            <w:r w:rsidRPr="00661595">
              <w:rPr>
                <w:rFonts w:ascii="Times New Roman" w:hAnsi="Times New Roman"/>
                <w:sz w:val="24"/>
              </w:rPr>
              <w:t>0</w:t>
            </w:r>
            <w:r w:rsidR="00973707" w:rsidRPr="00661595">
              <w:rPr>
                <w:rFonts w:ascii="Times New Roman" w:hAnsi="Times New Roman"/>
                <w:sz w:val="24"/>
              </w:rPr>
              <w:t>200</w:t>
            </w:r>
          </w:p>
        </w:tc>
        <w:tc>
          <w:tcPr>
            <w:tcW w:w="8187" w:type="dxa"/>
          </w:tcPr>
          <w:p w:rsidR="00973707" w:rsidRPr="00661595" w:rsidRDefault="00973707" w:rsidP="00AF3D7A">
            <w:pPr>
              <w:spacing w:beforeLines="60" w:before="144" w:afterLines="60" w:after="144"/>
              <w:rPr>
                <w:rFonts w:ascii="Times New Roman" w:hAnsi="Times New Roman"/>
                <w:b/>
                <w:caps/>
                <w:sz w:val="24"/>
                <w:u w:val="single"/>
              </w:rPr>
            </w:pPr>
            <w:r w:rsidRPr="00661595">
              <w:rPr>
                <w:rFonts w:ascii="Times New Roman" w:hAnsi="Times New Roman"/>
                <w:b/>
                <w:caps/>
                <w:sz w:val="24"/>
                <w:u w:val="single"/>
              </w:rPr>
              <w:t>1.2.2 Fall-back approach; 10% notional value</w:t>
            </w:r>
          </w:p>
          <w:p w:rsidR="00973707" w:rsidRPr="00661595" w:rsidRDefault="002F78EA" w:rsidP="00A30C4C">
            <w:pPr>
              <w:spacing w:beforeLines="60" w:before="144" w:afterLines="60" w:after="144"/>
              <w:rPr>
                <w:rFonts w:ascii="Times New Roman" w:hAnsi="Times New Roman"/>
                <w:sz w:val="24"/>
              </w:rPr>
            </w:pPr>
            <w:r w:rsidRPr="00661595">
              <w:rPr>
                <w:rFonts w:ascii="Times New Roman" w:hAnsi="Times New Roman"/>
                <w:sz w:val="24"/>
              </w:rPr>
              <w:t xml:space="preserve">Point (b)(ii) of </w:t>
            </w:r>
            <w:r w:rsidR="009A7A38" w:rsidRPr="00661595">
              <w:rPr>
                <w:rFonts w:ascii="Times New Roman" w:hAnsi="Times New Roman"/>
                <w:sz w:val="24"/>
              </w:rPr>
              <w:t xml:space="preserve">Article 7(2) of </w:t>
            </w:r>
            <w:r w:rsidR="007466A4" w:rsidRPr="00661595">
              <w:rPr>
                <w:rFonts w:ascii="Times New Roman" w:hAnsi="Times New Roman"/>
                <w:sz w:val="24"/>
              </w:rPr>
              <w:t>Delegated Regulation (EU) 2016/101</w:t>
            </w:r>
            <w:r w:rsidR="00A30C4C" w:rsidRPr="00661595">
              <w:rPr>
                <w:rFonts w:ascii="Times New Roman" w:hAnsi="Times New Roman"/>
                <w:sz w:val="24"/>
              </w:rPr>
              <w:t>.</w:t>
            </w:r>
          </w:p>
        </w:tc>
      </w:tr>
      <w:tr w:rsidR="00973707" w:rsidRPr="00661595" w:rsidTr="00672D2A">
        <w:tc>
          <w:tcPr>
            <w:tcW w:w="1101" w:type="dxa"/>
          </w:tcPr>
          <w:p w:rsidR="00973707" w:rsidRPr="00661595" w:rsidRDefault="009A7A38" w:rsidP="00AF3D7A">
            <w:pPr>
              <w:spacing w:beforeLines="60" w:before="144" w:afterLines="60" w:after="144"/>
              <w:rPr>
                <w:rFonts w:ascii="Times New Roman" w:hAnsi="Times New Roman"/>
                <w:sz w:val="24"/>
              </w:rPr>
            </w:pPr>
            <w:r w:rsidRPr="00661595">
              <w:rPr>
                <w:rFonts w:ascii="Times New Roman" w:hAnsi="Times New Roman"/>
                <w:sz w:val="24"/>
              </w:rPr>
              <w:t>0</w:t>
            </w:r>
            <w:r w:rsidR="00973707" w:rsidRPr="00661595">
              <w:rPr>
                <w:rFonts w:ascii="Times New Roman" w:hAnsi="Times New Roman"/>
                <w:sz w:val="24"/>
              </w:rPr>
              <w:t>210</w:t>
            </w:r>
          </w:p>
        </w:tc>
        <w:tc>
          <w:tcPr>
            <w:tcW w:w="8187" w:type="dxa"/>
          </w:tcPr>
          <w:p w:rsidR="00973707" w:rsidRPr="00661595" w:rsidRDefault="00973707" w:rsidP="00AF3D7A">
            <w:pPr>
              <w:spacing w:beforeLines="60" w:before="144" w:afterLines="60" w:after="144"/>
              <w:rPr>
                <w:rFonts w:ascii="Times New Roman" w:hAnsi="Times New Roman"/>
                <w:b/>
                <w:caps/>
                <w:sz w:val="24"/>
                <w:u w:val="single"/>
              </w:rPr>
            </w:pPr>
            <w:r w:rsidRPr="00661595">
              <w:rPr>
                <w:rFonts w:ascii="Times New Roman" w:hAnsi="Times New Roman"/>
                <w:b/>
                <w:caps/>
                <w:sz w:val="24"/>
                <w:u w:val="single"/>
              </w:rPr>
              <w:t>1.2.3 Fall-back approach; 25% of inception value</w:t>
            </w:r>
          </w:p>
          <w:p w:rsidR="00973707" w:rsidRPr="00661595" w:rsidRDefault="002F78EA" w:rsidP="00A30C4C">
            <w:pPr>
              <w:spacing w:beforeLines="60" w:before="144" w:afterLines="60" w:after="144"/>
              <w:rPr>
                <w:rFonts w:ascii="Times New Roman" w:hAnsi="Times New Roman"/>
                <w:sz w:val="24"/>
              </w:rPr>
            </w:pPr>
            <w:r w:rsidRPr="00661595">
              <w:rPr>
                <w:rFonts w:ascii="Times New Roman" w:hAnsi="Times New Roman"/>
                <w:sz w:val="24"/>
              </w:rPr>
              <w:t xml:space="preserve">Point (b)(iii) of </w:t>
            </w:r>
            <w:r w:rsidR="009A7A38" w:rsidRPr="00661595">
              <w:rPr>
                <w:rFonts w:ascii="Times New Roman" w:hAnsi="Times New Roman"/>
                <w:sz w:val="24"/>
              </w:rPr>
              <w:t xml:space="preserve">Article 7(2) of </w:t>
            </w:r>
            <w:r w:rsidR="007466A4" w:rsidRPr="00661595">
              <w:rPr>
                <w:rFonts w:ascii="Times New Roman" w:hAnsi="Times New Roman"/>
                <w:sz w:val="24"/>
              </w:rPr>
              <w:t>Delegated Regulation (EU) 2016/101</w:t>
            </w:r>
            <w:r w:rsidR="00A30C4C" w:rsidRPr="00661595">
              <w:rPr>
                <w:rFonts w:ascii="Times New Roman" w:hAnsi="Times New Roman"/>
                <w:sz w:val="24"/>
              </w:rPr>
              <w:t>.</w:t>
            </w:r>
          </w:p>
        </w:tc>
      </w:tr>
    </w:tbl>
    <w:p w:rsidR="00973707" w:rsidRPr="00661595" w:rsidRDefault="00973707" w:rsidP="00C61FF5">
      <w:pPr>
        <w:rPr>
          <w:rStyle w:val="InstructionsTabelleText"/>
          <w:rFonts w:ascii="Times New Roman" w:hAnsi="Times New Roman"/>
          <w:sz w:val="24"/>
        </w:rPr>
      </w:pPr>
    </w:p>
    <w:p w:rsidR="00B93FA1" w:rsidRPr="00661595" w:rsidRDefault="00AF3D7A" w:rsidP="00B93FA1">
      <w:pPr>
        <w:pStyle w:val="Instructionsberschrift2"/>
        <w:numPr>
          <w:ilvl w:val="0"/>
          <w:numId w:val="0"/>
        </w:numPr>
        <w:ind w:left="357" w:hanging="357"/>
        <w:rPr>
          <w:rFonts w:ascii="Times New Roman" w:hAnsi="Times New Roman"/>
          <w:sz w:val="24"/>
          <w:u w:val="none"/>
          <w:lang w:val="en-GB"/>
        </w:rPr>
      </w:pPr>
      <w:bookmarkStart w:id="762" w:name="_Toc57831666"/>
      <w:r w:rsidRPr="00661595">
        <w:rPr>
          <w:rFonts w:ascii="Times New Roman" w:hAnsi="Times New Roman"/>
          <w:sz w:val="24"/>
          <w:u w:val="none"/>
          <w:lang w:val="en-GB"/>
        </w:rPr>
        <w:t xml:space="preserve">6.3. </w:t>
      </w:r>
      <w:r w:rsidR="00B93FA1" w:rsidRPr="00661595">
        <w:rPr>
          <w:rFonts w:ascii="Times New Roman" w:hAnsi="Times New Roman"/>
          <w:sz w:val="24"/>
          <w:lang w:val="en-GB"/>
        </w:rPr>
        <w:t>C 32.0</w:t>
      </w:r>
      <w:r w:rsidRPr="00661595">
        <w:rPr>
          <w:rFonts w:ascii="Times New Roman" w:hAnsi="Times New Roman"/>
          <w:sz w:val="24"/>
          <w:lang w:val="en-GB"/>
        </w:rPr>
        <w:t>3</w:t>
      </w:r>
      <w:r w:rsidR="00B93FA1" w:rsidRPr="00661595">
        <w:rPr>
          <w:rFonts w:ascii="Times New Roman" w:hAnsi="Times New Roman"/>
          <w:sz w:val="24"/>
          <w:lang w:val="en-GB"/>
        </w:rPr>
        <w:t xml:space="preserve"> - Prudent Valuation: </w:t>
      </w:r>
      <w:r w:rsidRPr="00661595">
        <w:rPr>
          <w:rFonts w:ascii="Times New Roman" w:hAnsi="Times New Roman"/>
          <w:sz w:val="24"/>
          <w:lang w:val="en-GB"/>
        </w:rPr>
        <w:t xml:space="preserve">Model Risk AVA </w:t>
      </w:r>
      <w:r w:rsidR="00B93FA1" w:rsidRPr="00661595">
        <w:rPr>
          <w:rFonts w:ascii="Times New Roman" w:hAnsi="Times New Roman"/>
          <w:sz w:val="24"/>
          <w:lang w:val="en-GB"/>
        </w:rPr>
        <w:t xml:space="preserve">(PruVal </w:t>
      </w:r>
      <w:r w:rsidRPr="00661595">
        <w:rPr>
          <w:rFonts w:ascii="Times New Roman" w:hAnsi="Times New Roman"/>
          <w:sz w:val="24"/>
          <w:lang w:val="en-GB"/>
        </w:rPr>
        <w:t>3</w:t>
      </w:r>
      <w:r w:rsidR="00B93FA1" w:rsidRPr="00661595">
        <w:rPr>
          <w:rFonts w:ascii="Times New Roman" w:hAnsi="Times New Roman"/>
          <w:sz w:val="24"/>
          <w:lang w:val="en-GB"/>
        </w:rPr>
        <w:t>)</w:t>
      </w:r>
      <w:bookmarkEnd w:id="762"/>
    </w:p>
    <w:p w:rsidR="00B93FA1" w:rsidRPr="00661595" w:rsidRDefault="00B93FA1" w:rsidP="00B93FA1">
      <w:pPr>
        <w:pStyle w:val="Instructionsberschrift2"/>
        <w:numPr>
          <w:ilvl w:val="0"/>
          <w:numId w:val="0"/>
        </w:numPr>
        <w:ind w:left="357" w:hanging="357"/>
        <w:rPr>
          <w:rFonts w:ascii="Times New Roman" w:hAnsi="Times New Roman" w:cs="Times New Roman"/>
          <w:sz w:val="24"/>
          <w:u w:val="none"/>
          <w:lang w:val="en-GB"/>
        </w:rPr>
      </w:pPr>
      <w:bookmarkStart w:id="763" w:name="_Toc57831667"/>
      <w:r w:rsidRPr="00661595">
        <w:rPr>
          <w:rFonts w:ascii="Times New Roman" w:hAnsi="Times New Roman" w:cs="Times New Roman"/>
          <w:sz w:val="24"/>
          <w:u w:val="none"/>
          <w:lang w:val="en-GB"/>
        </w:rPr>
        <w:t>6.</w:t>
      </w:r>
      <w:r w:rsidR="00AF3D7A" w:rsidRPr="00661595">
        <w:rPr>
          <w:rFonts w:ascii="Times New Roman" w:hAnsi="Times New Roman" w:cs="Times New Roman"/>
          <w:sz w:val="24"/>
          <w:u w:val="none"/>
          <w:lang w:val="en-GB"/>
        </w:rPr>
        <w:t>3</w:t>
      </w:r>
      <w:r w:rsidRPr="00661595">
        <w:rPr>
          <w:rFonts w:ascii="Times New Roman" w:hAnsi="Times New Roman" w:cs="Times New Roman"/>
          <w:sz w:val="24"/>
          <w:u w:val="none"/>
          <w:lang w:val="en-GB"/>
        </w:rPr>
        <w:t>.1.</w:t>
      </w:r>
      <w:r w:rsidRPr="00661595">
        <w:rPr>
          <w:rFonts w:ascii="Times New Roman" w:hAnsi="Times New Roman" w:cs="Times New Roman"/>
          <w:sz w:val="24"/>
          <w:u w:val="none"/>
          <w:lang w:val="en-GB"/>
        </w:rPr>
        <w:tab/>
      </w:r>
      <w:r w:rsidRPr="00661595">
        <w:rPr>
          <w:rFonts w:ascii="Times New Roman" w:hAnsi="Times New Roman" w:cs="Times New Roman"/>
          <w:sz w:val="24"/>
          <w:lang w:val="en-GB"/>
        </w:rPr>
        <w:t>General remarks</w:t>
      </w:r>
      <w:bookmarkEnd w:id="763"/>
      <w:r w:rsidRPr="00661595">
        <w:rPr>
          <w:rFonts w:ascii="Times New Roman" w:hAnsi="Times New Roman" w:cs="Times New Roman"/>
          <w:sz w:val="24"/>
          <w:u w:val="none"/>
          <w:lang w:val="en-GB"/>
        </w:rPr>
        <w:t xml:space="preserve"> </w:t>
      </w:r>
    </w:p>
    <w:p w:rsidR="00AF3D7A" w:rsidRPr="00661595" w:rsidRDefault="00D11E4C" w:rsidP="00487A02">
      <w:pPr>
        <w:pStyle w:val="InstructionsText2"/>
        <w:numPr>
          <w:ilvl w:val="0"/>
          <w:numId w:val="0"/>
        </w:numPr>
        <w:ind w:left="1353" w:hanging="360"/>
      </w:pPr>
      <w:fldSimple w:instr=" seq paragraphs ">
        <w:r w:rsidR="00771068">
          <w:rPr>
            <w:noProof/>
          </w:rPr>
          <w:t>181</w:t>
        </w:r>
      </w:fldSimple>
      <w:r w:rsidR="00AF3D7A" w:rsidRPr="00661595">
        <w:t xml:space="preserve">. This template is to be completed only by institutions that exceed the threshold referred to in Article 4(1) of </w:t>
      </w:r>
      <w:r w:rsidR="006C0691" w:rsidRPr="00661595">
        <w:t>Delegated Regulation (EU) 2016/101</w:t>
      </w:r>
      <w:r w:rsidR="00AF3D7A" w:rsidRPr="00661595">
        <w:t xml:space="preserve"> at their level. Institutions that are part of a group breaching the threshold on a consolidated basis are required to report this template only where they also exceed the threshold at their level.</w:t>
      </w:r>
    </w:p>
    <w:p w:rsidR="00AF3D7A" w:rsidRPr="00661595" w:rsidRDefault="00D11E4C" w:rsidP="00487A02">
      <w:pPr>
        <w:pStyle w:val="InstructionsText2"/>
        <w:numPr>
          <w:ilvl w:val="0"/>
          <w:numId w:val="0"/>
        </w:numPr>
        <w:ind w:left="1353" w:hanging="360"/>
      </w:pPr>
      <w:fldSimple w:instr=" seq paragraphs ">
        <w:r w:rsidR="00771068">
          <w:rPr>
            <w:noProof/>
          </w:rPr>
          <w:t>182</w:t>
        </w:r>
      </w:fldSimple>
      <w:r w:rsidR="00AF3D7A" w:rsidRPr="00661595">
        <w:t xml:space="preserve">. This template shall be used to report details of the top 20 individual model risk AVAs in terms of AVA amount that contribute to the total category level model risk AVA computed in accordance with Article 11 of </w:t>
      </w:r>
      <w:r w:rsidR="006C0691" w:rsidRPr="00661595">
        <w:t>Delegated Regulation (EU) 2016/101</w:t>
      </w:r>
      <w:r w:rsidR="00AF3D7A" w:rsidRPr="00661595">
        <w:t>. Th</w:t>
      </w:r>
      <w:r w:rsidR="004B572C" w:rsidRPr="00661595">
        <w:t>at</w:t>
      </w:r>
      <w:r w:rsidR="00AF3D7A" w:rsidRPr="00661595">
        <w:t xml:space="preserve"> information </w:t>
      </w:r>
      <w:r w:rsidR="0022597E" w:rsidRPr="00661595">
        <w:t>corresponds to</w:t>
      </w:r>
      <w:r w:rsidR="00AF3D7A" w:rsidRPr="00661595">
        <w:t xml:space="preserve"> the information reported in column </w:t>
      </w:r>
      <w:r w:rsidR="0022597E" w:rsidRPr="00661595">
        <w:t>0</w:t>
      </w:r>
      <w:r w:rsidR="00AF3D7A" w:rsidRPr="00661595">
        <w:t>050 of template C 32.02.</w:t>
      </w:r>
    </w:p>
    <w:p w:rsidR="00AF3D7A" w:rsidRPr="00661595" w:rsidRDefault="00D11E4C" w:rsidP="00487A02">
      <w:pPr>
        <w:pStyle w:val="InstructionsText2"/>
        <w:numPr>
          <w:ilvl w:val="0"/>
          <w:numId w:val="0"/>
        </w:numPr>
        <w:ind w:left="1353" w:hanging="360"/>
      </w:pPr>
      <w:fldSimple w:instr=" seq paragraphs ">
        <w:r w:rsidR="00771068">
          <w:rPr>
            <w:noProof/>
          </w:rPr>
          <w:t>183</w:t>
        </w:r>
      </w:fldSimple>
      <w:r w:rsidR="00AF3D7A" w:rsidRPr="00661595">
        <w:t xml:space="preserve">. The top 20 individual model risk AVAs, and corresponding product information, shall be reported in decreasing order starting from the largest individual model risk AVAs. </w:t>
      </w:r>
    </w:p>
    <w:p w:rsidR="00AF3D7A" w:rsidRPr="00661595" w:rsidRDefault="00D11E4C" w:rsidP="00487A02">
      <w:pPr>
        <w:pStyle w:val="InstructionsText2"/>
        <w:numPr>
          <w:ilvl w:val="0"/>
          <w:numId w:val="0"/>
        </w:numPr>
        <w:ind w:left="1353" w:hanging="360"/>
      </w:pPr>
      <w:fldSimple w:instr=" seq paragraphs ">
        <w:r w:rsidR="00771068">
          <w:rPr>
            <w:noProof/>
          </w:rPr>
          <w:t>184</w:t>
        </w:r>
      </w:fldSimple>
      <w:r w:rsidR="00AF3D7A" w:rsidRPr="00661595">
        <w:t>. Products corresponding to th</w:t>
      </w:r>
      <w:r w:rsidR="004B572C" w:rsidRPr="00661595">
        <w:t>o</w:t>
      </w:r>
      <w:r w:rsidR="00AF3D7A" w:rsidRPr="00661595">
        <w:t xml:space="preserve">se top individual model risk AVAs shall be reported using the product inventory required by </w:t>
      </w:r>
      <w:r w:rsidR="002B004B" w:rsidRPr="00661595">
        <w:t xml:space="preserve">point (a) of </w:t>
      </w:r>
      <w:r w:rsidR="00AF3D7A" w:rsidRPr="00661595">
        <w:t xml:space="preserve">Article 19(3) of </w:t>
      </w:r>
      <w:r w:rsidR="0068594D" w:rsidRPr="00661595">
        <w:t>Delegated Regulation (EU) 2016/101</w:t>
      </w:r>
      <w:r w:rsidR="00AF3D7A" w:rsidRPr="00661595">
        <w:t xml:space="preserve">. </w:t>
      </w:r>
    </w:p>
    <w:p w:rsidR="00AF3D7A" w:rsidRPr="00661595" w:rsidRDefault="00D11E4C" w:rsidP="00487A02">
      <w:pPr>
        <w:pStyle w:val="InstructionsText2"/>
        <w:numPr>
          <w:ilvl w:val="0"/>
          <w:numId w:val="0"/>
        </w:numPr>
        <w:ind w:left="1353" w:hanging="360"/>
      </w:pPr>
      <w:fldSimple w:instr=" seq paragraphs ">
        <w:r w:rsidR="00771068">
          <w:rPr>
            <w:noProof/>
          </w:rPr>
          <w:t>185</w:t>
        </w:r>
      </w:fldSimple>
      <w:r w:rsidR="00113E45" w:rsidRPr="00661595">
        <w:t xml:space="preserve">. </w:t>
      </w:r>
      <w:r w:rsidR="00AF3D7A" w:rsidRPr="00661595">
        <w:t xml:space="preserve">Where </w:t>
      </w:r>
      <w:r w:rsidR="00BC1220" w:rsidRPr="00661595">
        <w:t xml:space="preserve">products are </w:t>
      </w:r>
      <w:r w:rsidR="00AF3D7A" w:rsidRPr="00661595">
        <w:t xml:space="preserve">sufficiently homogenous with respect to </w:t>
      </w:r>
      <w:r w:rsidR="00BC1220" w:rsidRPr="00661595">
        <w:t xml:space="preserve">the </w:t>
      </w:r>
      <w:r w:rsidR="00AF3D7A" w:rsidRPr="00661595">
        <w:t xml:space="preserve">valuation model and the model risk AVA, </w:t>
      </w:r>
      <w:r w:rsidR="00BC1220" w:rsidRPr="00661595">
        <w:t>they</w:t>
      </w:r>
      <w:r w:rsidR="0068594D" w:rsidRPr="00661595">
        <w:t xml:space="preserve"> shall</w:t>
      </w:r>
      <w:r w:rsidR="00AF3D7A" w:rsidRPr="00661595">
        <w:t xml:space="preserve"> be merged and shown on one line for the purpose of maximising coverage of this template in respect of the total category level Model Risk AVA of the institution.</w:t>
      </w:r>
    </w:p>
    <w:p w:rsidR="00B93FA1" w:rsidRPr="00661595" w:rsidRDefault="00B93FA1" w:rsidP="00B93FA1">
      <w:pPr>
        <w:pStyle w:val="Instructionsberschrift2"/>
        <w:numPr>
          <w:ilvl w:val="0"/>
          <w:numId w:val="0"/>
        </w:numPr>
        <w:ind w:left="357" w:hanging="357"/>
        <w:rPr>
          <w:rFonts w:ascii="Times New Roman" w:hAnsi="Times New Roman" w:cs="Times New Roman"/>
          <w:sz w:val="24"/>
          <w:lang w:val="en-GB"/>
        </w:rPr>
      </w:pPr>
      <w:bookmarkStart w:id="764" w:name="_Toc57831668"/>
      <w:r w:rsidRPr="00661595">
        <w:rPr>
          <w:rFonts w:ascii="Times New Roman" w:hAnsi="Times New Roman" w:cs="Times New Roman"/>
          <w:sz w:val="24"/>
          <w:u w:val="none"/>
          <w:lang w:val="en-GB"/>
        </w:rPr>
        <w:t>6.</w:t>
      </w:r>
      <w:r w:rsidR="00AF3D7A" w:rsidRPr="00661595">
        <w:rPr>
          <w:rFonts w:ascii="Times New Roman" w:hAnsi="Times New Roman" w:cs="Times New Roman"/>
          <w:sz w:val="24"/>
          <w:u w:val="none"/>
          <w:lang w:val="en-GB"/>
        </w:rPr>
        <w:t>3</w:t>
      </w:r>
      <w:r w:rsidRPr="00661595">
        <w:rPr>
          <w:rFonts w:ascii="Times New Roman" w:hAnsi="Times New Roman" w:cs="Times New Roman"/>
          <w:sz w:val="24"/>
          <w:u w:val="none"/>
          <w:lang w:val="en-GB"/>
        </w:rPr>
        <w:t>.2.</w:t>
      </w:r>
      <w:r w:rsidRPr="00661595">
        <w:rPr>
          <w:rFonts w:ascii="Times New Roman" w:hAnsi="Times New Roman" w:cs="Times New Roman"/>
          <w:sz w:val="24"/>
          <w:u w:val="none"/>
          <w:lang w:val="en-GB"/>
        </w:rPr>
        <w:tab/>
      </w:r>
      <w:r w:rsidRPr="00661595">
        <w:rPr>
          <w:rFonts w:ascii="Times New Roman" w:hAnsi="Times New Roman" w:cs="Times New Roman"/>
          <w:sz w:val="24"/>
          <w:lang w:val="en-GB"/>
        </w:rPr>
        <w:t>Instructions concerning specific positions</w:t>
      </w:r>
      <w:bookmarkEnd w:id="76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1"/>
        <w:gridCol w:w="8221"/>
      </w:tblGrid>
      <w:tr w:rsidR="00113E45" w:rsidRPr="00661595" w:rsidTr="00672D2A">
        <w:tc>
          <w:tcPr>
            <w:tcW w:w="9322" w:type="dxa"/>
            <w:gridSpan w:val="2"/>
            <w:shd w:val="clear" w:color="auto" w:fill="CCCCCC"/>
          </w:tcPr>
          <w:p w:rsidR="00113E45" w:rsidRPr="00661595" w:rsidRDefault="00113E45" w:rsidP="00E60B53">
            <w:pPr>
              <w:spacing w:beforeLines="60" w:before="144" w:afterLines="60" w:after="144"/>
              <w:rPr>
                <w:rFonts w:ascii="Times New Roman" w:hAnsi="Times New Roman"/>
                <w:b/>
                <w:sz w:val="24"/>
              </w:rPr>
            </w:pPr>
            <w:r w:rsidRPr="00661595">
              <w:rPr>
                <w:rFonts w:ascii="Times New Roman" w:hAnsi="Times New Roman"/>
                <w:b/>
                <w:sz w:val="24"/>
              </w:rPr>
              <w:t>Columns</w:t>
            </w:r>
          </w:p>
        </w:tc>
      </w:tr>
      <w:tr w:rsidR="00113E45" w:rsidRPr="00661595" w:rsidTr="00672D2A">
        <w:tc>
          <w:tcPr>
            <w:tcW w:w="1101" w:type="dxa"/>
          </w:tcPr>
          <w:p w:rsidR="00113E45" w:rsidRPr="00661595" w:rsidRDefault="008136B4" w:rsidP="00E60B53">
            <w:pPr>
              <w:spacing w:beforeLines="60" w:before="144" w:afterLines="60" w:after="144"/>
              <w:rPr>
                <w:rFonts w:ascii="Times New Roman" w:hAnsi="Times New Roman"/>
                <w:sz w:val="24"/>
              </w:rPr>
            </w:pPr>
            <w:r w:rsidRPr="00661595">
              <w:rPr>
                <w:rFonts w:ascii="Times New Roman" w:hAnsi="Times New Roman"/>
                <w:sz w:val="24"/>
              </w:rPr>
              <w:t>0</w:t>
            </w:r>
            <w:r w:rsidR="00113E45" w:rsidRPr="00661595">
              <w:rPr>
                <w:rFonts w:ascii="Times New Roman" w:hAnsi="Times New Roman"/>
                <w:sz w:val="24"/>
              </w:rPr>
              <w:t>005</w:t>
            </w:r>
          </w:p>
        </w:tc>
        <w:tc>
          <w:tcPr>
            <w:tcW w:w="8221" w:type="dxa"/>
          </w:tcPr>
          <w:p w:rsidR="00113E45" w:rsidRPr="00661595" w:rsidRDefault="00113E45" w:rsidP="00E60B53">
            <w:pPr>
              <w:spacing w:beforeLines="60" w:before="144" w:afterLines="60" w:after="144"/>
              <w:rPr>
                <w:rFonts w:ascii="Times New Roman" w:hAnsi="Times New Roman"/>
                <w:b/>
                <w:sz w:val="24"/>
                <w:u w:val="single"/>
              </w:rPr>
            </w:pPr>
            <w:r w:rsidRPr="00661595">
              <w:rPr>
                <w:rFonts w:ascii="Times New Roman" w:hAnsi="Times New Roman"/>
                <w:b/>
                <w:sz w:val="24"/>
                <w:u w:val="single"/>
              </w:rPr>
              <w:t>RANK</w:t>
            </w:r>
          </w:p>
          <w:p w:rsidR="00113E45" w:rsidRPr="00661595" w:rsidRDefault="00113E45" w:rsidP="00133396">
            <w:pPr>
              <w:spacing w:beforeLines="60" w:before="144" w:afterLines="60" w:after="144"/>
              <w:rPr>
                <w:rFonts w:ascii="Times New Roman" w:hAnsi="Times New Roman"/>
                <w:b/>
                <w:sz w:val="24"/>
                <w:u w:val="single"/>
              </w:rPr>
            </w:pPr>
            <w:r w:rsidRPr="00661595">
              <w:rPr>
                <w:rFonts w:ascii="Times New Roman" w:hAnsi="Times New Roman"/>
                <w:sz w:val="24"/>
              </w:rPr>
              <w:t xml:space="preserve">The rank is a row identifier and shall be unique for each row in the </w:t>
            </w:r>
            <w:r w:rsidR="00133396" w:rsidRPr="00661595">
              <w:rPr>
                <w:rFonts w:ascii="Times New Roman" w:hAnsi="Times New Roman"/>
                <w:sz w:val="24"/>
              </w:rPr>
              <w:t>template</w:t>
            </w:r>
            <w:r w:rsidRPr="00661595">
              <w:rPr>
                <w:rFonts w:ascii="Times New Roman" w:hAnsi="Times New Roman"/>
                <w:sz w:val="24"/>
              </w:rPr>
              <w:t>. It shall follow the numerical order 1, 2, 3, etc, with 1 being assigned to the highest individual model risk AVAs, 2 to the second highest and so on.</w:t>
            </w:r>
          </w:p>
        </w:tc>
      </w:tr>
      <w:tr w:rsidR="00113E45" w:rsidRPr="00661595" w:rsidTr="00672D2A">
        <w:tc>
          <w:tcPr>
            <w:tcW w:w="1101" w:type="dxa"/>
          </w:tcPr>
          <w:p w:rsidR="00113E45" w:rsidRPr="00661595" w:rsidRDefault="008136B4" w:rsidP="00E60B53">
            <w:pPr>
              <w:spacing w:beforeLines="60" w:before="144" w:afterLines="60" w:after="144"/>
              <w:rPr>
                <w:rFonts w:ascii="Times New Roman" w:hAnsi="Times New Roman"/>
                <w:sz w:val="24"/>
              </w:rPr>
            </w:pPr>
            <w:r w:rsidRPr="00661595">
              <w:rPr>
                <w:rFonts w:ascii="Times New Roman" w:hAnsi="Times New Roman"/>
                <w:sz w:val="24"/>
              </w:rPr>
              <w:t>0</w:t>
            </w:r>
            <w:r w:rsidR="00113E45" w:rsidRPr="00661595">
              <w:rPr>
                <w:rFonts w:ascii="Times New Roman" w:hAnsi="Times New Roman"/>
                <w:sz w:val="24"/>
              </w:rPr>
              <w:t>010</w:t>
            </w:r>
          </w:p>
        </w:tc>
        <w:tc>
          <w:tcPr>
            <w:tcW w:w="8221" w:type="dxa"/>
          </w:tcPr>
          <w:p w:rsidR="00113E45" w:rsidRPr="00661595" w:rsidRDefault="00113E45" w:rsidP="00E60B53">
            <w:pPr>
              <w:spacing w:beforeLines="60" w:before="144" w:afterLines="60" w:after="144"/>
              <w:rPr>
                <w:rFonts w:ascii="Times New Roman" w:hAnsi="Times New Roman"/>
                <w:b/>
                <w:sz w:val="24"/>
                <w:u w:val="single"/>
              </w:rPr>
            </w:pPr>
            <w:r w:rsidRPr="00661595">
              <w:rPr>
                <w:rFonts w:ascii="Times New Roman" w:hAnsi="Times New Roman"/>
                <w:b/>
                <w:sz w:val="24"/>
                <w:u w:val="single"/>
              </w:rPr>
              <w:t>MODEL</w:t>
            </w:r>
          </w:p>
          <w:p w:rsidR="00113E45" w:rsidRPr="00661595" w:rsidRDefault="00113E45" w:rsidP="00E60B53">
            <w:pPr>
              <w:spacing w:beforeLines="60" w:before="144" w:afterLines="60" w:after="144"/>
              <w:rPr>
                <w:rFonts w:ascii="Times New Roman" w:hAnsi="Times New Roman"/>
                <w:b/>
                <w:sz w:val="24"/>
                <w:u w:val="single"/>
              </w:rPr>
            </w:pPr>
            <w:r w:rsidRPr="00661595">
              <w:rPr>
                <w:rFonts w:ascii="Times New Roman" w:hAnsi="Times New Roman"/>
                <w:sz w:val="24"/>
              </w:rPr>
              <w:t>Internal name (alpha-numerical) of the model used by the institution to identify the model.</w:t>
            </w:r>
          </w:p>
        </w:tc>
      </w:tr>
      <w:tr w:rsidR="00113E45" w:rsidRPr="00661595" w:rsidTr="00672D2A">
        <w:tc>
          <w:tcPr>
            <w:tcW w:w="1101" w:type="dxa"/>
          </w:tcPr>
          <w:p w:rsidR="00113E45" w:rsidRPr="00661595" w:rsidRDefault="008136B4" w:rsidP="00E60B53">
            <w:pPr>
              <w:spacing w:beforeLines="60" w:before="144" w:afterLines="60" w:after="144"/>
              <w:rPr>
                <w:rFonts w:ascii="Times New Roman" w:hAnsi="Times New Roman"/>
                <w:sz w:val="24"/>
              </w:rPr>
            </w:pPr>
            <w:r w:rsidRPr="00661595">
              <w:rPr>
                <w:rFonts w:ascii="Times New Roman" w:hAnsi="Times New Roman"/>
                <w:sz w:val="24"/>
              </w:rPr>
              <w:t>0</w:t>
            </w:r>
            <w:r w:rsidR="00113E45" w:rsidRPr="00661595">
              <w:rPr>
                <w:rFonts w:ascii="Times New Roman" w:hAnsi="Times New Roman"/>
                <w:sz w:val="24"/>
              </w:rPr>
              <w:t>020</w:t>
            </w:r>
          </w:p>
        </w:tc>
        <w:tc>
          <w:tcPr>
            <w:tcW w:w="8221" w:type="dxa"/>
          </w:tcPr>
          <w:p w:rsidR="00113E45" w:rsidRPr="00661595" w:rsidRDefault="00113E45" w:rsidP="00E60B53">
            <w:pPr>
              <w:spacing w:beforeLines="60" w:before="144" w:afterLines="60" w:after="144"/>
              <w:rPr>
                <w:rFonts w:ascii="Times New Roman" w:hAnsi="Times New Roman"/>
                <w:b/>
                <w:sz w:val="24"/>
                <w:u w:val="single"/>
              </w:rPr>
            </w:pPr>
            <w:r w:rsidRPr="00661595">
              <w:rPr>
                <w:rFonts w:ascii="Times New Roman" w:hAnsi="Times New Roman"/>
                <w:b/>
                <w:sz w:val="24"/>
                <w:u w:val="single"/>
              </w:rPr>
              <w:t>RISK CATEGORY</w:t>
            </w:r>
          </w:p>
          <w:p w:rsidR="00113E45" w:rsidRPr="00661595" w:rsidRDefault="00113E45" w:rsidP="00E60B53">
            <w:pPr>
              <w:spacing w:beforeLines="60" w:before="144" w:afterLines="60" w:after="144"/>
              <w:rPr>
                <w:rFonts w:ascii="Times New Roman" w:hAnsi="Times New Roman"/>
                <w:sz w:val="24"/>
              </w:rPr>
            </w:pPr>
            <w:r w:rsidRPr="00661595">
              <w:rPr>
                <w:rFonts w:ascii="Times New Roman" w:hAnsi="Times New Roman"/>
                <w:sz w:val="24"/>
              </w:rPr>
              <w:t>The risk category (</w:t>
            </w:r>
            <w:r w:rsidR="00310F96" w:rsidRPr="00661595">
              <w:rPr>
                <w:rFonts w:ascii="Times New Roman" w:hAnsi="Times New Roman"/>
                <w:sz w:val="24"/>
              </w:rPr>
              <w:t>i</w:t>
            </w:r>
            <w:r w:rsidRPr="00661595">
              <w:rPr>
                <w:rFonts w:ascii="Times New Roman" w:hAnsi="Times New Roman"/>
                <w:sz w:val="24"/>
              </w:rPr>
              <w:t xml:space="preserve">nterest </w:t>
            </w:r>
            <w:r w:rsidR="00310F96" w:rsidRPr="00661595">
              <w:rPr>
                <w:rFonts w:ascii="Times New Roman" w:hAnsi="Times New Roman"/>
                <w:sz w:val="24"/>
              </w:rPr>
              <w:t>r</w:t>
            </w:r>
            <w:r w:rsidRPr="00661595">
              <w:rPr>
                <w:rFonts w:ascii="Times New Roman" w:hAnsi="Times New Roman"/>
                <w:sz w:val="24"/>
              </w:rPr>
              <w:t xml:space="preserve">ates, </w:t>
            </w:r>
            <w:r w:rsidR="00310F96" w:rsidRPr="00661595">
              <w:rPr>
                <w:rFonts w:ascii="Times New Roman" w:hAnsi="Times New Roman"/>
                <w:sz w:val="24"/>
              </w:rPr>
              <w:t>FX, c</w:t>
            </w:r>
            <w:r w:rsidRPr="00661595">
              <w:rPr>
                <w:rFonts w:ascii="Times New Roman" w:hAnsi="Times New Roman"/>
                <w:sz w:val="24"/>
              </w:rPr>
              <w:t xml:space="preserve">redit, </w:t>
            </w:r>
            <w:r w:rsidR="00310F96" w:rsidRPr="00661595">
              <w:rPr>
                <w:rFonts w:ascii="Times New Roman" w:hAnsi="Times New Roman"/>
                <w:sz w:val="24"/>
              </w:rPr>
              <w:t>e</w:t>
            </w:r>
            <w:r w:rsidRPr="00661595">
              <w:rPr>
                <w:rFonts w:ascii="Times New Roman" w:hAnsi="Times New Roman"/>
                <w:sz w:val="24"/>
              </w:rPr>
              <w:t xml:space="preserve">quities, </w:t>
            </w:r>
            <w:r w:rsidR="00310F96" w:rsidRPr="00661595">
              <w:rPr>
                <w:rFonts w:ascii="Times New Roman" w:hAnsi="Times New Roman"/>
                <w:sz w:val="24"/>
              </w:rPr>
              <w:t>c</w:t>
            </w:r>
            <w:r w:rsidRPr="00661595">
              <w:rPr>
                <w:rFonts w:ascii="Times New Roman" w:hAnsi="Times New Roman"/>
                <w:sz w:val="24"/>
              </w:rPr>
              <w:t>ommodities) that most appropriately characterises the product or group of products that give rise to the model risk valuation adjustment.</w:t>
            </w:r>
          </w:p>
          <w:p w:rsidR="00113E45" w:rsidRPr="00661595" w:rsidRDefault="00113E45" w:rsidP="00E60B53">
            <w:pPr>
              <w:spacing w:beforeLines="60" w:before="144" w:afterLines="60" w:after="144"/>
              <w:rPr>
                <w:rFonts w:ascii="Times New Roman" w:hAnsi="Times New Roman"/>
                <w:sz w:val="24"/>
              </w:rPr>
            </w:pPr>
            <w:r w:rsidRPr="00661595">
              <w:rPr>
                <w:rFonts w:ascii="Times New Roman" w:hAnsi="Times New Roman"/>
                <w:sz w:val="24"/>
              </w:rPr>
              <w:t>Institutions shall report the following codes:</w:t>
            </w:r>
          </w:p>
          <w:p w:rsidR="00113E45" w:rsidRPr="00661595" w:rsidRDefault="00113E45" w:rsidP="00E60B53">
            <w:pPr>
              <w:spacing w:beforeLines="60" w:before="144" w:afterLines="60" w:after="144"/>
              <w:rPr>
                <w:rFonts w:ascii="Times New Roman" w:hAnsi="Times New Roman"/>
                <w:sz w:val="24"/>
              </w:rPr>
            </w:pPr>
            <w:r w:rsidRPr="00661595">
              <w:rPr>
                <w:rFonts w:ascii="Times New Roman" w:hAnsi="Times New Roman"/>
                <w:sz w:val="24"/>
              </w:rPr>
              <w:t xml:space="preserve">IR – </w:t>
            </w:r>
            <w:r w:rsidR="00A74B40" w:rsidRPr="00661595">
              <w:rPr>
                <w:rFonts w:ascii="Times New Roman" w:hAnsi="Times New Roman"/>
                <w:sz w:val="24"/>
              </w:rPr>
              <w:t>i</w:t>
            </w:r>
            <w:r w:rsidRPr="00661595">
              <w:rPr>
                <w:rFonts w:ascii="Times New Roman" w:hAnsi="Times New Roman"/>
                <w:sz w:val="24"/>
              </w:rPr>
              <w:t xml:space="preserve">nterest </w:t>
            </w:r>
            <w:r w:rsidR="00A74B40" w:rsidRPr="00661595">
              <w:rPr>
                <w:rFonts w:ascii="Times New Roman" w:hAnsi="Times New Roman"/>
                <w:sz w:val="24"/>
              </w:rPr>
              <w:t>r</w:t>
            </w:r>
            <w:r w:rsidRPr="00661595">
              <w:rPr>
                <w:rFonts w:ascii="Times New Roman" w:hAnsi="Times New Roman"/>
                <w:sz w:val="24"/>
              </w:rPr>
              <w:t>ates</w:t>
            </w:r>
          </w:p>
          <w:p w:rsidR="00A74B40" w:rsidRPr="00661595" w:rsidRDefault="00A74B40" w:rsidP="00E60B53">
            <w:pPr>
              <w:spacing w:beforeLines="60" w:before="144" w:afterLines="60" w:after="144"/>
              <w:rPr>
                <w:rFonts w:ascii="Times New Roman" w:hAnsi="Times New Roman"/>
                <w:sz w:val="24"/>
              </w:rPr>
            </w:pPr>
            <w:r w:rsidRPr="00661595">
              <w:rPr>
                <w:rFonts w:ascii="Times New Roman" w:hAnsi="Times New Roman"/>
                <w:sz w:val="24"/>
              </w:rPr>
              <w:t>FX – foreign exchange</w:t>
            </w:r>
          </w:p>
          <w:p w:rsidR="00113E45" w:rsidRPr="00661595" w:rsidRDefault="00113E45" w:rsidP="00E60B53">
            <w:pPr>
              <w:spacing w:beforeLines="60" w:before="144" w:afterLines="60" w:after="144"/>
              <w:rPr>
                <w:rFonts w:ascii="Times New Roman" w:hAnsi="Times New Roman"/>
                <w:sz w:val="24"/>
              </w:rPr>
            </w:pPr>
            <w:r w:rsidRPr="00661595">
              <w:rPr>
                <w:rFonts w:ascii="Times New Roman" w:hAnsi="Times New Roman"/>
                <w:sz w:val="24"/>
              </w:rPr>
              <w:t xml:space="preserve">CR – </w:t>
            </w:r>
            <w:r w:rsidR="00A74B40" w:rsidRPr="00661595">
              <w:rPr>
                <w:rFonts w:ascii="Times New Roman" w:hAnsi="Times New Roman"/>
                <w:sz w:val="24"/>
              </w:rPr>
              <w:t>c</w:t>
            </w:r>
            <w:r w:rsidRPr="00661595">
              <w:rPr>
                <w:rFonts w:ascii="Times New Roman" w:hAnsi="Times New Roman"/>
                <w:sz w:val="24"/>
              </w:rPr>
              <w:t>redit</w:t>
            </w:r>
          </w:p>
          <w:p w:rsidR="00113E45" w:rsidRPr="00661595" w:rsidRDefault="00113E45" w:rsidP="00E60B53">
            <w:pPr>
              <w:spacing w:beforeLines="60" w:before="144" w:afterLines="60" w:after="144"/>
              <w:rPr>
                <w:rFonts w:ascii="Times New Roman" w:hAnsi="Times New Roman"/>
                <w:sz w:val="24"/>
              </w:rPr>
            </w:pPr>
            <w:r w:rsidRPr="00661595">
              <w:rPr>
                <w:rFonts w:ascii="Times New Roman" w:hAnsi="Times New Roman"/>
                <w:sz w:val="24"/>
              </w:rPr>
              <w:t xml:space="preserve">EQ – </w:t>
            </w:r>
            <w:r w:rsidR="00A74B40" w:rsidRPr="00661595">
              <w:rPr>
                <w:rFonts w:ascii="Times New Roman" w:hAnsi="Times New Roman"/>
                <w:sz w:val="24"/>
              </w:rPr>
              <w:t>e</w:t>
            </w:r>
            <w:r w:rsidRPr="00661595">
              <w:rPr>
                <w:rFonts w:ascii="Times New Roman" w:hAnsi="Times New Roman"/>
                <w:sz w:val="24"/>
              </w:rPr>
              <w:t>quities</w:t>
            </w:r>
          </w:p>
          <w:p w:rsidR="00113E45" w:rsidRPr="00661595" w:rsidRDefault="00113E45" w:rsidP="00A74B40">
            <w:pPr>
              <w:spacing w:beforeLines="60" w:before="144" w:afterLines="60" w:after="144"/>
              <w:rPr>
                <w:rFonts w:ascii="Times New Roman" w:hAnsi="Times New Roman"/>
                <w:sz w:val="24"/>
              </w:rPr>
            </w:pPr>
            <w:r w:rsidRPr="00661595">
              <w:rPr>
                <w:rFonts w:ascii="Times New Roman" w:hAnsi="Times New Roman"/>
                <w:sz w:val="24"/>
              </w:rPr>
              <w:t xml:space="preserve">CO – </w:t>
            </w:r>
            <w:r w:rsidR="00A74B40" w:rsidRPr="00661595">
              <w:rPr>
                <w:rFonts w:ascii="Times New Roman" w:hAnsi="Times New Roman"/>
                <w:sz w:val="24"/>
              </w:rPr>
              <w:t>c</w:t>
            </w:r>
            <w:r w:rsidRPr="00661595">
              <w:rPr>
                <w:rFonts w:ascii="Times New Roman" w:hAnsi="Times New Roman"/>
                <w:sz w:val="24"/>
              </w:rPr>
              <w:t>ommodities</w:t>
            </w:r>
          </w:p>
        </w:tc>
      </w:tr>
      <w:tr w:rsidR="00113E45" w:rsidRPr="00661595" w:rsidTr="00672D2A">
        <w:tc>
          <w:tcPr>
            <w:tcW w:w="1101" w:type="dxa"/>
          </w:tcPr>
          <w:p w:rsidR="00113E45" w:rsidRPr="00661595" w:rsidRDefault="008136B4" w:rsidP="00E60B53">
            <w:pPr>
              <w:spacing w:beforeLines="60" w:before="144" w:afterLines="60" w:after="144"/>
              <w:rPr>
                <w:rFonts w:ascii="Times New Roman" w:hAnsi="Times New Roman"/>
                <w:sz w:val="24"/>
              </w:rPr>
            </w:pPr>
            <w:r w:rsidRPr="00661595">
              <w:rPr>
                <w:rFonts w:ascii="Times New Roman" w:hAnsi="Times New Roman"/>
                <w:sz w:val="24"/>
              </w:rPr>
              <w:t>0</w:t>
            </w:r>
            <w:r w:rsidR="00113E45" w:rsidRPr="00661595">
              <w:rPr>
                <w:rFonts w:ascii="Times New Roman" w:hAnsi="Times New Roman"/>
                <w:sz w:val="24"/>
              </w:rPr>
              <w:t>030</w:t>
            </w:r>
          </w:p>
        </w:tc>
        <w:tc>
          <w:tcPr>
            <w:tcW w:w="8221" w:type="dxa"/>
          </w:tcPr>
          <w:p w:rsidR="00113E45" w:rsidRPr="00661595" w:rsidRDefault="00113E45" w:rsidP="00E60B53">
            <w:pPr>
              <w:spacing w:beforeLines="60" w:before="144" w:afterLines="60" w:after="144"/>
              <w:rPr>
                <w:rFonts w:ascii="Times New Roman" w:hAnsi="Times New Roman"/>
                <w:b/>
                <w:sz w:val="24"/>
                <w:u w:val="single"/>
              </w:rPr>
            </w:pPr>
            <w:r w:rsidRPr="00661595">
              <w:rPr>
                <w:rFonts w:ascii="Times New Roman" w:hAnsi="Times New Roman"/>
                <w:b/>
                <w:sz w:val="24"/>
                <w:u w:val="single"/>
              </w:rPr>
              <w:t>PRODUCT</w:t>
            </w:r>
          </w:p>
          <w:p w:rsidR="00113E45" w:rsidRPr="00661595" w:rsidRDefault="00113E45" w:rsidP="004B572C">
            <w:pPr>
              <w:spacing w:beforeLines="60" w:before="144" w:afterLines="60" w:after="144"/>
              <w:rPr>
                <w:rFonts w:ascii="Times New Roman" w:hAnsi="Times New Roman"/>
                <w:sz w:val="24"/>
              </w:rPr>
            </w:pPr>
            <w:r w:rsidRPr="00661595">
              <w:rPr>
                <w:rFonts w:ascii="Times New Roman" w:hAnsi="Times New Roman"/>
                <w:sz w:val="24"/>
              </w:rPr>
              <w:t xml:space="preserve">Internal name (alpha-numerical) for the product or group of products, in line with the product inventory required by </w:t>
            </w:r>
            <w:r w:rsidR="002B004B" w:rsidRPr="00661595">
              <w:rPr>
                <w:rFonts w:ascii="Times New Roman" w:hAnsi="Times New Roman"/>
                <w:sz w:val="24"/>
              </w:rPr>
              <w:t xml:space="preserve">point (a) of </w:t>
            </w:r>
            <w:r w:rsidRPr="00661595">
              <w:rPr>
                <w:rFonts w:ascii="Times New Roman" w:hAnsi="Times New Roman"/>
                <w:sz w:val="24"/>
              </w:rPr>
              <w:t>Article 19(3)</w:t>
            </w:r>
            <w:r w:rsidR="002B004B" w:rsidRPr="00661595">
              <w:rPr>
                <w:rFonts w:ascii="Times New Roman" w:hAnsi="Times New Roman"/>
                <w:sz w:val="24"/>
              </w:rPr>
              <w:t xml:space="preserve"> </w:t>
            </w:r>
            <w:r w:rsidRPr="00661595">
              <w:rPr>
                <w:rFonts w:ascii="Times New Roman" w:hAnsi="Times New Roman"/>
                <w:sz w:val="24"/>
              </w:rPr>
              <w:t xml:space="preserve">of </w:t>
            </w:r>
            <w:r w:rsidR="001A3980" w:rsidRPr="00661595">
              <w:rPr>
                <w:rFonts w:ascii="Times New Roman" w:hAnsi="Times New Roman"/>
                <w:sz w:val="24"/>
              </w:rPr>
              <w:t>Delegated Regulation (EU) 2016/101</w:t>
            </w:r>
            <w:r w:rsidRPr="00661595">
              <w:rPr>
                <w:rFonts w:ascii="Times New Roman" w:hAnsi="Times New Roman"/>
                <w:sz w:val="24"/>
              </w:rPr>
              <w:t>, that is valued using the model.</w:t>
            </w:r>
          </w:p>
        </w:tc>
      </w:tr>
      <w:tr w:rsidR="00113E45" w:rsidRPr="00661595" w:rsidTr="00672D2A">
        <w:tc>
          <w:tcPr>
            <w:tcW w:w="1101" w:type="dxa"/>
          </w:tcPr>
          <w:p w:rsidR="00113E45" w:rsidRPr="00661595" w:rsidRDefault="008136B4" w:rsidP="00E60B53">
            <w:pPr>
              <w:spacing w:beforeLines="60" w:before="144" w:afterLines="60" w:after="144"/>
              <w:rPr>
                <w:rFonts w:ascii="Times New Roman" w:hAnsi="Times New Roman"/>
                <w:sz w:val="24"/>
              </w:rPr>
            </w:pPr>
            <w:r w:rsidRPr="00661595">
              <w:rPr>
                <w:rFonts w:ascii="Times New Roman" w:hAnsi="Times New Roman"/>
                <w:sz w:val="24"/>
              </w:rPr>
              <w:t>0</w:t>
            </w:r>
            <w:r w:rsidR="00113E45" w:rsidRPr="00661595">
              <w:rPr>
                <w:rFonts w:ascii="Times New Roman" w:hAnsi="Times New Roman"/>
                <w:sz w:val="24"/>
              </w:rPr>
              <w:t>040</w:t>
            </w:r>
          </w:p>
        </w:tc>
        <w:tc>
          <w:tcPr>
            <w:tcW w:w="8221" w:type="dxa"/>
          </w:tcPr>
          <w:p w:rsidR="00113E45" w:rsidRPr="00661595" w:rsidRDefault="00113E45" w:rsidP="00E60B53">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OBSERVABILITY</w:t>
            </w:r>
          </w:p>
          <w:p w:rsidR="00113E45" w:rsidRPr="00661595" w:rsidRDefault="00113E45" w:rsidP="00E60B53">
            <w:pPr>
              <w:pStyle w:val="CommentText"/>
              <w:rPr>
                <w:rFonts w:ascii="Times New Roman" w:hAnsi="Times New Roman"/>
                <w:sz w:val="24"/>
                <w:szCs w:val="24"/>
                <w:lang w:val="en-GB"/>
              </w:rPr>
            </w:pPr>
            <w:r w:rsidRPr="00661595">
              <w:rPr>
                <w:rFonts w:ascii="Times New Roman" w:hAnsi="Times New Roman"/>
                <w:sz w:val="24"/>
                <w:szCs w:val="24"/>
                <w:lang w:val="en-GB"/>
              </w:rPr>
              <w:t>Number of price observations for the product or group of products in the last twelve months that meet either of the following criteria:</w:t>
            </w:r>
          </w:p>
          <w:p w:rsidR="00113E45" w:rsidRPr="00661595" w:rsidRDefault="00113E45" w:rsidP="0002267E">
            <w:pPr>
              <w:pStyle w:val="CommentText"/>
              <w:numPr>
                <w:ilvl w:val="0"/>
                <w:numId w:val="31"/>
              </w:numPr>
              <w:rPr>
                <w:rFonts w:ascii="Times New Roman" w:hAnsi="Times New Roman"/>
                <w:sz w:val="24"/>
                <w:szCs w:val="24"/>
                <w:lang w:val="en-GB"/>
              </w:rPr>
            </w:pPr>
            <w:r w:rsidRPr="00661595">
              <w:rPr>
                <w:rFonts w:ascii="Times New Roman" w:hAnsi="Times New Roman"/>
                <w:sz w:val="24"/>
                <w:szCs w:val="24"/>
                <w:lang w:val="en-GB"/>
              </w:rPr>
              <w:t>The price observation is a price at which the institution has conducted a transaction</w:t>
            </w:r>
            <w:r w:rsidR="004B572C" w:rsidRPr="00661595">
              <w:rPr>
                <w:rFonts w:ascii="Times New Roman" w:hAnsi="Times New Roman"/>
                <w:sz w:val="24"/>
                <w:szCs w:val="24"/>
                <w:lang w:val="en-GB"/>
              </w:rPr>
              <w:t>;</w:t>
            </w:r>
          </w:p>
          <w:p w:rsidR="00113E45" w:rsidRPr="00661595" w:rsidRDefault="00113E45" w:rsidP="0002267E">
            <w:pPr>
              <w:pStyle w:val="CommentText"/>
              <w:numPr>
                <w:ilvl w:val="0"/>
                <w:numId w:val="31"/>
              </w:numPr>
              <w:rPr>
                <w:rFonts w:ascii="Times New Roman" w:hAnsi="Times New Roman"/>
                <w:sz w:val="24"/>
                <w:szCs w:val="24"/>
                <w:lang w:val="en-GB"/>
              </w:rPr>
            </w:pPr>
            <w:r w:rsidRPr="00661595">
              <w:rPr>
                <w:rFonts w:ascii="Times New Roman" w:hAnsi="Times New Roman"/>
                <w:sz w:val="24"/>
                <w:szCs w:val="24"/>
                <w:lang w:val="en-GB"/>
              </w:rPr>
              <w:t>It is a verifiable price for an actual transaction between third parties</w:t>
            </w:r>
            <w:r w:rsidR="004B572C" w:rsidRPr="00661595">
              <w:rPr>
                <w:rFonts w:ascii="Times New Roman" w:hAnsi="Times New Roman"/>
                <w:sz w:val="24"/>
                <w:szCs w:val="24"/>
                <w:lang w:val="en-GB"/>
              </w:rPr>
              <w:t>;</w:t>
            </w:r>
          </w:p>
          <w:p w:rsidR="00113E45" w:rsidRPr="00661595" w:rsidRDefault="00113E45" w:rsidP="0002267E">
            <w:pPr>
              <w:pStyle w:val="CommentText"/>
              <w:numPr>
                <w:ilvl w:val="0"/>
                <w:numId w:val="31"/>
              </w:numPr>
              <w:rPr>
                <w:rFonts w:ascii="Times New Roman" w:hAnsi="Times New Roman"/>
                <w:sz w:val="24"/>
                <w:szCs w:val="24"/>
                <w:lang w:val="en-GB"/>
              </w:rPr>
            </w:pPr>
            <w:r w:rsidRPr="00661595">
              <w:rPr>
                <w:rFonts w:ascii="Times New Roman" w:hAnsi="Times New Roman"/>
                <w:sz w:val="24"/>
                <w:szCs w:val="24"/>
                <w:lang w:val="en-GB"/>
              </w:rPr>
              <w:t>The price is obtained from a committed quote.</w:t>
            </w:r>
          </w:p>
          <w:p w:rsidR="00113E45" w:rsidRPr="00661595" w:rsidRDefault="00113E45" w:rsidP="008136B4">
            <w:pPr>
              <w:pStyle w:val="CommentText"/>
              <w:rPr>
                <w:rStyle w:val="InstructionsTabelleberschrift"/>
                <w:rFonts w:ascii="Times New Roman" w:hAnsi="Times New Roman"/>
                <w:b w:val="0"/>
                <w:sz w:val="24"/>
                <w:szCs w:val="24"/>
                <w:u w:val="none"/>
                <w:lang w:val="en-GB"/>
              </w:rPr>
            </w:pPr>
            <w:r w:rsidRPr="00661595">
              <w:rPr>
                <w:rFonts w:ascii="Times New Roman" w:hAnsi="Times New Roman"/>
                <w:sz w:val="24"/>
                <w:szCs w:val="24"/>
                <w:lang w:val="en-GB"/>
              </w:rPr>
              <w:t xml:space="preserve">Institutions shall report </w:t>
            </w:r>
            <w:r w:rsidR="008136B4" w:rsidRPr="00661595">
              <w:rPr>
                <w:rFonts w:ascii="Times New Roman" w:hAnsi="Times New Roman"/>
                <w:sz w:val="24"/>
                <w:szCs w:val="24"/>
                <w:lang w:val="en-GB"/>
              </w:rPr>
              <w:t xml:space="preserve">one of </w:t>
            </w:r>
            <w:r w:rsidRPr="00661595">
              <w:rPr>
                <w:rFonts w:ascii="Times New Roman" w:hAnsi="Times New Roman"/>
                <w:sz w:val="24"/>
                <w:szCs w:val="24"/>
                <w:lang w:val="en-GB"/>
              </w:rPr>
              <w:t xml:space="preserve">the following </w:t>
            </w:r>
            <w:r w:rsidR="008136B4" w:rsidRPr="00661595">
              <w:rPr>
                <w:rFonts w:ascii="Times New Roman" w:hAnsi="Times New Roman"/>
                <w:sz w:val="24"/>
                <w:szCs w:val="24"/>
                <w:lang w:val="en-GB"/>
              </w:rPr>
              <w:t>values</w:t>
            </w:r>
            <w:r w:rsidRPr="00661595">
              <w:rPr>
                <w:rFonts w:ascii="Times New Roman" w:hAnsi="Times New Roman"/>
                <w:sz w:val="24"/>
                <w:szCs w:val="24"/>
                <w:lang w:val="en-GB"/>
              </w:rPr>
              <w:t>: ‘none’, ‘1-6’, ‘6-24’, ‘24-100’, ‘100+’.</w:t>
            </w:r>
          </w:p>
        </w:tc>
      </w:tr>
      <w:tr w:rsidR="00113E45" w:rsidRPr="00661595" w:rsidTr="00672D2A">
        <w:tc>
          <w:tcPr>
            <w:tcW w:w="1101" w:type="dxa"/>
          </w:tcPr>
          <w:p w:rsidR="00113E45" w:rsidRPr="00661595" w:rsidRDefault="008136B4" w:rsidP="00E60B53">
            <w:pPr>
              <w:spacing w:beforeLines="60" w:before="144" w:afterLines="60" w:after="144"/>
              <w:rPr>
                <w:rFonts w:ascii="Times New Roman" w:hAnsi="Times New Roman"/>
                <w:sz w:val="24"/>
              </w:rPr>
            </w:pPr>
            <w:r w:rsidRPr="00661595">
              <w:rPr>
                <w:rFonts w:ascii="Times New Roman" w:hAnsi="Times New Roman"/>
                <w:sz w:val="24"/>
              </w:rPr>
              <w:t>0</w:t>
            </w:r>
            <w:r w:rsidR="00113E45" w:rsidRPr="00661595">
              <w:rPr>
                <w:rFonts w:ascii="Times New Roman" w:hAnsi="Times New Roman"/>
                <w:sz w:val="24"/>
              </w:rPr>
              <w:t>050</w:t>
            </w:r>
          </w:p>
        </w:tc>
        <w:tc>
          <w:tcPr>
            <w:tcW w:w="8221" w:type="dxa"/>
          </w:tcPr>
          <w:p w:rsidR="00113E45" w:rsidRPr="00661595" w:rsidRDefault="00113E45" w:rsidP="00E60B53">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MODEL RISK AVA</w:t>
            </w:r>
          </w:p>
          <w:p w:rsidR="00113E45" w:rsidRPr="00661595" w:rsidRDefault="00113E45" w:rsidP="00E60B53">
            <w:pPr>
              <w:spacing w:beforeLines="60" w:before="144" w:afterLines="60" w:after="144"/>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 xml:space="preserve">Article 11(1) of </w:t>
            </w:r>
            <w:r w:rsidR="001A3980" w:rsidRPr="00661595">
              <w:rPr>
                <w:rFonts w:ascii="Times New Roman" w:hAnsi="Times New Roman"/>
                <w:sz w:val="24"/>
              </w:rPr>
              <w:t>Delegated Regulation (EU) 2016/101</w:t>
            </w:r>
            <w:r w:rsidR="004B572C" w:rsidRPr="00661595">
              <w:rPr>
                <w:rFonts w:ascii="Times New Roman" w:hAnsi="Times New Roman"/>
                <w:sz w:val="24"/>
              </w:rPr>
              <w:t>.</w:t>
            </w:r>
          </w:p>
          <w:p w:rsidR="00113E45" w:rsidRPr="00661595" w:rsidRDefault="00113E45" w:rsidP="00E60B53">
            <w:pPr>
              <w:spacing w:beforeLines="60" w:before="144" w:afterLines="60" w:after="144"/>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Individual model risk AVA before diversification benefit, but after portfolio netting where relevant.</w:t>
            </w:r>
          </w:p>
        </w:tc>
      </w:tr>
      <w:tr w:rsidR="00113E45" w:rsidRPr="00661595" w:rsidTr="00672D2A">
        <w:tc>
          <w:tcPr>
            <w:tcW w:w="1101" w:type="dxa"/>
          </w:tcPr>
          <w:p w:rsidR="00113E45" w:rsidRPr="00661595" w:rsidRDefault="008136B4" w:rsidP="00E60B53">
            <w:pPr>
              <w:spacing w:beforeLines="60" w:before="144" w:afterLines="60" w:after="144"/>
              <w:rPr>
                <w:rFonts w:ascii="Times New Roman" w:hAnsi="Times New Roman"/>
                <w:sz w:val="24"/>
              </w:rPr>
            </w:pPr>
            <w:r w:rsidRPr="00661595">
              <w:rPr>
                <w:rFonts w:ascii="Times New Roman" w:hAnsi="Times New Roman"/>
                <w:sz w:val="24"/>
              </w:rPr>
              <w:t>0</w:t>
            </w:r>
            <w:r w:rsidR="00113E45" w:rsidRPr="00661595">
              <w:rPr>
                <w:rFonts w:ascii="Times New Roman" w:hAnsi="Times New Roman"/>
                <w:sz w:val="24"/>
              </w:rPr>
              <w:t>060</w:t>
            </w:r>
          </w:p>
        </w:tc>
        <w:tc>
          <w:tcPr>
            <w:tcW w:w="8221" w:type="dxa"/>
          </w:tcPr>
          <w:p w:rsidR="00113E45" w:rsidRPr="00661595" w:rsidRDefault="00113E45" w:rsidP="00E60B53">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OF WHICH: USING EXPERT-BASED APPROACH</w:t>
            </w:r>
          </w:p>
          <w:p w:rsidR="00113E45" w:rsidRPr="00661595" w:rsidRDefault="00113E45" w:rsidP="004B572C">
            <w:pPr>
              <w:spacing w:beforeLines="60" w:before="144" w:afterLines="60" w:after="144"/>
              <w:rPr>
                <w:rStyle w:val="InstructionsTabelleberschrift"/>
                <w:rFonts w:ascii="Times New Roman" w:hAnsi="Times New Roman"/>
                <w:sz w:val="24"/>
                <w:u w:val="none"/>
              </w:rPr>
            </w:pPr>
            <w:r w:rsidRPr="00661595">
              <w:rPr>
                <w:rFonts w:ascii="Times New Roman" w:hAnsi="Times New Roman"/>
                <w:sz w:val="24"/>
              </w:rPr>
              <w:t>Amounts in column 0</w:t>
            </w:r>
            <w:r w:rsidR="008136B4" w:rsidRPr="00661595">
              <w:rPr>
                <w:rFonts w:ascii="Times New Roman" w:hAnsi="Times New Roman"/>
                <w:sz w:val="24"/>
              </w:rPr>
              <w:t>0</w:t>
            </w:r>
            <w:r w:rsidRPr="00661595">
              <w:rPr>
                <w:rFonts w:ascii="Times New Roman" w:hAnsi="Times New Roman"/>
                <w:sz w:val="24"/>
              </w:rPr>
              <w:t xml:space="preserve">50 that have been calculated under the expert-based approach </w:t>
            </w:r>
            <w:r w:rsidR="004B572C" w:rsidRPr="00661595">
              <w:rPr>
                <w:rFonts w:ascii="Times New Roman" w:hAnsi="Times New Roman"/>
                <w:sz w:val="24"/>
              </w:rPr>
              <w:t xml:space="preserve">referred to </w:t>
            </w:r>
            <w:r w:rsidRPr="00661595">
              <w:rPr>
                <w:rFonts w:ascii="Times New Roman" w:hAnsi="Times New Roman"/>
                <w:sz w:val="24"/>
              </w:rPr>
              <w:t>in Art</w:t>
            </w:r>
            <w:r w:rsidR="008136B4" w:rsidRPr="00661595">
              <w:rPr>
                <w:rFonts w:ascii="Times New Roman" w:hAnsi="Times New Roman"/>
                <w:sz w:val="24"/>
              </w:rPr>
              <w:t>icle</w:t>
            </w:r>
            <w:r w:rsidRPr="00661595">
              <w:rPr>
                <w:rFonts w:ascii="Times New Roman" w:hAnsi="Times New Roman"/>
                <w:sz w:val="24"/>
              </w:rPr>
              <w:t xml:space="preserve"> 11(4) of </w:t>
            </w:r>
            <w:r w:rsidR="001A3980" w:rsidRPr="00661595">
              <w:rPr>
                <w:rFonts w:ascii="Times New Roman" w:hAnsi="Times New Roman"/>
                <w:sz w:val="24"/>
              </w:rPr>
              <w:t>Delegated Regulation (EU) 2016/101</w:t>
            </w:r>
            <w:r w:rsidRPr="00661595">
              <w:rPr>
                <w:rFonts w:ascii="Times New Roman" w:hAnsi="Times New Roman"/>
                <w:sz w:val="24"/>
              </w:rPr>
              <w:t>.</w:t>
            </w:r>
          </w:p>
        </w:tc>
      </w:tr>
      <w:tr w:rsidR="00113E45" w:rsidRPr="00661595" w:rsidTr="00672D2A">
        <w:tc>
          <w:tcPr>
            <w:tcW w:w="1101" w:type="dxa"/>
          </w:tcPr>
          <w:p w:rsidR="00113E45" w:rsidRPr="00661595" w:rsidRDefault="008136B4" w:rsidP="00E60B53">
            <w:pPr>
              <w:spacing w:beforeLines="60" w:before="144" w:afterLines="60" w:after="144"/>
              <w:rPr>
                <w:rFonts w:ascii="Times New Roman" w:hAnsi="Times New Roman"/>
                <w:sz w:val="24"/>
              </w:rPr>
            </w:pPr>
            <w:r w:rsidRPr="00661595">
              <w:rPr>
                <w:rFonts w:ascii="Times New Roman" w:hAnsi="Times New Roman"/>
                <w:sz w:val="24"/>
              </w:rPr>
              <w:t>0</w:t>
            </w:r>
            <w:r w:rsidR="00113E45" w:rsidRPr="00661595">
              <w:rPr>
                <w:rFonts w:ascii="Times New Roman" w:hAnsi="Times New Roman"/>
                <w:sz w:val="24"/>
              </w:rPr>
              <w:t>070</w:t>
            </w:r>
          </w:p>
        </w:tc>
        <w:tc>
          <w:tcPr>
            <w:tcW w:w="8221" w:type="dxa"/>
          </w:tcPr>
          <w:p w:rsidR="00113E45" w:rsidRPr="00661595" w:rsidRDefault="00113E45" w:rsidP="00E60B53">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OF WHICH: AGGREGATED USING METHOD 2</w:t>
            </w:r>
          </w:p>
          <w:p w:rsidR="00113E45" w:rsidRPr="00661595" w:rsidRDefault="00113E45" w:rsidP="00127986">
            <w:pPr>
              <w:spacing w:beforeLines="60" w:before="144" w:afterLines="60" w:after="144"/>
              <w:rPr>
                <w:rStyle w:val="InstructionsTabelleberschrift"/>
                <w:rFonts w:ascii="Times New Roman" w:hAnsi="Times New Roman"/>
                <w:sz w:val="24"/>
              </w:rPr>
            </w:pPr>
            <w:r w:rsidRPr="00661595">
              <w:rPr>
                <w:rFonts w:ascii="Times New Roman" w:hAnsi="Times New Roman"/>
                <w:sz w:val="24"/>
              </w:rPr>
              <w:t xml:space="preserve">Amounts in column </w:t>
            </w:r>
            <w:r w:rsidR="008136B4" w:rsidRPr="00661595">
              <w:rPr>
                <w:rFonts w:ascii="Times New Roman" w:hAnsi="Times New Roman"/>
                <w:sz w:val="24"/>
              </w:rPr>
              <w:t>0</w:t>
            </w:r>
            <w:r w:rsidRPr="00661595">
              <w:rPr>
                <w:rFonts w:ascii="Times New Roman" w:hAnsi="Times New Roman"/>
                <w:sz w:val="24"/>
              </w:rPr>
              <w:t xml:space="preserve">050 that have been aggregated under Method 2 of </w:t>
            </w:r>
            <w:r w:rsidR="004B572C" w:rsidRPr="00661595">
              <w:rPr>
                <w:rFonts w:ascii="Times New Roman" w:hAnsi="Times New Roman"/>
                <w:sz w:val="24"/>
              </w:rPr>
              <w:t xml:space="preserve">the </w:t>
            </w:r>
            <w:r w:rsidRPr="00661595">
              <w:rPr>
                <w:rFonts w:ascii="Times New Roman" w:hAnsi="Times New Roman"/>
                <w:sz w:val="24"/>
              </w:rPr>
              <w:t xml:space="preserve">Annex to </w:t>
            </w:r>
            <w:r w:rsidR="001A3980" w:rsidRPr="00661595">
              <w:rPr>
                <w:rFonts w:ascii="Times New Roman" w:hAnsi="Times New Roman"/>
                <w:sz w:val="24"/>
              </w:rPr>
              <w:t>Delegated Regulation (EU) 2016/101</w:t>
            </w:r>
            <w:r w:rsidRPr="00661595">
              <w:rPr>
                <w:rFonts w:ascii="Times New Roman" w:hAnsi="Times New Roman"/>
                <w:sz w:val="24"/>
              </w:rPr>
              <w:t xml:space="preserve">. </w:t>
            </w:r>
            <w:r w:rsidR="00127986" w:rsidRPr="00661595">
              <w:rPr>
                <w:rFonts w:ascii="Times New Roman" w:hAnsi="Times New Roman"/>
                <w:sz w:val="24"/>
              </w:rPr>
              <w:t xml:space="preserve">These amounts </w:t>
            </w:r>
            <w:r w:rsidRPr="00661595">
              <w:rPr>
                <w:rFonts w:ascii="Times New Roman" w:hAnsi="Times New Roman"/>
                <w:sz w:val="24"/>
              </w:rPr>
              <w:t>correspond to FV – PV in the terminology of th</w:t>
            </w:r>
            <w:r w:rsidR="004B572C" w:rsidRPr="00661595">
              <w:rPr>
                <w:rFonts w:ascii="Times New Roman" w:hAnsi="Times New Roman"/>
                <w:sz w:val="24"/>
              </w:rPr>
              <w:t>at</w:t>
            </w:r>
            <w:r w:rsidRPr="00661595">
              <w:rPr>
                <w:rFonts w:ascii="Times New Roman" w:hAnsi="Times New Roman"/>
                <w:sz w:val="24"/>
              </w:rPr>
              <w:t xml:space="preserve"> Annex. </w:t>
            </w:r>
          </w:p>
        </w:tc>
      </w:tr>
      <w:tr w:rsidR="00113E45" w:rsidRPr="00661595" w:rsidTr="00672D2A">
        <w:tc>
          <w:tcPr>
            <w:tcW w:w="1101" w:type="dxa"/>
          </w:tcPr>
          <w:p w:rsidR="00113E45" w:rsidRPr="00661595" w:rsidRDefault="008136B4" w:rsidP="00E60B53">
            <w:pPr>
              <w:spacing w:beforeLines="60" w:before="144" w:afterLines="60" w:after="144"/>
              <w:rPr>
                <w:rFonts w:ascii="Times New Roman" w:hAnsi="Times New Roman"/>
                <w:sz w:val="24"/>
              </w:rPr>
            </w:pPr>
            <w:r w:rsidRPr="00661595">
              <w:rPr>
                <w:rFonts w:ascii="Times New Roman" w:hAnsi="Times New Roman"/>
                <w:sz w:val="24"/>
              </w:rPr>
              <w:t>0</w:t>
            </w:r>
            <w:r w:rsidR="00113E45" w:rsidRPr="00661595">
              <w:rPr>
                <w:rFonts w:ascii="Times New Roman" w:hAnsi="Times New Roman"/>
                <w:sz w:val="24"/>
              </w:rPr>
              <w:t>080</w:t>
            </w:r>
          </w:p>
        </w:tc>
        <w:tc>
          <w:tcPr>
            <w:tcW w:w="8221" w:type="dxa"/>
          </w:tcPr>
          <w:p w:rsidR="00113E45" w:rsidRPr="00661595" w:rsidRDefault="00113E45" w:rsidP="00E60B53">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AGGREGATED AVA CALCULATED UNDER METHOD 2</w:t>
            </w:r>
          </w:p>
          <w:p w:rsidR="00113E45" w:rsidRPr="00661595" w:rsidRDefault="00113E45" w:rsidP="000E40DD">
            <w:pPr>
              <w:spacing w:beforeLines="60" w:before="144" w:afterLines="60" w:after="144"/>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 xml:space="preserve">The contribution towards the total category level AVA for model risk, as computed </w:t>
            </w:r>
            <w:r w:rsidR="00BB22D4" w:rsidRPr="00661595">
              <w:rPr>
                <w:rStyle w:val="InstructionsTabelleberschrift"/>
                <w:rFonts w:ascii="Times New Roman" w:hAnsi="Times New Roman"/>
                <w:b w:val="0"/>
                <w:sz w:val="24"/>
                <w:u w:val="none"/>
              </w:rPr>
              <w:t>in accordance with</w:t>
            </w:r>
            <w:r w:rsidRPr="00661595">
              <w:rPr>
                <w:rStyle w:val="InstructionsTabelleberschrift"/>
                <w:rFonts w:ascii="Times New Roman" w:hAnsi="Times New Roman"/>
                <w:b w:val="0"/>
                <w:sz w:val="24"/>
                <w:u w:val="none"/>
              </w:rPr>
              <w:t xml:space="preserve"> Article 11(7) of </w:t>
            </w:r>
            <w:r w:rsidR="001A3980" w:rsidRPr="00661595">
              <w:rPr>
                <w:rFonts w:ascii="Times New Roman" w:hAnsi="Times New Roman"/>
                <w:sz w:val="24"/>
              </w:rPr>
              <w:t>the Delegated Regulation (EU) 2016/101</w:t>
            </w:r>
            <w:r w:rsidRPr="00661595">
              <w:rPr>
                <w:rStyle w:val="InstructionsTabelleberschrift"/>
                <w:rFonts w:ascii="Times New Roman" w:hAnsi="Times New Roman"/>
                <w:b w:val="0"/>
                <w:sz w:val="24"/>
                <w:u w:val="none"/>
              </w:rPr>
              <w:t xml:space="preserve"> of individual model risk AVAs that are aggregated using Method 2 of the Annex</w:t>
            </w:r>
            <w:r w:rsidR="008136B4" w:rsidRPr="00661595">
              <w:rPr>
                <w:rStyle w:val="InstructionsTabelleberschrift"/>
                <w:rFonts w:ascii="Times New Roman" w:hAnsi="Times New Roman"/>
                <w:b w:val="0"/>
                <w:sz w:val="24"/>
                <w:u w:val="none"/>
              </w:rPr>
              <w:t xml:space="preserve"> to</w:t>
            </w:r>
            <w:r w:rsidR="001A3980" w:rsidRPr="00661595">
              <w:rPr>
                <w:rFonts w:ascii="Times New Roman" w:hAnsi="Times New Roman"/>
                <w:sz w:val="24"/>
              </w:rPr>
              <w:t xml:space="preserve"> </w:t>
            </w:r>
            <w:r w:rsidR="004B572C" w:rsidRPr="00661595">
              <w:rPr>
                <w:rFonts w:ascii="Times New Roman" w:hAnsi="Times New Roman"/>
                <w:sz w:val="24"/>
              </w:rPr>
              <w:t xml:space="preserve">that </w:t>
            </w:r>
            <w:r w:rsidR="001A3980" w:rsidRPr="00661595">
              <w:rPr>
                <w:rFonts w:ascii="Times New Roman" w:hAnsi="Times New Roman"/>
                <w:sz w:val="24"/>
              </w:rPr>
              <w:t>Regulation (EU)</w:t>
            </w:r>
            <w:r w:rsidRPr="00661595">
              <w:rPr>
                <w:rStyle w:val="InstructionsTabelleberschrift"/>
                <w:rFonts w:ascii="Times New Roman" w:hAnsi="Times New Roman"/>
                <w:b w:val="0"/>
                <w:sz w:val="24"/>
                <w:u w:val="none"/>
              </w:rPr>
              <w:t xml:space="preserve">. </w:t>
            </w:r>
            <w:r w:rsidR="000E40DD" w:rsidRPr="00661595">
              <w:rPr>
                <w:rFonts w:ascii="Times New Roman" w:hAnsi="Times New Roman"/>
                <w:sz w:val="24"/>
              </w:rPr>
              <w:t>That amount</w:t>
            </w:r>
            <w:r w:rsidR="00127986" w:rsidRPr="00661595">
              <w:rPr>
                <w:rFonts w:ascii="Times New Roman" w:hAnsi="Times New Roman"/>
                <w:sz w:val="24"/>
              </w:rPr>
              <w:t xml:space="preserve"> </w:t>
            </w:r>
            <w:r w:rsidRPr="00661595">
              <w:rPr>
                <w:rFonts w:ascii="Times New Roman" w:hAnsi="Times New Roman"/>
                <w:sz w:val="24"/>
              </w:rPr>
              <w:t>corresponds to APVA in the terminology of the Annex.</w:t>
            </w:r>
          </w:p>
        </w:tc>
      </w:tr>
      <w:tr w:rsidR="00113E45" w:rsidRPr="00661595" w:rsidTr="00672D2A">
        <w:tc>
          <w:tcPr>
            <w:tcW w:w="1101" w:type="dxa"/>
          </w:tcPr>
          <w:p w:rsidR="00113E45" w:rsidRPr="00661595" w:rsidRDefault="008136B4" w:rsidP="00E60B53">
            <w:pPr>
              <w:spacing w:beforeLines="60" w:before="144" w:afterLines="60" w:after="144"/>
              <w:rPr>
                <w:rFonts w:ascii="Times New Roman" w:hAnsi="Times New Roman"/>
                <w:sz w:val="24"/>
              </w:rPr>
            </w:pPr>
            <w:r w:rsidRPr="00661595">
              <w:rPr>
                <w:rFonts w:ascii="Times New Roman" w:hAnsi="Times New Roman"/>
                <w:sz w:val="24"/>
              </w:rPr>
              <w:t>0</w:t>
            </w:r>
            <w:r w:rsidR="00113E45" w:rsidRPr="00661595">
              <w:rPr>
                <w:rFonts w:ascii="Times New Roman" w:hAnsi="Times New Roman"/>
                <w:sz w:val="24"/>
              </w:rPr>
              <w:t>090</w:t>
            </w:r>
            <w:r w:rsidRPr="00661595">
              <w:rPr>
                <w:rFonts w:ascii="Times New Roman" w:hAnsi="Times New Roman"/>
                <w:sz w:val="24"/>
              </w:rPr>
              <w:t xml:space="preserve"> </w:t>
            </w:r>
            <w:r w:rsidR="00113E45" w:rsidRPr="00661595">
              <w:rPr>
                <w:rFonts w:ascii="Times New Roman" w:hAnsi="Times New Roman"/>
                <w:sz w:val="24"/>
              </w:rPr>
              <w:t>-</w:t>
            </w:r>
            <w:r w:rsidRPr="00661595">
              <w:rPr>
                <w:rFonts w:ascii="Times New Roman" w:hAnsi="Times New Roman"/>
                <w:sz w:val="24"/>
              </w:rPr>
              <w:t>0</w:t>
            </w:r>
            <w:r w:rsidR="00113E45" w:rsidRPr="00661595">
              <w:rPr>
                <w:rFonts w:ascii="Times New Roman" w:hAnsi="Times New Roman"/>
                <w:sz w:val="24"/>
              </w:rPr>
              <w:t>100</w:t>
            </w:r>
          </w:p>
        </w:tc>
        <w:tc>
          <w:tcPr>
            <w:tcW w:w="8221" w:type="dxa"/>
          </w:tcPr>
          <w:p w:rsidR="00113E45" w:rsidRPr="00661595" w:rsidRDefault="00113E45" w:rsidP="00E60B53">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FAIR-VALUED ASSETS AND LIABILITIES</w:t>
            </w:r>
          </w:p>
          <w:p w:rsidR="00113E45" w:rsidRPr="00661595" w:rsidRDefault="00113E45" w:rsidP="00E60B53">
            <w:pPr>
              <w:spacing w:beforeLines="60" w:before="144" w:afterLines="60" w:after="144"/>
              <w:rPr>
                <w:rStyle w:val="InstructionsTabelleberschrift"/>
                <w:rFonts w:ascii="Times New Roman" w:hAnsi="Times New Roman"/>
                <w:sz w:val="24"/>
              </w:rPr>
            </w:pPr>
            <w:r w:rsidRPr="00661595">
              <w:rPr>
                <w:rFonts w:ascii="Times New Roman" w:hAnsi="Times New Roman"/>
                <w:sz w:val="24"/>
              </w:rPr>
              <w:t xml:space="preserve">Absolute value of fair-valued assets and liabilities valued using the model reported in column </w:t>
            </w:r>
            <w:r w:rsidR="008136B4" w:rsidRPr="00661595">
              <w:rPr>
                <w:rFonts w:ascii="Times New Roman" w:hAnsi="Times New Roman"/>
                <w:sz w:val="24"/>
              </w:rPr>
              <w:t>0</w:t>
            </w:r>
            <w:r w:rsidRPr="00661595">
              <w:rPr>
                <w:rFonts w:ascii="Times New Roman" w:hAnsi="Times New Roman"/>
                <w:sz w:val="24"/>
              </w:rPr>
              <w:t xml:space="preserve">010 as stated in the financial statements under the applicable framework. </w:t>
            </w:r>
          </w:p>
        </w:tc>
      </w:tr>
      <w:tr w:rsidR="00113E45" w:rsidRPr="00661595" w:rsidTr="00672D2A">
        <w:tc>
          <w:tcPr>
            <w:tcW w:w="1101" w:type="dxa"/>
          </w:tcPr>
          <w:p w:rsidR="00113E45" w:rsidRPr="00661595" w:rsidRDefault="008136B4" w:rsidP="00E60B53">
            <w:pPr>
              <w:spacing w:beforeLines="60" w:before="144" w:afterLines="60" w:after="144"/>
              <w:rPr>
                <w:rFonts w:ascii="Times New Roman" w:hAnsi="Times New Roman"/>
                <w:sz w:val="24"/>
              </w:rPr>
            </w:pPr>
            <w:r w:rsidRPr="00661595">
              <w:rPr>
                <w:rFonts w:ascii="Times New Roman" w:hAnsi="Times New Roman"/>
                <w:sz w:val="24"/>
              </w:rPr>
              <w:t>0</w:t>
            </w:r>
            <w:r w:rsidR="00113E45" w:rsidRPr="00661595">
              <w:rPr>
                <w:rFonts w:ascii="Times New Roman" w:hAnsi="Times New Roman"/>
                <w:sz w:val="24"/>
              </w:rPr>
              <w:t>090</w:t>
            </w:r>
          </w:p>
        </w:tc>
        <w:tc>
          <w:tcPr>
            <w:tcW w:w="8221" w:type="dxa"/>
          </w:tcPr>
          <w:p w:rsidR="00113E45" w:rsidRPr="00661595" w:rsidRDefault="00113E45" w:rsidP="00E60B53">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FAIR-VALUED ASSETS</w:t>
            </w:r>
          </w:p>
          <w:p w:rsidR="00113E45" w:rsidRPr="00661595" w:rsidRDefault="00113E45" w:rsidP="00E60B53">
            <w:pPr>
              <w:spacing w:beforeLines="60" w:before="144" w:afterLines="60" w:after="144"/>
              <w:rPr>
                <w:rStyle w:val="InstructionsTabelleberschrift"/>
                <w:rFonts w:ascii="Times New Roman" w:hAnsi="Times New Roman"/>
                <w:b w:val="0"/>
                <w:bCs w:val="0"/>
                <w:sz w:val="24"/>
                <w:u w:val="none"/>
              </w:rPr>
            </w:pPr>
            <w:r w:rsidRPr="00661595">
              <w:rPr>
                <w:rFonts w:ascii="Times New Roman" w:hAnsi="Times New Roman"/>
                <w:sz w:val="24"/>
              </w:rPr>
              <w:t xml:space="preserve">Absolute value of fair-valued assets valued using the model reported in column </w:t>
            </w:r>
            <w:r w:rsidR="008136B4" w:rsidRPr="00661595">
              <w:rPr>
                <w:rFonts w:ascii="Times New Roman" w:hAnsi="Times New Roman"/>
                <w:sz w:val="24"/>
              </w:rPr>
              <w:t>0</w:t>
            </w:r>
            <w:r w:rsidRPr="00661595">
              <w:rPr>
                <w:rFonts w:ascii="Times New Roman" w:hAnsi="Times New Roman"/>
                <w:sz w:val="24"/>
              </w:rPr>
              <w:t>010 as stated in the financial statements under the applicable framework</w:t>
            </w:r>
            <w:r w:rsidRPr="00661595">
              <w:rPr>
                <w:rStyle w:val="InstructionsTabelleberschrift"/>
                <w:rFonts w:ascii="Times New Roman" w:hAnsi="Times New Roman"/>
                <w:b w:val="0"/>
                <w:sz w:val="24"/>
                <w:u w:val="none"/>
              </w:rPr>
              <w:t>.</w:t>
            </w:r>
          </w:p>
        </w:tc>
      </w:tr>
      <w:tr w:rsidR="00113E45" w:rsidRPr="00661595" w:rsidTr="00672D2A">
        <w:tc>
          <w:tcPr>
            <w:tcW w:w="1101" w:type="dxa"/>
          </w:tcPr>
          <w:p w:rsidR="00113E45" w:rsidRPr="00661595" w:rsidRDefault="008136B4" w:rsidP="00E60B53">
            <w:pPr>
              <w:spacing w:beforeLines="60" w:before="144" w:afterLines="60" w:after="144"/>
              <w:rPr>
                <w:rFonts w:ascii="Times New Roman" w:hAnsi="Times New Roman"/>
                <w:sz w:val="24"/>
              </w:rPr>
            </w:pPr>
            <w:r w:rsidRPr="00661595">
              <w:rPr>
                <w:rFonts w:ascii="Times New Roman" w:hAnsi="Times New Roman"/>
                <w:sz w:val="24"/>
              </w:rPr>
              <w:t>0</w:t>
            </w:r>
            <w:r w:rsidR="00113E45" w:rsidRPr="00661595">
              <w:rPr>
                <w:rFonts w:ascii="Times New Roman" w:hAnsi="Times New Roman"/>
                <w:sz w:val="24"/>
              </w:rPr>
              <w:t>100</w:t>
            </w:r>
          </w:p>
        </w:tc>
        <w:tc>
          <w:tcPr>
            <w:tcW w:w="8221" w:type="dxa"/>
          </w:tcPr>
          <w:p w:rsidR="00113E45" w:rsidRPr="00661595" w:rsidRDefault="00113E45" w:rsidP="00E60B53">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FAIR-VALUED LIABILITIES</w:t>
            </w:r>
          </w:p>
          <w:p w:rsidR="00113E45" w:rsidRPr="00661595" w:rsidRDefault="00113E45" w:rsidP="00E60B53">
            <w:pPr>
              <w:spacing w:beforeLines="60" w:before="144" w:afterLines="60" w:after="144"/>
              <w:rPr>
                <w:rStyle w:val="InstructionsTabelleberschrift"/>
                <w:rFonts w:ascii="Times New Roman" w:hAnsi="Times New Roman"/>
                <w:b w:val="0"/>
                <w:bCs w:val="0"/>
                <w:sz w:val="24"/>
                <w:u w:val="none"/>
              </w:rPr>
            </w:pPr>
            <w:r w:rsidRPr="00661595">
              <w:rPr>
                <w:rFonts w:ascii="Times New Roman" w:hAnsi="Times New Roman"/>
                <w:sz w:val="24"/>
              </w:rPr>
              <w:t xml:space="preserve">Absolute value of fair-valued liabilities valued using the model reported in column </w:t>
            </w:r>
            <w:r w:rsidR="008136B4" w:rsidRPr="00661595">
              <w:rPr>
                <w:rFonts w:ascii="Times New Roman" w:hAnsi="Times New Roman"/>
                <w:sz w:val="24"/>
              </w:rPr>
              <w:t>0</w:t>
            </w:r>
            <w:r w:rsidRPr="00661595">
              <w:rPr>
                <w:rFonts w:ascii="Times New Roman" w:hAnsi="Times New Roman"/>
                <w:sz w:val="24"/>
              </w:rPr>
              <w:t xml:space="preserve">010 as stated in the financial statements under the applicable framework. </w:t>
            </w:r>
          </w:p>
        </w:tc>
      </w:tr>
      <w:tr w:rsidR="00113E45" w:rsidRPr="00661595" w:rsidTr="00672D2A">
        <w:tc>
          <w:tcPr>
            <w:tcW w:w="1101" w:type="dxa"/>
          </w:tcPr>
          <w:p w:rsidR="00113E45" w:rsidRPr="00661595" w:rsidRDefault="008136B4" w:rsidP="00E60B53">
            <w:pPr>
              <w:spacing w:beforeLines="60" w:before="144" w:afterLines="60" w:after="144"/>
              <w:rPr>
                <w:rFonts w:ascii="Times New Roman" w:hAnsi="Times New Roman"/>
                <w:sz w:val="24"/>
              </w:rPr>
            </w:pPr>
            <w:r w:rsidRPr="00661595">
              <w:rPr>
                <w:rFonts w:ascii="Times New Roman" w:hAnsi="Times New Roman"/>
                <w:sz w:val="24"/>
              </w:rPr>
              <w:t>0</w:t>
            </w:r>
            <w:r w:rsidR="00113E45" w:rsidRPr="00661595">
              <w:rPr>
                <w:rFonts w:ascii="Times New Roman" w:hAnsi="Times New Roman"/>
                <w:sz w:val="24"/>
              </w:rPr>
              <w:t>110</w:t>
            </w:r>
          </w:p>
        </w:tc>
        <w:tc>
          <w:tcPr>
            <w:tcW w:w="8221" w:type="dxa"/>
          </w:tcPr>
          <w:p w:rsidR="00113E45" w:rsidRPr="00661595" w:rsidRDefault="00113E45" w:rsidP="00E60B53">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IPV DIFFERENCE (OUTPUT TESTING)</w:t>
            </w:r>
          </w:p>
          <w:p w:rsidR="00113E45" w:rsidRPr="00661595" w:rsidRDefault="00113E45" w:rsidP="00E60B53">
            <w:pPr>
              <w:spacing w:beforeLines="60" w:before="144" w:afterLines="60" w:after="144"/>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The sum of unadjusted difference amounts (‘IPV difference’) calculated at the month end closest to the reporting date under the independent price verification process performed in accordance with Art</w:t>
            </w:r>
            <w:r w:rsidR="00DE223B" w:rsidRPr="00661595">
              <w:rPr>
                <w:rStyle w:val="InstructionsTabelleberschrift"/>
                <w:rFonts w:ascii="Times New Roman" w:hAnsi="Times New Roman"/>
                <w:b w:val="0"/>
                <w:sz w:val="24"/>
                <w:u w:val="none"/>
              </w:rPr>
              <w:t>icle</w:t>
            </w:r>
            <w:r w:rsidRPr="00661595">
              <w:rPr>
                <w:rStyle w:val="InstructionsTabelleberschrift"/>
                <w:rFonts w:ascii="Times New Roman" w:hAnsi="Times New Roman"/>
                <w:b w:val="0"/>
                <w:sz w:val="24"/>
                <w:u w:val="none"/>
              </w:rPr>
              <w:t xml:space="preserve"> 105(8) </w:t>
            </w:r>
            <w:r w:rsidR="00C7103D" w:rsidRPr="00661595">
              <w:rPr>
                <w:rStyle w:val="InstructionsTabelleberschrift"/>
                <w:rFonts w:ascii="Times New Roman" w:hAnsi="Times New Roman"/>
                <w:b w:val="0"/>
                <w:sz w:val="24"/>
                <w:u w:val="none"/>
              </w:rPr>
              <w:t>CRR</w:t>
            </w:r>
            <w:r w:rsidRPr="00661595">
              <w:rPr>
                <w:rStyle w:val="InstructionsTabelleberschrift"/>
                <w:rFonts w:ascii="Times New Roman" w:hAnsi="Times New Roman"/>
                <w:b w:val="0"/>
                <w:sz w:val="24"/>
                <w:u w:val="none"/>
              </w:rPr>
              <w:t xml:space="preserve">, with respect to the best available independent data for the corresponding product or group of products. </w:t>
            </w:r>
          </w:p>
          <w:p w:rsidR="00113E45" w:rsidRPr="00661595" w:rsidRDefault="00113E45" w:rsidP="00E60B53">
            <w:pPr>
              <w:spacing w:beforeLines="60" w:before="144" w:afterLines="60" w:after="144"/>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Unadjusted difference amounts refer to unadjusted differences between the trading system generated valuations and the valuations assessed during the monthly IPV process.</w:t>
            </w:r>
          </w:p>
          <w:p w:rsidR="00113E45" w:rsidRPr="00661595" w:rsidRDefault="004D2753" w:rsidP="00E60B53">
            <w:pPr>
              <w:spacing w:beforeLines="60" w:before="144" w:afterLines="60" w:after="144"/>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No adjusted</w:t>
            </w:r>
            <w:r w:rsidR="00113E45" w:rsidRPr="00661595">
              <w:rPr>
                <w:rStyle w:val="InstructionsTabelleberschrift"/>
                <w:rFonts w:ascii="Times New Roman" w:hAnsi="Times New Roman"/>
                <w:b w:val="0"/>
                <w:sz w:val="24"/>
                <w:u w:val="none"/>
              </w:rPr>
              <w:t xml:space="preserve"> difference amounts in the books and records of the institution for the relevant month end date shall be</w:t>
            </w:r>
            <w:r w:rsidRPr="00661595">
              <w:rPr>
                <w:rStyle w:val="InstructionsTabelleberschrift"/>
                <w:rFonts w:ascii="Times New Roman" w:hAnsi="Times New Roman"/>
                <w:b w:val="0"/>
                <w:sz w:val="24"/>
                <w:u w:val="none"/>
              </w:rPr>
              <w:t xml:space="preserve"> included in the calculation of IPV difference</w:t>
            </w:r>
            <w:r w:rsidR="00113E45" w:rsidRPr="00661595">
              <w:rPr>
                <w:rStyle w:val="InstructionsTabelleberschrift"/>
                <w:rFonts w:ascii="Times New Roman" w:hAnsi="Times New Roman"/>
                <w:b w:val="0"/>
                <w:sz w:val="24"/>
                <w:u w:val="none"/>
              </w:rPr>
              <w:t>.</w:t>
            </w:r>
          </w:p>
          <w:p w:rsidR="00113E45" w:rsidRPr="00661595" w:rsidRDefault="00113E45" w:rsidP="00E60B53">
            <w:pPr>
              <w:spacing w:beforeLines="60" w:before="144" w:afterLines="60" w:after="144"/>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Only results that have been calibrated from prices of instruments that would be mapped to the same product (output testing) shall be included here. Input testing results from market data inputs that are tested against levels that have been calibrated from different products shall not be included.</w:t>
            </w:r>
          </w:p>
        </w:tc>
      </w:tr>
      <w:tr w:rsidR="00113E45" w:rsidRPr="00661595" w:rsidTr="00672D2A">
        <w:tc>
          <w:tcPr>
            <w:tcW w:w="1101" w:type="dxa"/>
          </w:tcPr>
          <w:p w:rsidR="00113E45" w:rsidRPr="00661595" w:rsidRDefault="008136B4" w:rsidP="00E60B53">
            <w:pPr>
              <w:spacing w:beforeLines="60" w:before="144" w:afterLines="60" w:after="144"/>
              <w:rPr>
                <w:rFonts w:ascii="Times New Roman" w:hAnsi="Times New Roman"/>
                <w:sz w:val="24"/>
              </w:rPr>
            </w:pPr>
            <w:r w:rsidRPr="00661595">
              <w:rPr>
                <w:rFonts w:ascii="Times New Roman" w:hAnsi="Times New Roman"/>
                <w:sz w:val="24"/>
              </w:rPr>
              <w:t>0</w:t>
            </w:r>
            <w:r w:rsidR="00113E45" w:rsidRPr="00661595">
              <w:rPr>
                <w:rFonts w:ascii="Times New Roman" w:hAnsi="Times New Roman"/>
                <w:sz w:val="24"/>
              </w:rPr>
              <w:t>120</w:t>
            </w:r>
          </w:p>
        </w:tc>
        <w:tc>
          <w:tcPr>
            <w:tcW w:w="8221" w:type="dxa"/>
          </w:tcPr>
          <w:p w:rsidR="00113E45" w:rsidRPr="00661595" w:rsidRDefault="00113E45" w:rsidP="00E60B53">
            <w:pPr>
              <w:spacing w:beforeLines="60" w:before="144" w:afterLines="60" w:after="144"/>
              <w:jc w:val="left"/>
              <w:rPr>
                <w:rStyle w:val="InstructionsTabelleberschrift"/>
                <w:rFonts w:ascii="Times New Roman" w:hAnsi="Times New Roman"/>
                <w:sz w:val="24"/>
              </w:rPr>
            </w:pPr>
            <w:r w:rsidRPr="00661595">
              <w:rPr>
                <w:rStyle w:val="InstructionsTabelleberschrift"/>
                <w:rFonts w:ascii="Times New Roman" w:hAnsi="Times New Roman"/>
                <w:sz w:val="24"/>
              </w:rPr>
              <w:t>IPV COVERAGE (OUTPUT TESTING)</w:t>
            </w:r>
          </w:p>
          <w:p w:rsidR="00113E45" w:rsidRPr="00661595" w:rsidRDefault="00113E45" w:rsidP="00E60B53">
            <w:pPr>
              <w:spacing w:beforeLines="60" w:before="144" w:afterLines="60" w:after="144"/>
              <w:jc w:val="left"/>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 xml:space="preserve">The percentage of those positions mapped to the model weighted by model risk AVA that is covered by the output IPV testing results given in column </w:t>
            </w:r>
            <w:r w:rsidR="00A50EB7" w:rsidRPr="00661595">
              <w:rPr>
                <w:rStyle w:val="InstructionsTabelleberschrift"/>
                <w:rFonts w:ascii="Times New Roman" w:hAnsi="Times New Roman"/>
                <w:b w:val="0"/>
                <w:sz w:val="24"/>
                <w:u w:val="none"/>
              </w:rPr>
              <w:t>0</w:t>
            </w:r>
            <w:r w:rsidRPr="00661595">
              <w:rPr>
                <w:rStyle w:val="InstructionsTabelleberschrift"/>
                <w:rFonts w:ascii="Times New Roman" w:hAnsi="Times New Roman"/>
                <w:b w:val="0"/>
                <w:sz w:val="24"/>
                <w:u w:val="none"/>
              </w:rPr>
              <w:t>110.</w:t>
            </w:r>
          </w:p>
        </w:tc>
      </w:tr>
      <w:tr w:rsidR="00113E45" w:rsidRPr="00661595" w:rsidTr="00672D2A">
        <w:tc>
          <w:tcPr>
            <w:tcW w:w="1101" w:type="dxa"/>
          </w:tcPr>
          <w:p w:rsidR="00113E45" w:rsidRPr="00661595" w:rsidRDefault="008136B4" w:rsidP="00E60B53">
            <w:pPr>
              <w:spacing w:beforeLines="60" w:before="144" w:afterLines="60" w:after="144"/>
              <w:rPr>
                <w:rFonts w:ascii="Times New Roman" w:hAnsi="Times New Roman"/>
                <w:sz w:val="24"/>
              </w:rPr>
            </w:pPr>
            <w:r w:rsidRPr="00661595">
              <w:rPr>
                <w:rFonts w:ascii="Times New Roman" w:hAnsi="Times New Roman"/>
                <w:sz w:val="24"/>
              </w:rPr>
              <w:t>0</w:t>
            </w:r>
            <w:r w:rsidR="00113E45" w:rsidRPr="00661595">
              <w:rPr>
                <w:rFonts w:ascii="Times New Roman" w:hAnsi="Times New Roman"/>
                <w:sz w:val="24"/>
              </w:rPr>
              <w:t xml:space="preserve">130 – </w:t>
            </w:r>
            <w:r w:rsidRPr="00661595">
              <w:rPr>
                <w:rFonts w:ascii="Times New Roman" w:hAnsi="Times New Roman"/>
                <w:sz w:val="24"/>
              </w:rPr>
              <w:t>0</w:t>
            </w:r>
            <w:r w:rsidR="00113E45" w:rsidRPr="00661595">
              <w:rPr>
                <w:rFonts w:ascii="Times New Roman" w:hAnsi="Times New Roman"/>
                <w:sz w:val="24"/>
              </w:rPr>
              <w:t>140</w:t>
            </w:r>
          </w:p>
        </w:tc>
        <w:tc>
          <w:tcPr>
            <w:tcW w:w="8221" w:type="dxa"/>
          </w:tcPr>
          <w:p w:rsidR="00113E45" w:rsidRPr="00661595" w:rsidRDefault="00113E45" w:rsidP="00E60B53">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FAIR VALUE ADJUSTMENTS</w:t>
            </w:r>
          </w:p>
          <w:p w:rsidR="00113E45" w:rsidRPr="00661595" w:rsidRDefault="00113E45" w:rsidP="00127986">
            <w:pPr>
              <w:spacing w:beforeLines="60" w:before="144" w:afterLines="60" w:after="144"/>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 xml:space="preserve">Fair Value adjustments as </w:t>
            </w:r>
            <w:r w:rsidR="00127986" w:rsidRPr="00661595">
              <w:rPr>
                <w:rStyle w:val="InstructionsTabelleberschrift"/>
                <w:rFonts w:ascii="Times New Roman" w:hAnsi="Times New Roman"/>
                <w:b w:val="0"/>
                <w:sz w:val="24"/>
                <w:u w:val="none"/>
              </w:rPr>
              <w:t xml:space="preserve">referred to </w:t>
            </w:r>
            <w:r w:rsidRPr="00661595">
              <w:rPr>
                <w:rStyle w:val="InstructionsTabelleberschrift"/>
                <w:rFonts w:ascii="Times New Roman" w:hAnsi="Times New Roman"/>
                <w:b w:val="0"/>
                <w:sz w:val="24"/>
                <w:u w:val="none"/>
              </w:rPr>
              <w:t xml:space="preserve">in columns </w:t>
            </w:r>
            <w:r w:rsidR="00A50EB7" w:rsidRPr="00661595">
              <w:rPr>
                <w:rStyle w:val="InstructionsTabelleberschrift"/>
                <w:rFonts w:ascii="Times New Roman" w:hAnsi="Times New Roman"/>
                <w:b w:val="0"/>
                <w:sz w:val="24"/>
                <w:u w:val="none"/>
              </w:rPr>
              <w:t>0</w:t>
            </w:r>
            <w:r w:rsidRPr="00661595">
              <w:rPr>
                <w:rStyle w:val="InstructionsTabelleberschrift"/>
                <w:rFonts w:ascii="Times New Roman" w:hAnsi="Times New Roman"/>
                <w:b w:val="0"/>
                <w:sz w:val="24"/>
                <w:u w:val="none"/>
              </w:rPr>
              <w:t xml:space="preserve">190 and </w:t>
            </w:r>
            <w:r w:rsidR="00A50EB7" w:rsidRPr="00661595">
              <w:rPr>
                <w:rStyle w:val="InstructionsTabelleberschrift"/>
                <w:rFonts w:ascii="Times New Roman" w:hAnsi="Times New Roman"/>
                <w:b w:val="0"/>
                <w:sz w:val="24"/>
                <w:u w:val="none"/>
              </w:rPr>
              <w:t>0</w:t>
            </w:r>
            <w:r w:rsidRPr="00661595">
              <w:rPr>
                <w:rStyle w:val="InstructionsTabelleberschrift"/>
                <w:rFonts w:ascii="Times New Roman" w:hAnsi="Times New Roman"/>
                <w:b w:val="0"/>
                <w:sz w:val="24"/>
                <w:u w:val="none"/>
              </w:rPr>
              <w:t xml:space="preserve">240 of template C 32.02 that have been applied to the positions mapped to the </w:t>
            </w:r>
            <w:r w:rsidRPr="00661595">
              <w:rPr>
                <w:rFonts w:ascii="Times New Roman" w:hAnsi="Times New Roman"/>
                <w:sz w:val="24"/>
              </w:rPr>
              <w:t xml:space="preserve">model in column </w:t>
            </w:r>
            <w:r w:rsidR="00A50EB7" w:rsidRPr="00661595">
              <w:rPr>
                <w:rFonts w:ascii="Times New Roman" w:hAnsi="Times New Roman"/>
                <w:sz w:val="24"/>
              </w:rPr>
              <w:t>0</w:t>
            </w:r>
            <w:r w:rsidRPr="00661595">
              <w:rPr>
                <w:rFonts w:ascii="Times New Roman" w:hAnsi="Times New Roman"/>
                <w:sz w:val="24"/>
              </w:rPr>
              <w:t>010</w:t>
            </w:r>
            <w:r w:rsidRPr="00661595">
              <w:rPr>
                <w:rStyle w:val="InstructionsTabelleberschrift"/>
                <w:rFonts w:ascii="Times New Roman" w:hAnsi="Times New Roman"/>
                <w:b w:val="0"/>
                <w:sz w:val="24"/>
                <w:u w:val="none"/>
              </w:rPr>
              <w:t>.</w:t>
            </w:r>
          </w:p>
        </w:tc>
      </w:tr>
      <w:tr w:rsidR="00113E45" w:rsidRPr="00661595" w:rsidTr="00672D2A">
        <w:tc>
          <w:tcPr>
            <w:tcW w:w="1101" w:type="dxa"/>
          </w:tcPr>
          <w:p w:rsidR="00113E45" w:rsidRPr="00661595" w:rsidRDefault="008136B4" w:rsidP="00E60B53">
            <w:pPr>
              <w:spacing w:beforeLines="60" w:before="144" w:afterLines="60" w:after="144"/>
              <w:rPr>
                <w:rFonts w:ascii="Times New Roman" w:hAnsi="Times New Roman"/>
                <w:sz w:val="24"/>
              </w:rPr>
            </w:pPr>
            <w:r w:rsidRPr="00661595">
              <w:rPr>
                <w:rFonts w:ascii="Times New Roman" w:hAnsi="Times New Roman"/>
                <w:sz w:val="24"/>
              </w:rPr>
              <w:t>0</w:t>
            </w:r>
            <w:r w:rsidR="00113E45" w:rsidRPr="00661595">
              <w:rPr>
                <w:rFonts w:ascii="Times New Roman" w:hAnsi="Times New Roman"/>
                <w:sz w:val="24"/>
              </w:rPr>
              <w:t>150</w:t>
            </w:r>
          </w:p>
        </w:tc>
        <w:tc>
          <w:tcPr>
            <w:tcW w:w="8221" w:type="dxa"/>
          </w:tcPr>
          <w:p w:rsidR="00113E45" w:rsidRPr="00661595" w:rsidRDefault="00113E45" w:rsidP="00E60B53">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DAY 1 P&amp;L</w:t>
            </w:r>
          </w:p>
          <w:p w:rsidR="00113E45" w:rsidRPr="00661595" w:rsidRDefault="00113E45" w:rsidP="00E60B53">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b w:val="0"/>
                <w:sz w:val="24"/>
                <w:u w:val="none"/>
              </w:rPr>
              <w:t xml:space="preserve">Adjustments as defined in column </w:t>
            </w:r>
            <w:r w:rsidR="00A50EB7" w:rsidRPr="00661595">
              <w:rPr>
                <w:rStyle w:val="InstructionsTabelleberschrift"/>
                <w:rFonts w:ascii="Times New Roman" w:hAnsi="Times New Roman"/>
                <w:b w:val="0"/>
                <w:sz w:val="24"/>
                <w:u w:val="none"/>
              </w:rPr>
              <w:t>0</w:t>
            </w:r>
            <w:r w:rsidRPr="00661595">
              <w:rPr>
                <w:rStyle w:val="InstructionsTabelleberschrift"/>
                <w:rFonts w:ascii="Times New Roman" w:hAnsi="Times New Roman"/>
                <w:b w:val="0"/>
                <w:sz w:val="24"/>
                <w:u w:val="none"/>
              </w:rPr>
              <w:t xml:space="preserve">260 of template C 32.02 that have been applied to the positions mapped to the </w:t>
            </w:r>
            <w:r w:rsidRPr="00661595">
              <w:rPr>
                <w:rFonts w:ascii="Times New Roman" w:hAnsi="Times New Roman"/>
                <w:sz w:val="24"/>
              </w:rPr>
              <w:t xml:space="preserve">model in column </w:t>
            </w:r>
            <w:r w:rsidR="00A50EB7" w:rsidRPr="00661595">
              <w:rPr>
                <w:rFonts w:ascii="Times New Roman" w:hAnsi="Times New Roman"/>
                <w:sz w:val="24"/>
              </w:rPr>
              <w:t>0</w:t>
            </w:r>
            <w:r w:rsidRPr="00661595">
              <w:rPr>
                <w:rFonts w:ascii="Times New Roman" w:hAnsi="Times New Roman"/>
                <w:sz w:val="24"/>
              </w:rPr>
              <w:t>010</w:t>
            </w:r>
            <w:r w:rsidRPr="00661595">
              <w:rPr>
                <w:rStyle w:val="InstructionsTabelleberschrift"/>
                <w:rFonts w:ascii="Times New Roman" w:hAnsi="Times New Roman"/>
                <w:b w:val="0"/>
                <w:sz w:val="24"/>
                <w:u w:val="none"/>
              </w:rPr>
              <w:t>.</w:t>
            </w:r>
          </w:p>
        </w:tc>
      </w:tr>
    </w:tbl>
    <w:p w:rsidR="00995A7F" w:rsidRPr="00661595" w:rsidRDefault="00995A7F" w:rsidP="00C61FF5">
      <w:pPr>
        <w:rPr>
          <w:rStyle w:val="InstructionsTabelleText"/>
          <w:rFonts w:ascii="Times New Roman" w:hAnsi="Times New Roman"/>
          <w:sz w:val="24"/>
        </w:rPr>
      </w:pPr>
    </w:p>
    <w:p w:rsidR="00B93FA1" w:rsidRPr="00661595" w:rsidRDefault="00113E45" w:rsidP="00B93FA1">
      <w:pPr>
        <w:pStyle w:val="Instructionsberschrift2"/>
        <w:numPr>
          <w:ilvl w:val="0"/>
          <w:numId w:val="0"/>
        </w:numPr>
        <w:ind w:left="357" w:hanging="357"/>
        <w:rPr>
          <w:rFonts w:ascii="Times New Roman" w:hAnsi="Times New Roman"/>
          <w:sz w:val="24"/>
          <w:u w:val="none"/>
          <w:lang w:val="en-GB"/>
        </w:rPr>
      </w:pPr>
      <w:bookmarkStart w:id="765" w:name="_Toc57831669"/>
      <w:r w:rsidRPr="00661595">
        <w:rPr>
          <w:rFonts w:ascii="Times New Roman" w:hAnsi="Times New Roman"/>
          <w:sz w:val="24"/>
          <w:u w:val="none"/>
          <w:lang w:val="en-GB"/>
        </w:rPr>
        <w:t xml:space="preserve">6.4 </w:t>
      </w:r>
      <w:r w:rsidR="00B93FA1" w:rsidRPr="00661595">
        <w:rPr>
          <w:rFonts w:ascii="Times New Roman" w:hAnsi="Times New Roman"/>
          <w:sz w:val="24"/>
          <w:lang w:val="en-GB"/>
        </w:rPr>
        <w:t>C 32.0</w:t>
      </w:r>
      <w:r w:rsidRPr="00661595">
        <w:rPr>
          <w:rFonts w:ascii="Times New Roman" w:hAnsi="Times New Roman"/>
          <w:sz w:val="24"/>
          <w:lang w:val="en-GB"/>
        </w:rPr>
        <w:t>4</w:t>
      </w:r>
      <w:r w:rsidR="00B93FA1" w:rsidRPr="00661595">
        <w:rPr>
          <w:rFonts w:ascii="Times New Roman" w:hAnsi="Times New Roman"/>
          <w:sz w:val="24"/>
          <w:lang w:val="en-GB"/>
        </w:rPr>
        <w:t xml:space="preserve"> - Prudent Valuation:</w:t>
      </w:r>
      <w:r w:rsidRPr="00661595">
        <w:rPr>
          <w:rFonts w:ascii="Times New Roman" w:hAnsi="Times New Roman"/>
          <w:sz w:val="24"/>
          <w:lang w:val="en-GB"/>
        </w:rPr>
        <w:t xml:space="preserve"> Concentrated positions AVA</w:t>
      </w:r>
      <w:r w:rsidR="00B93FA1" w:rsidRPr="00661595">
        <w:rPr>
          <w:rFonts w:ascii="Times New Roman" w:hAnsi="Times New Roman"/>
          <w:sz w:val="24"/>
          <w:lang w:val="en-GB"/>
        </w:rPr>
        <w:t xml:space="preserve"> (PruVal </w:t>
      </w:r>
      <w:r w:rsidRPr="00661595">
        <w:rPr>
          <w:rFonts w:ascii="Times New Roman" w:hAnsi="Times New Roman"/>
          <w:sz w:val="24"/>
          <w:lang w:val="en-GB"/>
        </w:rPr>
        <w:t>4</w:t>
      </w:r>
      <w:r w:rsidR="00B93FA1" w:rsidRPr="00661595">
        <w:rPr>
          <w:rFonts w:ascii="Times New Roman" w:hAnsi="Times New Roman"/>
          <w:sz w:val="24"/>
          <w:lang w:val="en-GB"/>
        </w:rPr>
        <w:t>)</w:t>
      </w:r>
      <w:bookmarkEnd w:id="765"/>
    </w:p>
    <w:p w:rsidR="00B93FA1" w:rsidRPr="00661595" w:rsidRDefault="00B93FA1" w:rsidP="00B93FA1">
      <w:pPr>
        <w:pStyle w:val="Instructionsberschrift2"/>
        <w:numPr>
          <w:ilvl w:val="0"/>
          <w:numId w:val="0"/>
        </w:numPr>
        <w:ind w:left="357" w:hanging="357"/>
        <w:rPr>
          <w:rFonts w:ascii="Times New Roman" w:hAnsi="Times New Roman" w:cs="Times New Roman"/>
          <w:sz w:val="24"/>
          <w:u w:val="none"/>
          <w:lang w:val="en-GB"/>
        </w:rPr>
      </w:pPr>
      <w:bookmarkStart w:id="766" w:name="_Toc57831670"/>
      <w:r w:rsidRPr="00661595">
        <w:rPr>
          <w:rFonts w:ascii="Times New Roman" w:hAnsi="Times New Roman" w:cs="Times New Roman"/>
          <w:sz w:val="24"/>
          <w:u w:val="none"/>
          <w:lang w:val="en-GB"/>
        </w:rPr>
        <w:t>6.</w:t>
      </w:r>
      <w:r w:rsidR="00113E45" w:rsidRPr="00661595">
        <w:rPr>
          <w:rFonts w:ascii="Times New Roman" w:hAnsi="Times New Roman" w:cs="Times New Roman"/>
          <w:sz w:val="24"/>
          <w:u w:val="none"/>
          <w:lang w:val="en-GB"/>
        </w:rPr>
        <w:t>4</w:t>
      </w:r>
      <w:r w:rsidRPr="00661595">
        <w:rPr>
          <w:rFonts w:ascii="Times New Roman" w:hAnsi="Times New Roman" w:cs="Times New Roman"/>
          <w:sz w:val="24"/>
          <w:u w:val="none"/>
          <w:lang w:val="en-GB"/>
        </w:rPr>
        <w:t>.1.</w:t>
      </w:r>
      <w:r w:rsidRPr="00661595">
        <w:rPr>
          <w:rFonts w:ascii="Times New Roman" w:hAnsi="Times New Roman" w:cs="Times New Roman"/>
          <w:sz w:val="24"/>
          <w:u w:val="none"/>
          <w:lang w:val="en-GB"/>
        </w:rPr>
        <w:tab/>
      </w:r>
      <w:r w:rsidRPr="00661595">
        <w:rPr>
          <w:rFonts w:ascii="Times New Roman" w:hAnsi="Times New Roman" w:cs="Times New Roman"/>
          <w:sz w:val="24"/>
          <w:lang w:val="en-GB"/>
        </w:rPr>
        <w:t>General remarks</w:t>
      </w:r>
      <w:bookmarkEnd w:id="766"/>
      <w:r w:rsidRPr="00661595">
        <w:rPr>
          <w:rFonts w:ascii="Times New Roman" w:hAnsi="Times New Roman" w:cs="Times New Roman"/>
          <w:sz w:val="24"/>
          <w:u w:val="none"/>
          <w:lang w:val="en-GB"/>
        </w:rPr>
        <w:t xml:space="preserve"> </w:t>
      </w:r>
    </w:p>
    <w:p w:rsidR="00113E45" w:rsidRPr="00661595" w:rsidRDefault="00D11E4C" w:rsidP="00487A02">
      <w:pPr>
        <w:pStyle w:val="InstructionsText2"/>
        <w:numPr>
          <w:ilvl w:val="0"/>
          <w:numId w:val="0"/>
        </w:numPr>
        <w:ind w:left="1353" w:hanging="360"/>
      </w:pPr>
      <w:fldSimple w:instr=" seq paragraphs ">
        <w:r w:rsidR="00771068">
          <w:rPr>
            <w:noProof/>
          </w:rPr>
          <w:t>186</w:t>
        </w:r>
      </w:fldSimple>
      <w:r w:rsidR="00113E45" w:rsidRPr="00661595">
        <w:t xml:space="preserve">. This template shall be completed only by institutions that exceed the threshold referred to in Article 4(1) of </w:t>
      </w:r>
      <w:r w:rsidR="00CF0568" w:rsidRPr="00661595">
        <w:t>Delegated Regulation (EU) 2016/101</w:t>
      </w:r>
      <w:r w:rsidR="00113E45" w:rsidRPr="00661595">
        <w:t>. Institutions that are part of a group breaching the threshold on a consolidated basis</w:t>
      </w:r>
      <w:r w:rsidR="00CF0568" w:rsidRPr="00661595">
        <w:t xml:space="preserve"> shall</w:t>
      </w:r>
      <w:r w:rsidR="00113E45" w:rsidRPr="00661595">
        <w:t xml:space="preserve"> report this template only where they also exceed the threshold at their level.</w:t>
      </w:r>
    </w:p>
    <w:p w:rsidR="00113E45" w:rsidRPr="00661595" w:rsidRDefault="00D11E4C" w:rsidP="00487A02">
      <w:pPr>
        <w:pStyle w:val="InstructionsText2"/>
        <w:numPr>
          <w:ilvl w:val="0"/>
          <w:numId w:val="0"/>
        </w:numPr>
        <w:ind w:left="1353" w:hanging="360"/>
      </w:pPr>
      <w:fldSimple w:instr=" seq paragraphs ">
        <w:r w:rsidR="00771068">
          <w:rPr>
            <w:noProof/>
          </w:rPr>
          <w:t>187</w:t>
        </w:r>
      </w:fldSimple>
      <w:r w:rsidR="00113E45" w:rsidRPr="00661595">
        <w:t xml:space="preserve">. This template shall be used to report details of the top 20 individual concentrated positions AVAs in terms of AVA amount that contribute to the total category level concentrated positions AVA computed in accordance with Article 14 of </w:t>
      </w:r>
      <w:r w:rsidR="00CF0568" w:rsidRPr="00661595">
        <w:t>Delegated Regulation (EU) 2016/101</w:t>
      </w:r>
      <w:r w:rsidR="00113E45" w:rsidRPr="00661595">
        <w:t xml:space="preserve">. </w:t>
      </w:r>
      <w:r w:rsidR="0022597E" w:rsidRPr="00661595">
        <w:t>This information</w:t>
      </w:r>
      <w:r w:rsidR="00CF0568" w:rsidRPr="00661595">
        <w:t xml:space="preserve"> shall </w:t>
      </w:r>
      <w:r w:rsidR="0022597E" w:rsidRPr="00661595">
        <w:t>correspond to</w:t>
      </w:r>
      <w:r w:rsidR="00113E45" w:rsidRPr="00661595">
        <w:t xml:space="preserve"> the information reported in column </w:t>
      </w:r>
      <w:r w:rsidR="0022597E" w:rsidRPr="00661595">
        <w:t>0</w:t>
      </w:r>
      <w:r w:rsidR="00113E45" w:rsidRPr="00661595">
        <w:t xml:space="preserve">070 of template C 32.02. </w:t>
      </w:r>
    </w:p>
    <w:p w:rsidR="00113E45" w:rsidRPr="00661595" w:rsidRDefault="00D11E4C" w:rsidP="00487A02">
      <w:pPr>
        <w:pStyle w:val="InstructionsText2"/>
        <w:numPr>
          <w:ilvl w:val="0"/>
          <w:numId w:val="0"/>
        </w:numPr>
        <w:ind w:left="1353" w:hanging="360"/>
      </w:pPr>
      <w:fldSimple w:instr=" seq paragraphs ">
        <w:r w:rsidR="00771068">
          <w:rPr>
            <w:noProof/>
          </w:rPr>
          <w:t>188</w:t>
        </w:r>
      </w:fldSimple>
      <w:r w:rsidR="00113E45" w:rsidRPr="00661595">
        <w:t>. The top 20 concentrated positions AVAs, and corresponding product information, shall be reported in decreasing order starting from the largest individual concentrated positions AVAs.</w:t>
      </w:r>
    </w:p>
    <w:p w:rsidR="00113E45" w:rsidRPr="00661595" w:rsidRDefault="00D11E4C" w:rsidP="00487A02">
      <w:pPr>
        <w:pStyle w:val="InstructionsText2"/>
        <w:numPr>
          <w:ilvl w:val="0"/>
          <w:numId w:val="0"/>
        </w:numPr>
        <w:ind w:left="1353" w:hanging="360"/>
      </w:pPr>
      <w:fldSimple w:instr=" seq paragraphs ">
        <w:r w:rsidR="00771068">
          <w:rPr>
            <w:noProof/>
          </w:rPr>
          <w:t>189</w:t>
        </w:r>
      </w:fldSimple>
      <w:r w:rsidR="00113E45" w:rsidRPr="00661595">
        <w:t>. Products corresponding to these top individual concentrated positions AVAs shall be reported using the product inventory required by</w:t>
      </w:r>
      <w:r w:rsidR="002B004B" w:rsidRPr="00661595">
        <w:t xml:space="preserve"> point (a) of</w:t>
      </w:r>
      <w:r w:rsidR="00113E45" w:rsidRPr="00661595">
        <w:t xml:space="preserve"> Article 19(3) of </w:t>
      </w:r>
      <w:r w:rsidR="00CF0568" w:rsidRPr="00661595">
        <w:t>Delegated Regulation (EU) 2016/101</w:t>
      </w:r>
      <w:r w:rsidR="00113E45" w:rsidRPr="00661595">
        <w:t>.</w:t>
      </w:r>
    </w:p>
    <w:p w:rsidR="00113E45" w:rsidRPr="00661595" w:rsidRDefault="00D11E4C" w:rsidP="00487A02">
      <w:pPr>
        <w:pStyle w:val="InstructionsText2"/>
        <w:numPr>
          <w:ilvl w:val="0"/>
          <w:numId w:val="0"/>
        </w:numPr>
        <w:ind w:left="1353" w:hanging="360"/>
      </w:pPr>
      <w:fldSimple w:instr=" seq paragraphs ">
        <w:r w:rsidR="00771068">
          <w:rPr>
            <w:noProof/>
          </w:rPr>
          <w:t>190</w:t>
        </w:r>
      </w:fldSimple>
      <w:r w:rsidR="00113E45" w:rsidRPr="00661595">
        <w:t xml:space="preserve">. Positions that are homogenous in terms of AVA calculation methodology </w:t>
      </w:r>
      <w:r w:rsidR="00CF0568" w:rsidRPr="00661595">
        <w:t xml:space="preserve">shall </w:t>
      </w:r>
      <w:r w:rsidR="00113E45" w:rsidRPr="00661595">
        <w:t>be aggregated where this is possible to maximise the coverage of this template.</w:t>
      </w:r>
    </w:p>
    <w:p w:rsidR="00B93FA1" w:rsidRPr="00661595" w:rsidRDefault="00B93FA1" w:rsidP="00B93FA1">
      <w:pPr>
        <w:pStyle w:val="Instructionsberschrift2"/>
        <w:numPr>
          <w:ilvl w:val="0"/>
          <w:numId w:val="0"/>
        </w:numPr>
        <w:ind w:left="357" w:hanging="357"/>
        <w:rPr>
          <w:rFonts w:ascii="Times New Roman" w:hAnsi="Times New Roman" w:cs="Times New Roman"/>
          <w:sz w:val="24"/>
          <w:u w:val="none"/>
          <w:lang w:val="en-GB"/>
        </w:rPr>
      </w:pPr>
      <w:bookmarkStart w:id="767" w:name="_Toc57831671"/>
      <w:r w:rsidRPr="00661595">
        <w:rPr>
          <w:rFonts w:ascii="Times New Roman" w:hAnsi="Times New Roman" w:cs="Times New Roman"/>
          <w:sz w:val="24"/>
          <w:u w:val="none"/>
          <w:lang w:val="en-GB"/>
        </w:rPr>
        <w:t>6.</w:t>
      </w:r>
      <w:r w:rsidR="00113E45" w:rsidRPr="00661595">
        <w:rPr>
          <w:rFonts w:ascii="Times New Roman" w:hAnsi="Times New Roman" w:cs="Times New Roman"/>
          <w:sz w:val="24"/>
          <w:u w:val="none"/>
          <w:lang w:val="en-GB"/>
        </w:rPr>
        <w:t>4</w:t>
      </w:r>
      <w:r w:rsidRPr="00661595">
        <w:rPr>
          <w:rFonts w:ascii="Times New Roman" w:hAnsi="Times New Roman" w:cs="Times New Roman"/>
          <w:sz w:val="24"/>
          <w:u w:val="none"/>
          <w:lang w:val="en-GB"/>
        </w:rPr>
        <w:t>.2.</w:t>
      </w:r>
      <w:r w:rsidRPr="00661595">
        <w:rPr>
          <w:rFonts w:ascii="Times New Roman" w:hAnsi="Times New Roman" w:cs="Times New Roman"/>
          <w:sz w:val="24"/>
          <w:u w:val="none"/>
          <w:lang w:val="en-GB"/>
        </w:rPr>
        <w:tab/>
      </w:r>
      <w:r w:rsidRPr="00661595">
        <w:rPr>
          <w:rFonts w:ascii="Times New Roman" w:hAnsi="Times New Roman" w:cs="Times New Roman"/>
          <w:sz w:val="24"/>
          <w:lang w:val="en-GB"/>
        </w:rPr>
        <w:t>Instructions concerning specific positions</w:t>
      </w:r>
      <w:bookmarkEnd w:id="7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
        <w:gridCol w:w="8004"/>
      </w:tblGrid>
      <w:tr w:rsidR="00113E45" w:rsidRPr="00661595" w:rsidTr="00672D2A">
        <w:tc>
          <w:tcPr>
            <w:tcW w:w="8856" w:type="dxa"/>
            <w:gridSpan w:val="2"/>
            <w:shd w:val="clear" w:color="auto" w:fill="CCCCCC"/>
          </w:tcPr>
          <w:p w:rsidR="00113E45" w:rsidRPr="00661595" w:rsidRDefault="00113E45" w:rsidP="00E60B53">
            <w:pPr>
              <w:spacing w:beforeLines="60" w:before="144" w:afterLines="60" w:after="144"/>
              <w:rPr>
                <w:rFonts w:ascii="Times New Roman" w:hAnsi="Times New Roman"/>
                <w:b/>
                <w:sz w:val="24"/>
              </w:rPr>
            </w:pPr>
            <w:r w:rsidRPr="00661595">
              <w:rPr>
                <w:rFonts w:ascii="Times New Roman" w:hAnsi="Times New Roman"/>
                <w:b/>
                <w:sz w:val="24"/>
              </w:rPr>
              <w:t>Columns</w:t>
            </w:r>
          </w:p>
        </w:tc>
      </w:tr>
      <w:tr w:rsidR="00113E45" w:rsidRPr="00661595" w:rsidTr="00672D2A">
        <w:tc>
          <w:tcPr>
            <w:tcW w:w="852" w:type="dxa"/>
          </w:tcPr>
          <w:p w:rsidR="00113E45" w:rsidRPr="00661595" w:rsidRDefault="0022597E" w:rsidP="00E60B53">
            <w:pPr>
              <w:spacing w:beforeLines="60" w:before="144" w:afterLines="60" w:after="144"/>
              <w:rPr>
                <w:rFonts w:ascii="Times New Roman" w:hAnsi="Times New Roman"/>
                <w:sz w:val="24"/>
              </w:rPr>
            </w:pPr>
            <w:r w:rsidRPr="00661595">
              <w:rPr>
                <w:rFonts w:ascii="Times New Roman" w:hAnsi="Times New Roman"/>
                <w:sz w:val="24"/>
              </w:rPr>
              <w:t>0</w:t>
            </w:r>
            <w:r w:rsidR="00113E45" w:rsidRPr="00661595">
              <w:rPr>
                <w:rFonts w:ascii="Times New Roman" w:hAnsi="Times New Roman"/>
                <w:sz w:val="24"/>
              </w:rPr>
              <w:t>005</w:t>
            </w:r>
          </w:p>
        </w:tc>
        <w:tc>
          <w:tcPr>
            <w:tcW w:w="8004" w:type="dxa"/>
          </w:tcPr>
          <w:p w:rsidR="00113E45" w:rsidRPr="00661595" w:rsidRDefault="00113E45" w:rsidP="00E60B53">
            <w:pPr>
              <w:spacing w:beforeLines="60" w:before="144" w:afterLines="60" w:after="144"/>
              <w:rPr>
                <w:rFonts w:ascii="Times New Roman" w:hAnsi="Times New Roman"/>
                <w:b/>
                <w:sz w:val="24"/>
                <w:u w:val="single"/>
              </w:rPr>
            </w:pPr>
            <w:r w:rsidRPr="00661595">
              <w:rPr>
                <w:rFonts w:ascii="Times New Roman" w:hAnsi="Times New Roman"/>
                <w:b/>
                <w:sz w:val="24"/>
                <w:u w:val="single"/>
              </w:rPr>
              <w:t>RANK</w:t>
            </w:r>
          </w:p>
          <w:p w:rsidR="00113E45" w:rsidRPr="00661595" w:rsidDel="003016B5" w:rsidRDefault="00113E45" w:rsidP="00133396">
            <w:pPr>
              <w:spacing w:beforeLines="60" w:before="144" w:afterLines="60" w:after="144"/>
              <w:rPr>
                <w:rFonts w:ascii="Times New Roman" w:hAnsi="Times New Roman"/>
                <w:b/>
                <w:sz w:val="24"/>
                <w:u w:val="single"/>
              </w:rPr>
            </w:pPr>
            <w:r w:rsidRPr="00661595">
              <w:rPr>
                <w:rFonts w:ascii="Times New Roman" w:hAnsi="Times New Roman"/>
                <w:sz w:val="24"/>
              </w:rPr>
              <w:t xml:space="preserve">The rank is a row identifier and shall be unique for each row in the </w:t>
            </w:r>
            <w:r w:rsidR="00133396" w:rsidRPr="00661595">
              <w:rPr>
                <w:rFonts w:ascii="Times New Roman" w:hAnsi="Times New Roman"/>
                <w:sz w:val="24"/>
              </w:rPr>
              <w:t>template</w:t>
            </w:r>
            <w:r w:rsidRPr="00661595">
              <w:rPr>
                <w:rFonts w:ascii="Times New Roman" w:hAnsi="Times New Roman"/>
                <w:sz w:val="24"/>
              </w:rPr>
              <w:t>. It shall follow the numerical order 1, 2, 3, etc, with 1 being assigned to the highest concentrated positions AVAs, 2 to the second highest and so on.</w:t>
            </w:r>
          </w:p>
        </w:tc>
      </w:tr>
      <w:tr w:rsidR="00113E45" w:rsidRPr="00661595" w:rsidTr="00672D2A">
        <w:tc>
          <w:tcPr>
            <w:tcW w:w="852" w:type="dxa"/>
          </w:tcPr>
          <w:p w:rsidR="00113E45" w:rsidRPr="00661595" w:rsidRDefault="0022597E" w:rsidP="00E60B53">
            <w:pPr>
              <w:spacing w:beforeLines="60" w:before="144" w:afterLines="60" w:after="144"/>
              <w:rPr>
                <w:rFonts w:ascii="Times New Roman" w:hAnsi="Times New Roman"/>
                <w:sz w:val="24"/>
              </w:rPr>
            </w:pPr>
            <w:r w:rsidRPr="00661595">
              <w:rPr>
                <w:rFonts w:ascii="Times New Roman" w:hAnsi="Times New Roman"/>
                <w:sz w:val="24"/>
              </w:rPr>
              <w:t>0</w:t>
            </w:r>
            <w:r w:rsidR="00113E45" w:rsidRPr="00661595">
              <w:rPr>
                <w:rFonts w:ascii="Times New Roman" w:hAnsi="Times New Roman"/>
                <w:sz w:val="24"/>
              </w:rPr>
              <w:t>010</w:t>
            </w:r>
          </w:p>
        </w:tc>
        <w:tc>
          <w:tcPr>
            <w:tcW w:w="8004" w:type="dxa"/>
          </w:tcPr>
          <w:p w:rsidR="00113E45" w:rsidRPr="00661595" w:rsidRDefault="00113E45" w:rsidP="00E60B53">
            <w:pPr>
              <w:spacing w:beforeLines="60" w:before="144" w:afterLines="60" w:after="144"/>
              <w:rPr>
                <w:rFonts w:ascii="Times New Roman" w:hAnsi="Times New Roman"/>
                <w:b/>
                <w:sz w:val="24"/>
                <w:u w:val="single"/>
              </w:rPr>
            </w:pPr>
            <w:r w:rsidRPr="00661595">
              <w:rPr>
                <w:rFonts w:ascii="Times New Roman" w:hAnsi="Times New Roman"/>
                <w:b/>
                <w:sz w:val="24"/>
                <w:u w:val="single"/>
              </w:rPr>
              <w:t>RISK CATEGORY</w:t>
            </w:r>
          </w:p>
          <w:p w:rsidR="00113E45" w:rsidRPr="00661595" w:rsidRDefault="00113E45" w:rsidP="00E60B53">
            <w:pPr>
              <w:spacing w:beforeLines="60" w:before="144" w:afterLines="60" w:after="144"/>
              <w:rPr>
                <w:rFonts w:ascii="Times New Roman" w:hAnsi="Times New Roman"/>
                <w:sz w:val="24"/>
              </w:rPr>
            </w:pPr>
            <w:r w:rsidRPr="00661595">
              <w:rPr>
                <w:rFonts w:ascii="Times New Roman" w:hAnsi="Times New Roman"/>
                <w:sz w:val="24"/>
              </w:rPr>
              <w:t>The risk category (</w:t>
            </w:r>
            <w:r w:rsidR="0022597E" w:rsidRPr="00661595">
              <w:rPr>
                <w:rFonts w:ascii="Times New Roman" w:hAnsi="Times New Roman"/>
                <w:sz w:val="24"/>
              </w:rPr>
              <w:t>i</w:t>
            </w:r>
            <w:r w:rsidRPr="00661595">
              <w:rPr>
                <w:rFonts w:ascii="Times New Roman" w:hAnsi="Times New Roman"/>
                <w:sz w:val="24"/>
              </w:rPr>
              <w:t xml:space="preserve">nterest </w:t>
            </w:r>
            <w:r w:rsidR="0022597E" w:rsidRPr="00661595">
              <w:rPr>
                <w:rFonts w:ascii="Times New Roman" w:hAnsi="Times New Roman"/>
                <w:sz w:val="24"/>
              </w:rPr>
              <w:t>r</w:t>
            </w:r>
            <w:r w:rsidRPr="00661595">
              <w:rPr>
                <w:rFonts w:ascii="Times New Roman" w:hAnsi="Times New Roman"/>
                <w:sz w:val="24"/>
              </w:rPr>
              <w:t xml:space="preserve">ates, </w:t>
            </w:r>
            <w:r w:rsidR="0022597E" w:rsidRPr="00661595">
              <w:rPr>
                <w:rFonts w:ascii="Times New Roman" w:hAnsi="Times New Roman"/>
                <w:sz w:val="24"/>
              </w:rPr>
              <w:t>FX, c</w:t>
            </w:r>
            <w:r w:rsidRPr="00661595">
              <w:rPr>
                <w:rFonts w:ascii="Times New Roman" w:hAnsi="Times New Roman"/>
                <w:sz w:val="24"/>
              </w:rPr>
              <w:t xml:space="preserve">redit, </w:t>
            </w:r>
            <w:r w:rsidR="0022597E" w:rsidRPr="00661595">
              <w:rPr>
                <w:rFonts w:ascii="Times New Roman" w:hAnsi="Times New Roman"/>
                <w:sz w:val="24"/>
              </w:rPr>
              <w:t>e</w:t>
            </w:r>
            <w:r w:rsidRPr="00661595">
              <w:rPr>
                <w:rFonts w:ascii="Times New Roman" w:hAnsi="Times New Roman"/>
                <w:sz w:val="24"/>
              </w:rPr>
              <w:t xml:space="preserve">quities, </w:t>
            </w:r>
            <w:r w:rsidR="0022597E" w:rsidRPr="00661595">
              <w:rPr>
                <w:rFonts w:ascii="Times New Roman" w:hAnsi="Times New Roman"/>
                <w:sz w:val="24"/>
              </w:rPr>
              <w:t>c</w:t>
            </w:r>
            <w:r w:rsidRPr="00661595">
              <w:rPr>
                <w:rFonts w:ascii="Times New Roman" w:hAnsi="Times New Roman"/>
                <w:sz w:val="24"/>
              </w:rPr>
              <w:t>ommodities) that most appropriately characterises the position.</w:t>
            </w:r>
          </w:p>
          <w:p w:rsidR="00113E45" w:rsidRPr="00661595" w:rsidRDefault="00113E45" w:rsidP="00E60B53">
            <w:pPr>
              <w:spacing w:beforeLines="60" w:before="144" w:afterLines="60" w:after="144"/>
              <w:rPr>
                <w:rFonts w:ascii="Times New Roman" w:hAnsi="Times New Roman"/>
                <w:sz w:val="24"/>
              </w:rPr>
            </w:pPr>
            <w:r w:rsidRPr="00661595">
              <w:rPr>
                <w:rFonts w:ascii="Times New Roman" w:hAnsi="Times New Roman"/>
                <w:sz w:val="24"/>
              </w:rPr>
              <w:t>Institutions shall report the following codes:</w:t>
            </w:r>
          </w:p>
          <w:p w:rsidR="00113E45" w:rsidRPr="00661595" w:rsidRDefault="00113E45" w:rsidP="00E60B53">
            <w:pPr>
              <w:spacing w:beforeLines="60" w:before="144" w:afterLines="60" w:after="144"/>
              <w:rPr>
                <w:rFonts w:ascii="Times New Roman" w:hAnsi="Times New Roman"/>
                <w:sz w:val="24"/>
              </w:rPr>
            </w:pPr>
            <w:r w:rsidRPr="00661595">
              <w:rPr>
                <w:rFonts w:ascii="Times New Roman" w:hAnsi="Times New Roman"/>
                <w:sz w:val="24"/>
              </w:rPr>
              <w:t>IR – Interest Rates</w:t>
            </w:r>
          </w:p>
          <w:p w:rsidR="0022597E" w:rsidRPr="00661595" w:rsidRDefault="0022597E" w:rsidP="00E60B53">
            <w:pPr>
              <w:spacing w:beforeLines="60" w:before="144" w:afterLines="60" w:after="144"/>
              <w:rPr>
                <w:rFonts w:ascii="Times New Roman" w:hAnsi="Times New Roman"/>
                <w:sz w:val="24"/>
              </w:rPr>
            </w:pPr>
            <w:r w:rsidRPr="00661595">
              <w:rPr>
                <w:rFonts w:ascii="Times New Roman" w:hAnsi="Times New Roman"/>
                <w:sz w:val="24"/>
              </w:rPr>
              <w:t>FX – Foreign exchange</w:t>
            </w:r>
          </w:p>
          <w:p w:rsidR="00113E45" w:rsidRPr="00661595" w:rsidRDefault="00113E45" w:rsidP="00E60B53">
            <w:pPr>
              <w:spacing w:beforeLines="60" w:before="144" w:afterLines="60" w:after="144"/>
              <w:rPr>
                <w:rFonts w:ascii="Times New Roman" w:hAnsi="Times New Roman"/>
                <w:sz w:val="24"/>
              </w:rPr>
            </w:pPr>
            <w:r w:rsidRPr="00661595">
              <w:rPr>
                <w:rFonts w:ascii="Times New Roman" w:hAnsi="Times New Roman"/>
                <w:sz w:val="24"/>
              </w:rPr>
              <w:t>CR – Credit</w:t>
            </w:r>
          </w:p>
          <w:p w:rsidR="00113E45" w:rsidRPr="00661595" w:rsidRDefault="00113E45" w:rsidP="00E60B53">
            <w:pPr>
              <w:spacing w:beforeLines="60" w:before="144" w:afterLines="60" w:after="144"/>
              <w:rPr>
                <w:rFonts w:ascii="Times New Roman" w:hAnsi="Times New Roman"/>
                <w:sz w:val="24"/>
              </w:rPr>
            </w:pPr>
            <w:r w:rsidRPr="00661595">
              <w:rPr>
                <w:rFonts w:ascii="Times New Roman" w:hAnsi="Times New Roman"/>
                <w:sz w:val="24"/>
              </w:rPr>
              <w:t>EQ – Equities</w:t>
            </w:r>
          </w:p>
          <w:p w:rsidR="00113E45" w:rsidRPr="00661595" w:rsidRDefault="00113E45" w:rsidP="0022597E">
            <w:pPr>
              <w:spacing w:beforeLines="60" w:before="144" w:afterLines="60" w:after="144"/>
              <w:rPr>
                <w:rFonts w:ascii="Times New Roman" w:hAnsi="Times New Roman"/>
                <w:sz w:val="24"/>
              </w:rPr>
            </w:pPr>
            <w:r w:rsidRPr="00661595">
              <w:rPr>
                <w:rFonts w:ascii="Times New Roman" w:hAnsi="Times New Roman"/>
                <w:sz w:val="24"/>
              </w:rPr>
              <w:t>CO – Commodities</w:t>
            </w:r>
          </w:p>
        </w:tc>
      </w:tr>
      <w:tr w:rsidR="00113E45" w:rsidRPr="00661595" w:rsidTr="00672D2A">
        <w:tc>
          <w:tcPr>
            <w:tcW w:w="852" w:type="dxa"/>
          </w:tcPr>
          <w:p w:rsidR="00113E45" w:rsidRPr="00661595" w:rsidRDefault="0022597E" w:rsidP="00E60B53">
            <w:pPr>
              <w:spacing w:beforeLines="60" w:before="144" w:afterLines="60" w:after="144"/>
              <w:rPr>
                <w:rFonts w:ascii="Times New Roman" w:hAnsi="Times New Roman"/>
                <w:sz w:val="24"/>
              </w:rPr>
            </w:pPr>
            <w:r w:rsidRPr="00661595">
              <w:rPr>
                <w:rFonts w:ascii="Times New Roman" w:hAnsi="Times New Roman"/>
                <w:sz w:val="24"/>
              </w:rPr>
              <w:t>0</w:t>
            </w:r>
            <w:r w:rsidR="00113E45" w:rsidRPr="00661595">
              <w:rPr>
                <w:rFonts w:ascii="Times New Roman" w:hAnsi="Times New Roman"/>
                <w:sz w:val="24"/>
              </w:rPr>
              <w:t>020</w:t>
            </w:r>
          </w:p>
        </w:tc>
        <w:tc>
          <w:tcPr>
            <w:tcW w:w="8004" w:type="dxa"/>
          </w:tcPr>
          <w:p w:rsidR="00113E45" w:rsidRPr="00661595" w:rsidRDefault="00113E45" w:rsidP="00E60B53">
            <w:pPr>
              <w:spacing w:beforeLines="60" w:before="144" w:afterLines="60" w:after="144"/>
              <w:rPr>
                <w:rFonts w:ascii="Times New Roman" w:hAnsi="Times New Roman"/>
                <w:b/>
                <w:sz w:val="24"/>
                <w:u w:val="single"/>
              </w:rPr>
            </w:pPr>
            <w:r w:rsidRPr="00661595">
              <w:rPr>
                <w:rFonts w:ascii="Times New Roman" w:hAnsi="Times New Roman"/>
                <w:b/>
                <w:sz w:val="24"/>
                <w:u w:val="single"/>
              </w:rPr>
              <w:t xml:space="preserve">PRODUCT </w:t>
            </w:r>
          </w:p>
          <w:p w:rsidR="00113E45" w:rsidRPr="00661595" w:rsidRDefault="00113E45" w:rsidP="00B14253">
            <w:pPr>
              <w:spacing w:beforeLines="60" w:before="144" w:afterLines="60" w:after="144"/>
              <w:rPr>
                <w:rFonts w:ascii="Times New Roman" w:hAnsi="Times New Roman"/>
                <w:sz w:val="24"/>
              </w:rPr>
            </w:pPr>
            <w:r w:rsidRPr="00661595">
              <w:rPr>
                <w:rFonts w:ascii="Times New Roman" w:hAnsi="Times New Roman"/>
                <w:sz w:val="24"/>
              </w:rPr>
              <w:t>Internal name for the product or group of products in line with the product inventory required by</w:t>
            </w:r>
            <w:r w:rsidR="002B004B" w:rsidRPr="00661595">
              <w:rPr>
                <w:rFonts w:ascii="Times New Roman" w:hAnsi="Times New Roman"/>
                <w:sz w:val="24"/>
              </w:rPr>
              <w:t xml:space="preserve"> point (a) of</w:t>
            </w:r>
            <w:r w:rsidRPr="00661595">
              <w:rPr>
                <w:rFonts w:ascii="Times New Roman" w:hAnsi="Times New Roman"/>
                <w:sz w:val="24"/>
              </w:rPr>
              <w:t xml:space="preserve"> Article 19(3) of </w:t>
            </w:r>
            <w:r w:rsidR="00CF0568" w:rsidRPr="00661595">
              <w:rPr>
                <w:rFonts w:ascii="Times New Roman" w:hAnsi="Times New Roman"/>
                <w:sz w:val="24"/>
              </w:rPr>
              <w:t>Delegated Regulation (EU) 2016/101</w:t>
            </w:r>
            <w:r w:rsidRPr="00661595">
              <w:rPr>
                <w:rFonts w:ascii="Times New Roman" w:hAnsi="Times New Roman"/>
                <w:sz w:val="24"/>
              </w:rPr>
              <w:t>.</w:t>
            </w:r>
          </w:p>
        </w:tc>
      </w:tr>
      <w:tr w:rsidR="00113E45" w:rsidRPr="00661595" w:rsidTr="00672D2A">
        <w:tc>
          <w:tcPr>
            <w:tcW w:w="852" w:type="dxa"/>
          </w:tcPr>
          <w:p w:rsidR="00113E45" w:rsidRPr="00661595" w:rsidRDefault="0022597E" w:rsidP="00E60B53">
            <w:pPr>
              <w:spacing w:beforeLines="60" w:before="144" w:afterLines="60" w:after="144"/>
              <w:rPr>
                <w:rFonts w:ascii="Times New Roman" w:hAnsi="Times New Roman"/>
                <w:sz w:val="24"/>
              </w:rPr>
            </w:pPr>
            <w:r w:rsidRPr="00661595">
              <w:rPr>
                <w:rFonts w:ascii="Times New Roman" w:hAnsi="Times New Roman"/>
                <w:sz w:val="24"/>
              </w:rPr>
              <w:t>0</w:t>
            </w:r>
            <w:r w:rsidR="00113E45" w:rsidRPr="00661595">
              <w:rPr>
                <w:rFonts w:ascii="Times New Roman" w:hAnsi="Times New Roman"/>
                <w:sz w:val="24"/>
              </w:rPr>
              <w:t>030</w:t>
            </w:r>
          </w:p>
        </w:tc>
        <w:tc>
          <w:tcPr>
            <w:tcW w:w="8004" w:type="dxa"/>
          </w:tcPr>
          <w:p w:rsidR="00113E45" w:rsidRPr="00661595" w:rsidRDefault="00113E45" w:rsidP="00E60B53">
            <w:pPr>
              <w:spacing w:beforeLines="60" w:before="144" w:afterLines="60" w:after="144"/>
              <w:rPr>
                <w:rFonts w:ascii="Times New Roman" w:hAnsi="Times New Roman"/>
                <w:b/>
                <w:sz w:val="24"/>
                <w:u w:val="single"/>
              </w:rPr>
            </w:pPr>
            <w:r w:rsidRPr="00661595">
              <w:rPr>
                <w:rFonts w:ascii="Times New Roman" w:hAnsi="Times New Roman"/>
                <w:b/>
                <w:sz w:val="24"/>
                <w:u w:val="single"/>
              </w:rPr>
              <w:t>UNDERLYING</w:t>
            </w:r>
          </w:p>
          <w:p w:rsidR="00113E45" w:rsidRPr="00661595" w:rsidRDefault="00113E45" w:rsidP="00E60B53">
            <w:pPr>
              <w:spacing w:beforeLines="60" w:before="144" w:afterLines="60" w:after="144"/>
              <w:rPr>
                <w:rFonts w:ascii="Times New Roman" w:hAnsi="Times New Roman"/>
                <w:sz w:val="24"/>
              </w:rPr>
            </w:pPr>
            <w:r w:rsidRPr="00661595">
              <w:rPr>
                <w:rFonts w:ascii="Times New Roman" w:hAnsi="Times New Roman"/>
                <w:sz w:val="24"/>
              </w:rPr>
              <w:t>Internal name of the underlying, or underlyings, in the case of derivatives or of the instruments in the case of non-derivatives.</w:t>
            </w:r>
          </w:p>
        </w:tc>
      </w:tr>
      <w:tr w:rsidR="00113E45" w:rsidRPr="00661595" w:rsidTr="00672D2A">
        <w:tc>
          <w:tcPr>
            <w:tcW w:w="852" w:type="dxa"/>
          </w:tcPr>
          <w:p w:rsidR="00113E45" w:rsidRPr="00661595" w:rsidRDefault="0022597E" w:rsidP="00E60B53">
            <w:pPr>
              <w:spacing w:beforeLines="60" w:before="144" w:afterLines="60" w:after="144"/>
              <w:rPr>
                <w:rFonts w:ascii="Times New Roman" w:hAnsi="Times New Roman"/>
                <w:sz w:val="24"/>
              </w:rPr>
            </w:pPr>
            <w:r w:rsidRPr="00661595">
              <w:rPr>
                <w:rFonts w:ascii="Times New Roman" w:hAnsi="Times New Roman"/>
                <w:sz w:val="24"/>
              </w:rPr>
              <w:t>0</w:t>
            </w:r>
            <w:r w:rsidR="00113E45" w:rsidRPr="00661595">
              <w:rPr>
                <w:rFonts w:ascii="Times New Roman" w:hAnsi="Times New Roman"/>
                <w:sz w:val="24"/>
              </w:rPr>
              <w:t>040</w:t>
            </w:r>
          </w:p>
        </w:tc>
        <w:tc>
          <w:tcPr>
            <w:tcW w:w="8004" w:type="dxa"/>
          </w:tcPr>
          <w:p w:rsidR="00113E45" w:rsidRPr="00661595" w:rsidRDefault="00113E45" w:rsidP="00E60B53">
            <w:pPr>
              <w:spacing w:beforeLines="60" w:before="144" w:afterLines="60" w:after="144"/>
              <w:rPr>
                <w:rFonts w:ascii="Times New Roman" w:hAnsi="Times New Roman"/>
                <w:b/>
                <w:sz w:val="24"/>
                <w:u w:val="single"/>
              </w:rPr>
            </w:pPr>
            <w:r w:rsidRPr="00661595">
              <w:rPr>
                <w:rFonts w:ascii="Times New Roman" w:hAnsi="Times New Roman"/>
                <w:b/>
                <w:sz w:val="24"/>
                <w:u w:val="single"/>
              </w:rPr>
              <w:t>CONCENTRATED POSITION SIZE</w:t>
            </w:r>
          </w:p>
          <w:p w:rsidR="00113E45" w:rsidRPr="00661595" w:rsidRDefault="00113E45" w:rsidP="00B14253">
            <w:pPr>
              <w:spacing w:beforeLines="60" w:before="144" w:afterLines="60" w:after="144"/>
              <w:rPr>
                <w:rStyle w:val="InstructionsTabelleberschrift"/>
                <w:rFonts w:ascii="Times New Roman" w:hAnsi="Times New Roman"/>
                <w:sz w:val="24"/>
              </w:rPr>
            </w:pPr>
            <w:r w:rsidRPr="00661595">
              <w:rPr>
                <w:rFonts w:ascii="Times New Roman" w:hAnsi="Times New Roman"/>
                <w:sz w:val="24"/>
              </w:rPr>
              <w:t xml:space="preserve">Size of the individual concentrated valuation position identified </w:t>
            </w:r>
            <w:r w:rsidR="00BB22D4" w:rsidRPr="00661595">
              <w:rPr>
                <w:rFonts w:ascii="Times New Roman" w:hAnsi="Times New Roman"/>
                <w:sz w:val="24"/>
              </w:rPr>
              <w:t>in accordance with</w:t>
            </w:r>
            <w:r w:rsidRPr="00661595">
              <w:rPr>
                <w:rFonts w:ascii="Times New Roman" w:hAnsi="Times New Roman"/>
                <w:sz w:val="24"/>
              </w:rPr>
              <w:t xml:space="preserve"> </w:t>
            </w:r>
            <w:r w:rsidR="002B004B" w:rsidRPr="00661595">
              <w:rPr>
                <w:rFonts w:ascii="Times New Roman" w:hAnsi="Times New Roman"/>
                <w:sz w:val="24"/>
              </w:rPr>
              <w:t xml:space="preserve">point (a) of </w:t>
            </w:r>
            <w:r w:rsidRPr="00661595">
              <w:rPr>
                <w:rFonts w:ascii="Times New Roman" w:hAnsi="Times New Roman"/>
                <w:sz w:val="24"/>
              </w:rPr>
              <w:t xml:space="preserve">Article 14(1) of </w:t>
            </w:r>
            <w:r w:rsidR="0068594D" w:rsidRPr="00661595">
              <w:rPr>
                <w:rFonts w:ascii="Times New Roman" w:hAnsi="Times New Roman"/>
                <w:sz w:val="24"/>
              </w:rPr>
              <w:t>Delegated Regulation (EU) 2016/101</w:t>
            </w:r>
            <w:r w:rsidRPr="00661595">
              <w:rPr>
                <w:rFonts w:ascii="Times New Roman" w:hAnsi="Times New Roman"/>
                <w:sz w:val="24"/>
              </w:rPr>
              <w:t xml:space="preserve">, expressed in the unit described in column </w:t>
            </w:r>
            <w:r w:rsidR="001B5725" w:rsidRPr="00661595">
              <w:rPr>
                <w:rFonts w:ascii="Times New Roman" w:hAnsi="Times New Roman"/>
                <w:sz w:val="24"/>
              </w:rPr>
              <w:t>0</w:t>
            </w:r>
            <w:r w:rsidRPr="00661595">
              <w:rPr>
                <w:rFonts w:ascii="Times New Roman" w:hAnsi="Times New Roman"/>
                <w:sz w:val="24"/>
              </w:rPr>
              <w:t xml:space="preserve">050. </w:t>
            </w:r>
          </w:p>
        </w:tc>
      </w:tr>
      <w:tr w:rsidR="00113E45" w:rsidRPr="00661595" w:rsidTr="00672D2A">
        <w:tc>
          <w:tcPr>
            <w:tcW w:w="852" w:type="dxa"/>
          </w:tcPr>
          <w:p w:rsidR="00113E45" w:rsidRPr="00661595" w:rsidRDefault="0022597E" w:rsidP="00E60B53">
            <w:pPr>
              <w:spacing w:beforeLines="60" w:before="144" w:afterLines="60" w:after="144"/>
              <w:rPr>
                <w:rFonts w:ascii="Times New Roman" w:hAnsi="Times New Roman"/>
                <w:sz w:val="24"/>
              </w:rPr>
            </w:pPr>
            <w:r w:rsidRPr="00661595">
              <w:rPr>
                <w:rFonts w:ascii="Times New Roman" w:hAnsi="Times New Roman"/>
                <w:sz w:val="24"/>
              </w:rPr>
              <w:t>0</w:t>
            </w:r>
            <w:r w:rsidR="00113E45" w:rsidRPr="00661595">
              <w:rPr>
                <w:rFonts w:ascii="Times New Roman" w:hAnsi="Times New Roman"/>
                <w:sz w:val="24"/>
              </w:rPr>
              <w:t>050</w:t>
            </w:r>
          </w:p>
        </w:tc>
        <w:tc>
          <w:tcPr>
            <w:tcW w:w="8004" w:type="dxa"/>
          </w:tcPr>
          <w:p w:rsidR="00113E45" w:rsidRPr="00661595" w:rsidRDefault="00113E45" w:rsidP="00E60B53">
            <w:pPr>
              <w:spacing w:beforeLines="60" w:before="144" w:afterLines="60" w:after="144"/>
              <w:rPr>
                <w:rFonts w:ascii="Times New Roman" w:hAnsi="Times New Roman"/>
                <w:b/>
                <w:sz w:val="24"/>
                <w:u w:val="single"/>
              </w:rPr>
            </w:pPr>
            <w:r w:rsidRPr="00661595">
              <w:rPr>
                <w:rFonts w:ascii="Times New Roman" w:hAnsi="Times New Roman"/>
                <w:b/>
                <w:sz w:val="24"/>
                <w:u w:val="single"/>
              </w:rPr>
              <w:t>SIZE MEASURE</w:t>
            </w:r>
          </w:p>
          <w:p w:rsidR="00113E45" w:rsidRPr="00661595" w:rsidRDefault="00113E45" w:rsidP="00E60B53">
            <w:pPr>
              <w:spacing w:beforeLines="60" w:before="144" w:afterLines="60" w:after="144"/>
              <w:rPr>
                <w:rFonts w:ascii="Times New Roman" w:hAnsi="Times New Roman"/>
                <w:sz w:val="24"/>
              </w:rPr>
            </w:pPr>
            <w:r w:rsidRPr="00661595">
              <w:rPr>
                <w:rFonts w:ascii="Times New Roman" w:hAnsi="Times New Roman"/>
                <w:sz w:val="24"/>
              </w:rPr>
              <w:t xml:space="preserve">Unit of size measure used internally as part of the identification of the concentrated valuation position to compute the concentrated position size referred in column </w:t>
            </w:r>
            <w:r w:rsidR="001B5725" w:rsidRPr="00661595">
              <w:rPr>
                <w:rFonts w:ascii="Times New Roman" w:hAnsi="Times New Roman"/>
                <w:sz w:val="24"/>
              </w:rPr>
              <w:t>0</w:t>
            </w:r>
            <w:r w:rsidRPr="00661595">
              <w:rPr>
                <w:rFonts w:ascii="Times New Roman" w:hAnsi="Times New Roman"/>
                <w:sz w:val="24"/>
              </w:rPr>
              <w:t xml:space="preserve">040. </w:t>
            </w:r>
          </w:p>
          <w:p w:rsidR="00113E45" w:rsidRPr="00661595" w:rsidRDefault="00113E45" w:rsidP="00E60B53">
            <w:pPr>
              <w:spacing w:beforeLines="60" w:before="144" w:afterLines="60" w:after="144"/>
              <w:rPr>
                <w:rStyle w:val="InstructionsTabelleberschrift"/>
                <w:rFonts w:ascii="Times New Roman" w:hAnsi="Times New Roman"/>
                <w:b w:val="0"/>
                <w:bCs w:val="0"/>
                <w:sz w:val="24"/>
                <w:u w:val="none"/>
              </w:rPr>
            </w:pPr>
            <w:r w:rsidRPr="00661595">
              <w:rPr>
                <w:rStyle w:val="InstructionsTabelleberschrift"/>
                <w:rFonts w:ascii="Times New Roman" w:hAnsi="Times New Roman"/>
                <w:b w:val="0"/>
                <w:bCs w:val="0"/>
                <w:sz w:val="24"/>
                <w:u w:val="none"/>
              </w:rPr>
              <w:t xml:space="preserve">In the case of positions in bonds or equity, please report the unit used </w:t>
            </w:r>
            <w:r w:rsidRPr="00661595">
              <w:rPr>
                <w:rFonts w:ascii="Times New Roman" w:hAnsi="Times New Roman"/>
                <w:sz w:val="24"/>
              </w:rPr>
              <w:t>for internal risk management</w:t>
            </w:r>
            <w:r w:rsidRPr="00661595">
              <w:rPr>
                <w:rStyle w:val="InstructionsTabelleberschrift"/>
                <w:rFonts w:ascii="Times New Roman" w:hAnsi="Times New Roman"/>
                <w:b w:val="0"/>
                <w:bCs w:val="0"/>
                <w:sz w:val="24"/>
                <w:u w:val="none"/>
              </w:rPr>
              <w:t>, such as ‘number of bonds’, ‘number of shares’ or ‘market va</w:t>
            </w:r>
            <w:r w:rsidR="001B5725" w:rsidRPr="00661595">
              <w:rPr>
                <w:rStyle w:val="InstructionsTabelleberschrift"/>
                <w:rFonts w:ascii="Times New Roman" w:hAnsi="Times New Roman"/>
                <w:b w:val="0"/>
                <w:bCs w:val="0"/>
                <w:sz w:val="24"/>
                <w:u w:val="none"/>
              </w:rPr>
              <w:softHyphen/>
            </w:r>
            <w:r w:rsidRPr="00661595">
              <w:rPr>
                <w:rStyle w:val="InstructionsTabelleberschrift"/>
                <w:rFonts w:ascii="Times New Roman" w:hAnsi="Times New Roman"/>
                <w:b w:val="0"/>
                <w:bCs w:val="0"/>
                <w:sz w:val="24"/>
                <w:u w:val="none"/>
              </w:rPr>
              <w:t xml:space="preserve">lue’. </w:t>
            </w:r>
          </w:p>
          <w:p w:rsidR="00113E45" w:rsidRPr="00661595" w:rsidRDefault="00113E45" w:rsidP="00E60B53">
            <w:pPr>
              <w:spacing w:beforeLines="60" w:before="144" w:afterLines="60" w:after="144"/>
              <w:rPr>
                <w:rStyle w:val="InstructionsTabelleberschrift"/>
                <w:rFonts w:ascii="Times New Roman" w:hAnsi="Times New Roman"/>
                <w:b w:val="0"/>
                <w:bCs w:val="0"/>
                <w:sz w:val="24"/>
                <w:u w:val="none"/>
              </w:rPr>
            </w:pPr>
            <w:r w:rsidRPr="00661595">
              <w:rPr>
                <w:rFonts w:ascii="Times New Roman" w:hAnsi="Times New Roman"/>
                <w:sz w:val="24"/>
              </w:rPr>
              <w:t xml:space="preserve">In the case of position in derivatives, please report the unit used for internal risk management, such as ‘PV01; EUR per 1 basis point parallel yield curve shift’. </w:t>
            </w:r>
          </w:p>
        </w:tc>
      </w:tr>
      <w:tr w:rsidR="00113E45" w:rsidRPr="00661595" w:rsidTr="00672D2A">
        <w:tc>
          <w:tcPr>
            <w:tcW w:w="852" w:type="dxa"/>
          </w:tcPr>
          <w:p w:rsidR="00113E45" w:rsidRPr="00661595" w:rsidRDefault="0022597E" w:rsidP="00E60B53">
            <w:pPr>
              <w:spacing w:beforeLines="60" w:before="144" w:afterLines="60" w:after="144"/>
              <w:rPr>
                <w:rFonts w:ascii="Times New Roman" w:hAnsi="Times New Roman"/>
                <w:sz w:val="24"/>
              </w:rPr>
            </w:pPr>
            <w:r w:rsidRPr="00661595">
              <w:rPr>
                <w:rFonts w:ascii="Times New Roman" w:hAnsi="Times New Roman"/>
                <w:sz w:val="24"/>
              </w:rPr>
              <w:t>0</w:t>
            </w:r>
            <w:r w:rsidR="00113E45" w:rsidRPr="00661595">
              <w:rPr>
                <w:rFonts w:ascii="Times New Roman" w:hAnsi="Times New Roman"/>
                <w:sz w:val="24"/>
              </w:rPr>
              <w:t>060</w:t>
            </w:r>
          </w:p>
        </w:tc>
        <w:tc>
          <w:tcPr>
            <w:tcW w:w="8004" w:type="dxa"/>
          </w:tcPr>
          <w:p w:rsidR="00113E45" w:rsidRPr="00661595" w:rsidRDefault="00113E45" w:rsidP="00E60B53">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MARKET VALUE</w:t>
            </w:r>
          </w:p>
          <w:p w:rsidR="00113E45" w:rsidRPr="00661595" w:rsidRDefault="00113E45" w:rsidP="00E60B53">
            <w:pPr>
              <w:spacing w:beforeLines="60" w:before="144" w:afterLines="60" w:after="144"/>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Market value of the position.</w:t>
            </w:r>
          </w:p>
        </w:tc>
      </w:tr>
      <w:tr w:rsidR="00113E45" w:rsidRPr="00661595" w:rsidTr="00672D2A">
        <w:tc>
          <w:tcPr>
            <w:tcW w:w="852" w:type="dxa"/>
          </w:tcPr>
          <w:p w:rsidR="00113E45" w:rsidRPr="00661595" w:rsidRDefault="0022597E" w:rsidP="00E60B53">
            <w:pPr>
              <w:spacing w:beforeLines="60" w:before="144" w:afterLines="60" w:after="144"/>
              <w:rPr>
                <w:rFonts w:ascii="Times New Roman" w:hAnsi="Times New Roman"/>
                <w:sz w:val="24"/>
              </w:rPr>
            </w:pPr>
            <w:r w:rsidRPr="00661595">
              <w:rPr>
                <w:rFonts w:ascii="Times New Roman" w:hAnsi="Times New Roman"/>
                <w:sz w:val="24"/>
              </w:rPr>
              <w:t>0</w:t>
            </w:r>
            <w:r w:rsidR="00113E45" w:rsidRPr="00661595">
              <w:rPr>
                <w:rFonts w:ascii="Times New Roman" w:hAnsi="Times New Roman"/>
                <w:sz w:val="24"/>
              </w:rPr>
              <w:t>070</w:t>
            </w:r>
          </w:p>
        </w:tc>
        <w:tc>
          <w:tcPr>
            <w:tcW w:w="8004" w:type="dxa"/>
          </w:tcPr>
          <w:p w:rsidR="00113E45" w:rsidRPr="00661595" w:rsidRDefault="00113E45" w:rsidP="00E60B53">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PRUDENT EXIT PERIOD</w:t>
            </w:r>
          </w:p>
          <w:p w:rsidR="00113E45" w:rsidRPr="00661595" w:rsidRDefault="00113E45" w:rsidP="00B14253">
            <w:pPr>
              <w:spacing w:beforeLines="60" w:before="144" w:afterLines="60" w:after="144"/>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 xml:space="preserve">The prudent exit period in number of days estimated </w:t>
            </w:r>
            <w:r w:rsidR="00DE223B" w:rsidRPr="00661595">
              <w:rPr>
                <w:rStyle w:val="InstructionsTabelleberschrift"/>
                <w:rFonts w:ascii="Times New Roman" w:hAnsi="Times New Roman"/>
                <w:b w:val="0"/>
                <w:sz w:val="24"/>
                <w:u w:val="none"/>
              </w:rPr>
              <w:t xml:space="preserve">in accordance with point (b) of </w:t>
            </w:r>
            <w:r w:rsidRPr="00661595">
              <w:rPr>
                <w:rStyle w:val="InstructionsTabelleberschrift"/>
                <w:rFonts w:ascii="Times New Roman" w:hAnsi="Times New Roman"/>
                <w:b w:val="0"/>
                <w:sz w:val="24"/>
                <w:u w:val="none"/>
              </w:rPr>
              <w:t>Art</w:t>
            </w:r>
            <w:r w:rsidR="00DE223B" w:rsidRPr="00661595">
              <w:rPr>
                <w:rStyle w:val="InstructionsTabelleberschrift"/>
                <w:rFonts w:ascii="Times New Roman" w:hAnsi="Times New Roman"/>
                <w:b w:val="0"/>
                <w:sz w:val="24"/>
                <w:u w:val="none"/>
              </w:rPr>
              <w:t>icle</w:t>
            </w:r>
            <w:r w:rsidRPr="00661595">
              <w:rPr>
                <w:rStyle w:val="InstructionsTabelleberschrift"/>
                <w:rFonts w:ascii="Times New Roman" w:hAnsi="Times New Roman"/>
                <w:b w:val="0"/>
                <w:sz w:val="24"/>
                <w:u w:val="none"/>
              </w:rPr>
              <w:t xml:space="preserve"> 14(1)</w:t>
            </w:r>
            <w:r w:rsidR="001B5725" w:rsidRPr="00661595">
              <w:rPr>
                <w:rStyle w:val="InstructionsTabelleberschrift"/>
                <w:rFonts w:ascii="Times New Roman" w:hAnsi="Times New Roman"/>
                <w:b w:val="0"/>
                <w:sz w:val="24"/>
                <w:u w:val="none"/>
              </w:rPr>
              <w:t xml:space="preserve"> of </w:t>
            </w:r>
            <w:r w:rsidR="0068594D" w:rsidRPr="00661595">
              <w:rPr>
                <w:rFonts w:ascii="Times New Roman" w:hAnsi="Times New Roman"/>
                <w:sz w:val="24"/>
              </w:rPr>
              <w:t>Delegated Regulation (EU) 2016/101</w:t>
            </w:r>
            <w:r w:rsidRPr="00661595">
              <w:rPr>
                <w:rStyle w:val="InstructionsTabelleberschrift"/>
                <w:rFonts w:ascii="Times New Roman" w:hAnsi="Times New Roman"/>
                <w:b w:val="0"/>
                <w:sz w:val="24"/>
                <w:u w:val="none"/>
              </w:rPr>
              <w:t>.</w:t>
            </w:r>
          </w:p>
        </w:tc>
      </w:tr>
      <w:tr w:rsidR="00113E45" w:rsidRPr="00661595" w:rsidTr="00672D2A">
        <w:tc>
          <w:tcPr>
            <w:tcW w:w="852" w:type="dxa"/>
          </w:tcPr>
          <w:p w:rsidR="00113E45" w:rsidRPr="00661595" w:rsidRDefault="0022597E" w:rsidP="00E60B53">
            <w:pPr>
              <w:spacing w:beforeLines="60" w:before="144" w:afterLines="60" w:after="144"/>
              <w:rPr>
                <w:rFonts w:ascii="Times New Roman" w:hAnsi="Times New Roman"/>
                <w:sz w:val="24"/>
              </w:rPr>
            </w:pPr>
            <w:r w:rsidRPr="00661595">
              <w:rPr>
                <w:rFonts w:ascii="Times New Roman" w:hAnsi="Times New Roman"/>
                <w:sz w:val="24"/>
              </w:rPr>
              <w:t>0</w:t>
            </w:r>
            <w:r w:rsidR="00113E45" w:rsidRPr="00661595">
              <w:rPr>
                <w:rFonts w:ascii="Times New Roman" w:hAnsi="Times New Roman"/>
                <w:sz w:val="24"/>
              </w:rPr>
              <w:t>080</w:t>
            </w:r>
          </w:p>
        </w:tc>
        <w:tc>
          <w:tcPr>
            <w:tcW w:w="8004" w:type="dxa"/>
          </w:tcPr>
          <w:p w:rsidR="00113E45" w:rsidRPr="00661595" w:rsidRDefault="00113E45" w:rsidP="00E60B53">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CONCENTRATED POSITIONS AVA</w:t>
            </w:r>
          </w:p>
          <w:p w:rsidR="00113E45" w:rsidRPr="00661595" w:rsidRDefault="00113E45" w:rsidP="00B14253">
            <w:pPr>
              <w:spacing w:beforeLines="60" w:before="144" w:afterLines="60" w:after="144"/>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 xml:space="preserve">The concentrated positions AVA amount calculated </w:t>
            </w:r>
            <w:r w:rsidR="00BB22D4" w:rsidRPr="00661595">
              <w:rPr>
                <w:rStyle w:val="InstructionsTabelleberschrift"/>
                <w:rFonts w:ascii="Times New Roman" w:hAnsi="Times New Roman"/>
                <w:b w:val="0"/>
                <w:sz w:val="24"/>
                <w:u w:val="none"/>
              </w:rPr>
              <w:t>in accordance with</w:t>
            </w:r>
            <w:r w:rsidRPr="00661595">
              <w:rPr>
                <w:rStyle w:val="InstructionsTabelleberschrift"/>
                <w:rFonts w:ascii="Times New Roman" w:hAnsi="Times New Roman"/>
                <w:b w:val="0"/>
                <w:sz w:val="24"/>
                <w:u w:val="none"/>
              </w:rPr>
              <w:t xml:space="preserve"> Article 14(1) of</w:t>
            </w:r>
            <w:r w:rsidR="005A2182" w:rsidRPr="00661595">
              <w:rPr>
                <w:rStyle w:val="InstructionsTabelleberschrift"/>
                <w:rFonts w:ascii="Times New Roman" w:hAnsi="Times New Roman"/>
                <w:b w:val="0"/>
                <w:sz w:val="24"/>
                <w:u w:val="none"/>
              </w:rPr>
              <w:t xml:space="preserve"> </w:t>
            </w:r>
            <w:r w:rsidR="0068594D" w:rsidRPr="00661595">
              <w:rPr>
                <w:rFonts w:ascii="Times New Roman" w:hAnsi="Times New Roman"/>
                <w:sz w:val="24"/>
              </w:rPr>
              <w:t>Delegated Regulation (EU) 2016/101</w:t>
            </w:r>
            <w:r w:rsidRPr="00661595">
              <w:rPr>
                <w:rStyle w:val="InstructionsTabelleberschrift"/>
                <w:rFonts w:ascii="Times New Roman" w:hAnsi="Times New Roman"/>
                <w:b w:val="0"/>
                <w:sz w:val="24"/>
                <w:u w:val="none"/>
              </w:rPr>
              <w:t xml:space="preserve"> for the individual concentrated valuation position concerned.</w:t>
            </w:r>
          </w:p>
        </w:tc>
      </w:tr>
      <w:tr w:rsidR="00113E45" w:rsidRPr="00661595" w:rsidTr="00672D2A">
        <w:tc>
          <w:tcPr>
            <w:tcW w:w="852" w:type="dxa"/>
          </w:tcPr>
          <w:p w:rsidR="00113E45" w:rsidRPr="00661595" w:rsidRDefault="0022597E" w:rsidP="00E60B53">
            <w:pPr>
              <w:spacing w:beforeLines="60" w:before="144" w:afterLines="60" w:after="144"/>
              <w:rPr>
                <w:rFonts w:ascii="Times New Roman" w:hAnsi="Times New Roman"/>
                <w:sz w:val="24"/>
              </w:rPr>
            </w:pPr>
            <w:r w:rsidRPr="00661595">
              <w:rPr>
                <w:rFonts w:ascii="Times New Roman" w:hAnsi="Times New Roman"/>
                <w:sz w:val="24"/>
              </w:rPr>
              <w:t>0</w:t>
            </w:r>
            <w:r w:rsidR="00113E45" w:rsidRPr="00661595">
              <w:rPr>
                <w:rFonts w:ascii="Times New Roman" w:hAnsi="Times New Roman"/>
                <w:sz w:val="24"/>
              </w:rPr>
              <w:t>090</w:t>
            </w:r>
          </w:p>
        </w:tc>
        <w:tc>
          <w:tcPr>
            <w:tcW w:w="8004" w:type="dxa"/>
          </w:tcPr>
          <w:p w:rsidR="00113E45" w:rsidRPr="00661595" w:rsidRDefault="00113E45" w:rsidP="00E60B53">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CONCENTRATED POSITION FAIR VALUE ADJUSTMENT</w:t>
            </w:r>
          </w:p>
          <w:p w:rsidR="00955AA6" w:rsidRPr="00661595" w:rsidRDefault="00113E45" w:rsidP="00955AA6">
            <w:pPr>
              <w:spacing w:beforeLines="60" w:before="144" w:afterLines="60" w:after="144"/>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The amount of any fair value adjustments</w:t>
            </w:r>
            <w:r w:rsidR="00955AA6" w:rsidRPr="00661595">
              <w:rPr>
                <w:rStyle w:val="InstructionsTabelleberschrift"/>
                <w:rFonts w:ascii="Times New Roman" w:hAnsi="Times New Roman"/>
                <w:b w:val="0"/>
                <w:sz w:val="24"/>
                <w:u w:val="none"/>
              </w:rPr>
              <w:t xml:space="preserve"> </w:t>
            </w:r>
            <w:r w:rsidRPr="00661595">
              <w:rPr>
                <w:rStyle w:val="InstructionsTabelleberschrift"/>
                <w:rFonts w:ascii="Times New Roman" w:hAnsi="Times New Roman"/>
                <w:b w:val="0"/>
                <w:sz w:val="24"/>
                <w:u w:val="none"/>
              </w:rPr>
              <w:t>taken to reflect the fact that the aggregate position held by the institution is larger than</w:t>
            </w:r>
            <w:r w:rsidR="0068594D" w:rsidRPr="00661595">
              <w:rPr>
                <w:rStyle w:val="InstructionsTabelleberschrift"/>
                <w:rFonts w:ascii="Times New Roman" w:hAnsi="Times New Roman"/>
                <w:b w:val="0"/>
                <w:sz w:val="24"/>
                <w:u w:val="none"/>
              </w:rPr>
              <w:t xml:space="preserve"> the n</w:t>
            </w:r>
            <w:r w:rsidRPr="00661595">
              <w:rPr>
                <w:rStyle w:val="InstructionsTabelleberschrift"/>
                <w:rFonts w:ascii="Times New Roman" w:hAnsi="Times New Roman"/>
                <w:b w:val="0"/>
                <w:sz w:val="24"/>
                <w:u w:val="none"/>
              </w:rPr>
              <w:t>ormal traded volume or larger than position sizes</w:t>
            </w:r>
            <w:r w:rsidR="00955AA6" w:rsidRPr="00661595">
              <w:rPr>
                <w:rStyle w:val="InstructionsTabelleberschrift"/>
                <w:rFonts w:ascii="Times New Roman" w:hAnsi="Times New Roman"/>
                <w:b w:val="0"/>
                <w:sz w:val="24"/>
                <w:u w:val="none"/>
              </w:rPr>
              <w:t xml:space="preserve"> and </w:t>
            </w:r>
            <w:r w:rsidRPr="00661595">
              <w:rPr>
                <w:rStyle w:val="InstructionsTabelleberschrift"/>
                <w:rFonts w:ascii="Times New Roman" w:hAnsi="Times New Roman"/>
                <w:b w:val="0"/>
                <w:sz w:val="24"/>
                <w:u w:val="none"/>
              </w:rPr>
              <w:t>on which quotes or trades, which are used to calibrate the price or inputs used by the valuation model, are based</w:t>
            </w:r>
            <w:r w:rsidR="0068594D" w:rsidRPr="00661595">
              <w:rPr>
                <w:rStyle w:val="InstructionsTabelleberschrift"/>
                <w:rFonts w:ascii="Times New Roman" w:hAnsi="Times New Roman"/>
                <w:b w:val="0"/>
                <w:sz w:val="24"/>
                <w:u w:val="none"/>
              </w:rPr>
              <w:t>.</w:t>
            </w:r>
          </w:p>
          <w:p w:rsidR="00113E45" w:rsidRPr="00661595" w:rsidRDefault="00955AA6" w:rsidP="00955AA6">
            <w:pPr>
              <w:spacing w:beforeLines="60" w:before="144" w:afterLines="60" w:after="144"/>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The amount reported shall correspond to the amount</w:t>
            </w:r>
            <w:r w:rsidR="00113E45" w:rsidRPr="00661595">
              <w:rPr>
                <w:rStyle w:val="InstructionsTabelleberschrift"/>
                <w:rFonts w:ascii="Times New Roman" w:hAnsi="Times New Roman"/>
                <w:b w:val="0"/>
                <w:sz w:val="24"/>
                <w:u w:val="none"/>
              </w:rPr>
              <w:t xml:space="preserve"> that has been applied to the individual concentrated valuation position concerned.</w:t>
            </w:r>
          </w:p>
        </w:tc>
      </w:tr>
      <w:tr w:rsidR="00113E45" w:rsidRPr="00661595" w:rsidTr="00672D2A">
        <w:tc>
          <w:tcPr>
            <w:tcW w:w="852" w:type="dxa"/>
          </w:tcPr>
          <w:p w:rsidR="00113E45" w:rsidRPr="00661595" w:rsidRDefault="0022597E" w:rsidP="00E60B53">
            <w:pPr>
              <w:spacing w:beforeLines="60" w:before="144" w:afterLines="60" w:after="144"/>
              <w:rPr>
                <w:rFonts w:ascii="Times New Roman" w:hAnsi="Times New Roman"/>
                <w:sz w:val="24"/>
              </w:rPr>
            </w:pPr>
            <w:r w:rsidRPr="00661595">
              <w:rPr>
                <w:rFonts w:ascii="Times New Roman" w:hAnsi="Times New Roman"/>
                <w:sz w:val="24"/>
              </w:rPr>
              <w:t>0</w:t>
            </w:r>
            <w:r w:rsidR="00113E45" w:rsidRPr="00661595">
              <w:rPr>
                <w:rFonts w:ascii="Times New Roman" w:hAnsi="Times New Roman"/>
                <w:sz w:val="24"/>
              </w:rPr>
              <w:t>100</w:t>
            </w:r>
          </w:p>
        </w:tc>
        <w:tc>
          <w:tcPr>
            <w:tcW w:w="8004" w:type="dxa"/>
          </w:tcPr>
          <w:p w:rsidR="00113E45" w:rsidRPr="00661595" w:rsidRDefault="00113E45" w:rsidP="00E60B53">
            <w:pPr>
              <w:spacing w:beforeLines="60" w:before="144" w:afterLines="60" w:after="144"/>
              <w:rPr>
                <w:rStyle w:val="InstructionsTabelleberschrift"/>
                <w:rFonts w:ascii="Times New Roman" w:hAnsi="Times New Roman"/>
                <w:sz w:val="24"/>
              </w:rPr>
            </w:pPr>
            <w:r w:rsidRPr="00661595">
              <w:rPr>
                <w:rStyle w:val="InstructionsTabelleberschrift"/>
                <w:rFonts w:ascii="Times New Roman" w:hAnsi="Times New Roman"/>
                <w:sz w:val="24"/>
              </w:rPr>
              <w:t>IPV DIFFERENCE</w:t>
            </w:r>
          </w:p>
          <w:p w:rsidR="00113E45" w:rsidRPr="00661595" w:rsidRDefault="00113E45" w:rsidP="00E60B53">
            <w:pPr>
              <w:spacing w:beforeLines="60" w:before="144" w:afterLines="60" w:after="144"/>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The sum of unadjusted difference amounts (‘IPV difference’) calculated at the month end closest to the reporting date under the independent price verification process performed in accordance with Art</w:t>
            </w:r>
            <w:r w:rsidR="00DE223B" w:rsidRPr="00661595">
              <w:rPr>
                <w:rStyle w:val="InstructionsTabelleberschrift"/>
                <w:rFonts w:ascii="Times New Roman" w:hAnsi="Times New Roman"/>
                <w:b w:val="0"/>
                <w:sz w:val="24"/>
                <w:u w:val="none"/>
              </w:rPr>
              <w:t>icle</w:t>
            </w:r>
            <w:r w:rsidRPr="00661595">
              <w:rPr>
                <w:rStyle w:val="InstructionsTabelleberschrift"/>
                <w:rFonts w:ascii="Times New Roman" w:hAnsi="Times New Roman"/>
                <w:b w:val="0"/>
                <w:sz w:val="24"/>
                <w:u w:val="none"/>
              </w:rPr>
              <w:t xml:space="preserve"> 105(8) </w:t>
            </w:r>
            <w:r w:rsidR="00C7103D" w:rsidRPr="00661595">
              <w:rPr>
                <w:rStyle w:val="InstructionsTabelleberschrift"/>
                <w:rFonts w:ascii="Times New Roman" w:hAnsi="Times New Roman"/>
                <w:b w:val="0"/>
                <w:sz w:val="24"/>
                <w:u w:val="none"/>
              </w:rPr>
              <w:t>CRR</w:t>
            </w:r>
            <w:r w:rsidRPr="00661595">
              <w:rPr>
                <w:rStyle w:val="InstructionsTabelleberschrift"/>
                <w:rFonts w:ascii="Times New Roman" w:hAnsi="Times New Roman"/>
                <w:b w:val="0"/>
                <w:sz w:val="24"/>
                <w:u w:val="none"/>
              </w:rPr>
              <w:t xml:space="preserve">, with respect to the best available independent data for the individual concentrated valuation position concerned. </w:t>
            </w:r>
          </w:p>
          <w:p w:rsidR="00113E45" w:rsidRPr="00661595" w:rsidRDefault="00113E45" w:rsidP="00E60B53">
            <w:pPr>
              <w:spacing w:beforeLines="60" w:before="144" w:afterLines="60" w:after="144"/>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Unadjusted difference amounts</w:t>
            </w:r>
            <w:r w:rsidR="0068594D" w:rsidRPr="00661595">
              <w:rPr>
                <w:rStyle w:val="InstructionsTabelleberschrift"/>
                <w:rFonts w:ascii="Times New Roman" w:hAnsi="Times New Roman"/>
                <w:b w:val="0"/>
                <w:sz w:val="24"/>
                <w:u w:val="none"/>
              </w:rPr>
              <w:t xml:space="preserve"> shall </w:t>
            </w:r>
            <w:r w:rsidRPr="00661595">
              <w:rPr>
                <w:rStyle w:val="InstructionsTabelleberschrift"/>
                <w:rFonts w:ascii="Times New Roman" w:hAnsi="Times New Roman"/>
                <w:b w:val="0"/>
                <w:sz w:val="24"/>
                <w:u w:val="none"/>
              </w:rPr>
              <w:t xml:space="preserve">refer to unadjusted differences between </w:t>
            </w:r>
            <w:r w:rsidR="001B5725" w:rsidRPr="00661595">
              <w:rPr>
                <w:rStyle w:val="InstructionsTabelleberschrift"/>
                <w:rFonts w:ascii="Times New Roman" w:hAnsi="Times New Roman"/>
                <w:b w:val="0"/>
                <w:sz w:val="24"/>
                <w:u w:val="none"/>
              </w:rPr>
              <w:t xml:space="preserve">the valuations generated by the trading system </w:t>
            </w:r>
            <w:r w:rsidRPr="00661595">
              <w:rPr>
                <w:rStyle w:val="InstructionsTabelleberschrift"/>
                <w:rFonts w:ascii="Times New Roman" w:hAnsi="Times New Roman"/>
                <w:b w:val="0"/>
                <w:sz w:val="24"/>
                <w:u w:val="none"/>
              </w:rPr>
              <w:t>and the valuations assessed during the monthly IPV process.</w:t>
            </w:r>
          </w:p>
          <w:p w:rsidR="00113E45" w:rsidRPr="00661595" w:rsidRDefault="00D2428D" w:rsidP="00D2428D">
            <w:pPr>
              <w:spacing w:beforeLines="60" w:before="144" w:afterLines="60" w:after="144"/>
              <w:rPr>
                <w:rStyle w:val="InstructionsTabelleberschrift"/>
                <w:rFonts w:ascii="Times New Roman" w:hAnsi="Times New Roman"/>
                <w:b w:val="0"/>
                <w:sz w:val="24"/>
                <w:u w:val="none"/>
              </w:rPr>
            </w:pPr>
            <w:r w:rsidRPr="00661595">
              <w:rPr>
                <w:rStyle w:val="InstructionsTabelleberschrift"/>
                <w:rFonts w:ascii="Times New Roman" w:hAnsi="Times New Roman"/>
                <w:b w:val="0"/>
                <w:sz w:val="24"/>
                <w:u w:val="none"/>
              </w:rPr>
              <w:t>No adjusted</w:t>
            </w:r>
            <w:r w:rsidR="00113E45" w:rsidRPr="00661595">
              <w:rPr>
                <w:rStyle w:val="InstructionsTabelleberschrift"/>
                <w:rFonts w:ascii="Times New Roman" w:hAnsi="Times New Roman"/>
                <w:b w:val="0"/>
                <w:sz w:val="24"/>
                <w:u w:val="none"/>
              </w:rPr>
              <w:t xml:space="preserve"> difference amounts in the books and records of the institution for the relevant month end date shall be </w:t>
            </w:r>
            <w:r w:rsidRPr="00661595">
              <w:rPr>
                <w:rStyle w:val="InstructionsTabelleberschrift"/>
                <w:rFonts w:ascii="Times New Roman" w:hAnsi="Times New Roman"/>
                <w:b w:val="0"/>
                <w:sz w:val="24"/>
                <w:u w:val="none"/>
              </w:rPr>
              <w:t>included in the calculation of IPV difference</w:t>
            </w:r>
            <w:r w:rsidR="00113E45" w:rsidRPr="00661595">
              <w:rPr>
                <w:rStyle w:val="InstructionsTabelleberschrift"/>
                <w:rFonts w:ascii="Times New Roman" w:hAnsi="Times New Roman"/>
                <w:b w:val="0"/>
                <w:sz w:val="24"/>
                <w:u w:val="none"/>
              </w:rPr>
              <w:t>.</w:t>
            </w:r>
          </w:p>
        </w:tc>
      </w:tr>
    </w:tbl>
    <w:p w:rsidR="00995A7F" w:rsidRPr="00661595" w:rsidRDefault="00995A7F" w:rsidP="00C61FF5">
      <w:pPr>
        <w:rPr>
          <w:rStyle w:val="InstructionsTabelleText"/>
          <w:rFonts w:ascii="Times New Roman" w:hAnsi="Times New Roman"/>
          <w:sz w:val="24"/>
        </w:rPr>
      </w:pPr>
    </w:p>
    <w:p w:rsidR="00FD54FC" w:rsidRPr="00661595" w:rsidRDefault="00995A7F" w:rsidP="0023700C">
      <w:pPr>
        <w:pStyle w:val="Instructionsberschrift2"/>
        <w:numPr>
          <w:ilvl w:val="0"/>
          <w:numId w:val="0"/>
        </w:numPr>
        <w:ind w:left="357" w:hanging="357"/>
        <w:rPr>
          <w:rFonts w:ascii="Times New Roman" w:hAnsi="Times New Roman" w:cs="Times New Roman"/>
          <w:sz w:val="24"/>
          <w:lang w:val="en-GB"/>
        </w:rPr>
      </w:pPr>
      <w:bookmarkStart w:id="768" w:name="_Toc473561055"/>
      <w:bookmarkStart w:id="769" w:name="_Toc57831672"/>
      <w:r w:rsidRPr="00661595">
        <w:rPr>
          <w:rFonts w:ascii="Times New Roman" w:hAnsi="Times New Roman" w:cs="Times New Roman"/>
          <w:sz w:val="24"/>
          <w:u w:val="none"/>
          <w:lang w:val="en-GB"/>
        </w:rPr>
        <w:t>7</w:t>
      </w:r>
      <w:r w:rsidR="00125707" w:rsidRPr="00661595">
        <w:rPr>
          <w:rFonts w:ascii="Times New Roman" w:hAnsi="Times New Roman" w:cs="Times New Roman"/>
          <w:sz w:val="24"/>
          <w:u w:val="none"/>
          <w:lang w:val="en-GB"/>
        </w:rPr>
        <w:t>.</w:t>
      </w:r>
      <w:r w:rsidR="00125707" w:rsidRPr="00661595">
        <w:rPr>
          <w:rFonts w:ascii="Times New Roman" w:hAnsi="Times New Roman" w:cs="Times New Roman"/>
          <w:sz w:val="24"/>
          <w:u w:val="none"/>
          <w:lang w:val="en-GB"/>
        </w:rPr>
        <w:tab/>
      </w:r>
      <w:r w:rsidR="00392FFD" w:rsidRPr="00661595">
        <w:rPr>
          <w:rFonts w:ascii="Times New Roman" w:hAnsi="Times New Roman" w:cs="Times New Roman"/>
          <w:sz w:val="24"/>
          <w:lang w:val="en-GB"/>
        </w:rPr>
        <w:t xml:space="preserve">C 33.00 - </w:t>
      </w:r>
      <w:r w:rsidR="00FD54FC" w:rsidRPr="00661595">
        <w:rPr>
          <w:rFonts w:ascii="Times New Roman" w:hAnsi="Times New Roman" w:cs="Times New Roman"/>
          <w:sz w:val="24"/>
          <w:lang w:val="en-GB"/>
        </w:rPr>
        <w:t>Exposures to General governments (GOV)</w:t>
      </w:r>
      <w:bookmarkEnd w:id="768"/>
      <w:bookmarkEnd w:id="769"/>
    </w:p>
    <w:p w:rsidR="00FD54FC" w:rsidRPr="00661595" w:rsidRDefault="00995A7F" w:rsidP="0023700C">
      <w:pPr>
        <w:pStyle w:val="Instructionsberschrift2"/>
        <w:numPr>
          <w:ilvl w:val="0"/>
          <w:numId w:val="0"/>
        </w:numPr>
        <w:ind w:left="357" w:hanging="357"/>
        <w:rPr>
          <w:rFonts w:ascii="Times New Roman" w:hAnsi="Times New Roman" w:cs="Times New Roman"/>
          <w:sz w:val="24"/>
          <w:lang w:val="en-GB"/>
        </w:rPr>
      </w:pPr>
      <w:bookmarkStart w:id="770" w:name="_Toc367202008"/>
      <w:bookmarkStart w:id="771" w:name="_Toc473561056"/>
      <w:bookmarkStart w:id="772" w:name="_Toc57831673"/>
      <w:r w:rsidRPr="00661595">
        <w:rPr>
          <w:rFonts w:ascii="Times New Roman" w:hAnsi="Times New Roman" w:cs="Times New Roman"/>
          <w:sz w:val="24"/>
          <w:u w:val="none"/>
          <w:lang w:val="en-GB"/>
        </w:rPr>
        <w:t>7</w:t>
      </w:r>
      <w:r w:rsidR="00125707" w:rsidRPr="00661595">
        <w:rPr>
          <w:rFonts w:ascii="Times New Roman" w:hAnsi="Times New Roman" w:cs="Times New Roman"/>
          <w:sz w:val="24"/>
          <w:u w:val="none"/>
          <w:lang w:val="en-GB"/>
        </w:rPr>
        <w:t>.1.</w:t>
      </w:r>
      <w:r w:rsidR="00125707" w:rsidRPr="00661595">
        <w:rPr>
          <w:rFonts w:ascii="Times New Roman" w:hAnsi="Times New Roman" w:cs="Times New Roman"/>
          <w:sz w:val="24"/>
          <w:u w:val="none"/>
          <w:lang w:val="en-GB"/>
        </w:rPr>
        <w:tab/>
      </w:r>
      <w:r w:rsidR="00FD54FC" w:rsidRPr="00661595">
        <w:rPr>
          <w:rFonts w:ascii="Times New Roman" w:hAnsi="Times New Roman" w:cs="Times New Roman"/>
          <w:sz w:val="24"/>
          <w:lang w:val="en-GB"/>
        </w:rPr>
        <w:t>General remarks</w:t>
      </w:r>
      <w:bookmarkEnd w:id="770"/>
      <w:bookmarkEnd w:id="771"/>
      <w:bookmarkEnd w:id="772"/>
      <w:r w:rsidR="00FD54FC" w:rsidRPr="00661595">
        <w:rPr>
          <w:rFonts w:ascii="Times New Roman" w:hAnsi="Times New Roman" w:cs="Times New Roman"/>
          <w:sz w:val="24"/>
          <w:lang w:val="en-GB"/>
        </w:rPr>
        <w:t xml:space="preserve"> </w:t>
      </w:r>
    </w:p>
    <w:p w:rsidR="00FD54FC" w:rsidRPr="00661595" w:rsidRDefault="00D11E4C" w:rsidP="00487A02">
      <w:pPr>
        <w:pStyle w:val="InstructionsText2"/>
        <w:numPr>
          <w:ilvl w:val="0"/>
          <w:numId w:val="0"/>
        </w:numPr>
        <w:ind w:left="1353" w:hanging="360"/>
      </w:pPr>
      <w:fldSimple w:instr=" seq paragraphs ">
        <w:r w:rsidR="00771068">
          <w:rPr>
            <w:noProof/>
          </w:rPr>
          <w:t>191</w:t>
        </w:r>
      </w:fldSimple>
      <w:r w:rsidR="00125707" w:rsidRPr="00661595">
        <w:t>.</w:t>
      </w:r>
      <w:r w:rsidR="00125707" w:rsidRPr="00661595">
        <w:tab/>
      </w:r>
      <w:r w:rsidR="005C14B0" w:rsidRPr="00661595">
        <w:t xml:space="preserve"> </w:t>
      </w:r>
      <w:r w:rsidR="00FD54FC" w:rsidRPr="00661595">
        <w:t>The information for the purpose of template C</w:t>
      </w:r>
      <w:r w:rsidR="006E5D07" w:rsidRPr="00661595">
        <w:t xml:space="preserve"> </w:t>
      </w:r>
      <w:r w:rsidR="00FD54FC" w:rsidRPr="00661595">
        <w:t xml:space="preserve">33.00 shall cover all exposures to ‘General governments’ as </w:t>
      </w:r>
      <w:r w:rsidR="00B14253" w:rsidRPr="00661595">
        <w:t>referred to</w:t>
      </w:r>
      <w:r w:rsidR="00FD54FC" w:rsidRPr="00661595">
        <w:t xml:space="preserve"> in </w:t>
      </w:r>
      <w:r w:rsidR="002F78EA" w:rsidRPr="00661595">
        <w:t xml:space="preserve">point (b) of </w:t>
      </w:r>
      <w:r w:rsidR="00FD54FC" w:rsidRPr="00661595">
        <w:t xml:space="preserve">paragraph </w:t>
      </w:r>
      <w:r w:rsidR="00245E37" w:rsidRPr="00661595">
        <w:t xml:space="preserve">42 </w:t>
      </w:r>
      <w:r w:rsidR="00FD54FC" w:rsidRPr="00661595">
        <w:t>of Annex V</w:t>
      </w:r>
      <w:r w:rsidR="002F78EA" w:rsidRPr="00661595">
        <w:t xml:space="preserve"> to this Implementing Regulation</w:t>
      </w:r>
      <w:r w:rsidR="00FD54FC" w:rsidRPr="00661595">
        <w:t>.</w:t>
      </w:r>
    </w:p>
    <w:p w:rsidR="00FD54FC" w:rsidRPr="00661595" w:rsidRDefault="00D11E4C" w:rsidP="00487A02">
      <w:pPr>
        <w:pStyle w:val="InstructionsText2"/>
        <w:numPr>
          <w:ilvl w:val="0"/>
          <w:numId w:val="0"/>
        </w:numPr>
        <w:ind w:left="1353" w:hanging="360"/>
      </w:pPr>
      <w:fldSimple w:instr=" seq paragraphs ">
        <w:r w:rsidR="00771068">
          <w:rPr>
            <w:noProof/>
          </w:rPr>
          <w:t>192</w:t>
        </w:r>
      </w:fldSimple>
      <w:r w:rsidR="00125707" w:rsidRPr="00661595">
        <w:t>.</w:t>
      </w:r>
      <w:r w:rsidR="00125707" w:rsidRPr="00661595">
        <w:tab/>
      </w:r>
      <w:r w:rsidR="005C14B0" w:rsidRPr="00661595">
        <w:t xml:space="preserve"> </w:t>
      </w:r>
      <w:r w:rsidR="004A6FAC" w:rsidRPr="00661595">
        <w:t>Where the exposures to ‘General governments’ are subject to own funds requirements in accordance with Title II of Part Three CRR, e</w:t>
      </w:r>
      <w:r w:rsidR="00FD54FC" w:rsidRPr="00661595">
        <w:t xml:space="preserve">xposures to ‘General governments’ are included in different exposure classes in accordance with Article 112 and Article 147 </w:t>
      </w:r>
      <w:r w:rsidR="00C7103D" w:rsidRPr="00661595">
        <w:t>CRR</w:t>
      </w:r>
      <w:r w:rsidR="00FD54FC" w:rsidRPr="00661595">
        <w:t>, as specified by the instructions for the completion of template C</w:t>
      </w:r>
      <w:r w:rsidR="006E5D07" w:rsidRPr="00661595">
        <w:t xml:space="preserve"> </w:t>
      </w:r>
      <w:r w:rsidR="00FD54FC" w:rsidRPr="00661595">
        <w:t>07</w:t>
      </w:r>
      <w:r w:rsidR="006E5D07" w:rsidRPr="00661595">
        <w:t>.00</w:t>
      </w:r>
      <w:r w:rsidR="00FD54FC" w:rsidRPr="00661595">
        <w:t>, C</w:t>
      </w:r>
      <w:r w:rsidR="006E5D07" w:rsidRPr="00661595">
        <w:t xml:space="preserve"> </w:t>
      </w:r>
      <w:r w:rsidR="00FD54FC" w:rsidRPr="00661595">
        <w:t>08.01 and C</w:t>
      </w:r>
      <w:r w:rsidR="006E5D07" w:rsidRPr="00661595">
        <w:t xml:space="preserve"> </w:t>
      </w:r>
      <w:r w:rsidR="00FD54FC" w:rsidRPr="00661595">
        <w:t xml:space="preserve">08.02. </w:t>
      </w:r>
    </w:p>
    <w:p w:rsidR="00FD54FC" w:rsidRPr="00661595" w:rsidRDefault="00D11E4C" w:rsidP="00487A02">
      <w:pPr>
        <w:pStyle w:val="InstructionsText2"/>
        <w:numPr>
          <w:ilvl w:val="0"/>
          <w:numId w:val="0"/>
        </w:numPr>
        <w:ind w:left="1353" w:hanging="360"/>
      </w:pPr>
      <w:fldSimple w:instr=" seq paragraphs ">
        <w:r w:rsidR="00771068">
          <w:rPr>
            <w:noProof/>
          </w:rPr>
          <w:t>193</w:t>
        </w:r>
      </w:fldSimple>
      <w:r w:rsidR="00125707" w:rsidRPr="00661595">
        <w:t>.</w:t>
      </w:r>
      <w:r w:rsidR="00125707" w:rsidRPr="00661595">
        <w:tab/>
      </w:r>
      <w:r w:rsidR="005C14B0" w:rsidRPr="00661595">
        <w:t xml:space="preserve"> </w:t>
      </w:r>
      <w:r w:rsidR="00FD54FC" w:rsidRPr="00661595">
        <w:t>Table 2 (</w:t>
      </w:r>
      <w:r w:rsidR="00CA21CA" w:rsidRPr="00661595">
        <w:t>Standardised Approach</w:t>
      </w:r>
      <w:r w:rsidR="00FD54FC" w:rsidRPr="00661595">
        <w:t>) and Table 3 (</w:t>
      </w:r>
      <w:r w:rsidR="008241B9" w:rsidRPr="00661595">
        <w:t>IRB Approach</w:t>
      </w:r>
      <w:r w:rsidR="00FD54FC" w:rsidRPr="00661595">
        <w:t xml:space="preserve">), included in Part 3 of Annex </w:t>
      </w:r>
      <w:r w:rsidR="005C14B0" w:rsidRPr="00661595">
        <w:t xml:space="preserve">V </w:t>
      </w:r>
      <w:r w:rsidR="00B14253" w:rsidRPr="00661595">
        <w:t>to</w:t>
      </w:r>
      <w:r w:rsidR="005C14B0" w:rsidRPr="00661595">
        <w:t xml:space="preserve"> this Implementing Regulation</w:t>
      </w:r>
      <w:r w:rsidR="00FD54FC" w:rsidRPr="00661595">
        <w:t xml:space="preserve">, shall be observed for the mapping of exposure classes used to calculate capital requirements under CRR to counterparty sector ‘General governments’. </w:t>
      </w:r>
    </w:p>
    <w:p w:rsidR="00FD54FC" w:rsidRPr="00661595" w:rsidRDefault="00D11E4C" w:rsidP="00487A02">
      <w:pPr>
        <w:pStyle w:val="InstructionsText2"/>
        <w:numPr>
          <w:ilvl w:val="0"/>
          <w:numId w:val="0"/>
        </w:numPr>
        <w:ind w:left="1353" w:hanging="360"/>
      </w:pPr>
      <w:fldSimple w:instr=" seq paragraphs ">
        <w:r w:rsidR="00771068">
          <w:rPr>
            <w:noProof/>
          </w:rPr>
          <w:t>194</w:t>
        </w:r>
      </w:fldSimple>
      <w:r w:rsidR="00125707" w:rsidRPr="00661595">
        <w:t>.</w:t>
      </w:r>
      <w:r w:rsidR="005C14B0" w:rsidRPr="00661595">
        <w:t xml:space="preserve"> </w:t>
      </w:r>
      <w:r w:rsidR="00FD54FC" w:rsidRPr="00661595">
        <w:t xml:space="preserve">Information shall be reported for the total aggregate exposures (meaning the sum of all countries in which the bank has sovereign exposures) and for each country on the basis of the residence of the counterparty on an immediate borrower basis. </w:t>
      </w:r>
    </w:p>
    <w:p w:rsidR="00FD54FC" w:rsidRPr="00661595" w:rsidRDefault="00D11E4C" w:rsidP="00487A02">
      <w:pPr>
        <w:pStyle w:val="InstructionsText2"/>
        <w:numPr>
          <w:ilvl w:val="0"/>
          <w:numId w:val="0"/>
        </w:numPr>
        <w:ind w:left="1353" w:hanging="360"/>
      </w:pPr>
      <w:fldSimple w:instr=" seq paragraphs ">
        <w:r w:rsidR="00771068">
          <w:rPr>
            <w:noProof/>
          </w:rPr>
          <w:t>195</w:t>
        </w:r>
      </w:fldSimple>
      <w:r w:rsidR="00125707" w:rsidRPr="00661595">
        <w:t>.</w:t>
      </w:r>
      <w:r w:rsidR="00125707" w:rsidRPr="00661595">
        <w:tab/>
      </w:r>
      <w:r w:rsidR="005C14B0" w:rsidRPr="00661595">
        <w:t xml:space="preserve"> </w:t>
      </w:r>
      <w:r w:rsidR="00FD54FC" w:rsidRPr="00661595">
        <w:t>The allocation of exposures to exposure classes or jurisdictions shall be made without considering credit mitigation techniques and in particular without considering substitution effects. However</w:t>
      </w:r>
      <w:r w:rsidR="00B14253" w:rsidRPr="00661595">
        <w:t>,</w:t>
      </w:r>
      <w:r w:rsidR="00FD54FC" w:rsidRPr="00661595">
        <w:t xml:space="preserve"> the calculation of exposure values and risk weighted exposure amounts for each exposure class and each jurisdiction </w:t>
      </w:r>
      <w:r w:rsidR="00B14253" w:rsidRPr="00661595">
        <w:t xml:space="preserve">shall </w:t>
      </w:r>
      <w:r w:rsidR="00FD54FC" w:rsidRPr="00661595">
        <w:t xml:space="preserve">include the incidence of credit risk mitigation techniques, including substitution effects. </w:t>
      </w:r>
    </w:p>
    <w:p w:rsidR="00FD54FC" w:rsidRPr="00661595" w:rsidRDefault="00D11E4C" w:rsidP="00487A02">
      <w:pPr>
        <w:pStyle w:val="InstructionsText2"/>
        <w:numPr>
          <w:ilvl w:val="0"/>
          <w:numId w:val="0"/>
        </w:numPr>
        <w:ind w:left="1353" w:hanging="360"/>
      </w:pPr>
      <w:fldSimple w:instr=" seq paragraphs ">
        <w:r w:rsidR="00771068">
          <w:rPr>
            <w:noProof/>
          </w:rPr>
          <w:t>196</w:t>
        </w:r>
      </w:fldSimple>
      <w:r w:rsidR="00125707" w:rsidRPr="00661595">
        <w:t>.</w:t>
      </w:r>
      <w:r w:rsidR="00125707" w:rsidRPr="00661595">
        <w:tab/>
      </w:r>
      <w:r w:rsidR="005C14B0" w:rsidRPr="00661595">
        <w:t xml:space="preserve"> </w:t>
      </w:r>
      <w:r w:rsidR="00FD54FC" w:rsidRPr="00661595">
        <w:t xml:space="preserve">The reporting of information on exposures to ‘General governments’ by jurisdiction of residence of the immediate counterparty other than the domestic jurisdiction of the reporting institution is subject to the thresholds </w:t>
      </w:r>
      <w:r w:rsidR="00B14253" w:rsidRPr="00661595">
        <w:t xml:space="preserve">laid down </w:t>
      </w:r>
      <w:r w:rsidR="00FD54FC" w:rsidRPr="00661595">
        <w:t xml:space="preserve">in Article </w:t>
      </w:r>
      <w:r w:rsidR="00535792" w:rsidRPr="00661595">
        <w:t>6</w:t>
      </w:r>
      <w:r w:rsidR="00FD54FC" w:rsidRPr="00661595">
        <w:t>(</w:t>
      </w:r>
      <w:r w:rsidR="00535792" w:rsidRPr="00661595">
        <w:t>3</w:t>
      </w:r>
      <w:r w:rsidR="00FD54FC" w:rsidRPr="00661595">
        <w:t xml:space="preserve">) </w:t>
      </w:r>
      <w:r w:rsidR="006D6AE0" w:rsidRPr="00661595">
        <w:t xml:space="preserve">of </w:t>
      </w:r>
      <w:r w:rsidR="00936BB3" w:rsidRPr="00661595">
        <w:t xml:space="preserve">this </w:t>
      </w:r>
      <w:r w:rsidR="00705025" w:rsidRPr="00661595">
        <w:t xml:space="preserve">Implementing </w:t>
      </w:r>
      <w:r w:rsidR="00936BB3" w:rsidRPr="00661595">
        <w:t>Regulation</w:t>
      </w:r>
      <w:r w:rsidR="00FD54FC" w:rsidRPr="00661595">
        <w:t>.</w:t>
      </w:r>
    </w:p>
    <w:p w:rsidR="00FD54FC" w:rsidRPr="00661595" w:rsidRDefault="00995A7F" w:rsidP="0023700C">
      <w:pPr>
        <w:pStyle w:val="Instructionsberschrift2"/>
        <w:numPr>
          <w:ilvl w:val="0"/>
          <w:numId w:val="0"/>
        </w:numPr>
        <w:ind w:left="357" w:hanging="357"/>
        <w:rPr>
          <w:rFonts w:ascii="Times New Roman" w:hAnsi="Times New Roman" w:cs="Times New Roman"/>
          <w:sz w:val="24"/>
          <w:lang w:val="en-GB"/>
        </w:rPr>
      </w:pPr>
      <w:bookmarkStart w:id="773" w:name="_Toc367202009"/>
      <w:bookmarkStart w:id="774" w:name="_Toc473561057"/>
      <w:bookmarkStart w:id="775" w:name="_Toc57831674"/>
      <w:r w:rsidRPr="00661595">
        <w:rPr>
          <w:rFonts w:ascii="Times New Roman" w:hAnsi="Times New Roman" w:cs="Times New Roman"/>
          <w:sz w:val="24"/>
          <w:u w:val="none"/>
          <w:lang w:val="en-GB"/>
        </w:rPr>
        <w:t>7</w:t>
      </w:r>
      <w:r w:rsidR="00125707" w:rsidRPr="00661595">
        <w:rPr>
          <w:rFonts w:ascii="Times New Roman" w:hAnsi="Times New Roman" w:cs="Times New Roman"/>
          <w:sz w:val="24"/>
          <w:u w:val="none"/>
          <w:lang w:val="en-GB"/>
        </w:rPr>
        <w:t>.2.</w:t>
      </w:r>
      <w:r w:rsidR="00125707" w:rsidRPr="00661595">
        <w:rPr>
          <w:rFonts w:ascii="Times New Roman" w:hAnsi="Times New Roman" w:cs="Times New Roman"/>
          <w:sz w:val="24"/>
          <w:u w:val="none"/>
          <w:lang w:val="en-GB"/>
        </w:rPr>
        <w:tab/>
      </w:r>
      <w:r w:rsidR="00FD54FC" w:rsidRPr="00661595">
        <w:rPr>
          <w:rFonts w:ascii="Times New Roman" w:hAnsi="Times New Roman" w:cs="Times New Roman"/>
          <w:sz w:val="24"/>
          <w:lang w:val="en-GB"/>
        </w:rPr>
        <w:t>Scope of the template</w:t>
      </w:r>
      <w:bookmarkEnd w:id="773"/>
      <w:r w:rsidR="00FD54FC" w:rsidRPr="00661595">
        <w:rPr>
          <w:rFonts w:ascii="Times New Roman" w:hAnsi="Times New Roman" w:cs="Times New Roman"/>
          <w:sz w:val="24"/>
          <w:lang w:val="en-GB"/>
        </w:rPr>
        <w:t xml:space="preserve"> on exposures to “General governments”</w:t>
      </w:r>
      <w:bookmarkEnd w:id="774"/>
      <w:bookmarkEnd w:id="775"/>
    </w:p>
    <w:p w:rsidR="00FD54FC" w:rsidRPr="00661595" w:rsidRDefault="00D11E4C" w:rsidP="00487A02">
      <w:pPr>
        <w:pStyle w:val="InstructionsText2"/>
        <w:numPr>
          <w:ilvl w:val="0"/>
          <w:numId w:val="0"/>
        </w:numPr>
        <w:ind w:left="1353" w:hanging="360"/>
      </w:pPr>
      <w:fldSimple w:instr=" seq paragraphs ">
        <w:r w:rsidR="00771068">
          <w:rPr>
            <w:noProof/>
          </w:rPr>
          <w:t>197</w:t>
        </w:r>
      </w:fldSimple>
      <w:r w:rsidR="00125707" w:rsidRPr="00661595">
        <w:t>.</w:t>
      </w:r>
      <w:r w:rsidR="00125707" w:rsidRPr="00661595">
        <w:tab/>
      </w:r>
      <w:r w:rsidR="005C14B0" w:rsidRPr="00661595">
        <w:t xml:space="preserve"> </w:t>
      </w:r>
      <w:r w:rsidR="00FD54FC" w:rsidRPr="00661595">
        <w:t>The scope of the GOV template covers on</w:t>
      </w:r>
      <w:r w:rsidR="00EA0F2F" w:rsidRPr="00661595">
        <w:t>-balance sheet</w:t>
      </w:r>
      <w:r w:rsidR="00FD54FC" w:rsidRPr="00661595">
        <w:t>, off-balance sheet and derivatives direct exposures to “General governments” in the banking and trading book. In addition</w:t>
      </w:r>
      <w:r w:rsidR="00B14253" w:rsidRPr="00661595">
        <w:t>,</w:t>
      </w:r>
      <w:r w:rsidR="00FD54FC" w:rsidRPr="00661595">
        <w:t xml:space="preserve"> a memorandum item on indirect exposures in the form of credit derivatives sold on general government exposures is also</w:t>
      </w:r>
      <w:r w:rsidR="009F7C08" w:rsidRPr="00661595">
        <w:t xml:space="preserve"> requested</w:t>
      </w:r>
      <w:r w:rsidR="00FD54FC" w:rsidRPr="00661595">
        <w:t>.</w:t>
      </w:r>
    </w:p>
    <w:p w:rsidR="00FD54FC" w:rsidRPr="00661595" w:rsidRDefault="00D11E4C" w:rsidP="00487A02">
      <w:pPr>
        <w:pStyle w:val="InstructionsText2"/>
        <w:numPr>
          <w:ilvl w:val="0"/>
          <w:numId w:val="0"/>
        </w:numPr>
        <w:ind w:left="1353" w:hanging="360"/>
      </w:pPr>
      <w:fldSimple w:instr=" seq paragraphs ">
        <w:r w:rsidR="00771068">
          <w:rPr>
            <w:noProof/>
          </w:rPr>
          <w:t>198</w:t>
        </w:r>
      </w:fldSimple>
      <w:r w:rsidR="00125707" w:rsidRPr="00661595">
        <w:t>.</w:t>
      </w:r>
      <w:r w:rsidR="00125707" w:rsidRPr="00661595">
        <w:tab/>
      </w:r>
      <w:r w:rsidR="005C14B0" w:rsidRPr="00661595">
        <w:t xml:space="preserve"> </w:t>
      </w:r>
      <w:r w:rsidR="00FD54FC" w:rsidRPr="00661595">
        <w:t xml:space="preserve">An exposure is a direct exposure when the immediate counterparty is an entity </w:t>
      </w:r>
      <w:r w:rsidR="00B14253" w:rsidRPr="00661595">
        <w:t>that is a</w:t>
      </w:r>
      <w:r w:rsidR="00FD54FC" w:rsidRPr="00661595">
        <w:t xml:space="preserve"> ‘General government’</w:t>
      </w:r>
      <w:r w:rsidR="00B14253" w:rsidRPr="00661595">
        <w:t xml:space="preserve"> as referred to in point (b) of paragraph 42 of Annex V to this </w:t>
      </w:r>
      <w:r w:rsidR="006B2333" w:rsidRPr="00661595">
        <w:t xml:space="preserve">Implementing </w:t>
      </w:r>
      <w:r w:rsidR="00B14253" w:rsidRPr="00661595">
        <w:t>Regulation</w:t>
      </w:r>
      <w:r w:rsidR="00FD54FC" w:rsidRPr="00661595">
        <w:t xml:space="preserve">. </w:t>
      </w:r>
    </w:p>
    <w:p w:rsidR="00FD54FC" w:rsidRPr="00661595" w:rsidRDefault="00D11E4C" w:rsidP="00487A02">
      <w:pPr>
        <w:pStyle w:val="InstructionsText2"/>
        <w:numPr>
          <w:ilvl w:val="0"/>
          <w:numId w:val="0"/>
        </w:numPr>
        <w:ind w:left="1353" w:hanging="360"/>
      </w:pPr>
      <w:fldSimple w:instr=" seq paragraphs ">
        <w:r w:rsidR="00771068">
          <w:rPr>
            <w:noProof/>
          </w:rPr>
          <w:t>199</w:t>
        </w:r>
      </w:fldSimple>
      <w:r w:rsidR="00125707" w:rsidRPr="00661595">
        <w:t>.</w:t>
      </w:r>
      <w:r w:rsidR="00125707" w:rsidRPr="00661595">
        <w:tab/>
      </w:r>
      <w:r w:rsidR="005C14B0" w:rsidRPr="00661595">
        <w:t xml:space="preserve"> </w:t>
      </w:r>
      <w:r w:rsidR="00FD54FC" w:rsidRPr="00661595">
        <w:t>The template is divided in two sections. The first one is based on a breakdown of exposures by risk, regulatory approach and exposure classes whereas a second one is based on a breakdown by residual maturity</w:t>
      </w:r>
    </w:p>
    <w:p w:rsidR="00FD54FC" w:rsidRPr="00661595" w:rsidRDefault="00995A7F" w:rsidP="0023700C">
      <w:pPr>
        <w:pStyle w:val="Instructionsberschrift2"/>
        <w:numPr>
          <w:ilvl w:val="0"/>
          <w:numId w:val="0"/>
        </w:numPr>
        <w:ind w:left="357" w:hanging="357"/>
        <w:rPr>
          <w:rFonts w:ascii="Times New Roman" w:hAnsi="Times New Roman" w:cs="Times New Roman"/>
          <w:sz w:val="24"/>
          <w:lang w:val="en-GB"/>
        </w:rPr>
      </w:pPr>
      <w:bookmarkStart w:id="776" w:name="_Toc473561058"/>
      <w:bookmarkStart w:id="777" w:name="_Toc57831675"/>
      <w:r w:rsidRPr="00661595">
        <w:rPr>
          <w:rFonts w:ascii="Times New Roman" w:hAnsi="Times New Roman" w:cs="Times New Roman"/>
          <w:sz w:val="24"/>
          <w:u w:val="none"/>
          <w:lang w:val="en-GB"/>
        </w:rPr>
        <w:t>7</w:t>
      </w:r>
      <w:r w:rsidR="00125707" w:rsidRPr="00661595">
        <w:rPr>
          <w:rFonts w:ascii="Times New Roman" w:hAnsi="Times New Roman" w:cs="Times New Roman"/>
          <w:sz w:val="24"/>
          <w:u w:val="none"/>
          <w:lang w:val="en-GB"/>
        </w:rPr>
        <w:t>.3.</w:t>
      </w:r>
      <w:r w:rsidR="00125707" w:rsidRPr="00661595">
        <w:rPr>
          <w:rFonts w:ascii="Times New Roman" w:hAnsi="Times New Roman" w:cs="Times New Roman"/>
          <w:sz w:val="24"/>
          <w:u w:val="none"/>
          <w:lang w:val="en-GB"/>
        </w:rPr>
        <w:tab/>
      </w:r>
      <w:r w:rsidR="00392FFD" w:rsidRPr="00661595">
        <w:rPr>
          <w:rFonts w:ascii="Times New Roman" w:hAnsi="Times New Roman" w:cs="Times New Roman"/>
          <w:sz w:val="24"/>
          <w:lang w:val="en-GB"/>
        </w:rPr>
        <w:t>Instructions concerning specific positions</w:t>
      </w:r>
      <w:bookmarkEnd w:id="776"/>
      <w:bookmarkEnd w:id="777"/>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8640"/>
      </w:tblGrid>
      <w:tr w:rsidR="00FD54FC" w:rsidRPr="00661595" w:rsidTr="00672D2A">
        <w:tc>
          <w:tcPr>
            <w:tcW w:w="1188" w:type="dxa"/>
            <w:shd w:val="pct25" w:color="auto" w:fill="auto"/>
          </w:tcPr>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Columns</w:t>
            </w:r>
          </w:p>
          <w:p w:rsidR="00FD54FC" w:rsidRPr="00661595" w:rsidRDefault="00FD54FC" w:rsidP="00FD54FC">
            <w:pPr>
              <w:spacing w:before="0" w:after="0"/>
              <w:ind w:left="33"/>
              <w:rPr>
                <w:rFonts w:ascii="Times New Roman" w:hAnsi="Times New Roman"/>
                <w:bCs/>
                <w:sz w:val="24"/>
                <w:lang w:eastAsia="de-DE"/>
              </w:rPr>
            </w:pPr>
          </w:p>
        </w:tc>
        <w:tc>
          <w:tcPr>
            <w:tcW w:w="8640" w:type="dxa"/>
            <w:shd w:val="pct25" w:color="auto" w:fill="auto"/>
          </w:tcPr>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Instructions</w:t>
            </w:r>
          </w:p>
        </w:tc>
      </w:tr>
      <w:tr w:rsidR="00FD54FC" w:rsidRPr="00661595" w:rsidTr="00672D2A">
        <w:tc>
          <w:tcPr>
            <w:tcW w:w="1188" w:type="dxa"/>
            <w:tcBorders>
              <w:bottom w:val="single" w:sz="4" w:space="0" w:color="auto"/>
            </w:tcBorders>
          </w:tcPr>
          <w:p w:rsidR="00FD54FC" w:rsidRPr="00661595" w:rsidRDefault="00535792" w:rsidP="00B74792">
            <w:pPr>
              <w:spacing w:before="0" w:after="0"/>
              <w:ind w:left="33"/>
              <w:rPr>
                <w:rFonts w:ascii="Times New Roman" w:hAnsi="Times New Roman"/>
                <w:bCs/>
                <w:sz w:val="24"/>
                <w:lang w:eastAsia="de-DE"/>
              </w:rPr>
            </w:pPr>
            <w:r w:rsidRPr="00661595">
              <w:rPr>
                <w:rFonts w:ascii="Times New Roman" w:hAnsi="Times New Roman"/>
                <w:bCs/>
                <w:sz w:val="24"/>
                <w:lang w:eastAsia="de-DE"/>
              </w:rPr>
              <w:t>0</w:t>
            </w:r>
            <w:r w:rsidR="00FD54FC" w:rsidRPr="00661595">
              <w:rPr>
                <w:rFonts w:ascii="Times New Roman" w:hAnsi="Times New Roman"/>
                <w:bCs/>
                <w:sz w:val="24"/>
                <w:lang w:eastAsia="de-DE"/>
              </w:rPr>
              <w:t>010</w:t>
            </w:r>
            <w:r w:rsidR="00B74792" w:rsidRPr="00661595">
              <w:rPr>
                <w:rFonts w:ascii="Times New Roman" w:hAnsi="Times New Roman"/>
                <w:bCs/>
                <w:sz w:val="24"/>
                <w:lang w:eastAsia="de-DE"/>
              </w:rPr>
              <w:t>-</w:t>
            </w:r>
            <w:r w:rsidRPr="00661595">
              <w:rPr>
                <w:rFonts w:ascii="Times New Roman" w:hAnsi="Times New Roman"/>
                <w:bCs/>
                <w:sz w:val="24"/>
                <w:lang w:eastAsia="de-DE"/>
              </w:rPr>
              <w:t>0</w:t>
            </w:r>
            <w:r w:rsidR="00FD54FC" w:rsidRPr="00661595">
              <w:rPr>
                <w:rFonts w:ascii="Times New Roman" w:hAnsi="Times New Roman"/>
                <w:bCs/>
                <w:sz w:val="24"/>
                <w:lang w:eastAsia="de-DE"/>
              </w:rPr>
              <w:t>260</w:t>
            </w:r>
          </w:p>
        </w:tc>
        <w:tc>
          <w:tcPr>
            <w:tcW w:w="8640" w:type="dxa"/>
            <w:tcBorders>
              <w:bottom w:val="single" w:sz="4" w:space="0" w:color="auto"/>
            </w:tcBorders>
          </w:tcPr>
          <w:p w:rsidR="00FD54FC" w:rsidRPr="00661595" w:rsidRDefault="00FD54FC" w:rsidP="00FD54FC">
            <w:pPr>
              <w:spacing w:before="0" w:after="0"/>
              <w:ind w:left="33"/>
              <w:rPr>
                <w:rFonts w:ascii="Times New Roman" w:hAnsi="Times New Roman"/>
                <w:b/>
                <w:bCs/>
                <w:sz w:val="24"/>
                <w:u w:val="single"/>
                <w:lang w:eastAsia="de-DE"/>
              </w:rPr>
            </w:pPr>
            <w:r w:rsidRPr="00661595">
              <w:rPr>
                <w:rFonts w:ascii="Times New Roman" w:hAnsi="Times New Roman"/>
                <w:b/>
                <w:bCs/>
                <w:sz w:val="24"/>
                <w:u w:val="single"/>
                <w:lang w:eastAsia="de-DE"/>
              </w:rPr>
              <w:t xml:space="preserve">DIRECT EXPOSURES </w:t>
            </w:r>
          </w:p>
        </w:tc>
      </w:tr>
      <w:tr w:rsidR="00FD54FC" w:rsidRPr="00661595" w:rsidTr="00672D2A">
        <w:tc>
          <w:tcPr>
            <w:tcW w:w="1188" w:type="dxa"/>
          </w:tcPr>
          <w:p w:rsidR="00FD54FC" w:rsidRPr="00661595" w:rsidRDefault="00535792" w:rsidP="00B74792">
            <w:pPr>
              <w:spacing w:before="0" w:after="0"/>
              <w:ind w:left="33"/>
              <w:rPr>
                <w:rFonts w:ascii="Times New Roman" w:hAnsi="Times New Roman"/>
                <w:bCs/>
                <w:sz w:val="24"/>
                <w:lang w:eastAsia="de-DE"/>
              </w:rPr>
            </w:pPr>
            <w:r w:rsidRPr="00661595">
              <w:rPr>
                <w:rFonts w:ascii="Times New Roman" w:hAnsi="Times New Roman"/>
                <w:bCs/>
                <w:sz w:val="24"/>
                <w:lang w:eastAsia="de-DE"/>
              </w:rPr>
              <w:t>0</w:t>
            </w:r>
            <w:r w:rsidR="00FD54FC" w:rsidRPr="00661595">
              <w:rPr>
                <w:rFonts w:ascii="Times New Roman" w:hAnsi="Times New Roman"/>
                <w:bCs/>
                <w:sz w:val="24"/>
                <w:lang w:eastAsia="de-DE"/>
              </w:rPr>
              <w:t>010</w:t>
            </w:r>
            <w:r w:rsidR="00B74792" w:rsidRPr="00661595">
              <w:rPr>
                <w:rFonts w:ascii="Times New Roman" w:hAnsi="Times New Roman"/>
                <w:bCs/>
                <w:sz w:val="24"/>
                <w:lang w:eastAsia="de-DE"/>
              </w:rPr>
              <w:t>-</w:t>
            </w:r>
            <w:r w:rsidRPr="00661595">
              <w:rPr>
                <w:rFonts w:ascii="Times New Roman" w:hAnsi="Times New Roman"/>
                <w:bCs/>
                <w:sz w:val="24"/>
                <w:lang w:eastAsia="de-DE"/>
              </w:rPr>
              <w:t>0</w:t>
            </w:r>
            <w:r w:rsidR="00FD54FC" w:rsidRPr="00661595">
              <w:rPr>
                <w:rFonts w:ascii="Times New Roman" w:hAnsi="Times New Roman"/>
                <w:bCs/>
                <w:sz w:val="24"/>
                <w:lang w:eastAsia="de-DE"/>
              </w:rPr>
              <w:t>140</w:t>
            </w:r>
          </w:p>
        </w:tc>
        <w:tc>
          <w:tcPr>
            <w:tcW w:w="8640" w:type="dxa"/>
          </w:tcPr>
          <w:p w:rsidR="00FD54FC" w:rsidRPr="00661595" w:rsidRDefault="00FD54FC" w:rsidP="00FD54FC">
            <w:pPr>
              <w:spacing w:before="0" w:after="0"/>
              <w:ind w:left="33"/>
              <w:rPr>
                <w:rFonts w:ascii="Times New Roman" w:hAnsi="Times New Roman"/>
                <w:b/>
                <w:bCs/>
                <w:sz w:val="24"/>
                <w:u w:val="single"/>
                <w:lang w:eastAsia="de-DE"/>
              </w:rPr>
            </w:pPr>
            <w:r w:rsidRPr="00661595">
              <w:rPr>
                <w:rFonts w:ascii="Times New Roman" w:hAnsi="Times New Roman"/>
                <w:b/>
                <w:bCs/>
                <w:sz w:val="24"/>
                <w:u w:val="single"/>
                <w:lang w:eastAsia="de-DE"/>
              </w:rPr>
              <w:t>ON-BALANCE SHEET EXPOSURES</w:t>
            </w:r>
          </w:p>
        </w:tc>
      </w:tr>
      <w:tr w:rsidR="00FD54FC" w:rsidRPr="00661595" w:rsidTr="00672D2A">
        <w:tc>
          <w:tcPr>
            <w:tcW w:w="1188" w:type="dxa"/>
          </w:tcPr>
          <w:p w:rsidR="00FD54FC" w:rsidRPr="00661595" w:rsidRDefault="00535792"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0</w:t>
            </w:r>
            <w:r w:rsidR="00FD54FC" w:rsidRPr="00661595">
              <w:rPr>
                <w:rFonts w:ascii="Times New Roman" w:hAnsi="Times New Roman"/>
                <w:bCs/>
                <w:sz w:val="24"/>
                <w:lang w:eastAsia="de-DE"/>
              </w:rPr>
              <w:t>010</w:t>
            </w:r>
          </w:p>
        </w:tc>
        <w:tc>
          <w:tcPr>
            <w:tcW w:w="8640" w:type="dxa"/>
          </w:tcPr>
          <w:p w:rsidR="00FD54FC" w:rsidRPr="00661595" w:rsidRDefault="00FD54FC" w:rsidP="00FD54FC">
            <w:pPr>
              <w:spacing w:before="0" w:after="0"/>
              <w:ind w:left="33"/>
              <w:rPr>
                <w:rFonts w:ascii="Times New Roman" w:hAnsi="Times New Roman"/>
                <w:b/>
                <w:bCs/>
                <w:sz w:val="24"/>
                <w:u w:val="single"/>
                <w:lang w:eastAsia="de-DE"/>
              </w:rPr>
            </w:pPr>
            <w:r w:rsidRPr="00661595">
              <w:rPr>
                <w:rFonts w:ascii="Times New Roman" w:hAnsi="Times New Roman"/>
                <w:b/>
                <w:bCs/>
                <w:sz w:val="24"/>
                <w:u w:val="single"/>
                <w:lang w:eastAsia="de-DE"/>
              </w:rPr>
              <w:t>Total gross carrying amount of non-derivative financial assets</w:t>
            </w:r>
            <w:r w:rsidR="00730040" w:rsidRPr="00661595">
              <w:rPr>
                <w:rFonts w:ascii="Times New Roman" w:hAnsi="Times New Roman"/>
                <w:b/>
                <w:bCs/>
                <w:sz w:val="24"/>
                <w:u w:val="single"/>
                <w:lang w:eastAsia="de-DE"/>
              </w:rPr>
              <w:t xml:space="preserve"> </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FD54FC" w:rsidP="00FD54FC">
            <w:pPr>
              <w:spacing w:before="0" w:after="0"/>
              <w:ind w:left="33"/>
              <w:rPr>
                <w:rFonts w:ascii="Times New Roman" w:hAnsi="Times New Roman"/>
                <w:bCs/>
                <w:sz w:val="24"/>
                <w:lang w:eastAsia="de-DE"/>
              </w:rPr>
            </w:pPr>
            <w:r w:rsidRPr="00661595" w:rsidDel="008207D0">
              <w:rPr>
                <w:rFonts w:ascii="Times New Roman" w:hAnsi="Times New Roman"/>
                <w:bCs/>
                <w:sz w:val="24"/>
                <w:lang w:eastAsia="de-DE"/>
              </w:rPr>
              <w:t xml:space="preserve">Aggregate of </w:t>
            </w:r>
            <w:r w:rsidRPr="00661595">
              <w:rPr>
                <w:rFonts w:ascii="Times New Roman" w:hAnsi="Times New Roman"/>
                <w:bCs/>
                <w:sz w:val="24"/>
                <w:lang w:eastAsia="de-DE"/>
              </w:rPr>
              <w:t xml:space="preserve">gross carrying amount, as determined in accordance with paragraph </w:t>
            </w:r>
            <w:r w:rsidR="00245E37" w:rsidRPr="00661595">
              <w:rPr>
                <w:rFonts w:ascii="Times New Roman" w:hAnsi="Times New Roman"/>
                <w:bCs/>
                <w:sz w:val="24"/>
                <w:lang w:eastAsia="de-DE"/>
              </w:rPr>
              <w:t xml:space="preserve">34 </w:t>
            </w:r>
            <w:r w:rsidR="002F78EA" w:rsidRPr="00661595">
              <w:rPr>
                <w:rFonts w:ascii="Times New Roman" w:hAnsi="Times New Roman"/>
                <w:bCs/>
                <w:sz w:val="24"/>
                <w:lang w:eastAsia="de-DE"/>
              </w:rPr>
              <w:t>of Part 1 of Annex V to this Implementing Regulation</w:t>
            </w:r>
            <w:r w:rsidRPr="00661595">
              <w:rPr>
                <w:rFonts w:ascii="Times New Roman" w:hAnsi="Times New Roman"/>
                <w:bCs/>
                <w:sz w:val="24"/>
                <w:lang w:eastAsia="de-DE"/>
              </w:rPr>
              <w:t xml:space="preserve">, of non-derivative financial assets to General governments, for all accounting portfolios under IFRS or national GAAP based on BAD defined in paragraphs 15 to 22 </w:t>
            </w:r>
            <w:r w:rsidR="002F78EA" w:rsidRPr="00661595">
              <w:rPr>
                <w:rFonts w:ascii="Times New Roman" w:hAnsi="Times New Roman"/>
                <w:bCs/>
                <w:sz w:val="24"/>
                <w:lang w:eastAsia="de-DE"/>
              </w:rPr>
              <w:t>of Part 1 of Annex V to this Implementing</w:t>
            </w:r>
            <w:r w:rsidR="006B2333" w:rsidRPr="00661595">
              <w:rPr>
                <w:rFonts w:ascii="Times New Roman" w:hAnsi="Times New Roman"/>
                <w:bCs/>
                <w:sz w:val="24"/>
                <w:lang w:eastAsia="de-DE"/>
              </w:rPr>
              <w:t xml:space="preserve"> </w:t>
            </w:r>
            <w:r w:rsidR="002F78EA" w:rsidRPr="00661595">
              <w:rPr>
                <w:rFonts w:ascii="Times New Roman" w:hAnsi="Times New Roman"/>
                <w:bCs/>
                <w:sz w:val="24"/>
                <w:lang w:eastAsia="de-DE"/>
              </w:rPr>
              <w:t>Regulation</w:t>
            </w:r>
            <w:r w:rsidRPr="00661595">
              <w:rPr>
                <w:rFonts w:ascii="Times New Roman" w:hAnsi="Times New Roman"/>
                <w:bCs/>
                <w:sz w:val="24"/>
                <w:lang w:eastAsia="de-DE"/>
              </w:rPr>
              <w:t xml:space="preserve">, and listed in columns </w:t>
            </w:r>
            <w:r w:rsidR="00535792" w:rsidRPr="00661595">
              <w:rPr>
                <w:rFonts w:ascii="Times New Roman" w:hAnsi="Times New Roman"/>
                <w:bCs/>
                <w:sz w:val="24"/>
                <w:lang w:eastAsia="de-DE"/>
              </w:rPr>
              <w:t>0</w:t>
            </w:r>
            <w:r w:rsidRPr="00661595">
              <w:rPr>
                <w:rFonts w:ascii="Times New Roman" w:hAnsi="Times New Roman"/>
                <w:bCs/>
                <w:sz w:val="24"/>
                <w:lang w:eastAsia="de-DE"/>
              </w:rPr>
              <w:t xml:space="preserve">030 to </w:t>
            </w:r>
            <w:r w:rsidR="00535792" w:rsidRPr="00661595">
              <w:rPr>
                <w:rFonts w:ascii="Times New Roman" w:hAnsi="Times New Roman"/>
                <w:bCs/>
                <w:sz w:val="24"/>
                <w:lang w:eastAsia="de-DE"/>
              </w:rPr>
              <w:t>0</w:t>
            </w:r>
            <w:r w:rsidRPr="00661595">
              <w:rPr>
                <w:rFonts w:ascii="Times New Roman" w:hAnsi="Times New Roman"/>
                <w:bCs/>
                <w:sz w:val="24"/>
                <w:lang w:eastAsia="de-DE"/>
              </w:rPr>
              <w:t>120</w:t>
            </w:r>
            <w:r w:rsidR="00730040" w:rsidRPr="00661595">
              <w:rPr>
                <w:rFonts w:ascii="Times New Roman" w:hAnsi="Times New Roman"/>
                <w:bCs/>
                <w:sz w:val="24"/>
                <w:lang w:eastAsia="de-DE"/>
              </w:rPr>
              <w:t xml:space="preserve"> </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Prudent valuation adjustments shall not reduce the gross carrying amount of trading and non-trading exposures measured at fair value.</w:t>
            </w:r>
          </w:p>
          <w:p w:rsidR="00FD54FC" w:rsidRPr="00661595" w:rsidRDefault="00FD54FC" w:rsidP="00FD54FC">
            <w:pPr>
              <w:spacing w:before="0" w:after="0"/>
              <w:rPr>
                <w:rFonts w:ascii="Times New Roman" w:hAnsi="Times New Roman"/>
                <w:bCs/>
                <w:sz w:val="24"/>
                <w:lang w:eastAsia="de-DE"/>
              </w:rPr>
            </w:pPr>
          </w:p>
        </w:tc>
      </w:tr>
      <w:tr w:rsidR="00FD54FC" w:rsidRPr="00661595" w:rsidTr="00672D2A">
        <w:tc>
          <w:tcPr>
            <w:tcW w:w="1188" w:type="dxa"/>
          </w:tcPr>
          <w:p w:rsidR="00FD54FC" w:rsidRPr="00661595" w:rsidRDefault="00535792"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0</w:t>
            </w:r>
            <w:r w:rsidR="00FD54FC" w:rsidRPr="00661595">
              <w:rPr>
                <w:rFonts w:ascii="Times New Roman" w:hAnsi="Times New Roman"/>
                <w:bCs/>
                <w:sz w:val="24"/>
                <w:lang w:eastAsia="de-DE"/>
              </w:rPr>
              <w:t>020</w:t>
            </w:r>
          </w:p>
        </w:tc>
        <w:tc>
          <w:tcPr>
            <w:tcW w:w="8640" w:type="dxa"/>
          </w:tcPr>
          <w:p w:rsidR="00FD54FC" w:rsidRPr="00661595" w:rsidRDefault="00FD54FC" w:rsidP="00FD54FC">
            <w:pPr>
              <w:spacing w:before="0" w:after="0"/>
              <w:ind w:left="33"/>
              <w:rPr>
                <w:rFonts w:ascii="Times New Roman" w:hAnsi="Times New Roman"/>
                <w:b/>
                <w:bCs/>
                <w:sz w:val="24"/>
                <w:u w:val="single"/>
                <w:lang w:eastAsia="de-DE"/>
              </w:rPr>
            </w:pPr>
            <w:r w:rsidRPr="00661595">
              <w:rPr>
                <w:rFonts w:ascii="Times New Roman" w:hAnsi="Times New Roman"/>
                <w:b/>
                <w:bCs/>
                <w:sz w:val="24"/>
                <w:u w:val="single"/>
                <w:lang w:eastAsia="de-DE"/>
              </w:rPr>
              <w:t>Total carrying amount of non-derivative financial assets (net of short positions)</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Aggregate of the carrying amount</w:t>
            </w:r>
            <w:r w:rsidR="000E40DD" w:rsidRPr="00661595">
              <w:rPr>
                <w:rFonts w:ascii="Times New Roman" w:hAnsi="Times New Roman"/>
                <w:bCs/>
                <w:sz w:val="24"/>
                <w:lang w:eastAsia="de-DE"/>
              </w:rPr>
              <w:t>, as referred to in</w:t>
            </w:r>
            <w:r w:rsidRPr="00661595">
              <w:rPr>
                <w:rFonts w:ascii="Times New Roman" w:hAnsi="Times New Roman"/>
                <w:bCs/>
                <w:sz w:val="24"/>
                <w:lang w:eastAsia="de-DE"/>
              </w:rPr>
              <w:t xml:space="preserve"> paragraph 27 </w:t>
            </w:r>
            <w:r w:rsidR="002F78EA" w:rsidRPr="00661595">
              <w:rPr>
                <w:rFonts w:ascii="Times New Roman" w:hAnsi="Times New Roman"/>
                <w:bCs/>
                <w:sz w:val="24"/>
                <w:lang w:eastAsia="de-DE"/>
              </w:rPr>
              <w:t>of Part 1 of</w:t>
            </w:r>
            <w:r w:rsidRPr="00661595">
              <w:rPr>
                <w:rFonts w:ascii="Times New Roman" w:hAnsi="Times New Roman"/>
                <w:bCs/>
                <w:sz w:val="24"/>
                <w:lang w:eastAsia="de-DE"/>
              </w:rPr>
              <w:t xml:space="preserve"> Annex </w:t>
            </w:r>
            <w:r w:rsidR="002F78EA" w:rsidRPr="00661595">
              <w:rPr>
                <w:rFonts w:ascii="Times New Roman" w:hAnsi="Times New Roman"/>
                <w:bCs/>
                <w:sz w:val="24"/>
                <w:lang w:eastAsia="de-DE"/>
              </w:rPr>
              <w:t>V to this</w:t>
            </w:r>
            <w:r w:rsidR="000E40DD" w:rsidRPr="00661595">
              <w:rPr>
                <w:rFonts w:ascii="Times New Roman" w:hAnsi="Times New Roman"/>
                <w:bCs/>
                <w:sz w:val="24"/>
                <w:lang w:eastAsia="de-DE"/>
              </w:rPr>
              <w:t xml:space="preserve"> </w:t>
            </w:r>
            <w:r w:rsidR="006B2333" w:rsidRPr="00661595">
              <w:rPr>
                <w:rFonts w:ascii="Times New Roman" w:hAnsi="Times New Roman"/>
                <w:bCs/>
                <w:sz w:val="24"/>
                <w:lang w:eastAsia="de-DE"/>
              </w:rPr>
              <w:t xml:space="preserve">Implementing </w:t>
            </w:r>
            <w:r w:rsidR="000E40DD" w:rsidRPr="00661595">
              <w:rPr>
                <w:rFonts w:ascii="Times New Roman" w:hAnsi="Times New Roman"/>
                <w:bCs/>
                <w:sz w:val="24"/>
                <w:lang w:eastAsia="de-DE"/>
              </w:rPr>
              <w:t>Regulation</w:t>
            </w:r>
            <w:r w:rsidRPr="00661595">
              <w:rPr>
                <w:rFonts w:ascii="Times New Roman" w:hAnsi="Times New Roman"/>
                <w:bCs/>
                <w:sz w:val="24"/>
                <w:lang w:eastAsia="de-DE"/>
              </w:rPr>
              <w:t xml:space="preserve">, of non-derivative financial assets to General governments for all accounting portfolios under IFRS or national GAAP based on BAD defined in paragraphs 15 to 22 </w:t>
            </w:r>
            <w:r w:rsidR="002F78EA" w:rsidRPr="00661595">
              <w:rPr>
                <w:rFonts w:ascii="Times New Roman" w:hAnsi="Times New Roman"/>
                <w:bCs/>
                <w:sz w:val="24"/>
                <w:lang w:eastAsia="de-DE"/>
              </w:rPr>
              <w:t xml:space="preserve">of Part 1 of Annex V to this Implementing Regulation </w:t>
            </w:r>
            <w:r w:rsidRPr="00661595">
              <w:rPr>
                <w:rFonts w:ascii="Times New Roman" w:hAnsi="Times New Roman"/>
                <w:bCs/>
                <w:sz w:val="24"/>
                <w:lang w:eastAsia="de-DE"/>
              </w:rPr>
              <w:t xml:space="preserve">and listed in columns </w:t>
            </w:r>
            <w:r w:rsidR="00535792" w:rsidRPr="00661595">
              <w:rPr>
                <w:rFonts w:ascii="Times New Roman" w:hAnsi="Times New Roman"/>
                <w:bCs/>
                <w:sz w:val="24"/>
                <w:lang w:eastAsia="de-DE"/>
              </w:rPr>
              <w:t>0</w:t>
            </w:r>
            <w:r w:rsidRPr="00661595">
              <w:rPr>
                <w:rFonts w:ascii="Times New Roman" w:hAnsi="Times New Roman"/>
                <w:bCs/>
                <w:sz w:val="24"/>
                <w:lang w:eastAsia="de-DE"/>
              </w:rPr>
              <w:t xml:space="preserve">030 to </w:t>
            </w:r>
            <w:r w:rsidR="00535792" w:rsidRPr="00661595">
              <w:rPr>
                <w:rFonts w:ascii="Times New Roman" w:hAnsi="Times New Roman"/>
                <w:bCs/>
                <w:sz w:val="24"/>
                <w:lang w:eastAsia="de-DE"/>
              </w:rPr>
              <w:t>0</w:t>
            </w:r>
            <w:r w:rsidRPr="00661595">
              <w:rPr>
                <w:rFonts w:ascii="Times New Roman" w:hAnsi="Times New Roman"/>
                <w:bCs/>
                <w:sz w:val="24"/>
                <w:lang w:eastAsia="de-DE"/>
              </w:rPr>
              <w:t>120, net of short positions</w:t>
            </w:r>
            <w:r w:rsidR="00B14253" w:rsidRPr="00661595">
              <w:rPr>
                <w:rFonts w:ascii="Times New Roman" w:hAnsi="Times New Roman"/>
                <w:bCs/>
                <w:sz w:val="24"/>
                <w:lang w:eastAsia="de-DE"/>
              </w:rPr>
              <w:t>.</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Whe</w:t>
            </w:r>
            <w:r w:rsidR="00B14253" w:rsidRPr="00661595">
              <w:rPr>
                <w:rFonts w:ascii="Times New Roman" w:hAnsi="Times New Roman"/>
                <w:bCs/>
                <w:sz w:val="24"/>
                <w:lang w:eastAsia="de-DE"/>
              </w:rPr>
              <w:t>re</w:t>
            </w:r>
            <w:r w:rsidRPr="00661595">
              <w:rPr>
                <w:rFonts w:ascii="Times New Roman" w:hAnsi="Times New Roman"/>
                <w:bCs/>
                <w:sz w:val="24"/>
                <w:lang w:eastAsia="de-DE"/>
              </w:rPr>
              <w:t xml:space="preserve"> the institution has a short position for the same residual maturity</w:t>
            </w:r>
            <w:r w:rsidR="000E40DD" w:rsidRPr="00661595">
              <w:rPr>
                <w:rFonts w:ascii="Times New Roman" w:hAnsi="Times New Roman"/>
                <w:bCs/>
                <w:sz w:val="24"/>
                <w:lang w:eastAsia="de-DE"/>
              </w:rPr>
              <w:t xml:space="preserve"> and</w:t>
            </w:r>
            <w:r w:rsidR="00D95045" w:rsidRPr="00661595">
              <w:rPr>
                <w:rFonts w:ascii="Times New Roman" w:hAnsi="Times New Roman"/>
                <w:bCs/>
                <w:sz w:val="24"/>
                <w:lang w:eastAsia="de-DE"/>
              </w:rPr>
              <w:t xml:space="preserve"> </w:t>
            </w:r>
            <w:r w:rsidRPr="00661595">
              <w:rPr>
                <w:rFonts w:ascii="Times New Roman" w:hAnsi="Times New Roman"/>
                <w:bCs/>
                <w:sz w:val="24"/>
                <w:lang w:eastAsia="de-DE"/>
              </w:rPr>
              <w:t>the same immediate counterparty</w:t>
            </w:r>
            <w:r w:rsidR="00D95045" w:rsidRPr="00661595">
              <w:rPr>
                <w:rFonts w:ascii="Times New Roman" w:hAnsi="Times New Roman"/>
                <w:bCs/>
                <w:sz w:val="24"/>
                <w:lang w:eastAsia="de-DE"/>
              </w:rPr>
              <w:t xml:space="preserve"> </w:t>
            </w:r>
            <w:r w:rsidR="00607523" w:rsidRPr="00661595">
              <w:rPr>
                <w:rFonts w:ascii="Times New Roman" w:hAnsi="Times New Roman"/>
                <w:bCs/>
                <w:sz w:val="24"/>
                <w:lang w:eastAsia="de-DE"/>
              </w:rPr>
              <w:t xml:space="preserve">that </w:t>
            </w:r>
            <w:r w:rsidR="003D199D" w:rsidRPr="00661595">
              <w:rPr>
                <w:rFonts w:ascii="Times New Roman" w:hAnsi="Times New Roman"/>
                <w:bCs/>
                <w:sz w:val="24"/>
                <w:lang w:eastAsia="de-DE"/>
              </w:rPr>
              <w:t xml:space="preserve">is </w:t>
            </w:r>
            <w:r w:rsidR="00D95045" w:rsidRPr="00661595">
              <w:rPr>
                <w:rFonts w:ascii="Times New Roman" w:hAnsi="Times New Roman"/>
                <w:bCs/>
                <w:sz w:val="24"/>
                <w:lang w:eastAsia="de-DE"/>
              </w:rPr>
              <w:t>denominated in the same currency</w:t>
            </w:r>
            <w:r w:rsidRPr="00661595">
              <w:rPr>
                <w:rFonts w:ascii="Times New Roman" w:hAnsi="Times New Roman"/>
                <w:bCs/>
                <w:sz w:val="24"/>
                <w:lang w:eastAsia="de-DE"/>
              </w:rPr>
              <w:t>,</w:t>
            </w:r>
            <w:r w:rsidRPr="00661595" w:rsidDel="00501397">
              <w:rPr>
                <w:rFonts w:ascii="Times New Roman" w:hAnsi="Times New Roman"/>
                <w:bCs/>
                <w:sz w:val="24"/>
                <w:lang w:eastAsia="de-DE"/>
              </w:rPr>
              <w:t xml:space="preserve"> the </w:t>
            </w:r>
            <w:r w:rsidRPr="00661595">
              <w:rPr>
                <w:rFonts w:ascii="Times New Roman" w:hAnsi="Times New Roman"/>
                <w:bCs/>
                <w:sz w:val="24"/>
                <w:lang w:eastAsia="de-DE"/>
              </w:rPr>
              <w:t xml:space="preserve">carrying amount </w:t>
            </w:r>
            <w:r w:rsidRPr="00661595" w:rsidDel="00501397">
              <w:rPr>
                <w:rFonts w:ascii="Times New Roman" w:hAnsi="Times New Roman"/>
                <w:bCs/>
                <w:sz w:val="24"/>
                <w:lang w:eastAsia="de-DE"/>
              </w:rPr>
              <w:t xml:space="preserve">of </w:t>
            </w:r>
            <w:r w:rsidRPr="00661595">
              <w:rPr>
                <w:rFonts w:ascii="Times New Roman" w:hAnsi="Times New Roman"/>
                <w:bCs/>
                <w:sz w:val="24"/>
                <w:lang w:eastAsia="de-DE"/>
              </w:rPr>
              <w:t>the short position shall be</w:t>
            </w:r>
            <w:r w:rsidRPr="00661595" w:rsidDel="00501397">
              <w:rPr>
                <w:rFonts w:ascii="Times New Roman" w:hAnsi="Times New Roman"/>
                <w:bCs/>
                <w:sz w:val="24"/>
                <w:lang w:eastAsia="de-DE"/>
              </w:rPr>
              <w:t xml:space="preserve"> netted against</w:t>
            </w:r>
            <w:r w:rsidRPr="00661595">
              <w:rPr>
                <w:rFonts w:ascii="Times New Roman" w:hAnsi="Times New Roman"/>
                <w:bCs/>
                <w:sz w:val="24"/>
                <w:lang w:eastAsia="de-DE"/>
              </w:rPr>
              <w:t xml:space="preserve"> the carrying amount of the direct </w:t>
            </w:r>
            <w:r w:rsidRPr="00661595" w:rsidDel="00501397">
              <w:rPr>
                <w:rFonts w:ascii="Times New Roman" w:hAnsi="Times New Roman"/>
                <w:bCs/>
                <w:sz w:val="24"/>
                <w:lang w:eastAsia="de-DE"/>
              </w:rPr>
              <w:t>position</w:t>
            </w:r>
            <w:r w:rsidRPr="00661595">
              <w:rPr>
                <w:rFonts w:ascii="Times New Roman" w:hAnsi="Times New Roman"/>
                <w:bCs/>
                <w:sz w:val="24"/>
                <w:lang w:eastAsia="de-DE"/>
              </w:rPr>
              <w:t>. Th</w:t>
            </w:r>
            <w:r w:rsidR="00B14253" w:rsidRPr="00661595">
              <w:rPr>
                <w:rFonts w:ascii="Times New Roman" w:hAnsi="Times New Roman"/>
                <w:bCs/>
                <w:sz w:val="24"/>
                <w:lang w:eastAsia="de-DE"/>
              </w:rPr>
              <w:t>at</w:t>
            </w:r>
            <w:r w:rsidRPr="00661595">
              <w:rPr>
                <w:rFonts w:ascii="Times New Roman" w:hAnsi="Times New Roman"/>
                <w:bCs/>
                <w:sz w:val="24"/>
                <w:lang w:eastAsia="de-DE"/>
              </w:rPr>
              <w:t xml:space="preserve"> net amount shall be considered </w:t>
            </w:r>
            <w:r w:rsidR="00B14253" w:rsidRPr="00661595">
              <w:rPr>
                <w:rFonts w:ascii="Times New Roman" w:hAnsi="Times New Roman"/>
                <w:bCs/>
                <w:sz w:val="24"/>
                <w:lang w:eastAsia="de-DE"/>
              </w:rPr>
              <w:t>to be</w:t>
            </w:r>
            <w:r w:rsidRPr="00661595">
              <w:rPr>
                <w:rFonts w:ascii="Times New Roman" w:hAnsi="Times New Roman"/>
                <w:bCs/>
                <w:sz w:val="24"/>
                <w:lang w:eastAsia="de-DE"/>
              </w:rPr>
              <w:t xml:space="preserve"> zero when it is a negative amount</w:t>
            </w:r>
            <w:r w:rsidRPr="00661595" w:rsidDel="00501397">
              <w:rPr>
                <w:rFonts w:ascii="Times New Roman" w:hAnsi="Times New Roman"/>
                <w:bCs/>
                <w:sz w:val="24"/>
                <w:lang w:eastAsia="de-DE"/>
              </w:rPr>
              <w:t>.</w:t>
            </w:r>
            <w:r w:rsidR="00454026" w:rsidRPr="00661595">
              <w:rPr>
                <w:rFonts w:ascii="Times New Roman" w:hAnsi="Times New Roman"/>
                <w:bCs/>
                <w:sz w:val="24"/>
                <w:lang w:eastAsia="de-DE"/>
              </w:rPr>
              <w:t xml:space="preserve"> Where an institution has a short position without a matching direct position, the amount of the short position shall be considered zero for the purposes of this column. </w:t>
            </w:r>
          </w:p>
          <w:p w:rsidR="00FD54FC" w:rsidRPr="00661595" w:rsidDel="00FB1EBF" w:rsidRDefault="00FD54FC" w:rsidP="00454026">
            <w:pPr>
              <w:spacing w:before="0" w:after="0"/>
              <w:ind w:left="33"/>
              <w:rPr>
                <w:rFonts w:ascii="Times New Roman" w:hAnsi="Times New Roman"/>
                <w:bCs/>
                <w:sz w:val="24"/>
                <w:lang w:eastAsia="de-DE"/>
              </w:rPr>
            </w:pPr>
          </w:p>
        </w:tc>
      </w:tr>
      <w:tr w:rsidR="00FD54FC" w:rsidRPr="00661595" w:rsidTr="00672D2A">
        <w:tc>
          <w:tcPr>
            <w:tcW w:w="1188" w:type="dxa"/>
          </w:tcPr>
          <w:p w:rsidR="00FD54FC" w:rsidRPr="00661595" w:rsidRDefault="00535792"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0</w:t>
            </w:r>
            <w:r w:rsidR="00FD54FC" w:rsidRPr="00661595">
              <w:rPr>
                <w:rFonts w:ascii="Times New Roman" w:hAnsi="Times New Roman"/>
                <w:bCs/>
                <w:sz w:val="24"/>
                <w:lang w:eastAsia="de-DE"/>
              </w:rPr>
              <w:t>030-</w:t>
            </w:r>
            <w:r w:rsidRPr="00661595">
              <w:rPr>
                <w:rFonts w:ascii="Times New Roman" w:hAnsi="Times New Roman"/>
                <w:bCs/>
                <w:sz w:val="24"/>
                <w:lang w:eastAsia="de-DE"/>
              </w:rPr>
              <w:t>0</w:t>
            </w:r>
            <w:r w:rsidR="00FD54FC" w:rsidRPr="00661595">
              <w:rPr>
                <w:rFonts w:ascii="Times New Roman" w:hAnsi="Times New Roman"/>
                <w:bCs/>
                <w:sz w:val="24"/>
                <w:lang w:eastAsia="de-DE"/>
              </w:rPr>
              <w:t>120</w:t>
            </w:r>
          </w:p>
        </w:tc>
        <w:tc>
          <w:tcPr>
            <w:tcW w:w="8640" w:type="dxa"/>
          </w:tcPr>
          <w:p w:rsidR="00FD54FC" w:rsidRPr="00661595" w:rsidRDefault="00FD54FC" w:rsidP="00FD54FC">
            <w:pPr>
              <w:spacing w:before="0" w:after="0"/>
              <w:ind w:left="33"/>
              <w:rPr>
                <w:rFonts w:ascii="Times New Roman" w:hAnsi="Times New Roman"/>
                <w:b/>
                <w:bCs/>
                <w:sz w:val="24"/>
                <w:u w:val="single"/>
                <w:lang w:eastAsia="de-DE"/>
              </w:rPr>
            </w:pPr>
            <w:r w:rsidRPr="00661595">
              <w:rPr>
                <w:rFonts w:ascii="Times New Roman" w:hAnsi="Times New Roman"/>
                <w:b/>
                <w:bCs/>
                <w:sz w:val="24"/>
                <w:u w:val="single"/>
                <w:lang w:eastAsia="de-DE"/>
              </w:rPr>
              <w:t>NON-DERIVATIVE FINANCIAL ASSETS BY ACCOUNTING PORTFOLIOS</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 xml:space="preserve">Aggregate carrying amount of non-derivative financial assets, as defined </w:t>
            </w:r>
            <w:r w:rsidR="000E40DD" w:rsidRPr="00661595">
              <w:rPr>
                <w:rFonts w:ascii="Times New Roman" w:hAnsi="Times New Roman"/>
                <w:bCs/>
                <w:sz w:val="24"/>
                <w:lang w:eastAsia="de-DE"/>
              </w:rPr>
              <w:t>in the row above of this table</w:t>
            </w:r>
            <w:r w:rsidRPr="00661595">
              <w:rPr>
                <w:rFonts w:ascii="Times New Roman" w:hAnsi="Times New Roman"/>
                <w:bCs/>
                <w:sz w:val="24"/>
                <w:lang w:eastAsia="de-DE"/>
              </w:rPr>
              <w:t xml:space="preserve">, </w:t>
            </w:r>
            <w:r w:rsidRPr="00661595" w:rsidDel="00501397">
              <w:rPr>
                <w:rFonts w:ascii="Times New Roman" w:hAnsi="Times New Roman"/>
                <w:bCs/>
                <w:sz w:val="24"/>
                <w:lang w:eastAsia="de-DE"/>
              </w:rPr>
              <w:t>to General governments</w:t>
            </w:r>
            <w:r w:rsidR="000E40DD" w:rsidRPr="00661595">
              <w:rPr>
                <w:rFonts w:ascii="Times New Roman" w:hAnsi="Times New Roman"/>
                <w:bCs/>
                <w:sz w:val="24"/>
                <w:lang w:eastAsia="de-DE"/>
              </w:rPr>
              <w:t>, broken down</w:t>
            </w:r>
            <w:r w:rsidRPr="00661595">
              <w:rPr>
                <w:rFonts w:ascii="Times New Roman" w:hAnsi="Times New Roman"/>
                <w:bCs/>
                <w:sz w:val="24"/>
                <w:lang w:eastAsia="de-DE"/>
              </w:rPr>
              <w:t xml:space="preserve"> by accounting portfolio under the applicable accounting framework</w:t>
            </w:r>
            <w:r w:rsidR="00454026" w:rsidRPr="00661595">
              <w:rPr>
                <w:rFonts w:ascii="Times New Roman" w:hAnsi="Times New Roman"/>
                <w:bCs/>
                <w:sz w:val="24"/>
                <w:lang w:eastAsia="de-DE"/>
              </w:rPr>
              <w:t>.</w:t>
            </w:r>
          </w:p>
          <w:p w:rsidR="00FD54FC" w:rsidRPr="00661595" w:rsidDel="00FB1EBF" w:rsidRDefault="00FD54FC" w:rsidP="00FD54FC">
            <w:pPr>
              <w:spacing w:before="0" w:after="0"/>
              <w:ind w:left="33"/>
              <w:rPr>
                <w:rFonts w:ascii="Times New Roman" w:hAnsi="Times New Roman"/>
                <w:bCs/>
                <w:sz w:val="24"/>
                <w:lang w:eastAsia="de-DE"/>
              </w:rPr>
            </w:pPr>
          </w:p>
        </w:tc>
      </w:tr>
      <w:tr w:rsidR="00FD54FC" w:rsidRPr="00661595" w:rsidTr="00672D2A">
        <w:tc>
          <w:tcPr>
            <w:tcW w:w="1188" w:type="dxa"/>
          </w:tcPr>
          <w:p w:rsidR="00FD54FC" w:rsidRPr="00661595" w:rsidRDefault="00535792"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0</w:t>
            </w:r>
            <w:r w:rsidR="00FD54FC" w:rsidRPr="00661595">
              <w:rPr>
                <w:rFonts w:ascii="Times New Roman" w:hAnsi="Times New Roman"/>
                <w:bCs/>
                <w:sz w:val="24"/>
                <w:lang w:eastAsia="de-DE"/>
              </w:rPr>
              <w:t>030</w:t>
            </w:r>
          </w:p>
        </w:tc>
        <w:tc>
          <w:tcPr>
            <w:tcW w:w="8640" w:type="dxa"/>
          </w:tcPr>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
                <w:bCs/>
                <w:sz w:val="24"/>
                <w:u w:val="single"/>
                <w:lang w:eastAsia="de-DE"/>
              </w:rPr>
              <w:t>Financial assets held for trading</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1C79CB"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 xml:space="preserve">IFRS 7.8(a)(ii); IFRS 9 Appendix </w:t>
            </w:r>
            <w:r w:rsidR="00FD54FC" w:rsidRPr="00661595">
              <w:rPr>
                <w:rFonts w:ascii="Times New Roman" w:hAnsi="Times New Roman"/>
                <w:bCs/>
                <w:sz w:val="24"/>
                <w:lang w:eastAsia="de-DE"/>
              </w:rPr>
              <w:t>A</w:t>
            </w:r>
          </w:p>
          <w:p w:rsidR="00FD54FC" w:rsidRPr="00661595" w:rsidDel="00FB1EBF" w:rsidRDefault="00FD54FC" w:rsidP="00FD54FC">
            <w:pPr>
              <w:spacing w:before="0" w:after="0"/>
              <w:ind w:left="33"/>
              <w:rPr>
                <w:rFonts w:ascii="Times New Roman" w:hAnsi="Times New Roman"/>
                <w:bCs/>
                <w:sz w:val="24"/>
                <w:lang w:eastAsia="de-DE"/>
              </w:rPr>
            </w:pPr>
          </w:p>
        </w:tc>
      </w:tr>
      <w:tr w:rsidR="00FD54FC" w:rsidRPr="00661595" w:rsidTr="00672D2A">
        <w:tc>
          <w:tcPr>
            <w:tcW w:w="1188" w:type="dxa"/>
          </w:tcPr>
          <w:p w:rsidR="00FD54FC" w:rsidRPr="00661595" w:rsidRDefault="00535792"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0</w:t>
            </w:r>
            <w:r w:rsidR="00FD54FC" w:rsidRPr="00661595" w:rsidDel="00501397">
              <w:rPr>
                <w:rFonts w:ascii="Times New Roman" w:hAnsi="Times New Roman"/>
                <w:bCs/>
                <w:sz w:val="24"/>
                <w:lang w:eastAsia="de-DE"/>
              </w:rPr>
              <w:t>0</w:t>
            </w:r>
            <w:r w:rsidR="00FD54FC" w:rsidRPr="00661595">
              <w:rPr>
                <w:rFonts w:ascii="Times New Roman" w:hAnsi="Times New Roman"/>
                <w:bCs/>
                <w:sz w:val="24"/>
                <w:lang w:eastAsia="de-DE"/>
              </w:rPr>
              <w:t>40</w:t>
            </w:r>
          </w:p>
        </w:tc>
        <w:tc>
          <w:tcPr>
            <w:tcW w:w="8640" w:type="dxa"/>
          </w:tcPr>
          <w:p w:rsidR="00FD54FC" w:rsidRPr="00661595" w:rsidRDefault="00FD54FC" w:rsidP="00FD54FC">
            <w:pPr>
              <w:spacing w:before="0" w:after="0"/>
              <w:ind w:left="33"/>
              <w:rPr>
                <w:rFonts w:ascii="Times New Roman" w:hAnsi="Times New Roman"/>
                <w:b/>
                <w:bCs/>
                <w:sz w:val="24"/>
                <w:u w:val="single"/>
                <w:lang w:eastAsia="de-DE"/>
              </w:rPr>
            </w:pPr>
            <w:r w:rsidRPr="00661595">
              <w:rPr>
                <w:rFonts w:ascii="Times New Roman" w:hAnsi="Times New Roman"/>
                <w:b/>
                <w:bCs/>
                <w:sz w:val="24"/>
                <w:u w:val="single"/>
                <w:lang w:eastAsia="de-DE"/>
              </w:rPr>
              <w:t>Trading financial assets</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245E37"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 xml:space="preserve">Articles </w:t>
            </w:r>
            <w:r w:rsidR="00FD54FC" w:rsidRPr="00661595">
              <w:rPr>
                <w:rFonts w:ascii="Times New Roman" w:hAnsi="Times New Roman"/>
                <w:bCs/>
                <w:sz w:val="24"/>
                <w:lang w:eastAsia="de-DE"/>
              </w:rPr>
              <w:t>32</w:t>
            </w:r>
            <w:r w:rsidR="00B14253" w:rsidRPr="00661595">
              <w:rPr>
                <w:rFonts w:ascii="Times New Roman" w:hAnsi="Times New Roman"/>
                <w:bCs/>
                <w:sz w:val="24"/>
                <w:lang w:eastAsia="de-DE"/>
              </w:rPr>
              <w:t xml:space="preserve"> and </w:t>
            </w:r>
            <w:r w:rsidR="00FD54FC" w:rsidRPr="00661595">
              <w:rPr>
                <w:rFonts w:ascii="Times New Roman" w:hAnsi="Times New Roman"/>
                <w:bCs/>
                <w:sz w:val="24"/>
                <w:lang w:eastAsia="de-DE"/>
              </w:rPr>
              <w:t>33</w:t>
            </w:r>
            <w:r w:rsidR="002B004B" w:rsidRPr="00661595">
              <w:rPr>
                <w:rFonts w:ascii="Times New Roman" w:hAnsi="Times New Roman"/>
                <w:bCs/>
                <w:sz w:val="24"/>
                <w:lang w:eastAsia="de-DE"/>
              </w:rPr>
              <w:t xml:space="preserve"> BAD</w:t>
            </w:r>
            <w:r w:rsidR="00FD54FC" w:rsidRPr="00661595">
              <w:rPr>
                <w:rFonts w:ascii="Times New Roman" w:hAnsi="Times New Roman"/>
                <w:bCs/>
                <w:sz w:val="24"/>
                <w:lang w:eastAsia="de-DE"/>
              </w:rPr>
              <w:t xml:space="preserve">; </w:t>
            </w:r>
            <w:r w:rsidR="000E40DD" w:rsidRPr="00661595">
              <w:rPr>
                <w:rFonts w:ascii="Times New Roman" w:hAnsi="Times New Roman"/>
                <w:bCs/>
                <w:sz w:val="24"/>
                <w:lang w:eastAsia="de-DE"/>
              </w:rPr>
              <w:t xml:space="preserve">Paragraph 16 of </w:t>
            </w:r>
            <w:r w:rsidR="002F78EA" w:rsidRPr="00661595">
              <w:rPr>
                <w:rFonts w:ascii="Times New Roman" w:hAnsi="Times New Roman"/>
                <w:bCs/>
                <w:sz w:val="24"/>
                <w:lang w:eastAsia="de-DE"/>
              </w:rPr>
              <w:t>Part 1 of Annex V to this Implementing Regulation</w:t>
            </w:r>
            <w:r w:rsidR="00FD54FC" w:rsidRPr="00661595">
              <w:rPr>
                <w:rFonts w:ascii="Times New Roman" w:hAnsi="Times New Roman"/>
                <w:bCs/>
                <w:sz w:val="24"/>
                <w:lang w:eastAsia="de-DE"/>
              </w:rPr>
              <w:t xml:space="preserve">; </w:t>
            </w:r>
            <w:r w:rsidR="002B004B" w:rsidRPr="00661595">
              <w:rPr>
                <w:rFonts w:ascii="Times New Roman" w:hAnsi="Times New Roman"/>
                <w:bCs/>
                <w:sz w:val="24"/>
                <w:lang w:eastAsia="de-DE"/>
              </w:rPr>
              <w:t xml:space="preserve">point (a) of Article 8(1) </w:t>
            </w:r>
            <w:r w:rsidR="002F78EA" w:rsidRPr="00661595">
              <w:rPr>
                <w:rFonts w:ascii="Times New Roman" w:hAnsi="Times New Roman"/>
                <w:bCs/>
                <w:sz w:val="24"/>
                <w:lang w:eastAsia="de-DE"/>
              </w:rPr>
              <w:t>AD</w:t>
            </w:r>
          </w:p>
          <w:p w:rsidR="002F78EA" w:rsidRPr="00661595" w:rsidRDefault="002F78EA" w:rsidP="00FD54FC">
            <w:pPr>
              <w:spacing w:before="0" w:after="0"/>
              <w:ind w:left="33"/>
              <w:rPr>
                <w:rFonts w:ascii="Times New Roman" w:hAnsi="Times New Roman"/>
                <w:bCs/>
                <w:sz w:val="24"/>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Only to be reported by institutions under national Generally Accepted</w:t>
            </w:r>
            <w:r w:rsidR="002B004B" w:rsidRPr="00661595">
              <w:rPr>
                <w:rFonts w:ascii="Times New Roman" w:hAnsi="Times New Roman"/>
                <w:bCs/>
                <w:sz w:val="24"/>
                <w:lang w:eastAsia="de-DE"/>
              </w:rPr>
              <w:t xml:space="preserve"> </w:t>
            </w:r>
            <w:r w:rsidRPr="00661595">
              <w:rPr>
                <w:rFonts w:ascii="Times New Roman" w:hAnsi="Times New Roman"/>
                <w:bCs/>
                <w:sz w:val="24"/>
                <w:lang w:eastAsia="de-DE"/>
              </w:rPr>
              <w:t>Accounting Principles (GAAP).</w:t>
            </w:r>
          </w:p>
          <w:p w:rsidR="00FD54FC" w:rsidRPr="00661595" w:rsidDel="00FB1EBF" w:rsidRDefault="00FD54FC" w:rsidP="00FD54FC">
            <w:pPr>
              <w:spacing w:before="0" w:after="0"/>
              <w:ind w:left="33"/>
              <w:rPr>
                <w:rFonts w:ascii="Times New Roman" w:hAnsi="Times New Roman"/>
                <w:bCs/>
                <w:sz w:val="24"/>
                <w:lang w:eastAsia="de-DE"/>
              </w:rPr>
            </w:pPr>
          </w:p>
        </w:tc>
      </w:tr>
      <w:tr w:rsidR="00FD54FC" w:rsidRPr="00661595" w:rsidTr="00672D2A">
        <w:tc>
          <w:tcPr>
            <w:tcW w:w="1188" w:type="dxa"/>
          </w:tcPr>
          <w:p w:rsidR="00FD54FC" w:rsidRPr="00661595" w:rsidRDefault="00535792"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0</w:t>
            </w:r>
            <w:r w:rsidR="00FD54FC" w:rsidRPr="00661595">
              <w:rPr>
                <w:rFonts w:ascii="Times New Roman" w:hAnsi="Times New Roman"/>
                <w:bCs/>
                <w:sz w:val="24"/>
                <w:lang w:eastAsia="de-DE"/>
              </w:rPr>
              <w:t>050</w:t>
            </w:r>
          </w:p>
        </w:tc>
        <w:tc>
          <w:tcPr>
            <w:tcW w:w="8640" w:type="dxa"/>
          </w:tcPr>
          <w:p w:rsidR="00FD54FC" w:rsidRPr="00661595" w:rsidRDefault="00FD54FC" w:rsidP="00FD54FC">
            <w:pPr>
              <w:spacing w:before="0" w:after="0"/>
              <w:ind w:left="33"/>
              <w:rPr>
                <w:rFonts w:ascii="Times New Roman" w:hAnsi="Times New Roman"/>
                <w:b/>
                <w:bCs/>
                <w:sz w:val="24"/>
                <w:u w:val="single"/>
                <w:lang w:eastAsia="de-DE"/>
              </w:rPr>
            </w:pPr>
            <w:r w:rsidRPr="00661595">
              <w:rPr>
                <w:rFonts w:ascii="Times New Roman" w:hAnsi="Times New Roman"/>
                <w:b/>
                <w:bCs/>
                <w:sz w:val="24"/>
                <w:u w:val="single"/>
                <w:lang w:eastAsia="de-DE"/>
              </w:rPr>
              <w:t>Non-trading financial assets mandatorily at fair value through profit or loss</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IFRS 7.8(a)(ii); IFRS 9.4.1.4</w:t>
            </w:r>
          </w:p>
          <w:p w:rsidR="00FD54FC" w:rsidRPr="00661595" w:rsidRDefault="00FD54FC" w:rsidP="00FD54FC">
            <w:pPr>
              <w:spacing w:before="0" w:after="0"/>
              <w:ind w:left="33"/>
              <w:rPr>
                <w:rFonts w:ascii="Times New Roman" w:hAnsi="Times New Roman"/>
                <w:bCs/>
                <w:sz w:val="24"/>
                <w:lang w:eastAsia="de-DE"/>
              </w:rPr>
            </w:pPr>
          </w:p>
        </w:tc>
      </w:tr>
      <w:tr w:rsidR="00FD54FC" w:rsidRPr="00661595" w:rsidTr="00672D2A">
        <w:tc>
          <w:tcPr>
            <w:tcW w:w="1188" w:type="dxa"/>
          </w:tcPr>
          <w:p w:rsidR="00FD54FC" w:rsidRPr="00661595" w:rsidRDefault="00535792"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0</w:t>
            </w:r>
            <w:r w:rsidR="00FD54FC" w:rsidRPr="00661595">
              <w:rPr>
                <w:rFonts w:ascii="Times New Roman" w:hAnsi="Times New Roman"/>
                <w:bCs/>
                <w:sz w:val="24"/>
                <w:lang w:eastAsia="de-DE"/>
              </w:rPr>
              <w:t>060</w:t>
            </w:r>
          </w:p>
        </w:tc>
        <w:tc>
          <w:tcPr>
            <w:tcW w:w="8640" w:type="dxa"/>
          </w:tcPr>
          <w:p w:rsidR="00FD54FC" w:rsidRPr="00661595" w:rsidRDefault="00FD54FC" w:rsidP="00FD54FC">
            <w:pPr>
              <w:spacing w:before="0" w:after="0"/>
              <w:ind w:left="33"/>
              <w:rPr>
                <w:rFonts w:ascii="Times New Roman" w:hAnsi="Times New Roman"/>
                <w:b/>
                <w:bCs/>
                <w:sz w:val="24"/>
                <w:u w:val="single"/>
                <w:lang w:eastAsia="de-DE"/>
              </w:rPr>
            </w:pPr>
            <w:r w:rsidRPr="00661595">
              <w:rPr>
                <w:rFonts w:ascii="Times New Roman" w:hAnsi="Times New Roman"/>
                <w:b/>
                <w:bCs/>
                <w:sz w:val="24"/>
                <w:u w:val="single"/>
                <w:lang w:eastAsia="de-DE"/>
              </w:rPr>
              <w:t>Financial assets designated at fair value through profit or loss</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 xml:space="preserve">IFRS 7.8(a)(i); IFRS 9.4.1.5 and </w:t>
            </w:r>
            <w:r w:rsidR="002B004B" w:rsidRPr="00661595">
              <w:rPr>
                <w:rFonts w:ascii="Times New Roman" w:hAnsi="Times New Roman"/>
                <w:bCs/>
                <w:sz w:val="24"/>
                <w:lang w:eastAsia="de-DE"/>
              </w:rPr>
              <w:t xml:space="preserve">point (a) of Article 8(1) and Article 8(6) </w:t>
            </w:r>
            <w:r w:rsidR="002F78EA" w:rsidRPr="00661595">
              <w:rPr>
                <w:rFonts w:ascii="Times New Roman" w:hAnsi="Times New Roman"/>
                <w:bCs/>
                <w:sz w:val="24"/>
                <w:lang w:eastAsia="de-DE"/>
              </w:rPr>
              <w:t>AD</w:t>
            </w:r>
          </w:p>
          <w:p w:rsidR="00FD54FC" w:rsidRPr="00661595" w:rsidRDefault="00FD54FC" w:rsidP="00FD54FC">
            <w:pPr>
              <w:spacing w:before="0" w:after="0"/>
              <w:ind w:left="33"/>
              <w:rPr>
                <w:rFonts w:ascii="Times New Roman" w:hAnsi="Times New Roman"/>
                <w:bCs/>
                <w:sz w:val="24"/>
                <w:lang w:eastAsia="de-DE"/>
              </w:rPr>
            </w:pPr>
          </w:p>
        </w:tc>
      </w:tr>
      <w:tr w:rsidR="00FD54FC" w:rsidRPr="00661595" w:rsidTr="00672D2A">
        <w:tc>
          <w:tcPr>
            <w:tcW w:w="1188" w:type="dxa"/>
          </w:tcPr>
          <w:p w:rsidR="00FD54FC" w:rsidRPr="00661595" w:rsidRDefault="00535792"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0</w:t>
            </w:r>
            <w:r w:rsidR="00FD54FC" w:rsidRPr="00661595">
              <w:rPr>
                <w:rFonts w:ascii="Times New Roman" w:hAnsi="Times New Roman"/>
                <w:bCs/>
                <w:sz w:val="24"/>
                <w:lang w:eastAsia="de-DE"/>
              </w:rPr>
              <w:t>070</w:t>
            </w:r>
          </w:p>
        </w:tc>
        <w:tc>
          <w:tcPr>
            <w:tcW w:w="8640" w:type="dxa"/>
          </w:tcPr>
          <w:p w:rsidR="00FD54FC" w:rsidRPr="00661595" w:rsidRDefault="00FD54FC" w:rsidP="00FD54FC">
            <w:pPr>
              <w:spacing w:before="0" w:after="0"/>
              <w:ind w:left="33"/>
              <w:rPr>
                <w:rFonts w:ascii="Times New Roman" w:hAnsi="Times New Roman"/>
                <w:b/>
                <w:bCs/>
                <w:sz w:val="24"/>
                <w:u w:val="single"/>
                <w:lang w:eastAsia="de-DE"/>
              </w:rPr>
            </w:pPr>
            <w:r w:rsidRPr="00661595">
              <w:rPr>
                <w:rFonts w:ascii="Times New Roman" w:hAnsi="Times New Roman"/>
                <w:b/>
                <w:bCs/>
                <w:sz w:val="24"/>
                <w:u w:val="single"/>
                <w:lang w:eastAsia="de-DE"/>
              </w:rPr>
              <w:t>Non-trading non-derivative financial assets measured at fair value through profit or loss</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2F78EA"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 xml:space="preserve">Article 36(2) </w:t>
            </w:r>
            <w:r w:rsidR="00FD54FC" w:rsidRPr="00661595">
              <w:rPr>
                <w:rFonts w:ascii="Times New Roman" w:hAnsi="Times New Roman"/>
                <w:bCs/>
                <w:sz w:val="24"/>
                <w:lang w:eastAsia="de-DE"/>
              </w:rPr>
              <w:t xml:space="preserve">BAD; </w:t>
            </w:r>
            <w:r w:rsidR="002B004B" w:rsidRPr="00661595">
              <w:rPr>
                <w:rFonts w:ascii="Times New Roman" w:hAnsi="Times New Roman"/>
                <w:bCs/>
                <w:sz w:val="24"/>
                <w:lang w:eastAsia="de-DE"/>
              </w:rPr>
              <w:t xml:space="preserve">point (a) of Article 8(1) </w:t>
            </w:r>
            <w:r w:rsidRPr="00661595">
              <w:rPr>
                <w:rFonts w:ascii="Times New Roman" w:hAnsi="Times New Roman"/>
                <w:bCs/>
                <w:sz w:val="24"/>
                <w:lang w:eastAsia="de-DE"/>
              </w:rPr>
              <w:t>AD</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Only to be reported by institutions under national Generally Accepted</w:t>
            </w:r>
            <w:r w:rsidR="00B14253" w:rsidRPr="00661595">
              <w:rPr>
                <w:rFonts w:ascii="Times New Roman" w:hAnsi="Times New Roman"/>
                <w:bCs/>
                <w:sz w:val="24"/>
                <w:lang w:eastAsia="de-DE"/>
              </w:rPr>
              <w:t xml:space="preserve"> </w:t>
            </w:r>
            <w:r w:rsidRPr="00661595">
              <w:rPr>
                <w:rFonts w:ascii="Times New Roman" w:hAnsi="Times New Roman"/>
                <w:bCs/>
                <w:sz w:val="24"/>
                <w:lang w:eastAsia="de-DE"/>
              </w:rPr>
              <w:t>Accounting Principles (GAAP).</w:t>
            </w:r>
          </w:p>
          <w:p w:rsidR="00FD54FC" w:rsidRPr="00661595" w:rsidRDefault="00FD54FC" w:rsidP="00FD54FC">
            <w:pPr>
              <w:spacing w:before="0" w:after="0"/>
              <w:ind w:left="33"/>
              <w:rPr>
                <w:rFonts w:ascii="Times New Roman" w:hAnsi="Times New Roman"/>
                <w:bCs/>
                <w:sz w:val="24"/>
                <w:lang w:eastAsia="de-DE"/>
              </w:rPr>
            </w:pPr>
          </w:p>
        </w:tc>
      </w:tr>
      <w:tr w:rsidR="00FD54FC" w:rsidRPr="00661595" w:rsidTr="00672D2A">
        <w:tc>
          <w:tcPr>
            <w:tcW w:w="1188" w:type="dxa"/>
          </w:tcPr>
          <w:p w:rsidR="00FD54FC" w:rsidRPr="00661595" w:rsidRDefault="00535792"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0</w:t>
            </w:r>
            <w:r w:rsidR="00FD54FC" w:rsidRPr="00661595">
              <w:rPr>
                <w:rFonts w:ascii="Times New Roman" w:hAnsi="Times New Roman"/>
                <w:bCs/>
                <w:sz w:val="24"/>
                <w:lang w:eastAsia="de-DE"/>
              </w:rPr>
              <w:t>080</w:t>
            </w:r>
          </w:p>
        </w:tc>
        <w:tc>
          <w:tcPr>
            <w:tcW w:w="8640" w:type="dxa"/>
          </w:tcPr>
          <w:p w:rsidR="00FD54FC" w:rsidRPr="00661595" w:rsidRDefault="00FD54FC" w:rsidP="00FD54FC">
            <w:pPr>
              <w:spacing w:before="0" w:after="0"/>
              <w:ind w:left="33"/>
              <w:rPr>
                <w:rFonts w:ascii="Times New Roman" w:hAnsi="Times New Roman"/>
                <w:b/>
                <w:bCs/>
                <w:sz w:val="24"/>
                <w:u w:val="single"/>
                <w:lang w:eastAsia="de-DE"/>
              </w:rPr>
            </w:pPr>
            <w:r w:rsidRPr="00661595">
              <w:rPr>
                <w:rFonts w:ascii="Times New Roman" w:hAnsi="Times New Roman"/>
                <w:b/>
                <w:bCs/>
                <w:sz w:val="24"/>
                <w:u w:val="single"/>
                <w:lang w:eastAsia="de-DE"/>
              </w:rPr>
              <w:t>Financial assets at fair value through other comprehensive income</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IFRS 7.8(d); IFRS 9.4.1.2A</w:t>
            </w:r>
          </w:p>
          <w:p w:rsidR="00FD54FC" w:rsidRPr="00661595" w:rsidRDefault="00FD54FC" w:rsidP="00FD54FC">
            <w:pPr>
              <w:spacing w:before="0" w:after="0"/>
              <w:ind w:left="33"/>
              <w:rPr>
                <w:rFonts w:ascii="Times New Roman" w:hAnsi="Times New Roman"/>
                <w:b/>
                <w:bCs/>
                <w:sz w:val="24"/>
                <w:lang w:eastAsia="de-DE"/>
              </w:rPr>
            </w:pPr>
          </w:p>
        </w:tc>
      </w:tr>
      <w:tr w:rsidR="00FD54FC" w:rsidRPr="00661595" w:rsidTr="00672D2A">
        <w:tc>
          <w:tcPr>
            <w:tcW w:w="1188" w:type="dxa"/>
          </w:tcPr>
          <w:p w:rsidR="00FD54FC" w:rsidRPr="00661595" w:rsidRDefault="00535792"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0</w:t>
            </w:r>
            <w:r w:rsidR="00FD54FC" w:rsidRPr="00661595">
              <w:rPr>
                <w:rFonts w:ascii="Times New Roman" w:hAnsi="Times New Roman"/>
                <w:bCs/>
                <w:sz w:val="24"/>
                <w:lang w:eastAsia="de-DE"/>
              </w:rPr>
              <w:t>09</w:t>
            </w:r>
            <w:r w:rsidR="00FD54FC" w:rsidRPr="00661595" w:rsidDel="00501397">
              <w:rPr>
                <w:rFonts w:ascii="Times New Roman" w:hAnsi="Times New Roman"/>
                <w:bCs/>
                <w:sz w:val="24"/>
                <w:lang w:eastAsia="de-DE"/>
              </w:rPr>
              <w:t>0</w:t>
            </w:r>
          </w:p>
        </w:tc>
        <w:tc>
          <w:tcPr>
            <w:tcW w:w="8640" w:type="dxa"/>
          </w:tcPr>
          <w:p w:rsidR="00FD54FC" w:rsidRPr="00661595" w:rsidRDefault="00FD54FC" w:rsidP="00FD54FC">
            <w:pPr>
              <w:spacing w:before="0" w:after="0"/>
              <w:ind w:left="33"/>
              <w:rPr>
                <w:rFonts w:ascii="Times New Roman" w:hAnsi="Times New Roman"/>
                <w:b/>
                <w:bCs/>
                <w:sz w:val="24"/>
                <w:u w:val="single"/>
                <w:lang w:eastAsia="de-DE"/>
              </w:rPr>
            </w:pPr>
            <w:r w:rsidRPr="00661595">
              <w:rPr>
                <w:rFonts w:ascii="Times New Roman" w:hAnsi="Times New Roman"/>
                <w:b/>
                <w:bCs/>
                <w:sz w:val="24"/>
                <w:u w:val="single"/>
                <w:lang w:eastAsia="de-DE"/>
              </w:rPr>
              <w:t>Non-trading non-derivative financial assets measured at fair value to equity</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B14253"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P</w:t>
            </w:r>
            <w:r w:rsidR="002B004B" w:rsidRPr="00661595">
              <w:rPr>
                <w:rFonts w:ascii="Times New Roman" w:hAnsi="Times New Roman"/>
                <w:bCs/>
                <w:sz w:val="24"/>
                <w:lang w:eastAsia="de-DE"/>
              </w:rPr>
              <w:t xml:space="preserve">oint (a) of Article 8(1) and Article 8(8) </w:t>
            </w:r>
            <w:r w:rsidR="002F78EA" w:rsidRPr="00661595">
              <w:rPr>
                <w:rFonts w:ascii="Times New Roman" w:hAnsi="Times New Roman"/>
                <w:bCs/>
                <w:sz w:val="24"/>
                <w:lang w:eastAsia="de-DE"/>
              </w:rPr>
              <w:t>AD</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Only to be reported by institutions under national Generally Accepted</w:t>
            </w:r>
            <w:r w:rsidR="00B14253" w:rsidRPr="00661595">
              <w:rPr>
                <w:rFonts w:ascii="Times New Roman" w:hAnsi="Times New Roman"/>
                <w:bCs/>
                <w:sz w:val="24"/>
                <w:lang w:eastAsia="de-DE"/>
              </w:rPr>
              <w:t xml:space="preserve"> </w:t>
            </w:r>
            <w:r w:rsidRPr="00661595">
              <w:rPr>
                <w:rFonts w:ascii="Times New Roman" w:hAnsi="Times New Roman"/>
                <w:bCs/>
                <w:sz w:val="24"/>
                <w:lang w:eastAsia="de-DE"/>
              </w:rPr>
              <w:t>Accounting Principles (GAAP).</w:t>
            </w:r>
          </w:p>
          <w:p w:rsidR="00FD54FC" w:rsidRPr="00661595" w:rsidRDefault="00FD54FC" w:rsidP="00FD54FC">
            <w:pPr>
              <w:spacing w:before="0" w:after="0"/>
              <w:ind w:left="33"/>
              <w:rPr>
                <w:rFonts w:ascii="Times New Roman" w:hAnsi="Times New Roman"/>
                <w:bCs/>
                <w:sz w:val="24"/>
                <w:lang w:eastAsia="de-DE"/>
              </w:rPr>
            </w:pPr>
          </w:p>
        </w:tc>
      </w:tr>
      <w:tr w:rsidR="00FD54FC" w:rsidRPr="00661595" w:rsidTr="00672D2A">
        <w:tc>
          <w:tcPr>
            <w:tcW w:w="1188" w:type="dxa"/>
          </w:tcPr>
          <w:p w:rsidR="00FD54FC" w:rsidRPr="00661595" w:rsidRDefault="00535792"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0</w:t>
            </w:r>
            <w:r w:rsidR="00FD54FC" w:rsidRPr="00661595">
              <w:rPr>
                <w:rFonts w:ascii="Times New Roman" w:hAnsi="Times New Roman"/>
                <w:bCs/>
                <w:sz w:val="24"/>
                <w:lang w:eastAsia="de-DE"/>
              </w:rPr>
              <w:t>10</w:t>
            </w:r>
            <w:r w:rsidR="00FD54FC" w:rsidRPr="00661595" w:rsidDel="00501397">
              <w:rPr>
                <w:rFonts w:ascii="Times New Roman" w:hAnsi="Times New Roman"/>
                <w:bCs/>
                <w:sz w:val="24"/>
                <w:lang w:eastAsia="de-DE"/>
              </w:rPr>
              <w:t>0</w:t>
            </w:r>
          </w:p>
        </w:tc>
        <w:tc>
          <w:tcPr>
            <w:tcW w:w="8640" w:type="dxa"/>
          </w:tcPr>
          <w:p w:rsidR="00FD54FC" w:rsidRPr="00661595" w:rsidRDefault="00FD54FC" w:rsidP="00FD54FC">
            <w:pPr>
              <w:spacing w:before="0" w:after="0"/>
              <w:ind w:left="33"/>
              <w:rPr>
                <w:rFonts w:ascii="Times New Roman" w:hAnsi="Times New Roman"/>
                <w:b/>
                <w:bCs/>
                <w:sz w:val="24"/>
                <w:u w:val="single"/>
                <w:lang w:eastAsia="de-DE"/>
              </w:rPr>
            </w:pPr>
            <w:r w:rsidRPr="00661595">
              <w:rPr>
                <w:rFonts w:ascii="Times New Roman" w:hAnsi="Times New Roman"/>
                <w:b/>
                <w:bCs/>
                <w:sz w:val="24"/>
                <w:u w:val="single"/>
                <w:lang w:eastAsia="de-DE"/>
              </w:rPr>
              <w:t>Financial assets at amortised cost</w:t>
            </w:r>
          </w:p>
          <w:p w:rsidR="00FD54FC" w:rsidRPr="00661595" w:rsidRDefault="00FD54FC" w:rsidP="00FD54FC">
            <w:pPr>
              <w:spacing w:before="0" w:after="0"/>
              <w:ind w:left="33"/>
              <w:rPr>
                <w:rFonts w:ascii="Times New Roman" w:hAnsi="Times New Roman"/>
                <w:bCs/>
                <w:sz w:val="24"/>
                <w:lang w:eastAsia="de-DE"/>
              </w:rPr>
            </w:pPr>
          </w:p>
          <w:p w:rsidR="00FD54FC" w:rsidRPr="00661595" w:rsidDel="00501397" w:rsidRDefault="00FD54FC" w:rsidP="00FD54FC">
            <w:pPr>
              <w:spacing w:before="0" w:after="0"/>
              <w:ind w:left="33"/>
              <w:rPr>
                <w:rFonts w:ascii="Times New Roman" w:hAnsi="Times New Roman"/>
                <w:b/>
                <w:bCs/>
                <w:sz w:val="24"/>
                <w:u w:val="single"/>
                <w:lang w:eastAsia="de-DE"/>
              </w:rPr>
            </w:pPr>
            <w:r w:rsidRPr="00661595">
              <w:rPr>
                <w:rFonts w:ascii="Times New Roman" w:hAnsi="Times New Roman"/>
                <w:bCs/>
                <w:sz w:val="24"/>
                <w:lang w:eastAsia="de-DE"/>
              </w:rPr>
              <w:t xml:space="preserve">IFRS 7.8(f); IFRS 9.4.1.2; </w:t>
            </w:r>
            <w:r w:rsidR="002F78EA" w:rsidRPr="00661595">
              <w:rPr>
                <w:rFonts w:ascii="Times New Roman" w:hAnsi="Times New Roman"/>
                <w:bCs/>
                <w:sz w:val="24"/>
                <w:lang w:eastAsia="de-DE"/>
              </w:rPr>
              <w:t>P</w:t>
            </w:r>
            <w:r w:rsidR="00127986" w:rsidRPr="00661595">
              <w:rPr>
                <w:rFonts w:ascii="Times New Roman" w:hAnsi="Times New Roman"/>
                <w:bCs/>
                <w:sz w:val="24"/>
                <w:lang w:eastAsia="de-DE"/>
              </w:rPr>
              <w:t>aragraph</w:t>
            </w:r>
            <w:r w:rsidR="000E40DD" w:rsidRPr="00661595">
              <w:rPr>
                <w:rFonts w:ascii="Times New Roman" w:hAnsi="Times New Roman"/>
                <w:bCs/>
                <w:sz w:val="24"/>
                <w:lang w:eastAsia="de-DE"/>
              </w:rPr>
              <w:t xml:space="preserve"> </w:t>
            </w:r>
            <w:r w:rsidR="002F78EA" w:rsidRPr="00661595">
              <w:rPr>
                <w:rFonts w:ascii="Times New Roman" w:hAnsi="Times New Roman"/>
                <w:bCs/>
                <w:sz w:val="24"/>
                <w:lang w:eastAsia="de-DE"/>
              </w:rPr>
              <w:t>15</w:t>
            </w:r>
            <w:r w:rsidR="000E40DD" w:rsidRPr="00661595">
              <w:rPr>
                <w:rFonts w:ascii="Times New Roman" w:hAnsi="Times New Roman"/>
                <w:bCs/>
                <w:sz w:val="24"/>
                <w:lang w:eastAsia="de-DE"/>
              </w:rPr>
              <w:t xml:space="preserve"> of Part 1</w:t>
            </w:r>
            <w:r w:rsidR="002F78EA" w:rsidRPr="00661595">
              <w:rPr>
                <w:rFonts w:ascii="Times New Roman" w:hAnsi="Times New Roman"/>
                <w:bCs/>
                <w:sz w:val="24"/>
                <w:lang w:eastAsia="de-DE"/>
              </w:rPr>
              <w:t xml:space="preserve"> of Annex V to this Implementing Regulation</w:t>
            </w:r>
          </w:p>
          <w:p w:rsidR="00FD54FC" w:rsidRPr="00661595" w:rsidRDefault="00FD54FC" w:rsidP="00FD54FC">
            <w:pPr>
              <w:spacing w:before="0" w:after="0"/>
              <w:ind w:left="33"/>
              <w:rPr>
                <w:rFonts w:ascii="Times New Roman" w:hAnsi="Times New Roman"/>
                <w:bCs/>
                <w:sz w:val="24"/>
                <w:lang w:eastAsia="de-DE"/>
              </w:rPr>
            </w:pPr>
          </w:p>
        </w:tc>
      </w:tr>
      <w:tr w:rsidR="00FD54FC" w:rsidRPr="00661595" w:rsidTr="00672D2A">
        <w:tc>
          <w:tcPr>
            <w:tcW w:w="1188" w:type="dxa"/>
          </w:tcPr>
          <w:p w:rsidR="00FD54FC" w:rsidRPr="00661595" w:rsidRDefault="00535792"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0</w:t>
            </w:r>
            <w:r w:rsidR="00FD54FC" w:rsidRPr="00661595">
              <w:rPr>
                <w:rFonts w:ascii="Times New Roman" w:hAnsi="Times New Roman"/>
                <w:bCs/>
                <w:sz w:val="24"/>
                <w:lang w:eastAsia="de-DE"/>
              </w:rPr>
              <w:t>11</w:t>
            </w:r>
            <w:r w:rsidR="00FD54FC" w:rsidRPr="00661595" w:rsidDel="00501397">
              <w:rPr>
                <w:rFonts w:ascii="Times New Roman" w:hAnsi="Times New Roman"/>
                <w:bCs/>
                <w:sz w:val="24"/>
                <w:lang w:eastAsia="de-DE"/>
              </w:rPr>
              <w:t>0</w:t>
            </w:r>
          </w:p>
        </w:tc>
        <w:tc>
          <w:tcPr>
            <w:tcW w:w="8640" w:type="dxa"/>
          </w:tcPr>
          <w:p w:rsidR="00FD54FC" w:rsidRPr="00661595" w:rsidRDefault="00FD54FC" w:rsidP="00FD54FC">
            <w:pPr>
              <w:spacing w:before="0" w:after="0"/>
              <w:ind w:left="33"/>
              <w:rPr>
                <w:rFonts w:ascii="Times New Roman" w:hAnsi="Times New Roman"/>
                <w:b/>
                <w:bCs/>
                <w:sz w:val="24"/>
                <w:u w:val="single"/>
                <w:lang w:eastAsia="de-DE"/>
              </w:rPr>
            </w:pPr>
            <w:r w:rsidRPr="00661595">
              <w:rPr>
                <w:rFonts w:ascii="Times New Roman" w:hAnsi="Times New Roman"/>
                <w:b/>
                <w:bCs/>
                <w:sz w:val="24"/>
                <w:u w:val="single"/>
                <w:lang w:eastAsia="de-DE"/>
              </w:rPr>
              <w:t>Non-trading non-derivative financial assets measured at a cost-based method</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2F78EA"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 xml:space="preserve">Article 35 </w:t>
            </w:r>
            <w:r w:rsidR="00FD54FC" w:rsidRPr="00661595">
              <w:rPr>
                <w:rFonts w:ascii="Times New Roman" w:hAnsi="Times New Roman"/>
                <w:bCs/>
                <w:sz w:val="24"/>
                <w:lang w:eastAsia="de-DE"/>
              </w:rPr>
              <w:t xml:space="preserve">BAD; </w:t>
            </w:r>
            <w:r w:rsidR="002B004B" w:rsidRPr="00661595">
              <w:rPr>
                <w:rFonts w:ascii="Times New Roman" w:hAnsi="Times New Roman"/>
                <w:bCs/>
                <w:sz w:val="24"/>
                <w:lang w:eastAsia="de-DE"/>
              </w:rPr>
              <w:t xml:space="preserve">point (i) of Article 6(1) and Article 8(2) </w:t>
            </w:r>
            <w:r w:rsidRPr="00661595">
              <w:rPr>
                <w:rFonts w:ascii="Times New Roman" w:hAnsi="Times New Roman"/>
                <w:bCs/>
                <w:sz w:val="24"/>
                <w:lang w:eastAsia="de-DE"/>
              </w:rPr>
              <w:t>AD</w:t>
            </w:r>
            <w:r w:rsidR="00FD54FC" w:rsidRPr="00661595">
              <w:rPr>
                <w:rFonts w:ascii="Times New Roman" w:hAnsi="Times New Roman"/>
                <w:bCs/>
                <w:sz w:val="24"/>
                <w:lang w:eastAsia="de-DE"/>
              </w:rPr>
              <w:t xml:space="preserve">; </w:t>
            </w:r>
            <w:r w:rsidRPr="00661595">
              <w:rPr>
                <w:rFonts w:ascii="Times New Roman" w:hAnsi="Times New Roman"/>
                <w:bCs/>
                <w:sz w:val="24"/>
                <w:lang w:eastAsia="de-DE"/>
              </w:rPr>
              <w:t>Par</w:t>
            </w:r>
            <w:r w:rsidR="000E40DD" w:rsidRPr="00661595">
              <w:rPr>
                <w:rFonts w:ascii="Times New Roman" w:hAnsi="Times New Roman"/>
                <w:bCs/>
                <w:sz w:val="24"/>
                <w:lang w:eastAsia="de-DE"/>
              </w:rPr>
              <w:t xml:space="preserve">agraph </w:t>
            </w:r>
            <w:r w:rsidRPr="00661595">
              <w:rPr>
                <w:rFonts w:ascii="Times New Roman" w:hAnsi="Times New Roman"/>
                <w:bCs/>
                <w:sz w:val="24"/>
                <w:lang w:eastAsia="de-DE"/>
              </w:rPr>
              <w:t>16</w:t>
            </w:r>
            <w:r w:rsidR="000E40DD" w:rsidRPr="00661595">
              <w:rPr>
                <w:rFonts w:ascii="Times New Roman" w:hAnsi="Times New Roman"/>
                <w:bCs/>
                <w:sz w:val="24"/>
                <w:lang w:eastAsia="de-DE"/>
              </w:rPr>
              <w:t xml:space="preserve"> of Part 1</w:t>
            </w:r>
            <w:r w:rsidRPr="00661595">
              <w:rPr>
                <w:rFonts w:ascii="Times New Roman" w:hAnsi="Times New Roman"/>
                <w:bCs/>
                <w:sz w:val="24"/>
                <w:lang w:eastAsia="de-DE"/>
              </w:rPr>
              <w:t xml:space="preserve"> of Annex V to this Implementing Regulation</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Only to be reported by institutions under national Generally Accepted</w:t>
            </w:r>
            <w:r w:rsidR="00B14253" w:rsidRPr="00661595">
              <w:rPr>
                <w:rFonts w:ascii="Times New Roman" w:hAnsi="Times New Roman"/>
                <w:bCs/>
                <w:sz w:val="24"/>
                <w:lang w:eastAsia="de-DE"/>
              </w:rPr>
              <w:t xml:space="preserve"> </w:t>
            </w:r>
            <w:r w:rsidRPr="00661595">
              <w:rPr>
                <w:rFonts w:ascii="Times New Roman" w:hAnsi="Times New Roman"/>
                <w:bCs/>
                <w:sz w:val="24"/>
                <w:lang w:eastAsia="de-DE"/>
              </w:rPr>
              <w:t>Accounting Principles (GAAP).</w:t>
            </w:r>
          </w:p>
          <w:p w:rsidR="00FD54FC" w:rsidRPr="00661595" w:rsidRDefault="00FD54FC" w:rsidP="00FD54FC">
            <w:pPr>
              <w:spacing w:before="0" w:after="0"/>
              <w:ind w:left="33"/>
              <w:rPr>
                <w:rFonts w:ascii="Times New Roman" w:hAnsi="Times New Roman"/>
                <w:bCs/>
                <w:sz w:val="24"/>
                <w:lang w:eastAsia="de-DE"/>
              </w:rPr>
            </w:pPr>
          </w:p>
        </w:tc>
      </w:tr>
      <w:tr w:rsidR="00FD54FC" w:rsidRPr="00661595" w:rsidTr="00672D2A">
        <w:tc>
          <w:tcPr>
            <w:tcW w:w="1188" w:type="dxa"/>
          </w:tcPr>
          <w:p w:rsidR="00FD54FC" w:rsidRPr="00661595" w:rsidRDefault="00535792"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0</w:t>
            </w:r>
            <w:r w:rsidR="00FD54FC" w:rsidRPr="00661595">
              <w:rPr>
                <w:rFonts w:ascii="Times New Roman" w:hAnsi="Times New Roman"/>
                <w:bCs/>
                <w:sz w:val="24"/>
                <w:lang w:eastAsia="de-DE"/>
              </w:rPr>
              <w:t>120</w:t>
            </w:r>
          </w:p>
        </w:tc>
        <w:tc>
          <w:tcPr>
            <w:tcW w:w="8640" w:type="dxa"/>
          </w:tcPr>
          <w:p w:rsidR="00FD54FC" w:rsidRPr="00661595" w:rsidRDefault="00FD54FC" w:rsidP="00FD54FC">
            <w:pPr>
              <w:spacing w:before="0" w:after="0"/>
              <w:ind w:left="33"/>
              <w:rPr>
                <w:rFonts w:ascii="Times New Roman" w:hAnsi="Times New Roman"/>
                <w:b/>
                <w:bCs/>
                <w:sz w:val="24"/>
                <w:u w:val="single"/>
                <w:lang w:eastAsia="de-DE"/>
              </w:rPr>
            </w:pPr>
            <w:r w:rsidRPr="00661595">
              <w:rPr>
                <w:rFonts w:ascii="Times New Roman" w:hAnsi="Times New Roman"/>
                <w:b/>
                <w:bCs/>
                <w:sz w:val="24"/>
                <w:u w:val="single"/>
                <w:lang w:eastAsia="de-DE"/>
              </w:rPr>
              <w:t>Other non-trading non-derivative financial assets</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2B004B"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 xml:space="preserve">Article 37 </w:t>
            </w:r>
            <w:r w:rsidR="00FD54FC" w:rsidRPr="00661595">
              <w:rPr>
                <w:rFonts w:ascii="Times New Roman" w:hAnsi="Times New Roman"/>
                <w:bCs/>
                <w:sz w:val="24"/>
                <w:lang w:eastAsia="de-DE"/>
              </w:rPr>
              <w:t xml:space="preserve">BAD; </w:t>
            </w:r>
            <w:r w:rsidRPr="00661595">
              <w:rPr>
                <w:rFonts w:ascii="Times New Roman" w:hAnsi="Times New Roman"/>
                <w:bCs/>
                <w:sz w:val="24"/>
                <w:lang w:eastAsia="de-DE"/>
              </w:rPr>
              <w:t xml:space="preserve">Article 12(7) </w:t>
            </w:r>
            <w:r w:rsidR="002F78EA" w:rsidRPr="00661595">
              <w:rPr>
                <w:rFonts w:ascii="Times New Roman" w:hAnsi="Times New Roman"/>
                <w:bCs/>
                <w:sz w:val="24"/>
                <w:lang w:eastAsia="de-DE"/>
              </w:rPr>
              <w:t>AD</w:t>
            </w:r>
            <w:r w:rsidR="00FD54FC" w:rsidRPr="00661595">
              <w:rPr>
                <w:rFonts w:ascii="Times New Roman" w:hAnsi="Times New Roman"/>
                <w:bCs/>
                <w:sz w:val="24"/>
                <w:lang w:eastAsia="de-DE"/>
              </w:rPr>
              <w:t xml:space="preserve">; </w:t>
            </w:r>
            <w:r w:rsidR="002F78EA" w:rsidRPr="00661595">
              <w:rPr>
                <w:rFonts w:ascii="Times New Roman" w:hAnsi="Times New Roman"/>
                <w:bCs/>
                <w:sz w:val="24"/>
                <w:lang w:eastAsia="de-DE"/>
              </w:rPr>
              <w:t>Par</w:t>
            </w:r>
            <w:r w:rsidR="000E40DD" w:rsidRPr="00661595">
              <w:rPr>
                <w:rFonts w:ascii="Times New Roman" w:hAnsi="Times New Roman"/>
                <w:bCs/>
                <w:sz w:val="24"/>
                <w:lang w:eastAsia="de-DE"/>
              </w:rPr>
              <w:t>agraph 16 of Part</w:t>
            </w:r>
            <w:r w:rsidR="002F78EA" w:rsidRPr="00661595">
              <w:rPr>
                <w:rFonts w:ascii="Times New Roman" w:hAnsi="Times New Roman"/>
                <w:bCs/>
                <w:sz w:val="24"/>
                <w:lang w:eastAsia="de-DE"/>
              </w:rPr>
              <w:t xml:space="preserve"> 1 of Annex V to this Implementing Regulation</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Only to be reported by institutions under national Generally Accepted</w:t>
            </w:r>
            <w:r w:rsidR="00B14253" w:rsidRPr="00661595">
              <w:rPr>
                <w:rFonts w:ascii="Times New Roman" w:hAnsi="Times New Roman"/>
                <w:bCs/>
                <w:sz w:val="24"/>
                <w:lang w:eastAsia="de-DE"/>
              </w:rPr>
              <w:t xml:space="preserve"> </w:t>
            </w:r>
            <w:r w:rsidRPr="00661595">
              <w:rPr>
                <w:rFonts w:ascii="Times New Roman" w:hAnsi="Times New Roman"/>
                <w:bCs/>
                <w:sz w:val="24"/>
                <w:lang w:eastAsia="de-DE"/>
              </w:rPr>
              <w:t>Accounting Principles (GAAP).</w:t>
            </w:r>
          </w:p>
          <w:p w:rsidR="00FD54FC" w:rsidRPr="00661595" w:rsidRDefault="00FD54FC" w:rsidP="00FD54FC">
            <w:pPr>
              <w:spacing w:before="0" w:after="0"/>
              <w:ind w:left="33"/>
              <w:rPr>
                <w:rFonts w:ascii="Times New Roman" w:hAnsi="Times New Roman"/>
                <w:bCs/>
                <w:sz w:val="24"/>
                <w:lang w:eastAsia="de-DE"/>
              </w:rPr>
            </w:pPr>
          </w:p>
        </w:tc>
      </w:tr>
      <w:tr w:rsidR="00FD54FC" w:rsidRPr="00661595" w:rsidTr="00672D2A">
        <w:tc>
          <w:tcPr>
            <w:tcW w:w="1188" w:type="dxa"/>
          </w:tcPr>
          <w:p w:rsidR="00FD54FC" w:rsidRPr="00661595" w:rsidRDefault="00535792"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0</w:t>
            </w:r>
            <w:r w:rsidR="00FD54FC" w:rsidRPr="00661595">
              <w:rPr>
                <w:rFonts w:ascii="Times New Roman" w:hAnsi="Times New Roman"/>
                <w:bCs/>
                <w:sz w:val="24"/>
                <w:lang w:eastAsia="de-DE"/>
              </w:rPr>
              <w:t>130</w:t>
            </w:r>
          </w:p>
        </w:tc>
        <w:tc>
          <w:tcPr>
            <w:tcW w:w="8640" w:type="dxa"/>
          </w:tcPr>
          <w:p w:rsidR="00FD54FC" w:rsidRPr="00661595" w:rsidRDefault="00FD54FC" w:rsidP="00FD54FC">
            <w:pPr>
              <w:spacing w:before="0" w:after="0"/>
              <w:ind w:left="33"/>
              <w:rPr>
                <w:rFonts w:ascii="Times New Roman" w:hAnsi="Times New Roman"/>
                <w:b/>
                <w:bCs/>
                <w:sz w:val="24"/>
                <w:u w:val="single"/>
                <w:lang w:eastAsia="de-DE"/>
              </w:rPr>
            </w:pPr>
            <w:r w:rsidRPr="00661595">
              <w:rPr>
                <w:rFonts w:ascii="Times New Roman" w:hAnsi="Times New Roman"/>
                <w:b/>
                <w:bCs/>
                <w:sz w:val="24"/>
                <w:u w:val="single"/>
                <w:lang w:eastAsia="de-DE"/>
              </w:rPr>
              <w:t>Short positions</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Carrying amount of short positions, as defined in IFRS 9 BA</w:t>
            </w:r>
            <w:r w:rsidR="005E0301" w:rsidRPr="00661595">
              <w:rPr>
                <w:rFonts w:ascii="Times New Roman" w:hAnsi="Times New Roman"/>
                <w:bCs/>
                <w:sz w:val="24"/>
                <w:lang w:eastAsia="de-DE"/>
              </w:rPr>
              <w:t>.</w:t>
            </w:r>
            <w:r w:rsidRPr="00661595">
              <w:rPr>
                <w:rFonts w:ascii="Times New Roman" w:hAnsi="Times New Roman"/>
                <w:bCs/>
                <w:sz w:val="24"/>
                <w:lang w:eastAsia="de-DE"/>
              </w:rPr>
              <w:t>7(b) whe</w:t>
            </w:r>
            <w:r w:rsidR="00B14253" w:rsidRPr="00661595">
              <w:rPr>
                <w:rFonts w:ascii="Times New Roman" w:hAnsi="Times New Roman"/>
                <w:bCs/>
                <w:sz w:val="24"/>
                <w:lang w:eastAsia="de-DE"/>
              </w:rPr>
              <w:t>re</w:t>
            </w:r>
            <w:r w:rsidRPr="00661595">
              <w:rPr>
                <w:rFonts w:ascii="Times New Roman" w:hAnsi="Times New Roman"/>
                <w:bCs/>
                <w:sz w:val="24"/>
                <w:lang w:eastAsia="de-DE"/>
              </w:rPr>
              <w:t xml:space="preserve"> the direct counterparty is a General government as defined in paragraph</w:t>
            </w:r>
            <w:r w:rsidR="007715D6" w:rsidRPr="00661595">
              <w:rPr>
                <w:rFonts w:ascii="Times New Roman" w:hAnsi="Times New Roman"/>
                <w:bCs/>
                <w:sz w:val="24"/>
                <w:lang w:eastAsia="de-DE"/>
              </w:rPr>
              <w:t>s</w:t>
            </w:r>
            <w:r w:rsidRPr="00661595">
              <w:rPr>
                <w:rFonts w:ascii="Times New Roman" w:hAnsi="Times New Roman"/>
                <w:bCs/>
                <w:sz w:val="24"/>
                <w:lang w:eastAsia="de-DE"/>
              </w:rPr>
              <w:t xml:space="preserve"> </w:t>
            </w:r>
            <w:r w:rsidR="000E40DD" w:rsidRPr="00661595">
              <w:rPr>
                <w:rFonts w:ascii="Times New Roman" w:hAnsi="Times New Roman"/>
                <w:bCs/>
                <w:sz w:val="24"/>
                <w:lang w:eastAsia="de-DE"/>
              </w:rPr>
              <w:t>155</w:t>
            </w:r>
            <w:r w:rsidR="007715D6" w:rsidRPr="00661595">
              <w:rPr>
                <w:rFonts w:ascii="Times New Roman" w:hAnsi="Times New Roman"/>
                <w:bCs/>
                <w:sz w:val="24"/>
                <w:lang w:eastAsia="de-DE"/>
              </w:rPr>
              <w:t xml:space="preserve"> to 160</w:t>
            </w:r>
            <w:r w:rsidR="00127986" w:rsidRPr="00661595">
              <w:rPr>
                <w:rFonts w:ascii="Times New Roman" w:hAnsi="Times New Roman"/>
                <w:bCs/>
                <w:sz w:val="24"/>
                <w:lang w:eastAsia="de-DE"/>
              </w:rPr>
              <w:t xml:space="preserve"> of this Annex</w:t>
            </w:r>
            <w:r w:rsidRPr="00661595">
              <w:rPr>
                <w:rFonts w:ascii="Times New Roman" w:hAnsi="Times New Roman"/>
                <w:bCs/>
                <w:sz w:val="24"/>
                <w:lang w:eastAsia="de-DE"/>
              </w:rPr>
              <w:t>.</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Short positions arise whe</w:t>
            </w:r>
            <w:r w:rsidR="00B14253" w:rsidRPr="00661595">
              <w:rPr>
                <w:rFonts w:ascii="Times New Roman" w:hAnsi="Times New Roman"/>
                <w:bCs/>
                <w:sz w:val="24"/>
                <w:lang w:eastAsia="de-DE"/>
              </w:rPr>
              <w:t>re</w:t>
            </w:r>
            <w:r w:rsidRPr="00661595">
              <w:rPr>
                <w:rFonts w:ascii="Times New Roman" w:hAnsi="Times New Roman"/>
                <w:bCs/>
                <w:sz w:val="24"/>
                <w:lang w:eastAsia="de-DE"/>
              </w:rPr>
              <w:t xml:space="preserve"> the institution sells securities acquired in a reverse repurchase loan or borrowed in a securities lending transaction.</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The carrying amount is the fair value of the short positions.</w:t>
            </w:r>
          </w:p>
          <w:p w:rsidR="00FD54FC" w:rsidRPr="00661595" w:rsidRDefault="00FD54FC" w:rsidP="00FD54FC">
            <w:pPr>
              <w:spacing w:before="0" w:after="0"/>
              <w:ind w:left="33"/>
              <w:rPr>
                <w:rFonts w:ascii="Times New Roman" w:hAnsi="Times New Roman"/>
                <w:bCs/>
                <w:sz w:val="24"/>
                <w:lang w:eastAsia="de-DE"/>
              </w:rPr>
            </w:pPr>
          </w:p>
          <w:p w:rsidR="00454026" w:rsidRPr="00661595" w:rsidRDefault="00FD54FC" w:rsidP="00127986">
            <w:pPr>
              <w:spacing w:before="0" w:after="0"/>
              <w:ind w:left="33"/>
              <w:rPr>
                <w:rFonts w:ascii="Times New Roman" w:hAnsi="Times New Roman"/>
                <w:bCs/>
                <w:sz w:val="24"/>
                <w:lang w:eastAsia="de-DE"/>
              </w:rPr>
            </w:pPr>
            <w:r w:rsidRPr="00661595">
              <w:rPr>
                <w:rFonts w:ascii="Times New Roman" w:hAnsi="Times New Roman"/>
                <w:bCs/>
                <w:sz w:val="24"/>
                <w:lang w:eastAsia="de-DE"/>
              </w:rPr>
              <w:t xml:space="preserve">Short positions </w:t>
            </w:r>
            <w:r w:rsidR="00B14253" w:rsidRPr="00661595">
              <w:rPr>
                <w:rFonts w:ascii="Times New Roman" w:hAnsi="Times New Roman"/>
                <w:bCs/>
                <w:sz w:val="24"/>
                <w:lang w:eastAsia="de-DE"/>
              </w:rPr>
              <w:t>shall be</w:t>
            </w:r>
            <w:r w:rsidRPr="00661595">
              <w:rPr>
                <w:rFonts w:ascii="Times New Roman" w:hAnsi="Times New Roman"/>
                <w:bCs/>
                <w:sz w:val="24"/>
                <w:lang w:eastAsia="de-DE"/>
              </w:rPr>
              <w:t xml:space="preserve"> reported by residual maturity bucket, as </w:t>
            </w:r>
            <w:r w:rsidR="00127986" w:rsidRPr="00661595">
              <w:rPr>
                <w:rFonts w:ascii="Times New Roman" w:hAnsi="Times New Roman"/>
                <w:bCs/>
                <w:sz w:val="24"/>
                <w:lang w:eastAsia="de-DE"/>
              </w:rPr>
              <w:t xml:space="preserve">listed </w:t>
            </w:r>
            <w:r w:rsidRPr="00661595">
              <w:rPr>
                <w:rFonts w:ascii="Times New Roman" w:hAnsi="Times New Roman"/>
                <w:bCs/>
                <w:sz w:val="24"/>
                <w:lang w:eastAsia="de-DE"/>
              </w:rPr>
              <w:t>in row</w:t>
            </w:r>
            <w:r w:rsidR="00B14253" w:rsidRPr="00661595">
              <w:rPr>
                <w:rFonts w:ascii="Times New Roman" w:hAnsi="Times New Roman"/>
                <w:bCs/>
                <w:sz w:val="24"/>
                <w:lang w:eastAsia="de-DE"/>
              </w:rPr>
              <w:t>s</w:t>
            </w:r>
            <w:r w:rsidRPr="00661595">
              <w:rPr>
                <w:rFonts w:ascii="Times New Roman" w:hAnsi="Times New Roman"/>
                <w:bCs/>
                <w:sz w:val="24"/>
                <w:lang w:eastAsia="de-DE"/>
              </w:rPr>
              <w:t xml:space="preserve"> </w:t>
            </w:r>
            <w:r w:rsidR="00535792" w:rsidRPr="00661595">
              <w:rPr>
                <w:rFonts w:ascii="Times New Roman" w:hAnsi="Times New Roman"/>
                <w:bCs/>
                <w:sz w:val="24"/>
                <w:lang w:eastAsia="de-DE"/>
              </w:rPr>
              <w:t>0</w:t>
            </w:r>
            <w:r w:rsidRPr="00661595">
              <w:rPr>
                <w:rFonts w:ascii="Times New Roman" w:hAnsi="Times New Roman"/>
                <w:bCs/>
                <w:sz w:val="24"/>
                <w:lang w:eastAsia="de-DE"/>
              </w:rPr>
              <w:t xml:space="preserve">170 to </w:t>
            </w:r>
            <w:r w:rsidR="00535792" w:rsidRPr="00661595">
              <w:rPr>
                <w:rFonts w:ascii="Times New Roman" w:hAnsi="Times New Roman"/>
                <w:bCs/>
                <w:sz w:val="24"/>
                <w:lang w:eastAsia="de-DE"/>
              </w:rPr>
              <w:t>0</w:t>
            </w:r>
            <w:r w:rsidRPr="00661595">
              <w:rPr>
                <w:rFonts w:ascii="Times New Roman" w:hAnsi="Times New Roman"/>
                <w:bCs/>
                <w:sz w:val="24"/>
                <w:lang w:eastAsia="de-DE"/>
              </w:rPr>
              <w:t xml:space="preserve">230, and by immediate counterparty. </w:t>
            </w:r>
          </w:p>
          <w:p w:rsidR="00454026" w:rsidRPr="00661595" w:rsidRDefault="00454026" w:rsidP="00127986">
            <w:pPr>
              <w:spacing w:before="0" w:after="0"/>
              <w:ind w:left="33"/>
              <w:rPr>
                <w:rFonts w:ascii="Times New Roman" w:hAnsi="Times New Roman"/>
                <w:bCs/>
                <w:sz w:val="24"/>
                <w:lang w:eastAsia="de-DE"/>
              </w:rPr>
            </w:pPr>
          </w:p>
          <w:p w:rsidR="00FD54FC" w:rsidRPr="00661595" w:rsidRDefault="00454026" w:rsidP="00454026">
            <w:pPr>
              <w:spacing w:before="0" w:after="0"/>
              <w:ind w:left="33"/>
              <w:rPr>
                <w:rFonts w:ascii="Times New Roman" w:hAnsi="Times New Roman"/>
                <w:bCs/>
                <w:sz w:val="24"/>
                <w:lang w:eastAsia="de-DE"/>
              </w:rPr>
            </w:pPr>
            <w:r w:rsidRPr="00661595">
              <w:rPr>
                <w:rFonts w:ascii="Times New Roman" w:hAnsi="Times New Roman"/>
                <w:bCs/>
                <w:sz w:val="24"/>
                <w:lang w:eastAsia="de-DE"/>
              </w:rPr>
              <w:t>The s</w:t>
            </w:r>
            <w:r w:rsidR="00FD54FC" w:rsidRPr="00661595">
              <w:rPr>
                <w:rFonts w:ascii="Times New Roman" w:hAnsi="Times New Roman"/>
                <w:bCs/>
                <w:sz w:val="24"/>
                <w:lang w:eastAsia="de-DE"/>
              </w:rPr>
              <w:t xml:space="preserve">hort positions </w:t>
            </w:r>
            <w:r w:rsidRPr="00661595">
              <w:rPr>
                <w:rFonts w:ascii="Times New Roman" w:hAnsi="Times New Roman"/>
                <w:bCs/>
                <w:sz w:val="24"/>
                <w:lang w:eastAsia="de-DE"/>
              </w:rPr>
              <w:t xml:space="preserve">reported in this column can be netted against </w:t>
            </w:r>
            <w:r w:rsidR="00FD54FC" w:rsidRPr="00661595">
              <w:rPr>
                <w:rFonts w:ascii="Times New Roman" w:hAnsi="Times New Roman"/>
                <w:bCs/>
                <w:sz w:val="24"/>
                <w:lang w:eastAsia="de-DE"/>
              </w:rPr>
              <w:t xml:space="preserve">positions </w:t>
            </w:r>
            <w:r w:rsidRPr="00661595">
              <w:rPr>
                <w:rFonts w:ascii="Times New Roman" w:hAnsi="Times New Roman"/>
                <w:bCs/>
                <w:sz w:val="24"/>
                <w:lang w:eastAsia="de-DE"/>
              </w:rPr>
              <w:t xml:space="preserve">with </w:t>
            </w:r>
            <w:r w:rsidR="00FD54FC" w:rsidRPr="00661595">
              <w:rPr>
                <w:rFonts w:ascii="Times New Roman" w:hAnsi="Times New Roman"/>
                <w:bCs/>
                <w:sz w:val="24"/>
                <w:lang w:eastAsia="de-DE"/>
              </w:rPr>
              <w:t>the same residual maturity and immediate counterparty</w:t>
            </w:r>
            <w:r w:rsidRPr="00661595">
              <w:rPr>
                <w:rFonts w:ascii="Times New Roman" w:hAnsi="Times New Roman"/>
                <w:bCs/>
                <w:sz w:val="24"/>
                <w:lang w:eastAsia="de-DE"/>
              </w:rPr>
              <w:t xml:space="preserve"> and denominated in the same currency that are reported in </w:t>
            </w:r>
            <w:r w:rsidR="00703C87" w:rsidRPr="00661595">
              <w:rPr>
                <w:rFonts w:ascii="Times New Roman" w:hAnsi="Times New Roman"/>
                <w:bCs/>
                <w:sz w:val="24"/>
                <w:lang w:eastAsia="de-DE"/>
              </w:rPr>
              <w:t xml:space="preserve">columns </w:t>
            </w:r>
            <w:r w:rsidR="00535792" w:rsidRPr="00661595">
              <w:rPr>
                <w:rFonts w:ascii="Times New Roman" w:hAnsi="Times New Roman"/>
                <w:bCs/>
                <w:sz w:val="24"/>
                <w:lang w:eastAsia="de-DE"/>
              </w:rPr>
              <w:t>0</w:t>
            </w:r>
            <w:r w:rsidR="00FD54FC" w:rsidRPr="00661595">
              <w:rPr>
                <w:rFonts w:ascii="Times New Roman" w:hAnsi="Times New Roman"/>
                <w:bCs/>
                <w:sz w:val="24"/>
                <w:lang w:eastAsia="de-DE"/>
              </w:rPr>
              <w:t xml:space="preserve">030 to </w:t>
            </w:r>
            <w:r w:rsidR="00535792" w:rsidRPr="00661595">
              <w:rPr>
                <w:rFonts w:ascii="Times New Roman" w:hAnsi="Times New Roman"/>
                <w:bCs/>
                <w:sz w:val="24"/>
                <w:lang w:eastAsia="de-DE"/>
              </w:rPr>
              <w:t>0</w:t>
            </w:r>
            <w:r w:rsidR="00FD54FC" w:rsidRPr="00661595">
              <w:rPr>
                <w:rFonts w:ascii="Times New Roman" w:hAnsi="Times New Roman"/>
                <w:bCs/>
                <w:sz w:val="24"/>
                <w:lang w:eastAsia="de-DE"/>
              </w:rPr>
              <w:t>120</w:t>
            </w:r>
            <w:r w:rsidRPr="00661595">
              <w:rPr>
                <w:rFonts w:ascii="Times New Roman" w:hAnsi="Times New Roman"/>
                <w:bCs/>
                <w:sz w:val="24"/>
                <w:lang w:eastAsia="de-DE"/>
              </w:rPr>
              <w:t xml:space="preserve"> in order to obtain the net position that is reported in column 0020</w:t>
            </w:r>
            <w:r w:rsidR="00FD54FC" w:rsidRPr="00661595">
              <w:rPr>
                <w:rFonts w:ascii="Times New Roman" w:hAnsi="Times New Roman"/>
                <w:bCs/>
                <w:sz w:val="24"/>
                <w:lang w:eastAsia="de-DE"/>
              </w:rPr>
              <w:t>.</w:t>
            </w:r>
          </w:p>
          <w:p w:rsidR="00454026" w:rsidRPr="00661595" w:rsidRDefault="00454026" w:rsidP="00454026">
            <w:pPr>
              <w:spacing w:before="0" w:after="0"/>
              <w:ind w:left="33"/>
              <w:rPr>
                <w:rFonts w:ascii="Times New Roman" w:hAnsi="Times New Roman"/>
                <w:bCs/>
                <w:sz w:val="24"/>
                <w:lang w:eastAsia="de-DE"/>
              </w:rPr>
            </w:pPr>
          </w:p>
        </w:tc>
      </w:tr>
      <w:tr w:rsidR="00FD54FC" w:rsidRPr="00661595" w:rsidTr="00672D2A">
        <w:tc>
          <w:tcPr>
            <w:tcW w:w="1188" w:type="dxa"/>
          </w:tcPr>
          <w:p w:rsidR="00FD54FC" w:rsidRPr="00661595" w:rsidDel="00E97A51" w:rsidRDefault="00535792"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0</w:t>
            </w:r>
            <w:r w:rsidR="00FD54FC" w:rsidRPr="00661595">
              <w:rPr>
                <w:rFonts w:ascii="Times New Roman" w:hAnsi="Times New Roman"/>
                <w:bCs/>
                <w:sz w:val="24"/>
                <w:lang w:eastAsia="de-DE"/>
              </w:rPr>
              <w:t>140</w:t>
            </w:r>
          </w:p>
        </w:tc>
        <w:tc>
          <w:tcPr>
            <w:tcW w:w="8640" w:type="dxa"/>
          </w:tcPr>
          <w:p w:rsidR="00FD54FC" w:rsidRPr="00661595" w:rsidRDefault="00FD54FC" w:rsidP="00FD54FC">
            <w:pPr>
              <w:spacing w:before="0" w:after="0"/>
              <w:ind w:left="33"/>
              <w:rPr>
                <w:rFonts w:ascii="Times New Roman" w:hAnsi="Times New Roman"/>
                <w:b/>
                <w:bCs/>
                <w:sz w:val="24"/>
                <w:u w:val="single"/>
                <w:lang w:eastAsia="de-DE"/>
              </w:rPr>
            </w:pPr>
            <w:r w:rsidRPr="00661595">
              <w:rPr>
                <w:rFonts w:ascii="Times New Roman" w:hAnsi="Times New Roman"/>
                <w:b/>
                <w:bCs/>
                <w:sz w:val="24"/>
                <w:u w:val="single"/>
                <w:lang w:eastAsia="de-DE"/>
              </w:rPr>
              <w:t>Of which: Short positions from reverse repurchased loans classified as held for trading or trading financial assets</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Carrying amount of short positions, as defined in IFRS 9 BA</w:t>
            </w:r>
            <w:r w:rsidR="005E0301" w:rsidRPr="00661595">
              <w:rPr>
                <w:rFonts w:ascii="Times New Roman" w:hAnsi="Times New Roman"/>
                <w:bCs/>
                <w:sz w:val="24"/>
                <w:lang w:eastAsia="de-DE"/>
              </w:rPr>
              <w:t>.</w:t>
            </w:r>
            <w:r w:rsidRPr="00661595">
              <w:rPr>
                <w:rFonts w:ascii="Times New Roman" w:hAnsi="Times New Roman"/>
                <w:bCs/>
                <w:sz w:val="24"/>
                <w:lang w:eastAsia="de-DE"/>
              </w:rPr>
              <w:t>7(b), that arise when the institution sells the securities acquired in reverse repurchase loans</w:t>
            </w:r>
            <w:r w:rsidR="00590386" w:rsidRPr="00661595">
              <w:rPr>
                <w:rFonts w:ascii="Times New Roman" w:hAnsi="Times New Roman"/>
                <w:bCs/>
                <w:sz w:val="24"/>
                <w:lang w:eastAsia="de-DE"/>
              </w:rPr>
              <w:t xml:space="preserve">, </w:t>
            </w:r>
            <w:r w:rsidR="00B14253" w:rsidRPr="00661595">
              <w:rPr>
                <w:rFonts w:ascii="Times New Roman" w:hAnsi="Times New Roman"/>
                <w:bCs/>
                <w:sz w:val="24"/>
                <w:lang w:eastAsia="de-DE"/>
              </w:rPr>
              <w:t xml:space="preserve">where the </w:t>
            </w:r>
            <w:r w:rsidRPr="00661595">
              <w:rPr>
                <w:rFonts w:ascii="Times New Roman" w:hAnsi="Times New Roman"/>
                <w:bCs/>
                <w:sz w:val="24"/>
                <w:lang w:eastAsia="de-DE"/>
              </w:rPr>
              <w:t>direct counterparty</w:t>
            </w:r>
            <w:r w:rsidR="00590386" w:rsidRPr="00661595">
              <w:rPr>
                <w:rFonts w:ascii="Times New Roman" w:hAnsi="Times New Roman"/>
                <w:bCs/>
                <w:sz w:val="24"/>
                <w:lang w:eastAsia="de-DE"/>
              </w:rPr>
              <w:t xml:space="preserve"> of those securities</w:t>
            </w:r>
            <w:r w:rsidRPr="00661595">
              <w:rPr>
                <w:rFonts w:ascii="Times New Roman" w:hAnsi="Times New Roman"/>
                <w:bCs/>
                <w:sz w:val="24"/>
                <w:lang w:eastAsia="de-DE"/>
              </w:rPr>
              <w:t xml:space="preserve"> is a General government</w:t>
            </w:r>
            <w:r w:rsidR="00590386" w:rsidRPr="00661595">
              <w:rPr>
                <w:rFonts w:ascii="Times New Roman" w:hAnsi="Times New Roman"/>
                <w:bCs/>
                <w:sz w:val="24"/>
                <w:lang w:eastAsia="de-DE"/>
              </w:rPr>
              <w:t xml:space="preserve"> and</w:t>
            </w:r>
            <w:r w:rsidRPr="00661595">
              <w:rPr>
                <w:rFonts w:ascii="Times New Roman" w:hAnsi="Times New Roman"/>
                <w:bCs/>
                <w:sz w:val="24"/>
                <w:lang w:eastAsia="de-DE"/>
              </w:rPr>
              <w:t xml:space="preserve"> that are included in the held for trading or trading financial assets accounting portfolios (columns </w:t>
            </w:r>
            <w:r w:rsidR="00535792" w:rsidRPr="00661595">
              <w:rPr>
                <w:rFonts w:ascii="Times New Roman" w:hAnsi="Times New Roman"/>
                <w:bCs/>
                <w:sz w:val="24"/>
                <w:lang w:eastAsia="de-DE"/>
              </w:rPr>
              <w:t>0</w:t>
            </w:r>
            <w:r w:rsidRPr="00661595">
              <w:rPr>
                <w:rFonts w:ascii="Times New Roman" w:hAnsi="Times New Roman"/>
                <w:bCs/>
                <w:sz w:val="24"/>
                <w:lang w:eastAsia="de-DE"/>
              </w:rPr>
              <w:t xml:space="preserve">030 or </w:t>
            </w:r>
            <w:r w:rsidR="00535792" w:rsidRPr="00661595">
              <w:rPr>
                <w:rFonts w:ascii="Times New Roman" w:hAnsi="Times New Roman"/>
                <w:bCs/>
                <w:sz w:val="24"/>
                <w:lang w:eastAsia="de-DE"/>
              </w:rPr>
              <w:t>0</w:t>
            </w:r>
            <w:r w:rsidRPr="00661595">
              <w:rPr>
                <w:rFonts w:ascii="Times New Roman" w:hAnsi="Times New Roman"/>
                <w:bCs/>
                <w:sz w:val="24"/>
                <w:lang w:eastAsia="de-DE"/>
              </w:rPr>
              <w:t>040).</w:t>
            </w:r>
          </w:p>
          <w:p w:rsidR="00FD54FC" w:rsidRPr="00661595" w:rsidRDefault="00FD54FC" w:rsidP="00FD54FC">
            <w:pPr>
              <w:spacing w:before="0" w:after="0"/>
              <w:ind w:left="33"/>
              <w:rPr>
                <w:rFonts w:ascii="Times New Roman" w:hAnsi="Times New Roman"/>
                <w:b/>
                <w:bCs/>
                <w:sz w:val="24"/>
                <w:u w:val="single"/>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Short positions that arise when the sold securities were borrowed in a securities lending transition shall not be included in this column.</w:t>
            </w:r>
            <w:r w:rsidR="00730040" w:rsidRPr="00661595">
              <w:rPr>
                <w:rFonts w:ascii="Times New Roman" w:hAnsi="Times New Roman"/>
                <w:bCs/>
                <w:sz w:val="24"/>
                <w:lang w:eastAsia="de-DE"/>
              </w:rPr>
              <w:t xml:space="preserve"> </w:t>
            </w:r>
          </w:p>
          <w:p w:rsidR="00FD54FC" w:rsidRPr="00661595" w:rsidDel="00E97A51" w:rsidRDefault="00FD54FC" w:rsidP="00FD54FC">
            <w:pPr>
              <w:spacing w:before="0" w:after="0"/>
              <w:ind w:left="33"/>
              <w:rPr>
                <w:rFonts w:ascii="Times New Roman" w:hAnsi="Times New Roman"/>
                <w:b/>
                <w:bCs/>
                <w:sz w:val="24"/>
                <w:u w:val="single"/>
                <w:lang w:eastAsia="de-DE"/>
              </w:rPr>
            </w:pPr>
          </w:p>
        </w:tc>
      </w:tr>
      <w:tr w:rsidR="00FD54FC" w:rsidRPr="00661595" w:rsidDel="004A25FD" w:rsidTr="00672D2A">
        <w:tc>
          <w:tcPr>
            <w:tcW w:w="1188" w:type="dxa"/>
          </w:tcPr>
          <w:p w:rsidR="00FD54FC" w:rsidRPr="00661595" w:rsidDel="004A25FD" w:rsidRDefault="00535792"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0</w:t>
            </w:r>
            <w:r w:rsidR="00FD54FC" w:rsidRPr="00661595">
              <w:rPr>
                <w:rFonts w:ascii="Times New Roman" w:hAnsi="Times New Roman"/>
                <w:bCs/>
                <w:sz w:val="24"/>
                <w:lang w:eastAsia="de-DE"/>
              </w:rPr>
              <w:t>150</w:t>
            </w:r>
          </w:p>
        </w:tc>
        <w:tc>
          <w:tcPr>
            <w:tcW w:w="8640" w:type="dxa"/>
          </w:tcPr>
          <w:p w:rsidR="00FD54FC" w:rsidRPr="00661595" w:rsidRDefault="00FD54FC" w:rsidP="00FD54FC">
            <w:pPr>
              <w:spacing w:before="0" w:after="0"/>
              <w:ind w:left="33"/>
              <w:rPr>
                <w:rFonts w:ascii="Times New Roman" w:hAnsi="Times New Roman"/>
                <w:b/>
                <w:bCs/>
                <w:sz w:val="24"/>
                <w:u w:val="single"/>
                <w:lang w:eastAsia="de-DE"/>
              </w:rPr>
            </w:pPr>
            <w:r w:rsidRPr="00661595">
              <w:rPr>
                <w:rFonts w:ascii="Times New Roman" w:hAnsi="Times New Roman"/>
                <w:b/>
                <w:bCs/>
                <w:sz w:val="24"/>
                <w:u w:val="single"/>
                <w:lang w:eastAsia="de-DE"/>
              </w:rPr>
              <w:t>Accumulated impairment</w:t>
            </w:r>
          </w:p>
          <w:p w:rsidR="00FD54FC" w:rsidRPr="00661595" w:rsidRDefault="00FD54FC" w:rsidP="00FD54FC">
            <w:pPr>
              <w:spacing w:before="0" w:after="0"/>
              <w:ind w:left="33"/>
              <w:rPr>
                <w:rFonts w:ascii="Times New Roman" w:hAnsi="Times New Roman"/>
                <w:b/>
                <w:bCs/>
                <w:sz w:val="24"/>
                <w:u w:val="single"/>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 xml:space="preserve">Aggregate accumulated impairment related to non-derivative financial assets reported in columns </w:t>
            </w:r>
            <w:r w:rsidR="00535792" w:rsidRPr="00661595">
              <w:rPr>
                <w:rFonts w:ascii="Times New Roman" w:hAnsi="Times New Roman"/>
                <w:bCs/>
                <w:sz w:val="24"/>
                <w:lang w:eastAsia="de-DE"/>
              </w:rPr>
              <w:t>0</w:t>
            </w:r>
            <w:r w:rsidRPr="00661595">
              <w:rPr>
                <w:rFonts w:ascii="Times New Roman" w:hAnsi="Times New Roman"/>
                <w:bCs/>
                <w:sz w:val="24"/>
                <w:lang w:eastAsia="de-DE"/>
              </w:rPr>
              <w:t xml:space="preserve">080 to </w:t>
            </w:r>
            <w:r w:rsidR="00535792" w:rsidRPr="00661595">
              <w:rPr>
                <w:rFonts w:ascii="Times New Roman" w:hAnsi="Times New Roman"/>
                <w:bCs/>
                <w:sz w:val="24"/>
                <w:lang w:eastAsia="de-DE"/>
              </w:rPr>
              <w:t>0</w:t>
            </w:r>
            <w:r w:rsidRPr="00661595">
              <w:rPr>
                <w:rFonts w:ascii="Times New Roman" w:hAnsi="Times New Roman"/>
                <w:bCs/>
                <w:sz w:val="24"/>
                <w:lang w:eastAsia="de-DE"/>
              </w:rPr>
              <w:t>120</w:t>
            </w:r>
            <w:r w:rsidR="002F78EA" w:rsidRPr="00661595">
              <w:rPr>
                <w:rFonts w:ascii="Times New Roman" w:hAnsi="Times New Roman"/>
                <w:bCs/>
                <w:sz w:val="24"/>
                <w:lang w:eastAsia="de-DE"/>
              </w:rPr>
              <w:t xml:space="preserve"> (paragraphs 70 and 71 of Part 2 of Annex V to this Implementing Regulation)</w:t>
            </w:r>
          </w:p>
          <w:p w:rsidR="00FD54FC" w:rsidRPr="00661595" w:rsidDel="004A25FD" w:rsidRDefault="00FD54FC" w:rsidP="00FD54FC">
            <w:pPr>
              <w:spacing w:before="0" w:after="0"/>
              <w:ind w:left="33"/>
              <w:rPr>
                <w:rFonts w:ascii="Times New Roman" w:hAnsi="Times New Roman"/>
                <w:bCs/>
                <w:sz w:val="24"/>
                <w:lang w:eastAsia="de-DE"/>
              </w:rPr>
            </w:pPr>
          </w:p>
        </w:tc>
      </w:tr>
      <w:tr w:rsidR="00FD54FC" w:rsidRPr="00661595" w:rsidTr="00672D2A">
        <w:tc>
          <w:tcPr>
            <w:tcW w:w="1188" w:type="dxa"/>
          </w:tcPr>
          <w:p w:rsidR="00FD54FC" w:rsidRPr="00661595" w:rsidRDefault="00535792"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0</w:t>
            </w:r>
            <w:r w:rsidR="00FD54FC" w:rsidRPr="00661595">
              <w:rPr>
                <w:rFonts w:ascii="Times New Roman" w:hAnsi="Times New Roman"/>
                <w:bCs/>
                <w:sz w:val="24"/>
                <w:lang w:eastAsia="de-DE"/>
              </w:rPr>
              <w:t>160</w:t>
            </w:r>
          </w:p>
        </w:tc>
        <w:tc>
          <w:tcPr>
            <w:tcW w:w="8640" w:type="dxa"/>
          </w:tcPr>
          <w:p w:rsidR="00FD54FC" w:rsidRPr="00661595" w:rsidRDefault="00FD54FC" w:rsidP="00FD54FC">
            <w:pPr>
              <w:spacing w:before="0" w:after="0"/>
              <w:ind w:left="33"/>
              <w:rPr>
                <w:rFonts w:ascii="Times New Roman" w:hAnsi="Times New Roman"/>
                <w:b/>
                <w:bCs/>
                <w:sz w:val="24"/>
                <w:u w:val="single"/>
                <w:lang w:eastAsia="de-DE"/>
              </w:rPr>
            </w:pPr>
            <w:r w:rsidRPr="00661595">
              <w:rPr>
                <w:rFonts w:ascii="Times New Roman" w:hAnsi="Times New Roman"/>
                <w:b/>
                <w:bCs/>
                <w:sz w:val="24"/>
                <w:u w:val="single"/>
                <w:lang w:eastAsia="de-DE"/>
              </w:rPr>
              <w:t>Accumulated impairment - of which: from financial assets at fair value through other comprehensive income or from non-trading non-derivative financial assets measured at fair value to equity</w:t>
            </w:r>
          </w:p>
          <w:p w:rsidR="00FD54FC" w:rsidRPr="00661595" w:rsidRDefault="00FD54FC" w:rsidP="00FD54FC">
            <w:pPr>
              <w:spacing w:before="0" w:after="0"/>
              <w:ind w:left="33"/>
              <w:rPr>
                <w:rFonts w:ascii="Times New Roman" w:hAnsi="Times New Roman"/>
                <w:b/>
                <w:bCs/>
                <w:sz w:val="24"/>
                <w:u w:val="single"/>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 xml:space="preserve">Aggregate of accumulated impairment related to non-derivative financial assets reported in columns </w:t>
            </w:r>
            <w:r w:rsidR="00535792" w:rsidRPr="00661595">
              <w:rPr>
                <w:rFonts w:ascii="Times New Roman" w:hAnsi="Times New Roman"/>
                <w:bCs/>
                <w:sz w:val="24"/>
                <w:lang w:eastAsia="de-DE"/>
              </w:rPr>
              <w:t>0</w:t>
            </w:r>
            <w:r w:rsidRPr="00661595">
              <w:rPr>
                <w:rFonts w:ascii="Times New Roman" w:hAnsi="Times New Roman"/>
                <w:bCs/>
                <w:sz w:val="24"/>
                <w:lang w:eastAsia="de-DE"/>
              </w:rPr>
              <w:t xml:space="preserve">080 and </w:t>
            </w:r>
            <w:r w:rsidR="00535792" w:rsidRPr="00661595">
              <w:rPr>
                <w:rFonts w:ascii="Times New Roman" w:hAnsi="Times New Roman"/>
                <w:bCs/>
                <w:sz w:val="24"/>
                <w:lang w:eastAsia="de-DE"/>
              </w:rPr>
              <w:t>0</w:t>
            </w:r>
            <w:r w:rsidRPr="00661595">
              <w:rPr>
                <w:rFonts w:ascii="Times New Roman" w:hAnsi="Times New Roman"/>
                <w:bCs/>
                <w:sz w:val="24"/>
                <w:lang w:eastAsia="de-DE"/>
              </w:rPr>
              <w:t>090.</w:t>
            </w:r>
            <w:r w:rsidR="00730040" w:rsidRPr="00661595">
              <w:rPr>
                <w:rFonts w:ascii="Times New Roman" w:hAnsi="Times New Roman"/>
                <w:bCs/>
                <w:sz w:val="24"/>
                <w:lang w:eastAsia="de-DE"/>
              </w:rPr>
              <w:t xml:space="preserve"> </w:t>
            </w:r>
          </w:p>
          <w:p w:rsidR="00FD54FC" w:rsidRPr="00661595" w:rsidRDefault="00FD54FC" w:rsidP="00FD54FC">
            <w:pPr>
              <w:spacing w:before="0" w:after="0"/>
              <w:ind w:left="33"/>
              <w:rPr>
                <w:rFonts w:ascii="Times New Roman" w:hAnsi="Times New Roman"/>
                <w:b/>
                <w:bCs/>
                <w:sz w:val="24"/>
                <w:u w:val="single"/>
                <w:lang w:eastAsia="de-DE"/>
              </w:rPr>
            </w:pPr>
          </w:p>
        </w:tc>
      </w:tr>
      <w:tr w:rsidR="00FD54FC" w:rsidRPr="00661595" w:rsidDel="004A25FD" w:rsidTr="00672D2A">
        <w:tc>
          <w:tcPr>
            <w:tcW w:w="1188" w:type="dxa"/>
          </w:tcPr>
          <w:p w:rsidR="00FD54FC" w:rsidRPr="00661595" w:rsidDel="004A25FD" w:rsidRDefault="00535792"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0</w:t>
            </w:r>
            <w:r w:rsidR="00FD54FC" w:rsidRPr="00661595">
              <w:rPr>
                <w:rFonts w:ascii="Times New Roman" w:hAnsi="Times New Roman"/>
                <w:bCs/>
                <w:sz w:val="24"/>
                <w:lang w:eastAsia="de-DE"/>
              </w:rPr>
              <w:t>170</w:t>
            </w:r>
          </w:p>
        </w:tc>
        <w:tc>
          <w:tcPr>
            <w:tcW w:w="8640" w:type="dxa"/>
          </w:tcPr>
          <w:p w:rsidR="00FD54FC" w:rsidRPr="00661595" w:rsidRDefault="00FD54FC" w:rsidP="00FD54FC">
            <w:pPr>
              <w:spacing w:before="0" w:after="0"/>
              <w:ind w:left="33"/>
              <w:rPr>
                <w:rFonts w:ascii="Times New Roman" w:hAnsi="Times New Roman"/>
                <w:b/>
                <w:bCs/>
                <w:sz w:val="24"/>
                <w:u w:val="single"/>
                <w:lang w:eastAsia="de-DE"/>
              </w:rPr>
            </w:pPr>
            <w:r w:rsidRPr="00661595">
              <w:rPr>
                <w:rFonts w:ascii="Times New Roman" w:hAnsi="Times New Roman"/>
                <w:b/>
                <w:bCs/>
                <w:sz w:val="24"/>
                <w:u w:val="single"/>
                <w:lang w:eastAsia="de-DE"/>
              </w:rPr>
              <w:t xml:space="preserve">Accumulated negative changes in fair value due to credit risk </w:t>
            </w:r>
          </w:p>
          <w:p w:rsidR="00FD54FC" w:rsidRPr="00661595" w:rsidRDefault="00FD54FC" w:rsidP="00FD54FC">
            <w:pPr>
              <w:spacing w:before="0" w:after="0"/>
              <w:ind w:left="33"/>
              <w:rPr>
                <w:rFonts w:ascii="Times New Roman" w:hAnsi="Times New Roman"/>
                <w:b/>
                <w:bCs/>
                <w:sz w:val="24"/>
                <w:u w:val="single"/>
                <w:lang w:eastAsia="de-DE"/>
              </w:rPr>
            </w:pPr>
          </w:p>
          <w:p w:rsidR="00FD54FC" w:rsidRPr="00661595" w:rsidRDefault="00FD54FC" w:rsidP="00E863C1">
            <w:pPr>
              <w:spacing w:before="0" w:after="0"/>
              <w:ind w:left="33"/>
              <w:rPr>
                <w:rFonts w:ascii="Times New Roman" w:hAnsi="Times New Roman"/>
                <w:bCs/>
                <w:sz w:val="24"/>
                <w:lang w:eastAsia="de-DE"/>
              </w:rPr>
            </w:pPr>
            <w:r w:rsidRPr="00661595">
              <w:rPr>
                <w:rFonts w:ascii="Times New Roman" w:hAnsi="Times New Roman"/>
                <w:bCs/>
                <w:sz w:val="24"/>
                <w:lang w:eastAsia="de-DE"/>
              </w:rPr>
              <w:t xml:space="preserve">Aggregate of accumulated negative changes in fair value due to credit risk related to positions informed in columns </w:t>
            </w:r>
            <w:r w:rsidR="00535792" w:rsidRPr="00661595">
              <w:rPr>
                <w:rFonts w:ascii="Times New Roman" w:hAnsi="Times New Roman"/>
                <w:bCs/>
                <w:sz w:val="24"/>
                <w:lang w:eastAsia="de-DE"/>
              </w:rPr>
              <w:t>0</w:t>
            </w:r>
            <w:r w:rsidRPr="00661595">
              <w:rPr>
                <w:rFonts w:ascii="Times New Roman" w:hAnsi="Times New Roman"/>
                <w:bCs/>
                <w:sz w:val="24"/>
                <w:lang w:eastAsia="de-DE"/>
              </w:rPr>
              <w:t xml:space="preserve">050, </w:t>
            </w:r>
            <w:r w:rsidR="00535792" w:rsidRPr="00661595">
              <w:rPr>
                <w:rFonts w:ascii="Times New Roman" w:hAnsi="Times New Roman"/>
                <w:bCs/>
                <w:sz w:val="24"/>
                <w:lang w:eastAsia="de-DE"/>
              </w:rPr>
              <w:t>0</w:t>
            </w:r>
            <w:r w:rsidRPr="00661595">
              <w:rPr>
                <w:rFonts w:ascii="Times New Roman" w:hAnsi="Times New Roman"/>
                <w:bCs/>
                <w:sz w:val="24"/>
                <w:lang w:eastAsia="de-DE"/>
              </w:rPr>
              <w:t xml:space="preserve">060, </w:t>
            </w:r>
            <w:r w:rsidR="00535792" w:rsidRPr="00661595">
              <w:rPr>
                <w:rFonts w:ascii="Times New Roman" w:hAnsi="Times New Roman"/>
                <w:bCs/>
                <w:sz w:val="24"/>
                <w:lang w:eastAsia="de-DE"/>
              </w:rPr>
              <w:t>0</w:t>
            </w:r>
            <w:r w:rsidRPr="00661595">
              <w:rPr>
                <w:rFonts w:ascii="Times New Roman" w:hAnsi="Times New Roman"/>
                <w:bCs/>
                <w:sz w:val="24"/>
                <w:lang w:eastAsia="de-DE"/>
              </w:rPr>
              <w:t xml:space="preserve">070, </w:t>
            </w:r>
            <w:r w:rsidR="00535792" w:rsidRPr="00661595">
              <w:rPr>
                <w:rFonts w:ascii="Times New Roman" w:hAnsi="Times New Roman"/>
                <w:bCs/>
                <w:sz w:val="24"/>
                <w:lang w:eastAsia="de-DE"/>
              </w:rPr>
              <w:t>0</w:t>
            </w:r>
            <w:r w:rsidRPr="00661595">
              <w:rPr>
                <w:rFonts w:ascii="Times New Roman" w:hAnsi="Times New Roman"/>
                <w:bCs/>
                <w:sz w:val="24"/>
                <w:lang w:eastAsia="de-DE"/>
              </w:rPr>
              <w:t xml:space="preserve">080 and </w:t>
            </w:r>
            <w:r w:rsidR="00535792" w:rsidRPr="00661595">
              <w:rPr>
                <w:rFonts w:ascii="Times New Roman" w:hAnsi="Times New Roman"/>
                <w:bCs/>
                <w:sz w:val="24"/>
                <w:lang w:eastAsia="de-DE"/>
              </w:rPr>
              <w:t>0</w:t>
            </w:r>
            <w:r w:rsidRPr="00661595">
              <w:rPr>
                <w:rFonts w:ascii="Times New Roman" w:hAnsi="Times New Roman"/>
                <w:bCs/>
                <w:sz w:val="24"/>
                <w:lang w:eastAsia="de-DE"/>
              </w:rPr>
              <w:t>090</w:t>
            </w:r>
            <w:r w:rsidR="002F78EA" w:rsidRPr="00661595">
              <w:rPr>
                <w:rFonts w:ascii="Times New Roman" w:hAnsi="Times New Roman"/>
                <w:bCs/>
                <w:sz w:val="24"/>
                <w:lang w:eastAsia="de-DE"/>
              </w:rPr>
              <w:t xml:space="preserve"> (paragraph 69 of Part 2 of Annex V to this Implementing Regulation)</w:t>
            </w:r>
          </w:p>
          <w:p w:rsidR="00FD54FC" w:rsidRPr="00661595" w:rsidDel="004A25FD" w:rsidRDefault="00FD54FC" w:rsidP="00BE47D8">
            <w:pPr>
              <w:spacing w:before="0" w:after="0"/>
              <w:ind w:left="33"/>
              <w:rPr>
                <w:rFonts w:ascii="Times New Roman" w:hAnsi="Times New Roman"/>
                <w:bCs/>
                <w:sz w:val="24"/>
                <w:lang w:eastAsia="de-DE"/>
              </w:rPr>
            </w:pPr>
          </w:p>
        </w:tc>
      </w:tr>
      <w:tr w:rsidR="00FD54FC" w:rsidRPr="00661595" w:rsidTr="00672D2A">
        <w:tc>
          <w:tcPr>
            <w:tcW w:w="1188" w:type="dxa"/>
          </w:tcPr>
          <w:p w:rsidR="00FD54FC" w:rsidRPr="00661595" w:rsidRDefault="00535792"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0</w:t>
            </w:r>
            <w:r w:rsidR="00FD54FC" w:rsidRPr="00661595">
              <w:rPr>
                <w:rFonts w:ascii="Times New Roman" w:hAnsi="Times New Roman"/>
                <w:bCs/>
                <w:sz w:val="24"/>
                <w:lang w:eastAsia="de-DE"/>
              </w:rPr>
              <w:t>180</w:t>
            </w:r>
          </w:p>
        </w:tc>
        <w:tc>
          <w:tcPr>
            <w:tcW w:w="8640" w:type="dxa"/>
          </w:tcPr>
          <w:p w:rsidR="00FD54FC" w:rsidRPr="00661595" w:rsidRDefault="00FD54FC" w:rsidP="00FD54FC">
            <w:pPr>
              <w:spacing w:before="0" w:after="0"/>
              <w:ind w:left="33"/>
              <w:rPr>
                <w:rFonts w:ascii="Times New Roman" w:hAnsi="Times New Roman"/>
                <w:b/>
                <w:bCs/>
                <w:sz w:val="24"/>
                <w:u w:val="single"/>
                <w:lang w:eastAsia="de-DE"/>
              </w:rPr>
            </w:pPr>
            <w:r w:rsidRPr="00661595">
              <w:rPr>
                <w:rFonts w:ascii="Times New Roman" w:hAnsi="Times New Roman"/>
                <w:b/>
                <w:bCs/>
                <w:sz w:val="24"/>
                <w:u w:val="single"/>
                <w:lang w:eastAsia="de-DE"/>
              </w:rPr>
              <w:t>Accumulated negative changes in fair value due to credit risk - of which: from non-trading financial assets mandatorily at fair value through profit or loss, financial assets designated at fair value through profit or loss or from non-trading financial assets measured at fair value through profit or loss</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 xml:space="preserve">Aggregate of accumulated negative changes in fair value due to credit risk related to positions informed in columns </w:t>
            </w:r>
            <w:r w:rsidR="00535792" w:rsidRPr="00661595">
              <w:rPr>
                <w:rFonts w:ascii="Times New Roman" w:hAnsi="Times New Roman"/>
                <w:bCs/>
                <w:sz w:val="24"/>
                <w:lang w:eastAsia="de-DE"/>
              </w:rPr>
              <w:t>0</w:t>
            </w:r>
            <w:r w:rsidRPr="00661595">
              <w:rPr>
                <w:rFonts w:ascii="Times New Roman" w:hAnsi="Times New Roman"/>
                <w:bCs/>
                <w:sz w:val="24"/>
                <w:lang w:eastAsia="de-DE"/>
              </w:rPr>
              <w:t xml:space="preserve">050, </w:t>
            </w:r>
            <w:r w:rsidR="00535792" w:rsidRPr="00661595">
              <w:rPr>
                <w:rFonts w:ascii="Times New Roman" w:hAnsi="Times New Roman"/>
                <w:bCs/>
                <w:sz w:val="24"/>
                <w:lang w:eastAsia="de-DE"/>
              </w:rPr>
              <w:t>0</w:t>
            </w:r>
            <w:r w:rsidRPr="00661595">
              <w:rPr>
                <w:rFonts w:ascii="Times New Roman" w:hAnsi="Times New Roman"/>
                <w:bCs/>
                <w:sz w:val="24"/>
                <w:lang w:eastAsia="de-DE"/>
              </w:rPr>
              <w:t xml:space="preserve">060 and </w:t>
            </w:r>
            <w:r w:rsidR="00535792" w:rsidRPr="00661595">
              <w:rPr>
                <w:rFonts w:ascii="Times New Roman" w:hAnsi="Times New Roman"/>
                <w:bCs/>
                <w:sz w:val="24"/>
                <w:lang w:eastAsia="de-DE"/>
              </w:rPr>
              <w:t>0</w:t>
            </w:r>
            <w:r w:rsidRPr="00661595">
              <w:rPr>
                <w:rFonts w:ascii="Times New Roman" w:hAnsi="Times New Roman"/>
                <w:bCs/>
                <w:sz w:val="24"/>
                <w:lang w:eastAsia="de-DE"/>
              </w:rPr>
              <w:t>070.</w:t>
            </w:r>
          </w:p>
          <w:p w:rsidR="00FD54FC" w:rsidRPr="00661595" w:rsidRDefault="00FD54FC" w:rsidP="00FD54FC">
            <w:pPr>
              <w:spacing w:before="0" w:after="0"/>
              <w:ind w:left="33"/>
              <w:rPr>
                <w:rFonts w:ascii="Times New Roman" w:hAnsi="Times New Roman"/>
                <w:bCs/>
                <w:sz w:val="24"/>
                <w:lang w:eastAsia="de-DE"/>
              </w:rPr>
            </w:pPr>
            <w:r w:rsidRPr="00661595" w:rsidDel="00501397">
              <w:rPr>
                <w:rFonts w:ascii="Times New Roman" w:hAnsi="Times New Roman"/>
                <w:b/>
                <w:bCs/>
                <w:sz w:val="24"/>
                <w:u w:val="single"/>
                <w:lang w:eastAsia="de-DE"/>
              </w:rPr>
              <w:t xml:space="preserve"> </w:t>
            </w:r>
          </w:p>
        </w:tc>
      </w:tr>
      <w:tr w:rsidR="00FD54FC" w:rsidRPr="00661595" w:rsidTr="00672D2A">
        <w:tc>
          <w:tcPr>
            <w:tcW w:w="1188" w:type="dxa"/>
          </w:tcPr>
          <w:p w:rsidR="00FD54FC" w:rsidRPr="00661595" w:rsidRDefault="00535792"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0</w:t>
            </w:r>
            <w:r w:rsidR="00FD54FC" w:rsidRPr="00661595">
              <w:rPr>
                <w:rFonts w:ascii="Times New Roman" w:hAnsi="Times New Roman"/>
                <w:bCs/>
                <w:sz w:val="24"/>
                <w:lang w:eastAsia="de-DE"/>
              </w:rPr>
              <w:t>190</w:t>
            </w:r>
          </w:p>
        </w:tc>
        <w:tc>
          <w:tcPr>
            <w:tcW w:w="8640" w:type="dxa"/>
          </w:tcPr>
          <w:p w:rsidR="00FD54FC" w:rsidRPr="00661595" w:rsidRDefault="00FD54FC" w:rsidP="00FD54FC">
            <w:pPr>
              <w:spacing w:before="0" w:after="0"/>
              <w:ind w:left="33"/>
              <w:rPr>
                <w:rFonts w:ascii="Times New Roman" w:hAnsi="Times New Roman"/>
                <w:b/>
                <w:bCs/>
                <w:sz w:val="24"/>
                <w:u w:val="single"/>
                <w:lang w:eastAsia="de-DE"/>
              </w:rPr>
            </w:pPr>
            <w:r w:rsidRPr="00661595">
              <w:rPr>
                <w:rFonts w:ascii="Times New Roman" w:hAnsi="Times New Roman"/>
                <w:b/>
                <w:bCs/>
                <w:sz w:val="24"/>
                <w:u w:val="single"/>
                <w:lang w:eastAsia="de-DE"/>
              </w:rPr>
              <w:t>Accumulated negative changes in fair value due to credit risk - of which: from financial assets at fair value through other comprehensive income or from non-trading non-derivative financial assets measured at fair value to equity</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 xml:space="preserve">Aggregate of accumulated negative changes in fair value due to credit risk related to positions informed in columns </w:t>
            </w:r>
            <w:r w:rsidR="00535792" w:rsidRPr="00661595">
              <w:rPr>
                <w:rFonts w:ascii="Times New Roman" w:hAnsi="Times New Roman"/>
                <w:bCs/>
                <w:sz w:val="24"/>
                <w:lang w:eastAsia="de-DE"/>
              </w:rPr>
              <w:t>0</w:t>
            </w:r>
            <w:r w:rsidRPr="00661595">
              <w:rPr>
                <w:rFonts w:ascii="Times New Roman" w:hAnsi="Times New Roman"/>
                <w:bCs/>
                <w:sz w:val="24"/>
                <w:lang w:eastAsia="de-DE"/>
              </w:rPr>
              <w:t xml:space="preserve">080 and </w:t>
            </w:r>
            <w:r w:rsidR="00535792" w:rsidRPr="00661595">
              <w:rPr>
                <w:rFonts w:ascii="Times New Roman" w:hAnsi="Times New Roman"/>
                <w:bCs/>
                <w:sz w:val="24"/>
                <w:lang w:eastAsia="de-DE"/>
              </w:rPr>
              <w:t>0</w:t>
            </w:r>
            <w:r w:rsidRPr="00661595">
              <w:rPr>
                <w:rFonts w:ascii="Times New Roman" w:hAnsi="Times New Roman"/>
                <w:bCs/>
                <w:sz w:val="24"/>
                <w:lang w:eastAsia="de-DE"/>
              </w:rPr>
              <w:t>090.</w:t>
            </w:r>
          </w:p>
          <w:p w:rsidR="00E863C1" w:rsidRPr="00661595" w:rsidRDefault="00E863C1" w:rsidP="00FD54FC">
            <w:pPr>
              <w:spacing w:before="0" w:after="0"/>
              <w:ind w:left="33"/>
              <w:rPr>
                <w:rFonts w:ascii="Times New Roman" w:hAnsi="Times New Roman"/>
                <w:bCs/>
                <w:sz w:val="24"/>
                <w:lang w:eastAsia="de-DE"/>
              </w:rPr>
            </w:pPr>
          </w:p>
        </w:tc>
      </w:tr>
      <w:tr w:rsidR="00FD54FC" w:rsidRPr="00661595" w:rsidTr="00672D2A">
        <w:tc>
          <w:tcPr>
            <w:tcW w:w="1188" w:type="dxa"/>
          </w:tcPr>
          <w:p w:rsidR="00FD54FC" w:rsidRPr="00661595" w:rsidRDefault="00535792"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0</w:t>
            </w:r>
            <w:r w:rsidR="00FD54FC" w:rsidRPr="00661595">
              <w:rPr>
                <w:rFonts w:ascii="Times New Roman" w:hAnsi="Times New Roman"/>
                <w:bCs/>
                <w:sz w:val="24"/>
                <w:lang w:eastAsia="de-DE"/>
              </w:rPr>
              <w:t>200-</w:t>
            </w:r>
            <w:r w:rsidRPr="00661595">
              <w:rPr>
                <w:rFonts w:ascii="Times New Roman" w:hAnsi="Times New Roman"/>
                <w:bCs/>
                <w:sz w:val="24"/>
                <w:lang w:eastAsia="de-DE"/>
              </w:rPr>
              <w:t>0</w:t>
            </w:r>
            <w:r w:rsidR="00FD54FC" w:rsidRPr="00661595">
              <w:rPr>
                <w:rFonts w:ascii="Times New Roman" w:hAnsi="Times New Roman"/>
                <w:bCs/>
                <w:sz w:val="24"/>
                <w:lang w:eastAsia="de-DE"/>
              </w:rPr>
              <w:t>230</w:t>
            </w:r>
          </w:p>
        </w:tc>
        <w:tc>
          <w:tcPr>
            <w:tcW w:w="8640" w:type="dxa"/>
          </w:tcPr>
          <w:p w:rsidR="00FD54FC" w:rsidRPr="00661595" w:rsidRDefault="00FD54FC" w:rsidP="00FD54FC">
            <w:pPr>
              <w:spacing w:before="0" w:after="0"/>
              <w:ind w:left="33"/>
              <w:rPr>
                <w:rFonts w:ascii="Times New Roman" w:hAnsi="Times New Roman"/>
                <w:b/>
                <w:bCs/>
                <w:sz w:val="24"/>
                <w:u w:val="single"/>
                <w:lang w:eastAsia="de-DE"/>
              </w:rPr>
            </w:pPr>
            <w:r w:rsidRPr="00661595">
              <w:rPr>
                <w:rFonts w:ascii="Times New Roman" w:hAnsi="Times New Roman"/>
                <w:b/>
                <w:bCs/>
                <w:sz w:val="24"/>
                <w:u w:val="single"/>
                <w:lang w:eastAsia="de-DE"/>
              </w:rPr>
              <w:t>DERIVATIVES</w:t>
            </w:r>
          </w:p>
          <w:p w:rsidR="00FD54FC" w:rsidRPr="00661595" w:rsidRDefault="00FD54FC" w:rsidP="00FD54FC">
            <w:pPr>
              <w:spacing w:before="0" w:after="0"/>
              <w:ind w:left="33"/>
              <w:rPr>
                <w:rFonts w:ascii="Times New Roman" w:hAnsi="Times New Roman"/>
                <w:b/>
                <w:bCs/>
                <w:sz w:val="24"/>
                <w:u w:val="single"/>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 xml:space="preserve">Direct derivative positions </w:t>
            </w:r>
            <w:r w:rsidR="00B14253" w:rsidRPr="00661595">
              <w:rPr>
                <w:rFonts w:ascii="Times New Roman" w:hAnsi="Times New Roman"/>
                <w:bCs/>
                <w:sz w:val="24"/>
                <w:lang w:eastAsia="de-DE"/>
              </w:rPr>
              <w:t>shall</w:t>
            </w:r>
            <w:r w:rsidRPr="00661595">
              <w:rPr>
                <w:rFonts w:ascii="Times New Roman" w:hAnsi="Times New Roman"/>
                <w:bCs/>
                <w:sz w:val="24"/>
                <w:lang w:eastAsia="de-DE"/>
              </w:rPr>
              <w:t xml:space="preserve"> be reported in columns </w:t>
            </w:r>
            <w:r w:rsidR="00535792" w:rsidRPr="00661595">
              <w:rPr>
                <w:rFonts w:ascii="Times New Roman" w:hAnsi="Times New Roman"/>
                <w:bCs/>
                <w:sz w:val="24"/>
                <w:lang w:eastAsia="de-DE"/>
              </w:rPr>
              <w:t>0</w:t>
            </w:r>
            <w:r w:rsidRPr="00661595">
              <w:rPr>
                <w:rFonts w:ascii="Times New Roman" w:hAnsi="Times New Roman"/>
                <w:bCs/>
                <w:sz w:val="24"/>
                <w:lang w:eastAsia="de-DE"/>
              </w:rPr>
              <w:t xml:space="preserve">200 to </w:t>
            </w:r>
            <w:r w:rsidR="00535792" w:rsidRPr="00661595">
              <w:rPr>
                <w:rFonts w:ascii="Times New Roman" w:hAnsi="Times New Roman"/>
                <w:bCs/>
                <w:sz w:val="24"/>
                <w:lang w:eastAsia="de-DE"/>
              </w:rPr>
              <w:t>0</w:t>
            </w:r>
            <w:r w:rsidRPr="00661595">
              <w:rPr>
                <w:rFonts w:ascii="Times New Roman" w:hAnsi="Times New Roman"/>
                <w:bCs/>
                <w:sz w:val="24"/>
                <w:lang w:eastAsia="de-DE"/>
              </w:rPr>
              <w:t>230.</w:t>
            </w:r>
          </w:p>
          <w:p w:rsidR="00FD54FC" w:rsidRPr="00661595" w:rsidRDefault="00FD54FC" w:rsidP="00FD54FC">
            <w:pPr>
              <w:spacing w:before="0" w:after="0"/>
              <w:ind w:left="33"/>
              <w:rPr>
                <w:rFonts w:ascii="Times New Roman" w:hAnsi="Times New Roman"/>
                <w:b/>
                <w:bCs/>
                <w:sz w:val="24"/>
                <w:u w:val="single"/>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For the reporting of derivatives subject to both counterparty credit risk and market risk capital charges</w:t>
            </w:r>
            <w:r w:rsidR="00B14253" w:rsidRPr="00661595">
              <w:rPr>
                <w:rFonts w:ascii="Times New Roman" w:hAnsi="Times New Roman"/>
                <w:bCs/>
                <w:sz w:val="24"/>
                <w:lang w:eastAsia="de-DE"/>
              </w:rPr>
              <w:t>,</w:t>
            </w:r>
            <w:r w:rsidRPr="00661595">
              <w:rPr>
                <w:rFonts w:ascii="Times New Roman" w:hAnsi="Times New Roman"/>
                <w:bCs/>
                <w:sz w:val="24"/>
                <w:lang w:eastAsia="de-DE"/>
              </w:rPr>
              <w:t xml:space="preserve"> see instructions for the row breakdown.</w:t>
            </w:r>
          </w:p>
          <w:p w:rsidR="00FD54FC" w:rsidRPr="00661595" w:rsidRDefault="00FD54FC" w:rsidP="00FD54FC">
            <w:pPr>
              <w:spacing w:before="0" w:after="0"/>
              <w:ind w:left="33"/>
              <w:rPr>
                <w:rFonts w:ascii="Times New Roman" w:hAnsi="Times New Roman"/>
                <w:b/>
                <w:bCs/>
                <w:sz w:val="24"/>
                <w:u w:val="single"/>
                <w:lang w:eastAsia="de-DE"/>
              </w:rPr>
            </w:pPr>
          </w:p>
        </w:tc>
      </w:tr>
      <w:tr w:rsidR="00FD54FC" w:rsidRPr="00661595" w:rsidTr="00672D2A">
        <w:tc>
          <w:tcPr>
            <w:tcW w:w="1188" w:type="dxa"/>
          </w:tcPr>
          <w:p w:rsidR="00FD54FC" w:rsidRPr="00661595" w:rsidRDefault="00535792"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0</w:t>
            </w:r>
            <w:r w:rsidR="00FD54FC" w:rsidRPr="00661595">
              <w:rPr>
                <w:rFonts w:ascii="Times New Roman" w:hAnsi="Times New Roman"/>
                <w:bCs/>
                <w:sz w:val="24"/>
                <w:lang w:eastAsia="de-DE"/>
              </w:rPr>
              <w:t>200-</w:t>
            </w:r>
            <w:r w:rsidRPr="00661595">
              <w:rPr>
                <w:rFonts w:ascii="Times New Roman" w:hAnsi="Times New Roman"/>
                <w:bCs/>
                <w:sz w:val="24"/>
                <w:lang w:eastAsia="de-DE"/>
              </w:rPr>
              <w:t>0</w:t>
            </w:r>
            <w:r w:rsidR="00FD54FC" w:rsidRPr="00661595">
              <w:rPr>
                <w:rFonts w:ascii="Times New Roman" w:hAnsi="Times New Roman"/>
                <w:bCs/>
                <w:sz w:val="24"/>
                <w:lang w:eastAsia="de-DE"/>
              </w:rPr>
              <w:t>210</w:t>
            </w:r>
          </w:p>
        </w:tc>
        <w:tc>
          <w:tcPr>
            <w:tcW w:w="8640" w:type="dxa"/>
          </w:tcPr>
          <w:p w:rsidR="00FD54FC" w:rsidRPr="00661595" w:rsidRDefault="00FD54FC" w:rsidP="00FD54FC">
            <w:pPr>
              <w:spacing w:before="0" w:after="0"/>
              <w:ind w:left="33"/>
              <w:rPr>
                <w:rFonts w:ascii="Times New Roman" w:hAnsi="Times New Roman"/>
                <w:b/>
                <w:bCs/>
                <w:sz w:val="24"/>
                <w:u w:val="single"/>
                <w:lang w:eastAsia="de-DE"/>
              </w:rPr>
            </w:pPr>
            <w:r w:rsidRPr="00661595">
              <w:rPr>
                <w:rFonts w:ascii="Times New Roman" w:hAnsi="Times New Roman"/>
                <w:b/>
                <w:bCs/>
                <w:sz w:val="24"/>
                <w:u w:val="single"/>
                <w:lang w:eastAsia="de-DE"/>
              </w:rPr>
              <w:t>Derivatives with positive fair value</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All derivative instruments with a General government counterparty with a positive fair value for the institution at the reporting date, regardless of whether th</w:t>
            </w:r>
            <w:r w:rsidR="00B14253" w:rsidRPr="00661595">
              <w:rPr>
                <w:rFonts w:ascii="Times New Roman" w:hAnsi="Times New Roman"/>
                <w:bCs/>
                <w:sz w:val="24"/>
                <w:lang w:eastAsia="de-DE"/>
              </w:rPr>
              <w:t>ose instruments</w:t>
            </w:r>
            <w:r w:rsidRPr="00661595">
              <w:rPr>
                <w:rFonts w:ascii="Times New Roman" w:hAnsi="Times New Roman"/>
                <w:bCs/>
                <w:sz w:val="24"/>
                <w:lang w:eastAsia="de-DE"/>
              </w:rPr>
              <w:t xml:space="preserve"> are </w:t>
            </w:r>
            <w:r w:rsidRPr="00661595" w:rsidDel="004A25FD">
              <w:rPr>
                <w:rFonts w:ascii="Times New Roman" w:hAnsi="Times New Roman"/>
                <w:bCs/>
                <w:sz w:val="24"/>
                <w:lang w:eastAsia="de-DE"/>
              </w:rPr>
              <w:t>used in a qualifying hedging relationship</w:t>
            </w:r>
            <w:r w:rsidRPr="00661595">
              <w:rPr>
                <w:rFonts w:ascii="Times New Roman" w:hAnsi="Times New Roman"/>
                <w:bCs/>
                <w:sz w:val="24"/>
                <w:lang w:eastAsia="de-DE"/>
              </w:rPr>
              <w:t>,</w:t>
            </w:r>
            <w:r w:rsidRPr="00661595" w:rsidDel="004A25FD">
              <w:rPr>
                <w:rFonts w:ascii="Times New Roman" w:hAnsi="Times New Roman"/>
                <w:bCs/>
                <w:sz w:val="24"/>
                <w:lang w:eastAsia="de-DE"/>
              </w:rPr>
              <w:t xml:space="preserve"> </w:t>
            </w:r>
            <w:r w:rsidRPr="00661595">
              <w:rPr>
                <w:rFonts w:ascii="Times New Roman" w:hAnsi="Times New Roman"/>
                <w:bCs/>
                <w:sz w:val="24"/>
                <w:lang w:eastAsia="de-DE"/>
              </w:rPr>
              <w:t>are held for trading</w:t>
            </w:r>
            <w:r w:rsidR="00B14253" w:rsidRPr="00661595">
              <w:rPr>
                <w:rFonts w:ascii="Times New Roman" w:hAnsi="Times New Roman"/>
                <w:bCs/>
                <w:sz w:val="24"/>
                <w:lang w:eastAsia="de-DE"/>
              </w:rPr>
              <w:t>,</w:t>
            </w:r>
            <w:r w:rsidRPr="00661595">
              <w:rPr>
                <w:rFonts w:ascii="Times New Roman" w:hAnsi="Times New Roman"/>
                <w:bCs/>
                <w:sz w:val="24"/>
                <w:lang w:eastAsia="de-DE"/>
              </w:rPr>
              <w:t xml:space="preserve"> or are included in the trading portfolio under IFRS and national GAAP based on BAD. </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FD54FC" w:rsidP="00FD54FC">
            <w:pPr>
              <w:spacing w:before="0" w:after="0"/>
              <w:ind w:left="33"/>
              <w:rPr>
                <w:rFonts w:ascii="Times New Roman" w:hAnsi="Times New Roman"/>
                <w:bCs/>
                <w:sz w:val="24"/>
                <w:lang w:eastAsia="de-DE"/>
              </w:rPr>
            </w:pPr>
            <w:r w:rsidRPr="00661595" w:rsidDel="00EA2683">
              <w:rPr>
                <w:rFonts w:ascii="Times New Roman" w:hAnsi="Times New Roman"/>
                <w:bCs/>
                <w:sz w:val="24"/>
                <w:lang w:eastAsia="de-DE"/>
              </w:rPr>
              <w:t>Derivatives used in economic hedging shall be reported here</w:t>
            </w:r>
            <w:r w:rsidRPr="00661595">
              <w:rPr>
                <w:rFonts w:ascii="Times New Roman" w:hAnsi="Times New Roman"/>
                <w:bCs/>
                <w:sz w:val="24"/>
                <w:lang w:eastAsia="de-DE"/>
              </w:rPr>
              <w:t xml:space="preserve"> when they are included in the trading or h</w:t>
            </w:r>
            <w:r w:rsidRPr="00661595" w:rsidDel="00EA2683">
              <w:rPr>
                <w:rFonts w:ascii="Times New Roman" w:hAnsi="Times New Roman"/>
                <w:bCs/>
                <w:sz w:val="24"/>
                <w:lang w:eastAsia="de-DE"/>
              </w:rPr>
              <w:t xml:space="preserve">eld for trading accounting portfolios </w:t>
            </w:r>
            <w:r w:rsidRPr="00661595">
              <w:rPr>
                <w:rFonts w:ascii="Times New Roman" w:hAnsi="Times New Roman"/>
                <w:bCs/>
                <w:sz w:val="24"/>
                <w:lang w:eastAsia="de-DE"/>
              </w:rPr>
              <w:t>(</w:t>
            </w:r>
            <w:r w:rsidR="002F78EA" w:rsidRPr="00661595">
              <w:rPr>
                <w:rFonts w:ascii="Times New Roman" w:hAnsi="Times New Roman"/>
                <w:bCs/>
                <w:sz w:val="24"/>
                <w:lang w:eastAsia="de-DE"/>
              </w:rPr>
              <w:t>paragraphs 120, 124, 125 and 137 to 140 of Part 2 of Annex V to this Implementing Regulation</w:t>
            </w:r>
            <w:r w:rsidRPr="00661595">
              <w:rPr>
                <w:rFonts w:ascii="Times New Roman" w:hAnsi="Times New Roman"/>
                <w:bCs/>
                <w:sz w:val="24"/>
                <w:lang w:eastAsia="de-DE"/>
              </w:rPr>
              <w:t>).</w:t>
            </w:r>
          </w:p>
          <w:p w:rsidR="00FD54FC" w:rsidRPr="00661595" w:rsidRDefault="00FD54FC" w:rsidP="00FD54FC">
            <w:pPr>
              <w:spacing w:before="0" w:after="0"/>
              <w:ind w:left="33"/>
              <w:rPr>
                <w:rFonts w:ascii="Times New Roman" w:hAnsi="Times New Roman"/>
                <w:b/>
                <w:bCs/>
                <w:sz w:val="24"/>
                <w:u w:val="single"/>
                <w:lang w:eastAsia="de-DE"/>
              </w:rPr>
            </w:pPr>
          </w:p>
        </w:tc>
      </w:tr>
      <w:tr w:rsidR="00FD54FC" w:rsidRPr="00661595" w:rsidTr="00672D2A">
        <w:tc>
          <w:tcPr>
            <w:tcW w:w="1188" w:type="dxa"/>
          </w:tcPr>
          <w:p w:rsidR="00FD54FC" w:rsidRPr="00661595" w:rsidRDefault="00535792"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0</w:t>
            </w:r>
            <w:r w:rsidR="00FD54FC" w:rsidRPr="00661595">
              <w:rPr>
                <w:rFonts w:ascii="Times New Roman" w:hAnsi="Times New Roman"/>
                <w:bCs/>
                <w:sz w:val="24"/>
                <w:lang w:eastAsia="de-DE"/>
              </w:rPr>
              <w:t>200</w:t>
            </w:r>
          </w:p>
        </w:tc>
        <w:tc>
          <w:tcPr>
            <w:tcW w:w="8640" w:type="dxa"/>
          </w:tcPr>
          <w:p w:rsidR="00FD54FC" w:rsidRPr="00661595" w:rsidRDefault="00FD54FC" w:rsidP="00FD54FC">
            <w:pPr>
              <w:spacing w:before="0" w:after="0"/>
              <w:ind w:left="33"/>
              <w:rPr>
                <w:rFonts w:ascii="Times New Roman" w:hAnsi="Times New Roman"/>
                <w:b/>
                <w:bCs/>
                <w:sz w:val="24"/>
                <w:u w:val="single"/>
                <w:lang w:eastAsia="de-DE"/>
              </w:rPr>
            </w:pPr>
            <w:r w:rsidRPr="00661595">
              <w:rPr>
                <w:rFonts w:ascii="Times New Roman" w:hAnsi="Times New Roman"/>
                <w:b/>
                <w:bCs/>
                <w:sz w:val="24"/>
                <w:u w:val="single"/>
                <w:lang w:eastAsia="de-DE"/>
              </w:rPr>
              <w:t xml:space="preserve">Derivatives with positive fair value: Carrying amount </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 xml:space="preserve">Carrying amount of the derivatives accounted for as financial assets at the reporting reference date. </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 xml:space="preserve">Under GAAP based on BAD, derivatives to be reported in these columns include the derivative instruments measured at cost or at the lower of cost or market </w:t>
            </w:r>
            <w:r w:rsidRPr="00661595" w:rsidDel="00EA2683">
              <w:rPr>
                <w:rFonts w:ascii="Times New Roman" w:hAnsi="Times New Roman"/>
                <w:bCs/>
                <w:sz w:val="24"/>
                <w:lang w:eastAsia="de-DE"/>
              </w:rPr>
              <w:t>included in the</w:t>
            </w:r>
            <w:r w:rsidRPr="00661595">
              <w:rPr>
                <w:rFonts w:ascii="Times New Roman" w:hAnsi="Times New Roman"/>
                <w:bCs/>
                <w:sz w:val="24"/>
                <w:lang w:eastAsia="de-DE"/>
              </w:rPr>
              <w:t xml:space="preserve"> </w:t>
            </w:r>
            <w:r w:rsidRPr="00661595" w:rsidDel="00EA2683">
              <w:rPr>
                <w:rFonts w:ascii="Times New Roman" w:hAnsi="Times New Roman"/>
                <w:bCs/>
                <w:sz w:val="24"/>
                <w:lang w:eastAsia="de-DE"/>
              </w:rPr>
              <w:t>trading portfolio</w:t>
            </w:r>
            <w:r w:rsidRPr="00661595">
              <w:rPr>
                <w:rFonts w:ascii="Times New Roman" w:hAnsi="Times New Roman"/>
                <w:bCs/>
                <w:sz w:val="24"/>
                <w:lang w:eastAsia="de-DE"/>
              </w:rPr>
              <w:t xml:space="preserve"> or designated as hedging instruments</w:t>
            </w:r>
            <w:r w:rsidRPr="00661595" w:rsidDel="00EA2683">
              <w:rPr>
                <w:rFonts w:ascii="Times New Roman" w:hAnsi="Times New Roman"/>
                <w:bCs/>
                <w:sz w:val="24"/>
                <w:lang w:eastAsia="de-DE"/>
              </w:rPr>
              <w:t xml:space="preserve">. </w:t>
            </w:r>
          </w:p>
          <w:p w:rsidR="00FD54FC" w:rsidRPr="00661595" w:rsidRDefault="00FD54FC" w:rsidP="00FD54FC">
            <w:pPr>
              <w:spacing w:before="0" w:after="0"/>
              <w:ind w:left="33"/>
              <w:rPr>
                <w:rFonts w:ascii="Times New Roman" w:hAnsi="Times New Roman"/>
                <w:b/>
                <w:bCs/>
                <w:sz w:val="24"/>
                <w:u w:val="single"/>
                <w:lang w:eastAsia="de-DE"/>
              </w:rPr>
            </w:pPr>
          </w:p>
        </w:tc>
      </w:tr>
      <w:tr w:rsidR="00FD54FC" w:rsidRPr="00661595" w:rsidTr="00672D2A">
        <w:tc>
          <w:tcPr>
            <w:tcW w:w="1188" w:type="dxa"/>
          </w:tcPr>
          <w:p w:rsidR="00FD54FC" w:rsidRPr="00661595" w:rsidRDefault="00535792"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0</w:t>
            </w:r>
            <w:r w:rsidR="00FD54FC" w:rsidRPr="00661595">
              <w:rPr>
                <w:rFonts w:ascii="Times New Roman" w:hAnsi="Times New Roman"/>
                <w:bCs/>
                <w:sz w:val="24"/>
                <w:lang w:eastAsia="de-DE"/>
              </w:rPr>
              <w:t>210</w:t>
            </w:r>
          </w:p>
        </w:tc>
        <w:tc>
          <w:tcPr>
            <w:tcW w:w="8640" w:type="dxa"/>
          </w:tcPr>
          <w:p w:rsidR="00FD54FC" w:rsidRPr="00661595" w:rsidRDefault="00FD54FC" w:rsidP="00FD54FC">
            <w:pPr>
              <w:spacing w:before="0" w:after="0"/>
              <w:ind w:left="33"/>
              <w:rPr>
                <w:rFonts w:ascii="Times New Roman" w:hAnsi="Times New Roman"/>
                <w:b/>
                <w:bCs/>
                <w:sz w:val="24"/>
                <w:u w:val="single"/>
                <w:lang w:eastAsia="de-DE"/>
              </w:rPr>
            </w:pPr>
            <w:r w:rsidRPr="00661595">
              <w:rPr>
                <w:rFonts w:ascii="Times New Roman" w:hAnsi="Times New Roman"/>
                <w:b/>
                <w:bCs/>
                <w:sz w:val="24"/>
                <w:u w:val="single"/>
                <w:lang w:eastAsia="de-DE"/>
              </w:rPr>
              <w:t>Derivatives with positive fair value: Notional amount</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 xml:space="preserve">Under IFRS and national GAAP based on BAD, notional amount, as defined in </w:t>
            </w:r>
            <w:r w:rsidR="002F78EA" w:rsidRPr="00661595">
              <w:rPr>
                <w:rFonts w:ascii="Times New Roman" w:hAnsi="Times New Roman"/>
                <w:bCs/>
                <w:sz w:val="24"/>
                <w:lang w:eastAsia="de-DE"/>
              </w:rPr>
              <w:t>paragraphs 133 to 135 of Part 2 of Annex V to this Implementing Regulation</w:t>
            </w:r>
            <w:r w:rsidR="00E863C1" w:rsidRPr="00661595">
              <w:rPr>
                <w:rFonts w:ascii="Times New Roman" w:hAnsi="Times New Roman"/>
                <w:bCs/>
                <w:sz w:val="24"/>
                <w:lang w:eastAsia="de-DE"/>
              </w:rPr>
              <w:t>,</w:t>
            </w:r>
            <w:r w:rsidRPr="00661595">
              <w:rPr>
                <w:rFonts w:ascii="Times New Roman" w:hAnsi="Times New Roman"/>
                <w:bCs/>
                <w:sz w:val="24"/>
                <w:lang w:eastAsia="de-DE"/>
              </w:rPr>
              <w:t xml:space="preserve"> of all derivative contracts concluded and not yet settled at the reporting reference date</w:t>
            </w:r>
            <w:r w:rsidR="007715D6" w:rsidRPr="00661595">
              <w:rPr>
                <w:rFonts w:ascii="Times New Roman" w:hAnsi="Times New Roman"/>
                <w:bCs/>
                <w:sz w:val="24"/>
                <w:lang w:eastAsia="de-DE"/>
              </w:rPr>
              <w:t>,</w:t>
            </w:r>
            <w:r w:rsidRPr="00661595">
              <w:rPr>
                <w:rFonts w:ascii="Times New Roman" w:hAnsi="Times New Roman"/>
                <w:bCs/>
                <w:sz w:val="24"/>
                <w:lang w:eastAsia="de-DE"/>
              </w:rPr>
              <w:t xml:space="preserve"> w</w:t>
            </w:r>
            <w:r w:rsidR="00B14253" w:rsidRPr="00661595">
              <w:rPr>
                <w:rFonts w:ascii="Times New Roman" w:hAnsi="Times New Roman"/>
                <w:bCs/>
                <w:sz w:val="24"/>
                <w:lang w:eastAsia="de-DE"/>
              </w:rPr>
              <w:t>here the</w:t>
            </w:r>
            <w:r w:rsidRPr="00661595">
              <w:rPr>
                <w:rFonts w:ascii="Times New Roman" w:hAnsi="Times New Roman"/>
                <w:bCs/>
                <w:sz w:val="24"/>
                <w:lang w:eastAsia="de-DE"/>
              </w:rPr>
              <w:t xml:space="preserve"> counterparty is a General government as defined i</w:t>
            </w:r>
            <w:r w:rsidRPr="00661595" w:rsidDel="009C11E5">
              <w:rPr>
                <w:rFonts w:ascii="Times New Roman" w:hAnsi="Times New Roman"/>
                <w:bCs/>
                <w:sz w:val="24"/>
                <w:lang w:eastAsia="de-DE"/>
              </w:rPr>
              <w:t>n paragraph</w:t>
            </w:r>
            <w:r w:rsidR="007715D6" w:rsidRPr="00661595">
              <w:rPr>
                <w:rFonts w:ascii="Times New Roman" w:hAnsi="Times New Roman"/>
                <w:bCs/>
                <w:sz w:val="24"/>
                <w:lang w:eastAsia="de-DE"/>
              </w:rPr>
              <w:t>s</w:t>
            </w:r>
            <w:r w:rsidRPr="00661595" w:rsidDel="009C11E5">
              <w:rPr>
                <w:rFonts w:ascii="Times New Roman" w:hAnsi="Times New Roman"/>
                <w:bCs/>
                <w:sz w:val="24"/>
                <w:lang w:eastAsia="de-DE"/>
              </w:rPr>
              <w:t xml:space="preserve"> </w:t>
            </w:r>
            <w:r w:rsidR="007715D6" w:rsidRPr="00661595">
              <w:rPr>
                <w:rFonts w:ascii="Times New Roman" w:hAnsi="Times New Roman"/>
                <w:bCs/>
                <w:sz w:val="24"/>
                <w:lang w:eastAsia="de-DE"/>
              </w:rPr>
              <w:t>155 to 160</w:t>
            </w:r>
            <w:r w:rsidR="00127986" w:rsidRPr="00661595">
              <w:rPr>
                <w:rFonts w:ascii="Times New Roman" w:hAnsi="Times New Roman"/>
                <w:bCs/>
                <w:sz w:val="24"/>
                <w:lang w:eastAsia="de-DE"/>
              </w:rPr>
              <w:t xml:space="preserve"> of this Annex</w:t>
            </w:r>
            <w:r w:rsidR="007715D6" w:rsidRPr="00661595">
              <w:rPr>
                <w:rFonts w:ascii="Times New Roman" w:hAnsi="Times New Roman"/>
                <w:bCs/>
                <w:sz w:val="24"/>
                <w:lang w:eastAsia="de-DE"/>
              </w:rPr>
              <w:t xml:space="preserve"> and the </w:t>
            </w:r>
            <w:r w:rsidRPr="00661595">
              <w:rPr>
                <w:rFonts w:ascii="Times New Roman" w:hAnsi="Times New Roman"/>
                <w:bCs/>
                <w:sz w:val="24"/>
                <w:lang w:eastAsia="de-DE"/>
              </w:rPr>
              <w:t xml:space="preserve">fair value </w:t>
            </w:r>
            <w:r w:rsidR="007715D6" w:rsidRPr="00661595">
              <w:rPr>
                <w:rFonts w:ascii="Times New Roman" w:hAnsi="Times New Roman"/>
                <w:bCs/>
                <w:sz w:val="24"/>
                <w:lang w:eastAsia="de-DE"/>
              </w:rPr>
              <w:t xml:space="preserve">of the derivative </w:t>
            </w:r>
            <w:r w:rsidRPr="00661595">
              <w:rPr>
                <w:rFonts w:ascii="Times New Roman" w:hAnsi="Times New Roman"/>
                <w:bCs/>
                <w:sz w:val="24"/>
                <w:lang w:eastAsia="de-DE"/>
              </w:rPr>
              <w:t>is positive for the institution at the reference date.</w:t>
            </w:r>
          </w:p>
          <w:p w:rsidR="00FD54FC" w:rsidRPr="00661595" w:rsidRDefault="00FD54FC" w:rsidP="00FD54FC">
            <w:pPr>
              <w:spacing w:before="0" w:after="0"/>
              <w:ind w:left="33"/>
              <w:rPr>
                <w:rFonts w:ascii="Times New Roman" w:hAnsi="Times New Roman"/>
                <w:b/>
                <w:bCs/>
                <w:sz w:val="24"/>
                <w:u w:val="single"/>
                <w:lang w:eastAsia="de-DE"/>
              </w:rPr>
            </w:pPr>
          </w:p>
        </w:tc>
      </w:tr>
      <w:tr w:rsidR="00FD54FC" w:rsidRPr="00661595" w:rsidTr="00672D2A">
        <w:tc>
          <w:tcPr>
            <w:tcW w:w="1188" w:type="dxa"/>
          </w:tcPr>
          <w:p w:rsidR="00FD54FC" w:rsidRPr="00661595" w:rsidRDefault="00535792"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0</w:t>
            </w:r>
            <w:r w:rsidR="00FD54FC" w:rsidRPr="00661595">
              <w:rPr>
                <w:rFonts w:ascii="Times New Roman" w:hAnsi="Times New Roman"/>
                <w:bCs/>
                <w:sz w:val="24"/>
                <w:lang w:eastAsia="de-DE"/>
              </w:rPr>
              <w:t>220-</w:t>
            </w:r>
            <w:r w:rsidRPr="00661595">
              <w:rPr>
                <w:rFonts w:ascii="Times New Roman" w:hAnsi="Times New Roman"/>
                <w:bCs/>
                <w:sz w:val="24"/>
                <w:lang w:eastAsia="de-DE"/>
              </w:rPr>
              <w:t>0</w:t>
            </w:r>
            <w:r w:rsidR="00FD54FC" w:rsidRPr="00661595">
              <w:rPr>
                <w:rFonts w:ascii="Times New Roman" w:hAnsi="Times New Roman"/>
                <w:bCs/>
                <w:sz w:val="24"/>
                <w:lang w:eastAsia="de-DE"/>
              </w:rPr>
              <w:t>230</w:t>
            </w:r>
          </w:p>
        </w:tc>
        <w:tc>
          <w:tcPr>
            <w:tcW w:w="8640" w:type="dxa"/>
          </w:tcPr>
          <w:p w:rsidR="00FD54FC" w:rsidRPr="00661595" w:rsidRDefault="00FD54FC" w:rsidP="00FD54FC">
            <w:pPr>
              <w:spacing w:before="0" w:after="0"/>
              <w:ind w:left="33"/>
              <w:rPr>
                <w:rFonts w:ascii="Times New Roman" w:hAnsi="Times New Roman"/>
                <w:b/>
                <w:bCs/>
                <w:sz w:val="24"/>
                <w:u w:val="single"/>
                <w:lang w:eastAsia="de-DE"/>
              </w:rPr>
            </w:pPr>
            <w:r w:rsidRPr="00661595">
              <w:rPr>
                <w:rFonts w:ascii="Times New Roman" w:hAnsi="Times New Roman"/>
                <w:b/>
                <w:bCs/>
                <w:sz w:val="24"/>
                <w:u w:val="single"/>
                <w:lang w:eastAsia="de-DE"/>
              </w:rPr>
              <w:t>Derivatives with negative fair value</w:t>
            </w:r>
          </w:p>
          <w:p w:rsidR="00FD54FC" w:rsidRPr="00661595" w:rsidDel="00501397" w:rsidRDefault="00FD54FC" w:rsidP="00FD54FC">
            <w:pPr>
              <w:spacing w:before="0" w:after="0"/>
              <w:ind w:left="33"/>
              <w:rPr>
                <w:rFonts w:ascii="Times New Roman" w:hAnsi="Times New Roman"/>
                <w:bCs/>
                <w:sz w:val="24"/>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All derivative instruments with a General government counterparty with a negative fair value for the institution at the reporting reference date, regardless of whether th</w:t>
            </w:r>
            <w:r w:rsidR="00B14253" w:rsidRPr="00661595">
              <w:rPr>
                <w:rFonts w:ascii="Times New Roman" w:hAnsi="Times New Roman"/>
                <w:bCs/>
                <w:sz w:val="24"/>
                <w:lang w:eastAsia="de-DE"/>
              </w:rPr>
              <w:t>ose instruments</w:t>
            </w:r>
            <w:r w:rsidRPr="00661595">
              <w:rPr>
                <w:rFonts w:ascii="Times New Roman" w:hAnsi="Times New Roman"/>
                <w:bCs/>
                <w:sz w:val="24"/>
                <w:lang w:eastAsia="de-DE"/>
              </w:rPr>
              <w:t xml:space="preserve"> are </w:t>
            </w:r>
            <w:r w:rsidRPr="00661595" w:rsidDel="004A25FD">
              <w:rPr>
                <w:rFonts w:ascii="Times New Roman" w:hAnsi="Times New Roman"/>
                <w:bCs/>
                <w:sz w:val="24"/>
                <w:lang w:eastAsia="de-DE"/>
              </w:rPr>
              <w:t xml:space="preserve">used in a qualifying hedging relationship </w:t>
            </w:r>
            <w:r w:rsidRPr="00661595">
              <w:rPr>
                <w:rFonts w:ascii="Times New Roman" w:hAnsi="Times New Roman"/>
                <w:bCs/>
                <w:sz w:val="24"/>
                <w:lang w:eastAsia="de-DE"/>
              </w:rPr>
              <w:t>or are held for trading or included in the trading portfolio under IFRS and national GAAP based on BAD.</w:t>
            </w:r>
            <w:r w:rsidR="00730040" w:rsidRPr="00661595">
              <w:rPr>
                <w:rFonts w:ascii="Times New Roman" w:hAnsi="Times New Roman"/>
                <w:bCs/>
                <w:sz w:val="24"/>
                <w:lang w:eastAsia="de-DE"/>
              </w:rPr>
              <w:t xml:space="preserve"> </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FD54FC" w:rsidP="00FD54FC">
            <w:pPr>
              <w:spacing w:before="0" w:after="0"/>
              <w:ind w:left="33"/>
              <w:rPr>
                <w:rFonts w:ascii="Times New Roman" w:hAnsi="Times New Roman"/>
                <w:bCs/>
                <w:sz w:val="24"/>
                <w:lang w:eastAsia="de-DE"/>
              </w:rPr>
            </w:pPr>
            <w:r w:rsidRPr="00661595" w:rsidDel="00EA2683">
              <w:rPr>
                <w:rFonts w:ascii="Times New Roman" w:hAnsi="Times New Roman"/>
                <w:bCs/>
                <w:sz w:val="24"/>
                <w:lang w:eastAsia="de-DE"/>
              </w:rPr>
              <w:t>Derivatives used in economic hedging shall be reported here</w:t>
            </w:r>
            <w:r w:rsidRPr="00661595">
              <w:rPr>
                <w:rFonts w:ascii="Times New Roman" w:hAnsi="Times New Roman"/>
                <w:bCs/>
                <w:sz w:val="24"/>
                <w:lang w:eastAsia="de-DE"/>
              </w:rPr>
              <w:t xml:space="preserve"> when they are included in the trading or h</w:t>
            </w:r>
            <w:r w:rsidRPr="00661595" w:rsidDel="00EA2683">
              <w:rPr>
                <w:rFonts w:ascii="Times New Roman" w:hAnsi="Times New Roman"/>
                <w:bCs/>
                <w:sz w:val="24"/>
                <w:lang w:eastAsia="de-DE"/>
              </w:rPr>
              <w:t xml:space="preserve">eld for trading accounting portfolios </w:t>
            </w:r>
            <w:r w:rsidRPr="00661595">
              <w:rPr>
                <w:rFonts w:ascii="Times New Roman" w:hAnsi="Times New Roman"/>
                <w:bCs/>
                <w:sz w:val="24"/>
                <w:lang w:eastAsia="de-DE"/>
              </w:rPr>
              <w:t>(</w:t>
            </w:r>
            <w:r w:rsidR="002F78EA" w:rsidRPr="00661595">
              <w:rPr>
                <w:rFonts w:ascii="Times New Roman" w:hAnsi="Times New Roman"/>
                <w:bCs/>
                <w:sz w:val="24"/>
                <w:lang w:eastAsia="de-DE"/>
              </w:rPr>
              <w:t>paragraphs 120, 124, 125 and 137 to 140 of Part 2 of Annex V to this Implementing Regulation</w:t>
            </w:r>
            <w:r w:rsidRPr="00661595">
              <w:rPr>
                <w:rFonts w:ascii="Times New Roman" w:hAnsi="Times New Roman"/>
                <w:bCs/>
                <w:sz w:val="24"/>
                <w:lang w:eastAsia="de-DE"/>
              </w:rPr>
              <w:t>).</w:t>
            </w:r>
          </w:p>
          <w:p w:rsidR="00FD54FC" w:rsidRPr="00661595" w:rsidRDefault="00FD54FC" w:rsidP="00FD54FC">
            <w:pPr>
              <w:spacing w:before="0" w:after="0"/>
              <w:ind w:left="33"/>
              <w:rPr>
                <w:rFonts w:ascii="Times New Roman" w:hAnsi="Times New Roman"/>
                <w:b/>
                <w:bCs/>
                <w:sz w:val="24"/>
                <w:u w:val="single"/>
                <w:lang w:eastAsia="de-DE"/>
              </w:rPr>
            </w:pPr>
          </w:p>
        </w:tc>
      </w:tr>
      <w:tr w:rsidR="00FD54FC" w:rsidRPr="00661595" w:rsidTr="00672D2A">
        <w:tc>
          <w:tcPr>
            <w:tcW w:w="1188" w:type="dxa"/>
          </w:tcPr>
          <w:p w:rsidR="00FD54FC" w:rsidRPr="00661595" w:rsidRDefault="00535792"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0</w:t>
            </w:r>
            <w:r w:rsidR="00FD54FC" w:rsidRPr="00661595">
              <w:rPr>
                <w:rFonts w:ascii="Times New Roman" w:hAnsi="Times New Roman"/>
                <w:bCs/>
                <w:sz w:val="24"/>
                <w:lang w:eastAsia="de-DE"/>
              </w:rPr>
              <w:t>220</w:t>
            </w:r>
          </w:p>
        </w:tc>
        <w:tc>
          <w:tcPr>
            <w:tcW w:w="8640" w:type="dxa"/>
          </w:tcPr>
          <w:p w:rsidR="00FD54FC" w:rsidRPr="00661595" w:rsidRDefault="00FD54FC" w:rsidP="00FD54FC">
            <w:pPr>
              <w:spacing w:before="0" w:after="0"/>
              <w:ind w:left="33"/>
              <w:rPr>
                <w:rFonts w:ascii="Times New Roman" w:hAnsi="Times New Roman"/>
                <w:b/>
                <w:bCs/>
                <w:sz w:val="24"/>
                <w:u w:val="single"/>
                <w:lang w:eastAsia="de-DE"/>
              </w:rPr>
            </w:pPr>
            <w:r w:rsidRPr="00661595">
              <w:rPr>
                <w:rFonts w:ascii="Times New Roman" w:hAnsi="Times New Roman"/>
                <w:b/>
                <w:bCs/>
                <w:sz w:val="24"/>
                <w:u w:val="single"/>
                <w:lang w:eastAsia="de-DE"/>
              </w:rPr>
              <w:t xml:space="preserve">Derivatives with negative fair value: Carrying amount </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Carrying amount of the derivatives accounted for as financial liabilities at the reporting reference date.</w:t>
            </w:r>
            <w:r w:rsidR="00730040" w:rsidRPr="00661595">
              <w:rPr>
                <w:rFonts w:ascii="Times New Roman" w:hAnsi="Times New Roman"/>
                <w:bCs/>
                <w:sz w:val="24"/>
                <w:lang w:eastAsia="de-DE"/>
              </w:rPr>
              <w:t xml:space="preserve"> </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 xml:space="preserve">Under GAAP based on BAD, derivatives to be reported in these columns include the derivative instruments measured at cost or at the lower of cost or market </w:t>
            </w:r>
            <w:r w:rsidRPr="00661595" w:rsidDel="00EA2683">
              <w:rPr>
                <w:rFonts w:ascii="Times New Roman" w:hAnsi="Times New Roman"/>
                <w:bCs/>
                <w:sz w:val="24"/>
                <w:lang w:eastAsia="de-DE"/>
              </w:rPr>
              <w:t>included in the</w:t>
            </w:r>
            <w:r w:rsidRPr="00661595">
              <w:rPr>
                <w:rFonts w:ascii="Times New Roman" w:hAnsi="Times New Roman"/>
                <w:bCs/>
                <w:sz w:val="24"/>
                <w:lang w:eastAsia="de-DE"/>
              </w:rPr>
              <w:t xml:space="preserve"> </w:t>
            </w:r>
            <w:r w:rsidRPr="00661595" w:rsidDel="00EA2683">
              <w:rPr>
                <w:rFonts w:ascii="Times New Roman" w:hAnsi="Times New Roman"/>
                <w:bCs/>
                <w:sz w:val="24"/>
                <w:lang w:eastAsia="de-DE"/>
              </w:rPr>
              <w:t>trading portfolio</w:t>
            </w:r>
            <w:r w:rsidRPr="00661595">
              <w:rPr>
                <w:rFonts w:ascii="Times New Roman" w:hAnsi="Times New Roman"/>
                <w:bCs/>
                <w:sz w:val="24"/>
                <w:lang w:eastAsia="de-DE"/>
              </w:rPr>
              <w:t xml:space="preserve"> or designated as hedging instruments</w:t>
            </w:r>
            <w:r w:rsidRPr="00661595" w:rsidDel="00EA2683">
              <w:rPr>
                <w:rFonts w:ascii="Times New Roman" w:hAnsi="Times New Roman"/>
                <w:bCs/>
                <w:sz w:val="24"/>
                <w:lang w:eastAsia="de-DE"/>
              </w:rPr>
              <w:t xml:space="preserve">. </w:t>
            </w:r>
          </w:p>
          <w:p w:rsidR="00FD54FC" w:rsidRPr="00661595" w:rsidRDefault="00FD54FC" w:rsidP="00FD54FC">
            <w:pPr>
              <w:spacing w:before="0" w:after="0"/>
              <w:ind w:left="33"/>
              <w:rPr>
                <w:rFonts w:ascii="Times New Roman" w:hAnsi="Times New Roman"/>
                <w:b/>
                <w:bCs/>
                <w:sz w:val="24"/>
                <w:u w:val="single"/>
                <w:lang w:eastAsia="de-DE"/>
              </w:rPr>
            </w:pPr>
          </w:p>
        </w:tc>
      </w:tr>
      <w:tr w:rsidR="00FD54FC" w:rsidRPr="00661595" w:rsidTr="00672D2A">
        <w:tc>
          <w:tcPr>
            <w:tcW w:w="1188" w:type="dxa"/>
          </w:tcPr>
          <w:p w:rsidR="00FD54FC" w:rsidRPr="00661595" w:rsidRDefault="00535792"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0</w:t>
            </w:r>
            <w:r w:rsidR="00FD54FC" w:rsidRPr="00661595">
              <w:rPr>
                <w:rFonts w:ascii="Times New Roman" w:hAnsi="Times New Roman"/>
                <w:bCs/>
                <w:sz w:val="24"/>
                <w:lang w:eastAsia="de-DE"/>
              </w:rPr>
              <w:t>230</w:t>
            </w:r>
          </w:p>
        </w:tc>
        <w:tc>
          <w:tcPr>
            <w:tcW w:w="8640" w:type="dxa"/>
          </w:tcPr>
          <w:p w:rsidR="00FD54FC" w:rsidRPr="00661595" w:rsidRDefault="00FD54FC" w:rsidP="00FD54FC">
            <w:pPr>
              <w:spacing w:before="0" w:after="0"/>
              <w:rPr>
                <w:rFonts w:ascii="Times New Roman" w:hAnsi="Times New Roman"/>
                <w:b/>
                <w:bCs/>
                <w:sz w:val="24"/>
                <w:u w:val="single"/>
                <w:lang w:eastAsia="de-DE"/>
              </w:rPr>
            </w:pPr>
            <w:r w:rsidRPr="00661595">
              <w:rPr>
                <w:rFonts w:ascii="Times New Roman" w:hAnsi="Times New Roman"/>
                <w:b/>
                <w:bCs/>
                <w:sz w:val="24"/>
                <w:u w:val="single"/>
                <w:lang w:eastAsia="de-DE"/>
              </w:rPr>
              <w:t>Derivatives with negative fair value: Notional amount</w:t>
            </w:r>
          </w:p>
          <w:p w:rsidR="00FD54FC" w:rsidRPr="00661595" w:rsidRDefault="00FD54FC" w:rsidP="00FD54FC">
            <w:pPr>
              <w:spacing w:before="0" w:after="0"/>
              <w:ind w:left="33"/>
              <w:rPr>
                <w:rFonts w:ascii="Times New Roman" w:hAnsi="Times New Roman"/>
                <w:b/>
                <w:bCs/>
                <w:sz w:val="24"/>
                <w:u w:val="single"/>
                <w:lang w:eastAsia="de-DE"/>
              </w:rPr>
            </w:pPr>
          </w:p>
          <w:p w:rsidR="00FD54FC" w:rsidRPr="00661595" w:rsidRDefault="00FD54FC" w:rsidP="00FD54FC">
            <w:pPr>
              <w:spacing w:before="0" w:after="0"/>
              <w:ind w:left="33"/>
              <w:rPr>
                <w:rFonts w:ascii="Times New Roman" w:hAnsi="Times New Roman"/>
                <w:bCs/>
                <w:sz w:val="24"/>
                <w:lang w:eastAsia="de-DE"/>
              </w:rPr>
            </w:pPr>
            <w:r w:rsidRPr="00661595" w:rsidDel="00501397">
              <w:rPr>
                <w:rFonts w:ascii="Times New Roman" w:hAnsi="Times New Roman"/>
                <w:bCs/>
                <w:sz w:val="24"/>
                <w:lang w:eastAsia="de-DE"/>
              </w:rPr>
              <w:t xml:space="preserve">Under IFRS and national GAAP based on BAD, </w:t>
            </w:r>
            <w:r w:rsidRPr="00661595">
              <w:rPr>
                <w:rFonts w:ascii="Times New Roman" w:hAnsi="Times New Roman"/>
                <w:bCs/>
                <w:sz w:val="24"/>
                <w:lang w:eastAsia="de-DE"/>
              </w:rPr>
              <w:t xml:space="preserve">notional amount, as defined in </w:t>
            </w:r>
            <w:r w:rsidR="002F78EA" w:rsidRPr="00661595">
              <w:rPr>
                <w:rFonts w:ascii="Times New Roman" w:hAnsi="Times New Roman"/>
                <w:bCs/>
                <w:sz w:val="24"/>
                <w:lang w:eastAsia="de-DE"/>
              </w:rPr>
              <w:t>paragraphs 133 to 135 of Part 2 of Annex V to this Implementing Regulation</w:t>
            </w:r>
            <w:r w:rsidRPr="00661595">
              <w:rPr>
                <w:rFonts w:ascii="Times New Roman" w:hAnsi="Times New Roman"/>
                <w:bCs/>
                <w:sz w:val="24"/>
                <w:lang w:eastAsia="de-DE"/>
              </w:rPr>
              <w:t xml:space="preserve">, </w:t>
            </w:r>
            <w:r w:rsidRPr="00661595" w:rsidDel="00501397">
              <w:rPr>
                <w:rFonts w:ascii="Times New Roman" w:hAnsi="Times New Roman"/>
                <w:bCs/>
                <w:sz w:val="24"/>
                <w:lang w:eastAsia="de-DE"/>
              </w:rPr>
              <w:t xml:space="preserve">of all </w:t>
            </w:r>
            <w:r w:rsidRPr="00661595">
              <w:rPr>
                <w:rFonts w:ascii="Times New Roman" w:hAnsi="Times New Roman"/>
                <w:bCs/>
                <w:sz w:val="24"/>
                <w:lang w:eastAsia="de-DE"/>
              </w:rPr>
              <w:t>derivative contracts</w:t>
            </w:r>
            <w:r w:rsidRPr="00661595" w:rsidDel="00501397">
              <w:rPr>
                <w:rFonts w:ascii="Times New Roman" w:hAnsi="Times New Roman"/>
                <w:bCs/>
                <w:sz w:val="24"/>
                <w:lang w:eastAsia="de-DE"/>
              </w:rPr>
              <w:t xml:space="preserve"> concluded and not yet settled at the reference date</w:t>
            </w:r>
            <w:r w:rsidR="007715D6" w:rsidRPr="00661595">
              <w:rPr>
                <w:rFonts w:ascii="Times New Roman" w:hAnsi="Times New Roman"/>
                <w:bCs/>
                <w:sz w:val="24"/>
                <w:lang w:eastAsia="de-DE"/>
              </w:rPr>
              <w:t xml:space="preserve">, </w:t>
            </w:r>
            <w:r w:rsidR="00B14253" w:rsidRPr="00661595">
              <w:rPr>
                <w:rFonts w:ascii="Times New Roman" w:hAnsi="Times New Roman"/>
                <w:bCs/>
                <w:sz w:val="24"/>
                <w:lang w:eastAsia="de-DE"/>
              </w:rPr>
              <w:t>where the</w:t>
            </w:r>
            <w:r w:rsidRPr="00661595" w:rsidDel="00501397">
              <w:rPr>
                <w:rFonts w:ascii="Times New Roman" w:hAnsi="Times New Roman"/>
                <w:bCs/>
                <w:sz w:val="24"/>
                <w:lang w:eastAsia="de-DE"/>
              </w:rPr>
              <w:t xml:space="preserve"> counterparty is a General government as defined in paragraph</w:t>
            </w:r>
            <w:r w:rsidR="007715D6" w:rsidRPr="00661595">
              <w:rPr>
                <w:rFonts w:ascii="Times New Roman" w:hAnsi="Times New Roman"/>
                <w:bCs/>
                <w:sz w:val="24"/>
                <w:lang w:eastAsia="de-DE"/>
              </w:rPr>
              <w:t>s 155 to 160</w:t>
            </w:r>
            <w:r w:rsidR="00127986" w:rsidRPr="00661595">
              <w:rPr>
                <w:rFonts w:ascii="Times New Roman" w:hAnsi="Times New Roman"/>
                <w:bCs/>
                <w:sz w:val="24"/>
                <w:lang w:eastAsia="de-DE"/>
              </w:rPr>
              <w:t xml:space="preserve"> of this Annex</w:t>
            </w:r>
            <w:r w:rsidR="007715D6" w:rsidRPr="00661595">
              <w:rPr>
                <w:rFonts w:ascii="Times New Roman" w:hAnsi="Times New Roman"/>
                <w:bCs/>
                <w:sz w:val="24"/>
                <w:lang w:eastAsia="de-DE"/>
              </w:rPr>
              <w:t xml:space="preserve"> and the </w:t>
            </w:r>
            <w:r w:rsidRPr="00661595" w:rsidDel="00501397">
              <w:rPr>
                <w:rFonts w:ascii="Times New Roman" w:hAnsi="Times New Roman"/>
                <w:bCs/>
                <w:sz w:val="24"/>
                <w:lang w:eastAsia="de-DE"/>
              </w:rPr>
              <w:t>fair value</w:t>
            </w:r>
            <w:r w:rsidR="007715D6" w:rsidRPr="00661595">
              <w:rPr>
                <w:rFonts w:ascii="Times New Roman" w:hAnsi="Times New Roman"/>
                <w:bCs/>
                <w:sz w:val="24"/>
                <w:lang w:eastAsia="de-DE"/>
              </w:rPr>
              <w:t xml:space="preserve"> of the derivative</w:t>
            </w:r>
            <w:r w:rsidRPr="00661595" w:rsidDel="00501397">
              <w:rPr>
                <w:rFonts w:ascii="Times New Roman" w:hAnsi="Times New Roman"/>
                <w:bCs/>
                <w:sz w:val="24"/>
                <w:lang w:eastAsia="de-DE"/>
              </w:rPr>
              <w:t xml:space="preserve"> is negative</w:t>
            </w:r>
            <w:r w:rsidRPr="00661595">
              <w:rPr>
                <w:rFonts w:ascii="Times New Roman" w:hAnsi="Times New Roman"/>
                <w:bCs/>
                <w:sz w:val="24"/>
                <w:lang w:eastAsia="de-DE"/>
              </w:rPr>
              <w:t xml:space="preserve"> for the institution</w:t>
            </w:r>
            <w:r w:rsidR="007715D6" w:rsidRPr="00661595">
              <w:rPr>
                <w:rFonts w:ascii="Times New Roman" w:hAnsi="Times New Roman"/>
                <w:bCs/>
                <w:sz w:val="24"/>
                <w:lang w:eastAsia="de-DE"/>
              </w:rPr>
              <w:t xml:space="preserve"> at the reference date</w:t>
            </w:r>
            <w:r w:rsidRPr="00661595" w:rsidDel="00501397">
              <w:rPr>
                <w:rFonts w:ascii="Times New Roman" w:hAnsi="Times New Roman"/>
                <w:bCs/>
                <w:sz w:val="24"/>
                <w:lang w:eastAsia="de-DE"/>
              </w:rPr>
              <w:t>.</w:t>
            </w:r>
          </w:p>
          <w:p w:rsidR="00FD54FC" w:rsidRPr="00661595" w:rsidRDefault="00FD54FC" w:rsidP="00FD54FC">
            <w:pPr>
              <w:spacing w:before="0" w:after="0"/>
              <w:ind w:left="33"/>
              <w:rPr>
                <w:rFonts w:ascii="Times New Roman" w:hAnsi="Times New Roman"/>
                <w:b/>
                <w:bCs/>
                <w:sz w:val="24"/>
                <w:u w:val="single"/>
                <w:lang w:eastAsia="de-DE"/>
              </w:rPr>
            </w:pPr>
          </w:p>
        </w:tc>
      </w:tr>
      <w:tr w:rsidR="00FD54FC" w:rsidRPr="00661595" w:rsidTr="00672D2A">
        <w:tc>
          <w:tcPr>
            <w:tcW w:w="1188" w:type="dxa"/>
          </w:tcPr>
          <w:p w:rsidR="00FD54FC" w:rsidRPr="00661595" w:rsidRDefault="00535792" w:rsidP="00B74792">
            <w:pPr>
              <w:spacing w:before="0" w:after="0"/>
              <w:ind w:left="33"/>
              <w:rPr>
                <w:rFonts w:ascii="Times New Roman" w:hAnsi="Times New Roman"/>
                <w:bCs/>
                <w:sz w:val="24"/>
                <w:lang w:eastAsia="de-DE"/>
              </w:rPr>
            </w:pPr>
            <w:r w:rsidRPr="00661595">
              <w:rPr>
                <w:rFonts w:ascii="Times New Roman" w:hAnsi="Times New Roman"/>
                <w:bCs/>
                <w:sz w:val="24"/>
                <w:lang w:eastAsia="de-DE"/>
              </w:rPr>
              <w:t>0</w:t>
            </w:r>
            <w:r w:rsidR="00FD54FC" w:rsidRPr="00661595">
              <w:rPr>
                <w:rFonts w:ascii="Times New Roman" w:hAnsi="Times New Roman"/>
                <w:bCs/>
                <w:sz w:val="24"/>
                <w:lang w:eastAsia="de-DE"/>
              </w:rPr>
              <w:t>240</w:t>
            </w:r>
            <w:r w:rsidR="00B74792" w:rsidRPr="00661595">
              <w:rPr>
                <w:rFonts w:ascii="Times New Roman" w:hAnsi="Times New Roman"/>
                <w:bCs/>
                <w:sz w:val="24"/>
                <w:lang w:eastAsia="de-DE"/>
              </w:rPr>
              <w:t>-</w:t>
            </w:r>
            <w:r w:rsidRPr="00661595">
              <w:rPr>
                <w:rFonts w:ascii="Times New Roman" w:hAnsi="Times New Roman"/>
                <w:bCs/>
                <w:sz w:val="24"/>
                <w:lang w:eastAsia="de-DE"/>
              </w:rPr>
              <w:t>0</w:t>
            </w:r>
            <w:r w:rsidR="00FD54FC" w:rsidRPr="00661595">
              <w:rPr>
                <w:rFonts w:ascii="Times New Roman" w:hAnsi="Times New Roman"/>
                <w:bCs/>
                <w:sz w:val="24"/>
                <w:lang w:eastAsia="de-DE"/>
              </w:rPr>
              <w:t>260</w:t>
            </w:r>
          </w:p>
        </w:tc>
        <w:tc>
          <w:tcPr>
            <w:tcW w:w="8640" w:type="dxa"/>
          </w:tcPr>
          <w:p w:rsidR="00FD54FC" w:rsidRPr="00661595" w:rsidRDefault="00FD54FC" w:rsidP="00FD54FC">
            <w:pPr>
              <w:spacing w:before="0" w:after="0"/>
              <w:ind w:left="33"/>
              <w:rPr>
                <w:rFonts w:ascii="Times New Roman" w:hAnsi="Times New Roman"/>
                <w:b/>
                <w:bCs/>
                <w:sz w:val="24"/>
                <w:u w:val="single"/>
                <w:lang w:eastAsia="de-DE"/>
              </w:rPr>
            </w:pPr>
            <w:r w:rsidRPr="00661595">
              <w:rPr>
                <w:rFonts w:ascii="Times New Roman" w:hAnsi="Times New Roman"/>
                <w:b/>
                <w:bCs/>
                <w:sz w:val="24"/>
                <w:u w:val="single"/>
                <w:lang w:eastAsia="de-DE"/>
              </w:rPr>
              <w:t>OFF-BALANCE SHEET EXPOSURES</w:t>
            </w:r>
          </w:p>
        </w:tc>
      </w:tr>
      <w:tr w:rsidR="00FD54FC" w:rsidRPr="00661595" w:rsidTr="00672D2A">
        <w:tc>
          <w:tcPr>
            <w:tcW w:w="1188" w:type="dxa"/>
          </w:tcPr>
          <w:p w:rsidR="00FD54FC" w:rsidRPr="00661595" w:rsidRDefault="00535792"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0</w:t>
            </w:r>
            <w:r w:rsidR="00FD54FC" w:rsidRPr="00661595">
              <w:rPr>
                <w:rFonts w:ascii="Times New Roman" w:hAnsi="Times New Roman"/>
                <w:bCs/>
                <w:sz w:val="24"/>
                <w:lang w:eastAsia="de-DE"/>
              </w:rPr>
              <w:t>240</w:t>
            </w:r>
          </w:p>
        </w:tc>
        <w:tc>
          <w:tcPr>
            <w:tcW w:w="8640" w:type="dxa"/>
          </w:tcPr>
          <w:p w:rsidR="00FD54FC" w:rsidRPr="00661595" w:rsidRDefault="00FD54FC" w:rsidP="00FD54FC">
            <w:pPr>
              <w:spacing w:before="0" w:after="0"/>
              <w:ind w:left="33"/>
              <w:rPr>
                <w:rFonts w:ascii="Times New Roman" w:hAnsi="Times New Roman"/>
                <w:b/>
                <w:bCs/>
                <w:sz w:val="24"/>
                <w:u w:val="single"/>
                <w:lang w:eastAsia="de-DE"/>
              </w:rPr>
            </w:pPr>
            <w:r w:rsidRPr="00661595">
              <w:rPr>
                <w:rFonts w:ascii="Times New Roman" w:hAnsi="Times New Roman"/>
                <w:b/>
                <w:bCs/>
                <w:sz w:val="24"/>
                <w:u w:val="single"/>
                <w:lang w:eastAsia="de-DE"/>
              </w:rPr>
              <w:t>Nominal amount</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Whe</w:t>
            </w:r>
            <w:r w:rsidR="00B14253" w:rsidRPr="00661595">
              <w:rPr>
                <w:rFonts w:ascii="Times New Roman" w:hAnsi="Times New Roman"/>
                <w:bCs/>
                <w:sz w:val="24"/>
                <w:lang w:eastAsia="de-DE"/>
              </w:rPr>
              <w:t>re</w:t>
            </w:r>
            <w:r w:rsidRPr="00661595">
              <w:rPr>
                <w:rFonts w:ascii="Times New Roman" w:hAnsi="Times New Roman"/>
                <w:bCs/>
                <w:sz w:val="24"/>
                <w:lang w:eastAsia="de-DE"/>
              </w:rPr>
              <w:t xml:space="preserve"> the direct counterparty of the off-balance sheet item is a General government as defined </w:t>
            </w:r>
            <w:r w:rsidRPr="00661595" w:rsidDel="00C5148F">
              <w:rPr>
                <w:rFonts w:ascii="Times New Roman" w:hAnsi="Times New Roman"/>
                <w:bCs/>
                <w:sz w:val="24"/>
                <w:lang w:eastAsia="de-DE"/>
              </w:rPr>
              <w:t>in paragraph</w:t>
            </w:r>
            <w:r w:rsidR="007715D6" w:rsidRPr="00661595">
              <w:rPr>
                <w:rFonts w:ascii="Times New Roman" w:hAnsi="Times New Roman"/>
                <w:bCs/>
                <w:sz w:val="24"/>
                <w:lang w:eastAsia="de-DE"/>
              </w:rPr>
              <w:t>s 155 to 160</w:t>
            </w:r>
            <w:r w:rsidR="00127986" w:rsidRPr="00661595">
              <w:rPr>
                <w:rFonts w:ascii="Times New Roman" w:hAnsi="Times New Roman"/>
                <w:bCs/>
                <w:sz w:val="24"/>
                <w:lang w:eastAsia="de-DE"/>
              </w:rPr>
              <w:t xml:space="preserve"> of this Annex</w:t>
            </w:r>
            <w:r w:rsidRPr="00661595">
              <w:rPr>
                <w:rFonts w:ascii="Times New Roman" w:hAnsi="Times New Roman"/>
                <w:bCs/>
                <w:sz w:val="24"/>
                <w:lang w:eastAsia="de-DE"/>
              </w:rPr>
              <w:t>, nominal amount of the commitments and financial guarantees that are not considered as a derivative in accordance with IFRS or under national GAAP based on BAD (</w:t>
            </w:r>
            <w:r w:rsidR="002F78EA" w:rsidRPr="00661595">
              <w:rPr>
                <w:rFonts w:ascii="Times New Roman" w:hAnsi="Times New Roman"/>
                <w:bCs/>
                <w:sz w:val="24"/>
                <w:lang w:eastAsia="de-DE"/>
              </w:rPr>
              <w:t>paragraphs 102-119 of Part 2 of Annex V to this Implementing Regulation</w:t>
            </w:r>
            <w:r w:rsidRPr="00661595">
              <w:rPr>
                <w:rFonts w:ascii="Times New Roman" w:hAnsi="Times New Roman"/>
                <w:bCs/>
                <w:sz w:val="24"/>
                <w:lang w:eastAsia="de-DE"/>
              </w:rPr>
              <w:t>,).</w:t>
            </w:r>
          </w:p>
          <w:p w:rsidR="00FD54FC" w:rsidRPr="00661595" w:rsidRDefault="00FD54FC" w:rsidP="00FD54FC">
            <w:pPr>
              <w:spacing w:before="0" w:after="0"/>
              <w:ind w:left="33"/>
              <w:rPr>
                <w:rFonts w:ascii="Times New Roman" w:hAnsi="Times New Roman"/>
                <w:bCs/>
                <w:sz w:val="24"/>
                <w:lang w:eastAsia="de-DE"/>
              </w:rPr>
            </w:pPr>
          </w:p>
          <w:p w:rsidR="00FD54FC" w:rsidRPr="00661595" w:rsidDel="00501397" w:rsidRDefault="00FD54FC" w:rsidP="00FD54FC">
            <w:pPr>
              <w:spacing w:before="0" w:after="0"/>
              <w:ind w:left="33"/>
              <w:rPr>
                <w:rFonts w:ascii="Times New Roman" w:hAnsi="Times New Roman"/>
                <w:b/>
                <w:bCs/>
                <w:sz w:val="24"/>
                <w:u w:val="single"/>
                <w:lang w:eastAsia="de-DE"/>
              </w:rPr>
            </w:pPr>
            <w:r w:rsidRPr="00661595">
              <w:rPr>
                <w:rFonts w:ascii="Times New Roman" w:hAnsi="Times New Roman"/>
                <w:bCs/>
                <w:sz w:val="24"/>
                <w:lang w:eastAsia="de-DE"/>
              </w:rPr>
              <w:t xml:space="preserve">In accordance with </w:t>
            </w:r>
            <w:r w:rsidR="002F78EA" w:rsidRPr="00661595">
              <w:rPr>
                <w:rFonts w:ascii="Times New Roman" w:hAnsi="Times New Roman"/>
                <w:bCs/>
                <w:sz w:val="24"/>
                <w:lang w:eastAsia="de-DE"/>
              </w:rPr>
              <w:t>paragraphs 43 and 44 of Part 2 of Annex V to this Implementing</w:t>
            </w:r>
            <w:r w:rsidR="006B2333" w:rsidRPr="00661595">
              <w:rPr>
                <w:rFonts w:ascii="Times New Roman" w:hAnsi="Times New Roman"/>
                <w:bCs/>
                <w:sz w:val="24"/>
                <w:lang w:eastAsia="de-DE"/>
              </w:rPr>
              <w:t xml:space="preserve"> </w:t>
            </w:r>
            <w:r w:rsidR="002F78EA" w:rsidRPr="00661595">
              <w:rPr>
                <w:rFonts w:ascii="Times New Roman" w:hAnsi="Times New Roman"/>
                <w:bCs/>
                <w:sz w:val="24"/>
                <w:lang w:eastAsia="de-DE"/>
              </w:rPr>
              <w:t>Regulation</w:t>
            </w:r>
            <w:r w:rsidRPr="00661595">
              <w:rPr>
                <w:rFonts w:ascii="Times New Roman" w:hAnsi="Times New Roman"/>
                <w:bCs/>
                <w:sz w:val="24"/>
                <w:lang w:eastAsia="de-DE"/>
              </w:rPr>
              <w:t>, the General government is the direct counterparty: (a) in a financial guarantee given, when it is the direct counterparty of the guaranteed debt instrument, and (b) in a loan commitment and other commitment given, when it is the counterparty whose credit risk is assumed by the reporting institution.</w:t>
            </w:r>
            <w:r w:rsidR="00730040" w:rsidRPr="00661595">
              <w:rPr>
                <w:rFonts w:ascii="Times New Roman" w:hAnsi="Times New Roman"/>
                <w:bCs/>
                <w:sz w:val="24"/>
                <w:lang w:eastAsia="de-DE"/>
              </w:rPr>
              <w:t xml:space="preserve"> </w:t>
            </w:r>
          </w:p>
          <w:p w:rsidR="00FD54FC" w:rsidRPr="00661595" w:rsidRDefault="00FD54FC" w:rsidP="00FD54FC">
            <w:pPr>
              <w:spacing w:before="0" w:after="0"/>
              <w:ind w:left="33"/>
              <w:rPr>
                <w:rFonts w:ascii="Times New Roman" w:hAnsi="Times New Roman"/>
                <w:bCs/>
                <w:sz w:val="24"/>
                <w:lang w:eastAsia="de-DE"/>
              </w:rPr>
            </w:pPr>
          </w:p>
        </w:tc>
      </w:tr>
      <w:tr w:rsidR="00FD54FC" w:rsidRPr="00661595" w:rsidTr="00672D2A">
        <w:tc>
          <w:tcPr>
            <w:tcW w:w="1188" w:type="dxa"/>
          </w:tcPr>
          <w:p w:rsidR="00FD54FC" w:rsidRPr="00661595" w:rsidRDefault="00535792"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0</w:t>
            </w:r>
            <w:r w:rsidR="00FD54FC" w:rsidRPr="00661595" w:rsidDel="00501397">
              <w:rPr>
                <w:rFonts w:ascii="Times New Roman" w:hAnsi="Times New Roman"/>
                <w:bCs/>
                <w:sz w:val="24"/>
                <w:lang w:eastAsia="de-DE"/>
              </w:rPr>
              <w:t>2</w:t>
            </w:r>
            <w:r w:rsidR="00FD54FC" w:rsidRPr="00661595">
              <w:rPr>
                <w:rFonts w:ascii="Times New Roman" w:hAnsi="Times New Roman"/>
                <w:bCs/>
                <w:sz w:val="24"/>
                <w:lang w:eastAsia="de-DE"/>
              </w:rPr>
              <w:t>50</w:t>
            </w:r>
          </w:p>
        </w:tc>
        <w:tc>
          <w:tcPr>
            <w:tcW w:w="8640" w:type="dxa"/>
          </w:tcPr>
          <w:p w:rsidR="00FD54FC" w:rsidRPr="00661595" w:rsidRDefault="00FD54FC" w:rsidP="00FD54FC">
            <w:pPr>
              <w:spacing w:before="0" w:after="0"/>
              <w:ind w:left="33"/>
              <w:rPr>
                <w:rFonts w:ascii="Times New Roman" w:hAnsi="Times New Roman"/>
                <w:b/>
                <w:bCs/>
                <w:sz w:val="24"/>
                <w:u w:val="single"/>
                <w:lang w:eastAsia="de-DE"/>
              </w:rPr>
            </w:pPr>
            <w:r w:rsidRPr="00661595">
              <w:rPr>
                <w:rFonts w:ascii="Times New Roman" w:hAnsi="Times New Roman"/>
                <w:b/>
                <w:bCs/>
                <w:sz w:val="24"/>
                <w:u w:val="single"/>
                <w:lang w:eastAsia="de-DE"/>
              </w:rPr>
              <w:t>Provisions</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2F78EA"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 xml:space="preserve">Point (6)(c) and ‘Off balance sheet items’ of Article 4, Articles 27(11), 28(8) and Article 33 </w:t>
            </w:r>
            <w:r w:rsidR="00FD54FC" w:rsidRPr="00661595">
              <w:rPr>
                <w:rFonts w:ascii="Times New Roman" w:hAnsi="Times New Roman"/>
                <w:bCs/>
                <w:sz w:val="24"/>
                <w:lang w:eastAsia="de-DE"/>
              </w:rPr>
              <w:t>BAD; IFRS 9.4.2.1(c)(ii),(d)(ii), 9.5.5.20;IAS 37, IFRS 4, Part 2.</w:t>
            </w:r>
            <w:r w:rsidR="00E863C1" w:rsidRPr="00661595">
              <w:rPr>
                <w:rFonts w:ascii="Times New Roman" w:hAnsi="Times New Roman"/>
                <w:bCs/>
                <w:sz w:val="24"/>
                <w:lang w:eastAsia="de-DE"/>
              </w:rPr>
              <w:t>11</w:t>
            </w:r>
            <w:r w:rsidRPr="00661595">
              <w:rPr>
                <w:rFonts w:ascii="Times New Roman" w:hAnsi="Times New Roman"/>
                <w:bCs/>
                <w:sz w:val="24"/>
                <w:lang w:eastAsia="de-DE"/>
              </w:rPr>
              <w:t xml:space="preserve"> of Annex V to this Implementing Regulation</w:t>
            </w:r>
            <w:r w:rsidR="00E863C1" w:rsidRPr="00661595">
              <w:rPr>
                <w:rFonts w:ascii="Times New Roman" w:hAnsi="Times New Roman"/>
                <w:bCs/>
                <w:sz w:val="24"/>
                <w:lang w:eastAsia="de-DE"/>
              </w:rPr>
              <w:t>.</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 xml:space="preserve">Provisions on all off-balance sheet exposures regardless </w:t>
            </w:r>
            <w:r w:rsidR="00B14253" w:rsidRPr="00661595">
              <w:rPr>
                <w:rFonts w:ascii="Times New Roman" w:hAnsi="Times New Roman"/>
                <w:bCs/>
                <w:sz w:val="24"/>
                <w:lang w:eastAsia="de-DE"/>
              </w:rPr>
              <w:t xml:space="preserve">of </w:t>
            </w:r>
            <w:r w:rsidRPr="00661595">
              <w:rPr>
                <w:rFonts w:ascii="Times New Roman" w:hAnsi="Times New Roman"/>
                <w:bCs/>
                <w:sz w:val="24"/>
                <w:lang w:eastAsia="de-DE"/>
              </w:rPr>
              <w:t>how they are measured</w:t>
            </w:r>
            <w:r w:rsidR="00B14253" w:rsidRPr="00661595">
              <w:rPr>
                <w:rFonts w:ascii="Times New Roman" w:hAnsi="Times New Roman"/>
                <w:bCs/>
                <w:sz w:val="24"/>
                <w:lang w:eastAsia="de-DE"/>
              </w:rPr>
              <w:t>,</w:t>
            </w:r>
            <w:r w:rsidRPr="00661595">
              <w:rPr>
                <w:rFonts w:ascii="Times New Roman" w:hAnsi="Times New Roman"/>
                <w:bCs/>
                <w:sz w:val="24"/>
                <w:lang w:eastAsia="de-DE"/>
              </w:rPr>
              <w:t xml:space="preserve"> except those that are measured at fair value through profit or loss in accordance with IFRS 9.</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Under IFRS, the impairment of a loan commitment given shall be reported in column 150 whe</w:t>
            </w:r>
            <w:r w:rsidR="00B14253" w:rsidRPr="00661595">
              <w:rPr>
                <w:rFonts w:ascii="Times New Roman" w:hAnsi="Times New Roman"/>
                <w:bCs/>
                <w:sz w:val="24"/>
                <w:lang w:eastAsia="de-DE"/>
              </w:rPr>
              <w:t>re</w:t>
            </w:r>
            <w:r w:rsidRPr="00661595">
              <w:rPr>
                <w:rFonts w:ascii="Times New Roman" w:hAnsi="Times New Roman"/>
                <w:bCs/>
                <w:sz w:val="24"/>
                <w:lang w:eastAsia="de-DE"/>
              </w:rPr>
              <w:t xml:space="preserve"> the institution cannot separately identify the expected credit losses related to the drawn and undrawn amount of the debt instrument. In case the combined expected credit losses for that financial instrument exceed the gross carrying amount of the loan component of the instrument, the remaining balance of the expected credit losses shall be reported as a provision in column </w:t>
            </w:r>
            <w:r w:rsidR="00535792" w:rsidRPr="00661595">
              <w:rPr>
                <w:rFonts w:ascii="Times New Roman" w:hAnsi="Times New Roman"/>
                <w:bCs/>
                <w:sz w:val="24"/>
                <w:lang w:eastAsia="de-DE"/>
              </w:rPr>
              <w:t>0</w:t>
            </w:r>
            <w:r w:rsidRPr="00661595">
              <w:rPr>
                <w:rFonts w:ascii="Times New Roman" w:hAnsi="Times New Roman"/>
                <w:bCs/>
                <w:sz w:val="24"/>
                <w:lang w:eastAsia="de-DE"/>
              </w:rPr>
              <w:t>250.</w:t>
            </w:r>
          </w:p>
          <w:p w:rsidR="00FD54FC" w:rsidRPr="00661595" w:rsidRDefault="00FD54FC" w:rsidP="00FD54FC">
            <w:pPr>
              <w:spacing w:before="0" w:after="0"/>
              <w:ind w:left="33"/>
              <w:rPr>
                <w:rFonts w:ascii="Times New Roman" w:hAnsi="Times New Roman"/>
                <w:bCs/>
                <w:sz w:val="24"/>
                <w:lang w:eastAsia="de-DE"/>
              </w:rPr>
            </w:pPr>
          </w:p>
        </w:tc>
      </w:tr>
      <w:tr w:rsidR="00FD54FC" w:rsidRPr="00661595" w:rsidTr="00672D2A">
        <w:tc>
          <w:tcPr>
            <w:tcW w:w="1188" w:type="dxa"/>
          </w:tcPr>
          <w:p w:rsidR="00FD54FC" w:rsidRPr="00661595" w:rsidRDefault="00535792"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0</w:t>
            </w:r>
            <w:r w:rsidR="00FD54FC" w:rsidRPr="00661595">
              <w:rPr>
                <w:rFonts w:ascii="Times New Roman" w:hAnsi="Times New Roman"/>
                <w:bCs/>
                <w:sz w:val="24"/>
                <w:lang w:eastAsia="de-DE"/>
              </w:rPr>
              <w:t>260</w:t>
            </w:r>
          </w:p>
        </w:tc>
        <w:tc>
          <w:tcPr>
            <w:tcW w:w="8640" w:type="dxa"/>
          </w:tcPr>
          <w:p w:rsidR="00FD54FC" w:rsidRPr="00661595" w:rsidRDefault="00FD54FC" w:rsidP="00FD54FC">
            <w:pPr>
              <w:spacing w:before="0" w:after="0"/>
              <w:ind w:left="33"/>
              <w:rPr>
                <w:rFonts w:ascii="Times New Roman" w:hAnsi="Times New Roman"/>
                <w:b/>
                <w:bCs/>
                <w:sz w:val="24"/>
                <w:u w:val="single"/>
                <w:lang w:eastAsia="de-DE"/>
              </w:rPr>
            </w:pPr>
            <w:r w:rsidRPr="00661595">
              <w:rPr>
                <w:rFonts w:ascii="Times New Roman" w:hAnsi="Times New Roman"/>
                <w:b/>
                <w:bCs/>
                <w:sz w:val="24"/>
                <w:u w:val="single"/>
                <w:lang w:eastAsia="de-DE"/>
              </w:rPr>
              <w:t xml:space="preserve">Accumulated negative changes in fair value due to credit risk </w:t>
            </w:r>
          </w:p>
          <w:p w:rsidR="00FD54FC" w:rsidRPr="00661595" w:rsidRDefault="00FD54FC" w:rsidP="00FD54FC">
            <w:pPr>
              <w:spacing w:before="0" w:after="0"/>
              <w:ind w:left="33"/>
              <w:rPr>
                <w:rFonts w:ascii="Times New Roman" w:hAnsi="Times New Roman"/>
                <w:b/>
                <w:bCs/>
                <w:sz w:val="24"/>
                <w:u w:val="single"/>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For off-balance sheet items measured at fair value through profit or loss under IFRS 9, accumulated negative changes in fair value due to credit risk (</w:t>
            </w:r>
            <w:r w:rsidR="002F78EA" w:rsidRPr="00661595">
              <w:rPr>
                <w:rFonts w:ascii="Times New Roman" w:hAnsi="Times New Roman"/>
                <w:bCs/>
                <w:sz w:val="24"/>
                <w:lang w:eastAsia="de-DE"/>
              </w:rPr>
              <w:t>paragraph 110 of Part 2 of Annex V to this Implementing Regulation</w:t>
            </w:r>
            <w:r w:rsidRPr="00661595">
              <w:rPr>
                <w:rFonts w:ascii="Times New Roman" w:hAnsi="Times New Roman"/>
                <w:bCs/>
                <w:sz w:val="24"/>
                <w:lang w:eastAsia="de-DE"/>
              </w:rPr>
              <w:t>)</w:t>
            </w:r>
          </w:p>
          <w:p w:rsidR="00FD54FC" w:rsidRPr="00661595" w:rsidRDefault="00730040" w:rsidP="00FD54FC">
            <w:pPr>
              <w:spacing w:before="0" w:after="0"/>
              <w:ind w:left="33"/>
              <w:rPr>
                <w:rFonts w:ascii="Times New Roman" w:hAnsi="Times New Roman"/>
                <w:b/>
                <w:bCs/>
                <w:sz w:val="24"/>
                <w:u w:val="single"/>
                <w:lang w:eastAsia="de-DE"/>
              </w:rPr>
            </w:pPr>
            <w:r w:rsidRPr="00661595">
              <w:rPr>
                <w:rFonts w:ascii="Times New Roman" w:hAnsi="Times New Roman"/>
                <w:bCs/>
                <w:sz w:val="24"/>
                <w:u w:val="single"/>
                <w:lang w:eastAsia="de-DE"/>
              </w:rPr>
              <w:t xml:space="preserve"> </w:t>
            </w:r>
          </w:p>
        </w:tc>
      </w:tr>
      <w:tr w:rsidR="00FD54FC" w:rsidRPr="00661595" w:rsidTr="00672D2A">
        <w:tc>
          <w:tcPr>
            <w:tcW w:w="1188" w:type="dxa"/>
            <w:tcBorders>
              <w:top w:val="single" w:sz="4" w:space="0" w:color="auto"/>
              <w:left w:val="single" w:sz="4" w:space="0" w:color="auto"/>
              <w:bottom w:val="single" w:sz="4" w:space="0" w:color="auto"/>
              <w:right w:val="single" w:sz="4" w:space="0" w:color="auto"/>
            </w:tcBorders>
            <w:shd w:val="clear" w:color="auto" w:fill="auto"/>
          </w:tcPr>
          <w:p w:rsidR="00FD54FC" w:rsidRPr="00661595" w:rsidDel="008D1680" w:rsidRDefault="00535792" w:rsidP="00B74792">
            <w:pPr>
              <w:spacing w:before="0" w:after="0"/>
              <w:ind w:left="33"/>
              <w:rPr>
                <w:rFonts w:ascii="Times New Roman" w:hAnsi="Times New Roman"/>
                <w:bCs/>
                <w:sz w:val="24"/>
                <w:lang w:eastAsia="de-DE"/>
              </w:rPr>
            </w:pPr>
            <w:r w:rsidRPr="00661595">
              <w:rPr>
                <w:rFonts w:ascii="Times New Roman" w:hAnsi="Times New Roman"/>
                <w:bCs/>
                <w:sz w:val="24"/>
                <w:lang w:eastAsia="de-DE"/>
              </w:rPr>
              <w:t>0</w:t>
            </w:r>
            <w:r w:rsidR="00FD54FC" w:rsidRPr="00661595">
              <w:rPr>
                <w:rFonts w:ascii="Times New Roman" w:hAnsi="Times New Roman"/>
                <w:bCs/>
                <w:sz w:val="24"/>
                <w:lang w:eastAsia="de-DE"/>
              </w:rPr>
              <w:t>270</w:t>
            </w:r>
            <w:r w:rsidR="00B74792" w:rsidRPr="00661595">
              <w:rPr>
                <w:rFonts w:ascii="Times New Roman" w:hAnsi="Times New Roman"/>
                <w:bCs/>
                <w:sz w:val="24"/>
                <w:lang w:eastAsia="de-DE"/>
              </w:rPr>
              <w:t>-</w:t>
            </w:r>
            <w:r w:rsidR="00FD54FC" w:rsidRPr="00661595">
              <w:rPr>
                <w:rFonts w:ascii="Times New Roman" w:hAnsi="Times New Roman"/>
                <w:bCs/>
                <w:sz w:val="24"/>
                <w:lang w:eastAsia="de-DE"/>
              </w:rPr>
              <w:t>280</w:t>
            </w:r>
          </w:p>
        </w:tc>
        <w:tc>
          <w:tcPr>
            <w:tcW w:w="8640" w:type="dxa"/>
            <w:tcBorders>
              <w:top w:val="single" w:sz="4" w:space="0" w:color="auto"/>
              <w:left w:val="single" w:sz="4" w:space="0" w:color="auto"/>
              <w:bottom w:val="single" w:sz="4" w:space="0" w:color="auto"/>
              <w:right w:val="single" w:sz="4" w:space="0" w:color="auto"/>
            </w:tcBorders>
            <w:shd w:val="clear" w:color="auto" w:fill="auto"/>
          </w:tcPr>
          <w:p w:rsidR="00FD54FC" w:rsidRPr="00661595" w:rsidRDefault="00FD54FC" w:rsidP="00FD54FC">
            <w:pPr>
              <w:spacing w:before="0" w:after="0"/>
              <w:ind w:left="33"/>
              <w:rPr>
                <w:rFonts w:ascii="Times New Roman" w:hAnsi="Times New Roman"/>
                <w:b/>
                <w:bCs/>
                <w:sz w:val="24"/>
                <w:u w:val="single"/>
                <w:lang w:eastAsia="de-DE"/>
              </w:rPr>
            </w:pPr>
            <w:r w:rsidRPr="00661595">
              <w:rPr>
                <w:rFonts w:ascii="Times New Roman" w:hAnsi="Times New Roman"/>
                <w:b/>
                <w:bCs/>
                <w:sz w:val="24"/>
                <w:u w:val="single"/>
                <w:lang w:eastAsia="de-DE"/>
              </w:rPr>
              <w:t>Memorandum item: credit derivatives sold on general government exposures</w:t>
            </w:r>
          </w:p>
          <w:p w:rsidR="00FD54FC" w:rsidRPr="00661595" w:rsidRDefault="00FD54FC" w:rsidP="00FD54FC">
            <w:pPr>
              <w:spacing w:before="0" w:after="0"/>
              <w:ind w:left="33"/>
              <w:rPr>
                <w:rFonts w:ascii="Times New Roman" w:hAnsi="Times New Roman"/>
                <w:b/>
                <w:bCs/>
                <w:sz w:val="24"/>
                <w:u w:val="single"/>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 xml:space="preserve">Credit derivatives that do not meet the definition of financial guarantees </w:t>
            </w:r>
            <w:r w:rsidR="00127986" w:rsidRPr="00661595">
              <w:rPr>
                <w:rFonts w:ascii="Times New Roman" w:hAnsi="Times New Roman"/>
                <w:bCs/>
                <w:sz w:val="24"/>
                <w:lang w:eastAsia="de-DE"/>
              </w:rPr>
              <w:t xml:space="preserve">in Annex V, Part 2, paragraph 58 </w:t>
            </w:r>
            <w:r w:rsidRPr="00661595">
              <w:rPr>
                <w:rFonts w:ascii="Times New Roman" w:hAnsi="Times New Roman"/>
                <w:bCs/>
                <w:sz w:val="24"/>
                <w:lang w:eastAsia="de-DE"/>
              </w:rPr>
              <w:t>that the reporting institution has underwritten with counterparties other than General governments and whose reference exposure is a General government</w:t>
            </w:r>
            <w:r w:rsidR="00B14253" w:rsidRPr="00661595">
              <w:rPr>
                <w:rFonts w:ascii="Times New Roman" w:hAnsi="Times New Roman"/>
                <w:bCs/>
                <w:sz w:val="24"/>
                <w:lang w:eastAsia="de-DE"/>
              </w:rPr>
              <w:t xml:space="preserve"> shall</w:t>
            </w:r>
            <w:r w:rsidRPr="00661595">
              <w:rPr>
                <w:rFonts w:ascii="Times New Roman" w:hAnsi="Times New Roman"/>
                <w:bCs/>
                <w:sz w:val="24"/>
                <w:lang w:eastAsia="de-DE"/>
              </w:rPr>
              <w:t xml:space="preserve"> be reported.</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 xml:space="preserve">These columns </w:t>
            </w:r>
            <w:r w:rsidR="00B14253" w:rsidRPr="00661595">
              <w:rPr>
                <w:rFonts w:ascii="Times New Roman" w:hAnsi="Times New Roman"/>
                <w:bCs/>
                <w:sz w:val="24"/>
                <w:lang w:eastAsia="de-DE"/>
              </w:rPr>
              <w:t>shall</w:t>
            </w:r>
            <w:r w:rsidRPr="00661595">
              <w:rPr>
                <w:rFonts w:ascii="Times New Roman" w:hAnsi="Times New Roman"/>
                <w:bCs/>
                <w:sz w:val="24"/>
                <w:lang w:eastAsia="de-DE"/>
              </w:rPr>
              <w:t xml:space="preserve"> not be reported for exposures broken down by risk, regulatory approach and exposure class (rows </w:t>
            </w:r>
            <w:r w:rsidR="00535792" w:rsidRPr="00661595">
              <w:rPr>
                <w:rFonts w:ascii="Times New Roman" w:hAnsi="Times New Roman"/>
                <w:bCs/>
                <w:sz w:val="24"/>
                <w:lang w:eastAsia="de-DE"/>
              </w:rPr>
              <w:t>0</w:t>
            </w:r>
            <w:r w:rsidRPr="00661595">
              <w:rPr>
                <w:rFonts w:ascii="Times New Roman" w:hAnsi="Times New Roman"/>
                <w:bCs/>
                <w:sz w:val="24"/>
                <w:lang w:eastAsia="de-DE"/>
              </w:rPr>
              <w:t xml:space="preserve">020 to </w:t>
            </w:r>
            <w:r w:rsidR="00535792" w:rsidRPr="00661595">
              <w:rPr>
                <w:rFonts w:ascii="Times New Roman" w:hAnsi="Times New Roman"/>
                <w:bCs/>
                <w:sz w:val="24"/>
                <w:lang w:eastAsia="de-DE"/>
              </w:rPr>
              <w:t>0</w:t>
            </w:r>
            <w:r w:rsidRPr="00661595">
              <w:rPr>
                <w:rFonts w:ascii="Times New Roman" w:hAnsi="Times New Roman"/>
                <w:bCs/>
                <w:sz w:val="24"/>
                <w:lang w:eastAsia="de-DE"/>
              </w:rPr>
              <w:t>1</w:t>
            </w:r>
            <w:r w:rsidR="0077276E" w:rsidRPr="00661595">
              <w:rPr>
                <w:rFonts w:ascii="Times New Roman" w:hAnsi="Times New Roman"/>
                <w:bCs/>
                <w:sz w:val="24"/>
                <w:lang w:eastAsia="de-DE"/>
              </w:rPr>
              <w:t>6</w:t>
            </w:r>
            <w:r w:rsidRPr="00661595">
              <w:rPr>
                <w:rFonts w:ascii="Times New Roman" w:hAnsi="Times New Roman"/>
                <w:bCs/>
                <w:sz w:val="24"/>
                <w:lang w:eastAsia="de-DE"/>
              </w:rPr>
              <w:t>0).</w:t>
            </w:r>
          </w:p>
          <w:p w:rsidR="00FD54FC" w:rsidRPr="00661595" w:rsidRDefault="00FD54FC" w:rsidP="00FD54FC">
            <w:pPr>
              <w:spacing w:before="0" w:after="0"/>
              <w:ind w:left="33"/>
              <w:rPr>
                <w:rFonts w:ascii="Times New Roman" w:hAnsi="Times New Roman"/>
                <w:b/>
                <w:bCs/>
                <w:sz w:val="24"/>
                <w:u w:val="single"/>
                <w:lang w:eastAsia="de-DE"/>
              </w:rPr>
            </w:pPr>
          </w:p>
        </w:tc>
      </w:tr>
      <w:tr w:rsidR="00FD54FC" w:rsidRPr="00661595" w:rsidTr="00672D2A">
        <w:tc>
          <w:tcPr>
            <w:tcW w:w="1188" w:type="dxa"/>
            <w:tcBorders>
              <w:top w:val="single" w:sz="4" w:space="0" w:color="auto"/>
              <w:left w:val="single" w:sz="4" w:space="0" w:color="auto"/>
              <w:bottom w:val="single" w:sz="4" w:space="0" w:color="auto"/>
              <w:right w:val="single" w:sz="4" w:space="0" w:color="auto"/>
            </w:tcBorders>
            <w:shd w:val="clear" w:color="auto" w:fill="auto"/>
          </w:tcPr>
          <w:p w:rsidR="00FD54FC" w:rsidRPr="00661595" w:rsidDel="008D1680" w:rsidRDefault="00535792"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0</w:t>
            </w:r>
            <w:r w:rsidR="00FD54FC" w:rsidRPr="00661595">
              <w:rPr>
                <w:rFonts w:ascii="Times New Roman" w:hAnsi="Times New Roman"/>
                <w:bCs/>
                <w:sz w:val="24"/>
                <w:lang w:eastAsia="de-DE"/>
              </w:rPr>
              <w:t>270</w:t>
            </w:r>
          </w:p>
        </w:tc>
        <w:tc>
          <w:tcPr>
            <w:tcW w:w="8640" w:type="dxa"/>
            <w:tcBorders>
              <w:top w:val="single" w:sz="4" w:space="0" w:color="auto"/>
              <w:left w:val="single" w:sz="4" w:space="0" w:color="auto"/>
              <w:bottom w:val="single" w:sz="4" w:space="0" w:color="auto"/>
              <w:right w:val="single" w:sz="4" w:space="0" w:color="auto"/>
            </w:tcBorders>
            <w:shd w:val="clear" w:color="auto" w:fill="auto"/>
          </w:tcPr>
          <w:p w:rsidR="00FD54FC" w:rsidRPr="00661595" w:rsidRDefault="00FD54FC" w:rsidP="00FD54FC">
            <w:pPr>
              <w:spacing w:before="0" w:after="0"/>
              <w:ind w:left="33"/>
              <w:rPr>
                <w:rFonts w:ascii="Times New Roman" w:hAnsi="Times New Roman"/>
                <w:b/>
                <w:bCs/>
                <w:sz w:val="24"/>
                <w:u w:val="single"/>
                <w:lang w:eastAsia="de-DE"/>
              </w:rPr>
            </w:pPr>
            <w:r w:rsidRPr="00661595">
              <w:rPr>
                <w:rFonts w:ascii="Times New Roman" w:hAnsi="Times New Roman"/>
                <w:b/>
                <w:bCs/>
                <w:sz w:val="24"/>
                <w:u w:val="single"/>
                <w:lang w:eastAsia="de-DE"/>
              </w:rPr>
              <w:t>Derivatives with positive fair value - Carrying amount</w:t>
            </w:r>
          </w:p>
          <w:p w:rsidR="00FD54FC" w:rsidRPr="00661595" w:rsidRDefault="00FD54FC" w:rsidP="00FD54FC">
            <w:pPr>
              <w:spacing w:before="0" w:after="0"/>
              <w:ind w:left="33"/>
              <w:rPr>
                <w:rFonts w:ascii="Times New Roman" w:hAnsi="Times New Roman"/>
                <w:b/>
                <w:bCs/>
                <w:sz w:val="24"/>
                <w:u w:val="single"/>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Aggregated carrying amount of the credit derivatives sold on general government exposures reported which have a positive fair value for the institution at the reference reporting date, without considering prudent valuation adjustments.</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For derivatives under IFRS, the amount to be reported in this column is the carrying amount of the derivatives that are financial assets at the reporting date.</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 xml:space="preserve">For derivatives under GAAP based on BAD, the amount to be reported in this column </w:t>
            </w:r>
            <w:r w:rsidR="00B14253" w:rsidRPr="00661595">
              <w:rPr>
                <w:rFonts w:ascii="Times New Roman" w:hAnsi="Times New Roman"/>
                <w:bCs/>
                <w:sz w:val="24"/>
                <w:lang w:eastAsia="de-DE"/>
              </w:rPr>
              <w:t>shall be</w:t>
            </w:r>
            <w:r w:rsidRPr="00661595">
              <w:rPr>
                <w:rFonts w:ascii="Times New Roman" w:hAnsi="Times New Roman"/>
                <w:bCs/>
                <w:sz w:val="24"/>
                <w:lang w:eastAsia="de-DE"/>
              </w:rPr>
              <w:t xml:space="preserve"> the fair value of the derivatives with a positive fair value at the reference reporting date, independently </w:t>
            </w:r>
            <w:r w:rsidR="00B14253" w:rsidRPr="00661595">
              <w:rPr>
                <w:rFonts w:ascii="Times New Roman" w:hAnsi="Times New Roman"/>
                <w:bCs/>
                <w:sz w:val="24"/>
                <w:lang w:eastAsia="de-DE"/>
              </w:rPr>
              <w:t xml:space="preserve">of </w:t>
            </w:r>
            <w:r w:rsidRPr="00661595">
              <w:rPr>
                <w:rFonts w:ascii="Times New Roman" w:hAnsi="Times New Roman"/>
                <w:bCs/>
                <w:sz w:val="24"/>
                <w:lang w:eastAsia="de-DE"/>
              </w:rPr>
              <w:t>how they are accounted for.</w:t>
            </w:r>
          </w:p>
          <w:p w:rsidR="00FD54FC" w:rsidRPr="00661595" w:rsidRDefault="00FD54FC" w:rsidP="00FD54FC">
            <w:pPr>
              <w:spacing w:before="0" w:after="0"/>
              <w:ind w:left="33"/>
              <w:rPr>
                <w:rFonts w:ascii="Times New Roman" w:hAnsi="Times New Roman"/>
                <w:b/>
                <w:bCs/>
                <w:sz w:val="24"/>
                <w:u w:val="single"/>
                <w:lang w:eastAsia="de-DE"/>
              </w:rPr>
            </w:pPr>
          </w:p>
        </w:tc>
      </w:tr>
      <w:tr w:rsidR="00FD54FC" w:rsidRPr="00661595" w:rsidTr="00672D2A">
        <w:tc>
          <w:tcPr>
            <w:tcW w:w="1188" w:type="dxa"/>
            <w:tcBorders>
              <w:top w:val="single" w:sz="4" w:space="0" w:color="auto"/>
              <w:left w:val="single" w:sz="4" w:space="0" w:color="auto"/>
              <w:bottom w:val="single" w:sz="4" w:space="0" w:color="auto"/>
              <w:right w:val="single" w:sz="4" w:space="0" w:color="auto"/>
            </w:tcBorders>
            <w:shd w:val="clear" w:color="auto" w:fill="auto"/>
          </w:tcPr>
          <w:p w:rsidR="00FD54FC" w:rsidRPr="00661595" w:rsidDel="008D1680" w:rsidRDefault="00535792"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0</w:t>
            </w:r>
            <w:r w:rsidR="00FD54FC" w:rsidRPr="00661595">
              <w:rPr>
                <w:rFonts w:ascii="Times New Roman" w:hAnsi="Times New Roman"/>
                <w:bCs/>
                <w:sz w:val="24"/>
                <w:lang w:eastAsia="de-DE"/>
              </w:rPr>
              <w:t>280</w:t>
            </w:r>
          </w:p>
        </w:tc>
        <w:tc>
          <w:tcPr>
            <w:tcW w:w="8640" w:type="dxa"/>
            <w:tcBorders>
              <w:top w:val="single" w:sz="4" w:space="0" w:color="auto"/>
              <w:left w:val="single" w:sz="4" w:space="0" w:color="auto"/>
              <w:bottom w:val="single" w:sz="4" w:space="0" w:color="auto"/>
              <w:right w:val="single" w:sz="4" w:space="0" w:color="auto"/>
            </w:tcBorders>
            <w:shd w:val="clear" w:color="auto" w:fill="auto"/>
          </w:tcPr>
          <w:p w:rsidR="00FD54FC" w:rsidRPr="00661595" w:rsidRDefault="00FD54FC" w:rsidP="00FD54FC">
            <w:pPr>
              <w:spacing w:before="0" w:after="0"/>
              <w:ind w:left="33"/>
              <w:rPr>
                <w:rFonts w:ascii="Times New Roman" w:hAnsi="Times New Roman"/>
                <w:b/>
                <w:bCs/>
                <w:sz w:val="24"/>
                <w:u w:val="single"/>
                <w:lang w:eastAsia="de-DE"/>
              </w:rPr>
            </w:pPr>
            <w:r w:rsidRPr="00661595">
              <w:rPr>
                <w:rFonts w:ascii="Times New Roman" w:hAnsi="Times New Roman"/>
                <w:b/>
                <w:bCs/>
                <w:sz w:val="24"/>
                <w:u w:val="single"/>
                <w:lang w:eastAsia="de-DE"/>
              </w:rPr>
              <w:t>Derivatives with negative fair value - Carrying amount</w:t>
            </w:r>
          </w:p>
          <w:p w:rsidR="00FD54FC" w:rsidRPr="00661595" w:rsidRDefault="00FD54FC" w:rsidP="00FD54FC">
            <w:pPr>
              <w:spacing w:before="0" w:after="0"/>
              <w:ind w:left="33"/>
              <w:rPr>
                <w:rFonts w:ascii="Times New Roman" w:hAnsi="Times New Roman"/>
                <w:b/>
                <w:bCs/>
                <w:sz w:val="24"/>
                <w:u w:val="single"/>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Aggregated carrying amount of the credit derivatives sold on general government exposures reported which have a negative fair value for the institution at the reference reporting date, without considering prudent valuation adjustments.</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 xml:space="preserve">For derivatives under IFRS, the amount to be reported in this column </w:t>
            </w:r>
            <w:r w:rsidR="00A92F0D" w:rsidRPr="00661595">
              <w:rPr>
                <w:rFonts w:ascii="Times New Roman" w:hAnsi="Times New Roman"/>
                <w:bCs/>
                <w:sz w:val="24"/>
                <w:lang w:eastAsia="de-DE"/>
              </w:rPr>
              <w:t>shall be</w:t>
            </w:r>
            <w:r w:rsidRPr="00661595">
              <w:rPr>
                <w:rFonts w:ascii="Times New Roman" w:hAnsi="Times New Roman"/>
                <w:bCs/>
                <w:sz w:val="24"/>
                <w:lang w:eastAsia="de-DE"/>
              </w:rPr>
              <w:t xml:space="preserve"> the carrying amount of the derivatives that are financial liabilities at the reporting date. </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FD54FC" w:rsidP="00FD54FC">
            <w:pPr>
              <w:spacing w:before="0" w:after="0"/>
              <w:ind w:left="33"/>
              <w:rPr>
                <w:rFonts w:ascii="Times New Roman" w:hAnsi="Times New Roman"/>
                <w:b/>
                <w:bCs/>
                <w:sz w:val="24"/>
                <w:u w:val="single"/>
                <w:lang w:eastAsia="de-DE"/>
              </w:rPr>
            </w:pPr>
            <w:r w:rsidRPr="00661595">
              <w:rPr>
                <w:rFonts w:ascii="Times New Roman" w:hAnsi="Times New Roman"/>
                <w:bCs/>
                <w:sz w:val="24"/>
                <w:lang w:eastAsia="de-DE"/>
              </w:rPr>
              <w:t xml:space="preserve">For derivatives under GAAP based on BAD, the amount to be reported in this column is the fair value of the derivatives with a negative fair value at the reference reporting date, independently </w:t>
            </w:r>
            <w:r w:rsidR="00A92F0D" w:rsidRPr="00661595">
              <w:rPr>
                <w:rFonts w:ascii="Times New Roman" w:hAnsi="Times New Roman"/>
                <w:bCs/>
                <w:sz w:val="24"/>
                <w:lang w:eastAsia="de-DE"/>
              </w:rPr>
              <w:t xml:space="preserve">of </w:t>
            </w:r>
            <w:r w:rsidRPr="00661595">
              <w:rPr>
                <w:rFonts w:ascii="Times New Roman" w:hAnsi="Times New Roman"/>
                <w:bCs/>
                <w:sz w:val="24"/>
                <w:lang w:eastAsia="de-DE"/>
              </w:rPr>
              <w:t>how they are accounted for.</w:t>
            </w:r>
            <w:r w:rsidRPr="00661595">
              <w:rPr>
                <w:rFonts w:ascii="Times New Roman" w:hAnsi="Times New Roman"/>
                <w:b/>
                <w:bCs/>
                <w:sz w:val="24"/>
                <w:u w:val="single"/>
                <w:lang w:eastAsia="de-DE"/>
              </w:rPr>
              <w:t xml:space="preserve"> </w:t>
            </w:r>
          </w:p>
          <w:p w:rsidR="00FD54FC" w:rsidRPr="00661595" w:rsidRDefault="00FD54FC" w:rsidP="00FD54FC">
            <w:pPr>
              <w:spacing w:before="0" w:after="0"/>
              <w:ind w:left="33"/>
              <w:rPr>
                <w:rFonts w:ascii="Times New Roman" w:hAnsi="Times New Roman"/>
                <w:b/>
                <w:bCs/>
                <w:sz w:val="24"/>
                <w:u w:val="single"/>
                <w:lang w:eastAsia="de-DE"/>
              </w:rPr>
            </w:pPr>
          </w:p>
        </w:tc>
      </w:tr>
      <w:tr w:rsidR="00FD54FC" w:rsidRPr="00661595" w:rsidTr="00672D2A">
        <w:tc>
          <w:tcPr>
            <w:tcW w:w="1188" w:type="dxa"/>
            <w:tcBorders>
              <w:top w:val="single" w:sz="4" w:space="0" w:color="auto"/>
              <w:left w:val="single" w:sz="4" w:space="0" w:color="auto"/>
              <w:bottom w:val="single" w:sz="4" w:space="0" w:color="auto"/>
              <w:right w:val="single" w:sz="4" w:space="0" w:color="auto"/>
            </w:tcBorders>
            <w:shd w:val="clear" w:color="auto" w:fill="auto"/>
          </w:tcPr>
          <w:p w:rsidR="00FD54FC" w:rsidRPr="00661595" w:rsidDel="008D1680" w:rsidRDefault="00535792"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0</w:t>
            </w:r>
            <w:r w:rsidR="00FD54FC" w:rsidRPr="00661595">
              <w:rPr>
                <w:rFonts w:ascii="Times New Roman" w:hAnsi="Times New Roman"/>
                <w:bCs/>
                <w:sz w:val="24"/>
                <w:lang w:eastAsia="de-DE"/>
              </w:rPr>
              <w:t>290</w:t>
            </w:r>
          </w:p>
        </w:tc>
        <w:tc>
          <w:tcPr>
            <w:tcW w:w="8640" w:type="dxa"/>
            <w:tcBorders>
              <w:top w:val="single" w:sz="4" w:space="0" w:color="auto"/>
              <w:left w:val="single" w:sz="4" w:space="0" w:color="auto"/>
              <w:bottom w:val="single" w:sz="4" w:space="0" w:color="auto"/>
              <w:right w:val="single" w:sz="4" w:space="0" w:color="auto"/>
            </w:tcBorders>
            <w:shd w:val="clear" w:color="auto" w:fill="auto"/>
          </w:tcPr>
          <w:p w:rsidR="00FD54FC" w:rsidRPr="00661595" w:rsidRDefault="00FD54FC" w:rsidP="00FD54FC">
            <w:pPr>
              <w:spacing w:before="0" w:after="0"/>
              <w:ind w:left="33"/>
              <w:rPr>
                <w:rFonts w:ascii="Times New Roman" w:hAnsi="Times New Roman"/>
                <w:b/>
                <w:bCs/>
                <w:sz w:val="24"/>
                <w:u w:val="single"/>
                <w:lang w:eastAsia="de-DE"/>
              </w:rPr>
            </w:pPr>
            <w:r w:rsidRPr="00661595">
              <w:rPr>
                <w:rFonts w:ascii="Times New Roman" w:hAnsi="Times New Roman"/>
                <w:b/>
                <w:bCs/>
                <w:sz w:val="24"/>
                <w:u w:val="single"/>
                <w:lang w:eastAsia="de-DE"/>
              </w:rPr>
              <w:t>Exposure value</w:t>
            </w:r>
          </w:p>
          <w:p w:rsidR="00FD54FC" w:rsidRPr="00661595" w:rsidRDefault="00FD54FC" w:rsidP="00FD54FC">
            <w:pPr>
              <w:spacing w:before="0" w:after="0"/>
              <w:ind w:left="33"/>
              <w:rPr>
                <w:rFonts w:ascii="Times New Roman" w:hAnsi="Times New Roman"/>
                <w:b/>
                <w:bCs/>
                <w:sz w:val="24"/>
                <w:u w:val="single"/>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Exposure value for exposures subject to the credit risk framework.</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For exposures under the Standardised Approach</w:t>
            </w:r>
            <w:r w:rsidRPr="00661595" w:rsidDel="009C11E5">
              <w:rPr>
                <w:rFonts w:ascii="Times New Roman" w:hAnsi="Times New Roman"/>
                <w:bCs/>
                <w:sz w:val="24"/>
                <w:lang w:eastAsia="de-DE"/>
              </w:rPr>
              <w:t xml:space="preserve"> </w:t>
            </w:r>
            <w:r w:rsidRPr="00661595">
              <w:rPr>
                <w:rFonts w:ascii="Times New Roman" w:hAnsi="Times New Roman"/>
                <w:bCs/>
                <w:sz w:val="24"/>
                <w:lang w:eastAsia="de-DE"/>
              </w:rPr>
              <w:t>(</w:t>
            </w:r>
            <w:r w:rsidRPr="00661595" w:rsidDel="009C11E5">
              <w:rPr>
                <w:rFonts w:ascii="Times New Roman" w:hAnsi="Times New Roman"/>
                <w:bCs/>
                <w:sz w:val="24"/>
                <w:lang w:eastAsia="de-DE"/>
              </w:rPr>
              <w:t>SA</w:t>
            </w:r>
            <w:r w:rsidRPr="00661595">
              <w:rPr>
                <w:rFonts w:ascii="Times New Roman" w:hAnsi="Times New Roman"/>
                <w:bCs/>
                <w:sz w:val="24"/>
                <w:lang w:eastAsia="de-DE"/>
              </w:rPr>
              <w:t xml:space="preserve">): see Article 111 </w:t>
            </w:r>
            <w:r w:rsidR="00C7103D" w:rsidRPr="00661595">
              <w:rPr>
                <w:rFonts w:ascii="Times New Roman" w:hAnsi="Times New Roman"/>
                <w:bCs/>
                <w:sz w:val="24"/>
                <w:lang w:eastAsia="de-DE"/>
              </w:rPr>
              <w:t>CRR</w:t>
            </w:r>
            <w:r w:rsidRPr="00661595">
              <w:rPr>
                <w:rFonts w:ascii="Times New Roman" w:hAnsi="Times New Roman"/>
                <w:bCs/>
                <w:sz w:val="24"/>
                <w:lang w:eastAsia="de-DE"/>
              </w:rPr>
              <w:t xml:space="preserve">. For exposures under the </w:t>
            </w:r>
            <w:r w:rsidR="008241B9" w:rsidRPr="00661595">
              <w:rPr>
                <w:rFonts w:ascii="Times New Roman" w:hAnsi="Times New Roman"/>
                <w:bCs/>
                <w:sz w:val="24"/>
                <w:lang w:eastAsia="de-DE"/>
              </w:rPr>
              <w:t>IRB Approach</w:t>
            </w:r>
            <w:r w:rsidRPr="00661595">
              <w:rPr>
                <w:rFonts w:ascii="Times New Roman" w:hAnsi="Times New Roman"/>
                <w:bCs/>
                <w:sz w:val="24"/>
                <w:lang w:eastAsia="de-DE"/>
              </w:rPr>
              <w:t xml:space="preserve">: see Article 166 and </w:t>
            </w:r>
            <w:r w:rsidR="00705025" w:rsidRPr="00661595">
              <w:rPr>
                <w:rFonts w:ascii="Times New Roman" w:hAnsi="Times New Roman"/>
                <w:bCs/>
                <w:sz w:val="24"/>
                <w:lang w:eastAsia="de-DE"/>
              </w:rPr>
              <w:t xml:space="preserve">the second sentence of </w:t>
            </w:r>
            <w:r w:rsidRPr="00661595">
              <w:rPr>
                <w:rFonts w:ascii="Times New Roman" w:hAnsi="Times New Roman"/>
                <w:bCs/>
                <w:sz w:val="24"/>
                <w:lang w:eastAsia="de-DE"/>
              </w:rPr>
              <w:t xml:space="preserve">Article 230(1) </w:t>
            </w:r>
            <w:r w:rsidR="00C7103D" w:rsidRPr="00661595">
              <w:rPr>
                <w:rFonts w:ascii="Times New Roman" w:hAnsi="Times New Roman"/>
                <w:bCs/>
                <w:sz w:val="24"/>
                <w:lang w:eastAsia="de-DE"/>
              </w:rPr>
              <w:t>CRR</w:t>
            </w:r>
            <w:r w:rsidRPr="00661595">
              <w:rPr>
                <w:rFonts w:ascii="Times New Roman" w:hAnsi="Times New Roman"/>
                <w:bCs/>
                <w:sz w:val="24"/>
                <w:lang w:eastAsia="de-DE"/>
              </w:rPr>
              <w:t>.</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For the reporting of derivatives subject to both counterparty credit risk and market risk capital charges</w:t>
            </w:r>
            <w:r w:rsidR="00A92F0D" w:rsidRPr="00661595">
              <w:rPr>
                <w:rFonts w:ascii="Times New Roman" w:hAnsi="Times New Roman"/>
                <w:bCs/>
                <w:sz w:val="24"/>
                <w:lang w:eastAsia="de-DE"/>
              </w:rPr>
              <w:t>,</w:t>
            </w:r>
            <w:r w:rsidRPr="00661595">
              <w:rPr>
                <w:rFonts w:ascii="Times New Roman" w:hAnsi="Times New Roman"/>
                <w:bCs/>
                <w:sz w:val="24"/>
                <w:lang w:eastAsia="de-DE"/>
              </w:rPr>
              <w:t xml:space="preserve"> see instructions for the row breakdown.</w:t>
            </w:r>
          </w:p>
          <w:p w:rsidR="00454026" w:rsidRPr="00661595" w:rsidRDefault="00454026" w:rsidP="00FD54FC">
            <w:pPr>
              <w:spacing w:before="0" w:after="0"/>
              <w:ind w:left="33"/>
              <w:rPr>
                <w:rFonts w:ascii="Times New Roman" w:hAnsi="Times New Roman"/>
                <w:bCs/>
                <w:sz w:val="24"/>
                <w:lang w:eastAsia="de-DE"/>
              </w:rPr>
            </w:pPr>
          </w:p>
          <w:p w:rsidR="00454026" w:rsidRPr="00661595" w:rsidRDefault="00454026"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 xml:space="preserve">The exposures reported in columns 0270 and 0280 are not to be considered for the purposes of this column, as the value in this column is based solely on direct exposures. </w:t>
            </w:r>
          </w:p>
          <w:p w:rsidR="00FD54FC" w:rsidRPr="00661595" w:rsidRDefault="00FD54FC" w:rsidP="00FD54FC">
            <w:pPr>
              <w:spacing w:before="0" w:after="0"/>
              <w:ind w:left="33"/>
              <w:rPr>
                <w:rFonts w:ascii="Times New Roman" w:hAnsi="Times New Roman"/>
                <w:b/>
                <w:bCs/>
                <w:sz w:val="24"/>
                <w:u w:val="single"/>
                <w:lang w:eastAsia="de-DE"/>
              </w:rPr>
            </w:pPr>
          </w:p>
        </w:tc>
      </w:tr>
      <w:tr w:rsidR="00FD54FC" w:rsidRPr="00661595" w:rsidTr="00672D2A">
        <w:tc>
          <w:tcPr>
            <w:tcW w:w="1188" w:type="dxa"/>
            <w:tcBorders>
              <w:top w:val="single" w:sz="4" w:space="0" w:color="auto"/>
              <w:left w:val="single" w:sz="4" w:space="0" w:color="auto"/>
              <w:bottom w:val="single" w:sz="4" w:space="0" w:color="auto"/>
              <w:right w:val="single" w:sz="4" w:space="0" w:color="auto"/>
            </w:tcBorders>
            <w:shd w:val="clear" w:color="auto" w:fill="auto"/>
          </w:tcPr>
          <w:p w:rsidR="00FD54FC" w:rsidRPr="00661595" w:rsidRDefault="00535792"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0</w:t>
            </w:r>
            <w:r w:rsidR="00FD54FC" w:rsidRPr="00661595">
              <w:rPr>
                <w:rFonts w:ascii="Times New Roman" w:hAnsi="Times New Roman"/>
                <w:bCs/>
                <w:sz w:val="24"/>
                <w:lang w:eastAsia="de-DE"/>
              </w:rPr>
              <w:t>300</w:t>
            </w:r>
          </w:p>
        </w:tc>
        <w:tc>
          <w:tcPr>
            <w:tcW w:w="8640" w:type="dxa"/>
            <w:tcBorders>
              <w:top w:val="single" w:sz="4" w:space="0" w:color="auto"/>
              <w:left w:val="single" w:sz="4" w:space="0" w:color="auto"/>
              <w:bottom w:val="single" w:sz="4" w:space="0" w:color="auto"/>
              <w:right w:val="single" w:sz="4" w:space="0" w:color="auto"/>
            </w:tcBorders>
            <w:shd w:val="clear" w:color="auto" w:fill="auto"/>
          </w:tcPr>
          <w:p w:rsidR="00FD54FC" w:rsidRPr="00661595" w:rsidRDefault="00FD54FC" w:rsidP="00FD54FC">
            <w:pPr>
              <w:spacing w:before="0" w:after="0"/>
              <w:ind w:left="33"/>
              <w:rPr>
                <w:rFonts w:ascii="Times New Roman" w:hAnsi="Times New Roman"/>
                <w:b/>
                <w:bCs/>
                <w:sz w:val="24"/>
                <w:u w:val="single"/>
                <w:lang w:eastAsia="de-DE"/>
              </w:rPr>
            </w:pPr>
            <w:r w:rsidRPr="00661595">
              <w:rPr>
                <w:rFonts w:ascii="Times New Roman" w:hAnsi="Times New Roman"/>
                <w:b/>
                <w:bCs/>
                <w:sz w:val="24"/>
                <w:u w:val="single"/>
                <w:lang w:eastAsia="de-DE"/>
              </w:rPr>
              <w:t xml:space="preserve">Risk weighted exposure amount </w:t>
            </w:r>
          </w:p>
          <w:p w:rsidR="00FD54FC" w:rsidRPr="00661595" w:rsidRDefault="00FD54FC" w:rsidP="00FD54FC">
            <w:pPr>
              <w:spacing w:before="0" w:after="0"/>
              <w:ind w:left="33"/>
              <w:rPr>
                <w:rFonts w:ascii="Times New Roman" w:hAnsi="Times New Roman"/>
                <w:b/>
                <w:bCs/>
                <w:sz w:val="24"/>
                <w:u w:val="single"/>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 xml:space="preserve">Risk weighted exposure amount for exposures subject to the credit risk framework. </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For exposures under the Standardised Approach</w:t>
            </w:r>
            <w:r w:rsidRPr="00661595" w:rsidDel="009C11E5">
              <w:rPr>
                <w:rFonts w:ascii="Times New Roman" w:hAnsi="Times New Roman"/>
                <w:bCs/>
                <w:sz w:val="24"/>
                <w:lang w:eastAsia="de-DE"/>
              </w:rPr>
              <w:t xml:space="preserve"> </w:t>
            </w:r>
            <w:r w:rsidRPr="00661595">
              <w:rPr>
                <w:rFonts w:ascii="Times New Roman" w:hAnsi="Times New Roman"/>
                <w:bCs/>
                <w:sz w:val="24"/>
                <w:lang w:eastAsia="de-DE"/>
              </w:rPr>
              <w:t>(</w:t>
            </w:r>
            <w:r w:rsidRPr="00661595" w:rsidDel="009C11E5">
              <w:rPr>
                <w:rFonts w:ascii="Times New Roman" w:hAnsi="Times New Roman"/>
                <w:bCs/>
                <w:sz w:val="24"/>
                <w:lang w:eastAsia="de-DE"/>
              </w:rPr>
              <w:t>SA</w:t>
            </w:r>
            <w:r w:rsidRPr="00661595">
              <w:rPr>
                <w:rFonts w:ascii="Times New Roman" w:hAnsi="Times New Roman"/>
                <w:bCs/>
                <w:sz w:val="24"/>
                <w:lang w:eastAsia="de-DE"/>
              </w:rPr>
              <w:t xml:space="preserve">): see </w:t>
            </w:r>
            <w:r w:rsidR="00A92F0D" w:rsidRPr="00661595">
              <w:rPr>
                <w:rFonts w:ascii="Times New Roman" w:hAnsi="Times New Roman"/>
                <w:bCs/>
                <w:sz w:val="24"/>
                <w:lang w:eastAsia="de-DE"/>
              </w:rPr>
              <w:t xml:space="preserve">paragraphs 1 to 5 of </w:t>
            </w:r>
            <w:r w:rsidRPr="00661595">
              <w:rPr>
                <w:rFonts w:ascii="Times New Roman" w:hAnsi="Times New Roman"/>
                <w:bCs/>
                <w:sz w:val="24"/>
                <w:lang w:eastAsia="de-DE"/>
              </w:rPr>
              <w:t xml:space="preserve">Article 113 </w:t>
            </w:r>
            <w:r w:rsidR="00C7103D" w:rsidRPr="00661595">
              <w:rPr>
                <w:rFonts w:ascii="Times New Roman" w:hAnsi="Times New Roman"/>
                <w:bCs/>
                <w:sz w:val="24"/>
                <w:lang w:eastAsia="de-DE"/>
              </w:rPr>
              <w:t>CRR</w:t>
            </w:r>
            <w:r w:rsidRPr="00661595">
              <w:rPr>
                <w:rFonts w:ascii="Times New Roman" w:hAnsi="Times New Roman"/>
                <w:bCs/>
                <w:sz w:val="24"/>
                <w:lang w:eastAsia="de-DE"/>
              </w:rPr>
              <w:t xml:space="preserve">. For exposures under the </w:t>
            </w:r>
            <w:r w:rsidR="008241B9" w:rsidRPr="00661595">
              <w:rPr>
                <w:rFonts w:ascii="Times New Roman" w:hAnsi="Times New Roman"/>
                <w:bCs/>
                <w:sz w:val="24"/>
                <w:lang w:eastAsia="de-DE"/>
              </w:rPr>
              <w:t>IRB Approach</w:t>
            </w:r>
            <w:r w:rsidRPr="00661595">
              <w:rPr>
                <w:rFonts w:ascii="Times New Roman" w:hAnsi="Times New Roman"/>
                <w:bCs/>
                <w:sz w:val="24"/>
                <w:lang w:eastAsia="de-DE"/>
              </w:rPr>
              <w:t xml:space="preserve">: see </w:t>
            </w:r>
            <w:r w:rsidR="00A92F0D" w:rsidRPr="00661595">
              <w:rPr>
                <w:rFonts w:ascii="Times New Roman" w:hAnsi="Times New Roman"/>
                <w:bCs/>
                <w:sz w:val="24"/>
                <w:lang w:eastAsia="de-DE"/>
              </w:rPr>
              <w:t xml:space="preserve">paragraphs 1 and 3 of </w:t>
            </w:r>
            <w:r w:rsidRPr="00661595">
              <w:rPr>
                <w:rFonts w:ascii="Times New Roman" w:hAnsi="Times New Roman"/>
                <w:bCs/>
                <w:sz w:val="24"/>
                <w:lang w:eastAsia="de-DE"/>
              </w:rPr>
              <w:t xml:space="preserve">Article 153 </w:t>
            </w:r>
            <w:r w:rsidR="00C7103D" w:rsidRPr="00661595">
              <w:rPr>
                <w:rFonts w:ascii="Times New Roman" w:hAnsi="Times New Roman"/>
                <w:bCs/>
                <w:sz w:val="24"/>
                <w:lang w:eastAsia="de-DE"/>
              </w:rPr>
              <w:t>CRR</w:t>
            </w:r>
            <w:r w:rsidRPr="00661595">
              <w:rPr>
                <w:rFonts w:ascii="Times New Roman" w:hAnsi="Times New Roman"/>
                <w:bCs/>
                <w:sz w:val="24"/>
                <w:lang w:eastAsia="de-DE"/>
              </w:rPr>
              <w:t>.</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 xml:space="preserve">For the reporting of </w:t>
            </w:r>
            <w:r w:rsidR="00A85E91" w:rsidRPr="00661595">
              <w:rPr>
                <w:rFonts w:ascii="Times New Roman" w:hAnsi="Times New Roman"/>
                <w:bCs/>
                <w:sz w:val="24"/>
                <w:lang w:eastAsia="de-DE"/>
              </w:rPr>
              <w:t>direct exposures within the scope of Article 271 CRR</w:t>
            </w:r>
            <w:r w:rsidRPr="00661595">
              <w:rPr>
                <w:rFonts w:ascii="Times New Roman" w:hAnsi="Times New Roman"/>
                <w:bCs/>
                <w:sz w:val="24"/>
                <w:lang w:eastAsia="de-DE"/>
              </w:rPr>
              <w:t xml:space="preserve"> subject to </w:t>
            </w:r>
            <w:r w:rsidR="009F7C08" w:rsidRPr="00661595">
              <w:rPr>
                <w:rFonts w:ascii="Times New Roman" w:hAnsi="Times New Roman"/>
                <w:bCs/>
                <w:sz w:val="24"/>
                <w:lang w:eastAsia="de-DE"/>
              </w:rPr>
              <w:t xml:space="preserve">own funds requirements for </w:t>
            </w:r>
            <w:r w:rsidRPr="00661595">
              <w:rPr>
                <w:rFonts w:ascii="Times New Roman" w:hAnsi="Times New Roman"/>
                <w:bCs/>
                <w:sz w:val="24"/>
                <w:lang w:eastAsia="de-DE"/>
              </w:rPr>
              <w:t>both counterparty credit risk and market risk</w:t>
            </w:r>
            <w:r w:rsidR="009F7C08" w:rsidRPr="00661595">
              <w:rPr>
                <w:rFonts w:ascii="Times New Roman" w:hAnsi="Times New Roman"/>
                <w:bCs/>
                <w:sz w:val="24"/>
                <w:lang w:eastAsia="de-DE"/>
              </w:rPr>
              <w:t>,</w:t>
            </w:r>
            <w:r w:rsidRPr="00661595">
              <w:rPr>
                <w:rFonts w:ascii="Times New Roman" w:hAnsi="Times New Roman"/>
                <w:bCs/>
                <w:sz w:val="24"/>
                <w:lang w:eastAsia="de-DE"/>
              </w:rPr>
              <w:t xml:space="preserve"> see instructions for the row breakdown.</w:t>
            </w:r>
          </w:p>
          <w:p w:rsidR="00454026" w:rsidRPr="00661595" w:rsidRDefault="00454026" w:rsidP="00FD54FC">
            <w:pPr>
              <w:spacing w:before="0" w:after="0"/>
              <w:ind w:left="33"/>
              <w:rPr>
                <w:rFonts w:ascii="Times New Roman" w:hAnsi="Times New Roman"/>
                <w:bCs/>
                <w:sz w:val="24"/>
                <w:lang w:eastAsia="de-DE"/>
              </w:rPr>
            </w:pPr>
          </w:p>
          <w:p w:rsidR="00FD54FC" w:rsidRPr="00661595" w:rsidRDefault="00454026" w:rsidP="00854146">
            <w:pPr>
              <w:spacing w:before="0" w:after="0"/>
              <w:ind w:left="33"/>
              <w:rPr>
                <w:rFonts w:ascii="Times New Roman" w:hAnsi="Times New Roman"/>
                <w:b/>
                <w:bCs/>
                <w:sz w:val="24"/>
                <w:u w:val="single"/>
                <w:lang w:eastAsia="de-DE"/>
              </w:rPr>
            </w:pPr>
            <w:r w:rsidRPr="00661595">
              <w:rPr>
                <w:rFonts w:ascii="Times New Roman" w:hAnsi="Times New Roman"/>
                <w:bCs/>
                <w:sz w:val="24"/>
                <w:lang w:eastAsia="de-DE"/>
              </w:rPr>
              <w:t xml:space="preserve">The exposures reported in columns 0270 and 0280 </w:t>
            </w:r>
            <w:r w:rsidR="00854146">
              <w:rPr>
                <w:rFonts w:ascii="Times New Roman" w:hAnsi="Times New Roman"/>
                <w:bCs/>
                <w:sz w:val="24"/>
                <w:lang w:eastAsia="de-DE"/>
              </w:rPr>
              <w:t xml:space="preserve">shall </w:t>
            </w:r>
            <w:r w:rsidRPr="00661595">
              <w:rPr>
                <w:rFonts w:ascii="Times New Roman" w:hAnsi="Times New Roman"/>
                <w:bCs/>
                <w:sz w:val="24"/>
                <w:lang w:eastAsia="de-DE"/>
              </w:rPr>
              <w:t xml:space="preserve">not be considered for the purposes of this column, as the value in this column is based solely on direct exposures. </w:t>
            </w:r>
          </w:p>
        </w:tc>
      </w:tr>
    </w:tbl>
    <w:p w:rsidR="00FD54FC" w:rsidRPr="00661595" w:rsidRDefault="00FD54FC" w:rsidP="00FD54FC">
      <w:pPr>
        <w:spacing w:before="0" w:after="0"/>
        <w:ind w:left="33"/>
        <w:rPr>
          <w:rFonts w:ascii="Times New Roman" w:hAnsi="Times New Roman"/>
          <w:bCs/>
          <w:sz w:val="24"/>
          <w:lang w:eastAsia="de-DE"/>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8701"/>
      </w:tblGrid>
      <w:tr w:rsidR="00FD54FC" w:rsidRPr="00661595" w:rsidTr="00672D2A">
        <w:tc>
          <w:tcPr>
            <w:tcW w:w="1188" w:type="dxa"/>
            <w:shd w:val="clear" w:color="auto" w:fill="CCCCCC"/>
          </w:tcPr>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Rows</w:t>
            </w:r>
          </w:p>
        </w:tc>
        <w:tc>
          <w:tcPr>
            <w:tcW w:w="8701" w:type="dxa"/>
            <w:shd w:val="clear" w:color="auto" w:fill="CCCCCC"/>
          </w:tcPr>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Instructions</w:t>
            </w:r>
          </w:p>
        </w:tc>
      </w:tr>
      <w:tr w:rsidR="00FD54FC" w:rsidRPr="00661595" w:rsidTr="00672D2A">
        <w:tc>
          <w:tcPr>
            <w:tcW w:w="9889" w:type="dxa"/>
            <w:gridSpan w:val="2"/>
          </w:tcPr>
          <w:p w:rsidR="00FD54FC" w:rsidRPr="00661595" w:rsidRDefault="00FD54FC" w:rsidP="00FD54FC">
            <w:pPr>
              <w:spacing w:before="0" w:after="0"/>
              <w:ind w:left="33"/>
              <w:rPr>
                <w:rFonts w:ascii="Times New Roman" w:hAnsi="Times New Roman"/>
                <w:b/>
                <w:bCs/>
                <w:sz w:val="24"/>
                <w:u w:val="single"/>
                <w:lang w:eastAsia="de-DE"/>
              </w:rPr>
            </w:pPr>
            <w:r w:rsidRPr="00661595">
              <w:rPr>
                <w:rFonts w:ascii="Times New Roman" w:hAnsi="Times New Roman"/>
                <w:b/>
                <w:bCs/>
                <w:sz w:val="24"/>
                <w:u w:val="single"/>
                <w:lang w:eastAsia="de-DE"/>
              </w:rPr>
              <w:t>BREAKDOWN OF EXPOSURES BY REGULATORY APPROACH</w:t>
            </w:r>
          </w:p>
          <w:p w:rsidR="00FD54FC" w:rsidRPr="00661595" w:rsidRDefault="00FD54FC" w:rsidP="00FD54FC">
            <w:pPr>
              <w:spacing w:before="0" w:after="0"/>
              <w:ind w:left="33"/>
              <w:rPr>
                <w:rFonts w:ascii="Times New Roman" w:hAnsi="Times New Roman"/>
                <w:bCs/>
                <w:sz w:val="24"/>
                <w:lang w:eastAsia="de-DE"/>
              </w:rPr>
            </w:pPr>
          </w:p>
        </w:tc>
      </w:tr>
      <w:tr w:rsidR="00FD54FC" w:rsidRPr="00661595" w:rsidTr="00672D2A">
        <w:tc>
          <w:tcPr>
            <w:tcW w:w="1188" w:type="dxa"/>
            <w:shd w:val="clear" w:color="auto" w:fill="auto"/>
          </w:tcPr>
          <w:p w:rsidR="00FD54FC" w:rsidRPr="00661595" w:rsidRDefault="00535792"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0</w:t>
            </w:r>
            <w:r w:rsidR="00FD54FC" w:rsidRPr="00661595">
              <w:rPr>
                <w:rFonts w:ascii="Times New Roman" w:hAnsi="Times New Roman"/>
                <w:bCs/>
                <w:sz w:val="24"/>
                <w:lang w:eastAsia="de-DE"/>
              </w:rPr>
              <w:t>010</w:t>
            </w:r>
          </w:p>
        </w:tc>
        <w:tc>
          <w:tcPr>
            <w:tcW w:w="8701" w:type="dxa"/>
            <w:shd w:val="clear" w:color="auto" w:fill="auto"/>
          </w:tcPr>
          <w:p w:rsidR="00FD54FC" w:rsidRPr="00661595" w:rsidRDefault="00FD54FC" w:rsidP="00FD54FC">
            <w:pPr>
              <w:spacing w:before="0" w:after="0"/>
              <w:ind w:left="33"/>
              <w:rPr>
                <w:rFonts w:ascii="Times New Roman" w:hAnsi="Times New Roman"/>
                <w:b/>
                <w:bCs/>
                <w:sz w:val="24"/>
                <w:u w:val="single"/>
                <w:lang w:eastAsia="de-DE"/>
              </w:rPr>
            </w:pPr>
            <w:r w:rsidRPr="00661595">
              <w:rPr>
                <w:rFonts w:ascii="Times New Roman" w:hAnsi="Times New Roman"/>
                <w:b/>
                <w:bCs/>
                <w:sz w:val="24"/>
                <w:u w:val="single"/>
                <w:lang w:eastAsia="de-DE"/>
              </w:rPr>
              <w:t>Total exposures</w:t>
            </w:r>
          </w:p>
          <w:p w:rsidR="00FD54FC" w:rsidRPr="00661595" w:rsidRDefault="00FD54FC" w:rsidP="00FD54FC">
            <w:pPr>
              <w:spacing w:before="0" w:after="0"/>
              <w:ind w:left="33"/>
              <w:rPr>
                <w:rFonts w:ascii="Times New Roman" w:hAnsi="Times New Roman"/>
                <w:b/>
                <w:bCs/>
                <w:sz w:val="24"/>
                <w:u w:val="single"/>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Aggregate of exposures to General governments, as defined in paragraph</w:t>
            </w:r>
            <w:r w:rsidR="00FD38B8" w:rsidRPr="00661595">
              <w:rPr>
                <w:rFonts w:ascii="Times New Roman" w:hAnsi="Times New Roman"/>
                <w:bCs/>
                <w:sz w:val="24"/>
                <w:lang w:eastAsia="de-DE"/>
              </w:rPr>
              <w:t>s 155 to 160</w:t>
            </w:r>
            <w:r w:rsidR="00127986" w:rsidRPr="00661595">
              <w:rPr>
                <w:rFonts w:ascii="Times New Roman" w:hAnsi="Times New Roman"/>
                <w:bCs/>
                <w:sz w:val="24"/>
                <w:lang w:eastAsia="de-DE"/>
              </w:rPr>
              <w:t xml:space="preserve"> of this Annex</w:t>
            </w:r>
            <w:r w:rsidR="00A92F0D" w:rsidRPr="00661595">
              <w:rPr>
                <w:rFonts w:ascii="Times New Roman" w:hAnsi="Times New Roman"/>
                <w:bCs/>
                <w:sz w:val="24"/>
                <w:lang w:eastAsia="de-DE"/>
              </w:rPr>
              <w:t>.</w:t>
            </w:r>
          </w:p>
          <w:p w:rsidR="00FD54FC" w:rsidRPr="00661595" w:rsidRDefault="00FD54FC" w:rsidP="00FD54FC">
            <w:pPr>
              <w:spacing w:before="0" w:after="0"/>
              <w:ind w:left="33"/>
              <w:rPr>
                <w:rFonts w:ascii="Times New Roman" w:hAnsi="Times New Roman"/>
                <w:b/>
                <w:bCs/>
                <w:sz w:val="24"/>
                <w:u w:val="single"/>
                <w:lang w:eastAsia="de-DE"/>
              </w:rPr>
            </w:pPr>
          </w:p>
        </w:tc>
      </w:tr>
      <w:tr w:rsidR="00FD54FC" w:rsidRPr="00661595" w:rsidTr="00672D2A">
        <w:tc>
          <w:tcPr>
            <w:tcW w:w="1188" w:type="dxa"/>
          </w:tcPr>
          <w:p w:rsidR="00FD54FC" w:rsidRPr="00661595" w:rsidRDefault="00535792" w:rsidP="00A85E91">
            <w:pPr>
              <w:spacing w:before="0" w:after="0"/>
              <w:ind w:left="33"/>
              <w:rPr>
                <w:rFonts w:ascii="Times New Roman" w:hAnsi="Times New Roman"/>
                <w:bCs/>
                <w:sz w:val="24"/>
                <w:lang w:eastAsia="de-DE"/>
              </w:rPr>
            </w:pPr>
            <w:r w:rsidRPr="00661595">
              <w:rPr>
                <w:rFonts w:ascii="Times New Roman" w:hAnsi="Times New Roman"/>
                <w:bCs/>
                <w:sz w:val="24"/>
                <w:lang w:eastAsia="de-DE"/>
              </w:rPr>
              <w:t>0</w:t>
            </w:r>
            <w:r w:rsidR="00FD54FC" w:rsidRPr="00661595">
              <w:rPr>
                <w:rFonts w:ascii="Times New Roman" w:hAnsi="Times New Roman"/>
                <w:bCs/>
                <w:sz w:val="24"/>
                <w:lang w:eastAsia="de-DE"/>
              </w:rPr>
              <w:t>020-</w:t>
            </w:r>
            <w:r w:rsidRPr="00661595">
              <w:rPr>
                <w:rFonts w:ascii="Times New Roman" w:hAnsi="Times New Roman"/>
                <w:bCs/>
                <w:sz w:val="24"/>
                <w:lang w:eastAsia="de-DE"/>
              </w:rPr>
              <w:t>0</w:t>
            </w:r>
            <w:r w:rsidR="00FD54FC" w:rsidRPr="00661595">
              <w:rPr>
                <w:rFonts w:ascii="Times New Roman" w:hAnsi="Times New Roman"/>
                <w:bCs/>
                <w:sz w:val="24"/>
                <w:lang w:eastAsia="de-DE"/>
              </w:rPr>
              <w:t>15</w:t>
            </w:r>
            <w:r w:rsidR="00A85E91" w:rsidRPr="00661595">
              <w:rPr>
                <w:rFonts w:ascii="Times New Roman" w:hAnsi="Times New Roman"/>
                <w:bCs/>
                <w:sz w:val="24"/>
                <w:lang w:eastAsia="de-DE"/>
              </w:rPr>
              <w:t>5</w:t>
            </w:r>
          </w:p>
        </w:tc>
        <w:tc>
          <w:tcPr>
            <w:tcW w:w="8701" w:type="dxa"/>
          </w:tcPr>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
                <w:bCs/>
                <w:sz w:val="24"/>
                <w:u w:val="single"/>
                <w:lang w:eastAsia="de-DE"/>
              </w:rPr>
              <w:t>Exposures under the credit risk framework</w:t>
            </w:r>
          </w:p>
          <w:p w:rsidR="00FD54FC" w:rsidRPr="00661595" w:rsidRDefault="00FD54FC" w:rsidP="00542EAE">
            <w:pPr>
              <w:spacing w:before="0" w:after="0"/>
              <w:ind w:left="33"/>
              <w:rPr>
                <w:rFonts w:ascii="Times New Roman" w:hAnsi="Times New Roman"/>
                <w:bCs/>
                <w:sz w:val="24"/>
                <w:lang w:eastAsia="de-DE"/>
              </w:rPr>
            </w:pPr>
          </w:p>
          <w:p w:rsidR="00542EAE" w:rsidRPr="00661595" w:rsidRDefault="00FD54FC" w:rsidP="009068C9">
            <w:pPr>
              <w:spacing w:before="0" w:after="0"/>
              <w:ind w:left="33"/>
              <w:rPr>
                <w:rFonts w:ascii="Times New Roman" w:hAnsi="Times New Roman"/>
                <w:bCs/>
                <w:sz w:val="24"/>
                <w:lang w:eastAsia="de-DE"/>
              </w:rPr>
            </w:pPr>
            <w:r w:rsidRPr="00661595">
              <w:rPr>
                <w:rFonts w:ascii="Times New Roman" w:hAnsi="Times New Roman"/>
                <w:bCs/>
                <w:sz w:val="24"/>
                <w:lang w:eastAsia="de-DE"/>
              </w:rPr>
              <w:t xml:space="preserve">Aggregate of exposures to </w:t>
            </w:r>
            <w:r w:rsidRPr="00661595">
              <w:rPr>
                <w:rFonts w:ascii="Times New Roman" w:hAnsi="Times New Roman"/>
                <w:sz w:val="24"/>
                <w:lang w:eastAsia="de-DE"/>
              </w:rPr>
              <w:t>General governments</w:t>
            </w:r>
            <w:r w:rsidRPr="00661595">
              <w:rPr>
                <w:rFonts w:ascii="Times New Roman" w:hAnsi="Times New Roman"/>
                <w:bCs/>
                <w:sz w:val="24"/>
                <w:lang w:eastAsia="de-DE"/>
              </w:rPr>
              <w:t xml:space="preserve"> that shall be risk-weighted in accordance with </w:t>
            </w:r>
            <w:r w:rsidR="00A92F0D" w:rsidRPr="00661595">
              <w:rPr>
                <w:rFonts w:ascii="Times New Roman" w:hAnsi="Times New Roman"/>
                <w:bCs/>
                <w:sz w:val="24"/>
                <w:lang w:eastAsia="de-DE"/>
              </w:rPr>
              <w:t xml:space="preserve">Title II of </w:t>
            </w:r>
            <w:r w:rsidRPr="00661595">
              <w:rPr>
                <w:rFonts w:ascii="Times New Roman" w:hAnsi="Times New Roman"/>
                <w:bCs/>
                <w:sz w:val="24"/>
                <w:lang w:eastAsia="de-DE"/>
              </w:rPr>
              <w:t xml:space="preserve">Part Three CRR. Exposures under the credit risk framework include exposures from </w:t>
            </w:r>
            <w:r w:rsidR="00542EAE" w:rsidRPr="00661595">
              <w:rPr>
                <w:rFonts w:ascii="Times New Roman" w:hAnsi="Times New Roman"/>
                <w:bCs/>
                <w:sz w:val="24"/>
                <w:lang w:eastAsia="de-DE"/>
              </w:rPr>
              <w:t xml:space="preserve">both </w:t>
            </w:r>
            <w:r w:rsidRPr="00661595">
              <w:rPr>
                <w:rFonts w:ascii="Times New Roman" w:hAnsi="Times New Roman"/>
                <w:bCs/>
                <w:sz w:val="24"/>
                <w:lang w:eastAsia="de-DE"/>
              </w:rPr>
              <w:t>the non-trading book</w:t>
            </w:r>
            <w:r w:rsidR="00542EAE" w:rsidRPr="00661595">
              <w:rPr>
                <w:rFonts w:ascii="Times New Roman" w:hAnsi="Times New Roman"/>
                <w:bCs/>
                <w:sz w:val="24"/>
                <w:lang w:eastAsia="de-DE"/>
              </w:rPr>
              <w:t xml:space="preserve"> and </w:t>
            </w:r>
            <w:r w:rsidR="00CB256D" w:rsidRPr="00661595">
              <w:rPr>
                <w:rFonts w:ascii="Times New Roman" w:hAnsi="Times New Roman"/>
                <w:bCs/>
                <w:sz w:val="24"/>
                <w:lang w:eastAsia="de-DE"/>
              </w:rPr>
              <w:t xml:space="preserve">the </w:t>
            </w:r>
            <w:r w:rsidR="00542EAE" w:rsidRPr="00661595">
              <w:rPr>
                <w:rFonts w:ascii="Times New Roman" w:hAnsi="Times New Roman"/>
                <w:bCs/>
                <w:sz w:val="24"/>
                <w:lang w:eastAsia="de-DE"/>
              </w:rPr>
              <w:t>trading book</w:t>
            </w:r>
            <w:r w:rsidRPr="00661595">
              <w:rPr>
                <w:rFonts w:ascii="Times New Roman" w:hAnsi="Times New Roman"/>
                <w:bCs/>
                <w:sz w:val="24"/>
                <w:lang w:eastAsia="de-DE"/>
              </w:rPr>
              <w:t xml:space="preserve"> subject to a capital charge for counterparty credit risk.</w:t>
            </w:r>
            <w:r w:rsidR="00730040" w:rsidRPr="00661595">
              <w:rPr>
                <w:rFonts w:ascii="Times New Roman" w:hAnsi="Times New Roman"/>
                <w:bCs/>
                <w:sz w:val="24"/>
                <w:lang w:eastAsia="de-DE"/>
              </w:rPr>
              <w:t xml:space="preserve"> </w:t>
            </w:r>
          </w:p>
          <w:p w:rsidR="00FD54FC" w:rsidRPr="00661595" w:rsidRDefault="00FD54FC" w:rsidP="009068C9">
            <w:pPr>
              <w:spacing w:before="0" w:after="0"/>
              <w:ind w:left="33"/>
              <w:rPr>
                <w:rFonts w:ascii="Times New Roman" w:hAnsi="Times New Roman"/>
                <w:bCs/>
                <w:sz w:val="24"/>
                <w:lang w:eastAsia="de-DE"/>
              </w:rPr>
            </w:pPr>
          </w:p>
          <w:p w:rsidR="00542EAE" w:rsidRPr="00661595" w:rsidRDefault="00FD54FC" w:rsidP="009068C9">
            <w:pPr>
              <w:spacing w:before="0" w:after="0"/>
              <w:ind w:left="33"/>
              <w:rPr>
                <w:rFonts w:ascii="Times New Roman" w:hAnsi="Times New Roman"/>
                <w:bCs/>
                <w:sz w:val="24"/>
                <w:lang w:eastAsia="de-DE"/>
              </w:rPr>
            </w:pPr>
            <w:r w:rsidRPr="00661595">
              <w:rPr>
                <w:rFonts w:ascii="Times New Roman" w:hAnsi="Times New Roman"/>
                <w:bCs/>
                <w:sz w:val="24"/>
                <w:lang w:eastAsia="de-DE"/>
              </w:rPr>
              <w:t xml:space="preserve">Direct exposures </w:t>
            </w:r>
            <w:r w:rsidR="00542EAE" w:rsidRPr="00661595">
              <w:rPr>
                <w:rFonts w:ascii="Times New Roman" w:hAnsi="Times New Roman"/>
                <w:bCs/>
                <w:sz w:val="24"/>
                <w:lang w:eastAsia="de-DE"/>
              </w:rPr>
              <w:t>within the scope of Article 271 CRR</w:t>
            </w:r>
            <w:r w:rsidRPr="00661595">
              <w:rPr>
                <w:rFonts w:ascii="Times New Roman" w:hAnsi="Times New Roman"/>
                <w:bCs/>
                <w:sz w:val="24"/>
                <w:lang w:eastAsia="de-DE"/>
              </w:rPr>
              <w:t xml:space="preserve"> subject to</w:t>
            </w:r>
            <w:r w:rsidR="00542EAE" w:rsidRPr="00661595">
              <w:rPr>
                <w:rFonts w:ascii="Times New Roman" w:hAnsi="Times New Roman"/>
                <w:bCs/>
                <w:sz w:val="24"/>
                <w:lang w:eastAsia="de-DE"/>
              </w:rPr>
              <w:t xml:space="preserve"> own funds requirements for</w:t>
            </w:r>
            <w:r w:rsidRPr="00661595">
              <w:rPr>
                <w:rFonts w:ascii="Times New Roman" w:hAnsi="Times New Roman"/>
                <w:bCs/>
                <w:sz w:val="24"/>
                <w:lang w:eastAsia="de-DE"/>
              </w:rPr>
              <w:t xml:space="preserve"> both counterparty credit risk and market risk </w:t>
            </w:r>
            <w:r w:rsidR="00542EAE" w:rsidRPr="00661595">
              <w:rPr>
                <w:rFonts w:ascii="Times New Roman" w:hAnsi="Times New Roman"/>
                <w:bCs/>
                <w:sz w:val="24"/>
                <w:lang w:eastAsia="de-DE"/>
              </w:rPr>
              <w:t>shall</w:t>
            </w:r>
            <w:r w:rsidRPr="00661595">
              <w:rPr>
                <w:rFonts w:ascii="Times New Roman" w:hAnsi="Times New Roman"/>
                <w:bCs/>
                <w:sz w:val="24"/>
                <w:lang w:eastAsia="de-DE"/>
              </w:rPr>
              <w:t xml:space="preserve"> be reported both in the credit risk rows (</w:t>
            </w:r>
            <w:r w:rsidR="00535792" w:rsidRPr="00661595">
              <w:rPr>
                <w:rFonts w:ascii="Times New Roman" w:hAnsi="Times New Roman"/>
                <w:bCs/>
                <w:sz w:val="24"/>
                <w:lang w:eastAsia="de-DE"/>
              </w:rPr>
              <w:t>0</w:t>
            </w:r>
            <w:r w:rsidRPr="00661595">
              <w:rPr>
                <w:rFonts w:ascii="Times New Roman" w:hAnsi="Times New Roman"/>
                <w:bCs/>
                <w:sz w:val="24"/>
                <w:lang w:eastAsia="de-DE"/>
              </w:rPr>
              <w:t xml:space="preserve">020 to </w:t>
            </w:r>
            <w:r w:rsidR="00535792" w:rsidRPr="00661595">
              <w:rPr>
                <w:rFonts w:ascii="Times New Roman" w:hAnsi="Times New Roman"/>
                <w:bCs/>
                <w:sz w:val="24"/>
                <w:lang w:eastAsia="de-DE"/>
              </w:rPr>
              <w:t>0</w:t>
            </w:r>
            <w:r w:rsidRPr="00661595">
              <w:rPr>
                <w:rFonts w:ascii="Times New Roman" w:hAnsi="Times New Roman"/>
                <w:bCs/>
                <w:sz w:val="24"/>
                <w:lang w:eastAsia="de-DE"/>
              </w:rPr>
              <w:t>15</w:t>
            </w:r>
            <w:r w:rsidR="00257FBC" w:rsidRPr="00661595">
              <w:rPr>
                <w:rFonts w:ascii="Times New Roman" w:hAnsi="Times New Roman"/>
                <w:bCs/>
                <w:sz w:val="24"/>
                <w:lang w:eastAsia="de-DE"/>
              </w:rPr>
              <w:t>5</w:t>
            </w:r>
            <w:r w:rsidRPr="00661595">
              <w:rPr>
                <w:rFonts w:ascii="Times New Roman" w:hAnsi="Times New Roman"/>
                <w:bCs/>
                <w:sz w:val="24"/>
                <w:lang w:eastAsia="de-DE"/>
              </w:rPr>
              <w:t xml:space="preserve">) and the market risk row (row </w:t>
            </w:r>
            <w:r w:rsidR="00535792" w:rsidRPr="00661595">
              <w:rPr>
                <w:rFonts w:ascii="Times New Roman" w:hAnsi="Times New Roman"/>
                <w:bCs/>
                <w:sz w:val="24"/>
                <w:lang w:eastAsia="de-DE"/>
              </w:rPr>
              <w:t>0</w:t>
            </w:r>
            <w:r w:rsidRPr="00661595">
              <w:rPr>
                <w:rFonts w:ascii="Times New Roman" w:hAnsi="Times New Roman"/>
                <w:bCs/>
                <w:sz w:val="24"/>
                <w:lang w:eastAsia="de-DE"/>
              </w:rPr>
              <w:t>160)</w:t>
            </w:r>
            <w:r w:rsidR="00542EAE" w:rsidRPr="00661595">
              <w:rPr>
                <w:rFonts w:ascii="Times New Roman" w:hAnsi="Times New Roman"/>
                <w:bCs/>
                <w:sz w:val="24"/>
                <w:lang w:eastAsia="de-DE"/>
              </w:rPr>
              <w:t>: the</w:t>
            </w:r>
            <w:r w:rsidRPr="00661595">
              <w:rPr>
                <w:rFonts w:ascii="Times New Roman" w:hAnsi="Times New Roman"/>
                <w:bCs/>
                <w:sz w:val="24"/>
                <w:lang w:eastAsia="de-DE"/>
              </w:rPr>
              <w:t xml:space="preserve"> exposure</w:t>
            </w:r>
            <w:r w:rsidR="001A531E" w:rsidRPr="00661595">
              <w:rPr>
                <w:rFonts w:ascii="Times New Roman" w:hAnsi="Times New Roman"/>
                <w:bCs/>
                <w:sz w:val="24"/>
                <w:lang w:eastAsia="de-DE"/>
              </w:rPr>
              <w:t>s</w:t>
            </w:r>
            <w:r w:rsidR="009F7C08" w:rsidRPr="00661595">
              <w:rPr>
                <w:rFonts w:ascii="Times New Roman" w:hAnsi="Times New Roman"/>
                <w:bCs/>
                <w:sz w:val="24"/>
                <w:lang w:eastAsia="de-DE"/>
              </w:rPr>
              <w:t xml:space="preserve"> </w:t>
            </w:r>
            <w:r w:rsidRPr="00661595">
              <w:rPr>
                <w:rFonts w:ascii="Times New Roman" w:hAnsi="Times New Roman"/>
                <w:bCs/>
                <w:sz w:val="24"/>
                <w:lang w:eastAsia="de-DE"/>
              </w:rPr>
              <w:t xml:space="preserve">due to counterparty credit risk </w:t>
            </w:r>
            <w:r w:rsidR="00542EAE" w:rsidRPr="00661595">
              <w:rPr>
                <w:rFonts w:ascii="Times New Roman" w:hAnsi="Times New Roman"/>
                <w:bCs/>
                <w:sz w:val="24"/>
                <w:lang w:eastAsia="de-DE"/>
              </w:rPr>
              <w:t xml:space="preserve">shall </w:t>
            </w:r>
            <w:r w:rsidRPr="00661595">
              <w:rPr>
                <w:rFonts w:ascii="Times New Roman" w:hAnsi="Times New Roman"/>
                <w:bCs/>
                <w:sz w:val="24"/>
                <w:lang w:eastAsia="de-DE"/>
              </w:rPr>
              <w:t>be reported in the credit risk rows, while the exposure</w:t>
            </w:r>
            <w:r w:rsidR="001A531E" w:rsidRPr="00661595">
              <w:rPr>
                <w:rFonts w:ascii="Times New Roman" w:hAnsi="Times New Roman"/>
                <w:bCs/>
                <w:sz w:val="24"/>
                <w:lang w:eastAsia="de-DE"/>
              </w:rPr>
              <w:t>s</w:t>
            </w:r>
            <w:r w:rsidR="009F7C08" w:rsidRPr="00661595">
              <w:rPr>
                <w:rFonts w:ascii="Times New Roman" w:hAnsi="Times New Roman"/>
                <w:bCs/>
                <w:sz w:val="24"/>
                <w:lang w:eastAsia="de-DE"/>
              </w:rPr>
              <w:t xml:space="preserve"> </w:t>
            </w:r>
            <w:r w:rsidRPr="00661595">
              <w:rPr>
                <w:rFonts w:ascii="Times New Roman" w:hAnsi="Times New Roman"/>
                <w:bCs/>
                <w:sz w:val="24"/>
                <w:lang w:eastAsia="de-DE"/>
              </w:rPr>
              <w:t xml:space="preserve">due to market risk </w:t>
            </w:r>
            <w:r w:rsidR="00542EAE" w:rsidRPr="00661595">
              <w:rPr>
                <w:rFonts w:ascii="Times New Roman" w:hAnsi="Times New Roman"/>
                <w:bCs/>
                <w:sz w:val="24"/>
                <w:lang w:eastAsia="de-DE"/>
              </w:rPr>
              <w:t>shall</w:t>
            </w:r>
            <w:r w:rsidRPr="00661595">
              <w:rPr>
                <w:rFonts w:ascii="Times New Roman" w:hAnsi="Times New Roman"/>
                <w:bCs/>
                <w:sz w:val="24"/>
                <w:lang w:eastAsia="de-DE"/>
              </w:rPr>
              <w:t xml:space="preserve"> be reported in the market risk row.</w:t>
            </w:r>
          </w:p>
          <w:p w:rsidR="00542EAE" w:rsidRPr="00661595" w:rsidRDefault="00542EAE" w:rsidP="009068C9">
            <w:pPr>
              <w:spacing w:before="0" w:after="0"/>
              <w:ind w:left="33"/>
              <w:rPr>
                <w:rFonts w:ascii="Times New Roman" w:hAnsi="Times New Roman"/>
                <w:bCs/>
                <w:sz w:val="24"/>
                <w:lang w:eastAsia="de-DE"/>
              </w:rPr>
            </w:pPr>
          </w:p>
        </w:tc>
      </w:tr>
      <w:tr w:rsidR="00FD54FC" w:rsidRPr="00661595" w:rsidTr="00672D2A">
        <w:tc>
          <w:tcPr>
            <w:tcW w:w="1188" w:type="dxa"/>
          </w:tcPr>
          <w:p w:rsidR="00FD54FC" w:rsidRPr="00661595" w:rsidRDefault="00535792"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0</w:t>
            </w:r>
            <w:r w:rsidR="00FD54FC" w:rsidRPr="00661595">
              <w:rPr>
                <w:rFonts w:ascii="Times New Roman" w:hAnsi="Times New Roman"/>
                <w:bCs/>
                <w:sz w:val="24"/>
                <w:lang w:eastAsia="de-DE"/>
              </w:rPr>
              <w:t>030</w:t>
            </w:r>
          </w:p>
        </w:tc>
        <w:tc>
          <w:tcPr>
            <w:tcW w:w="8701" w:type="dxa"/>
          </w:tcPr>
          <w:p w:rsidR="00FD54FC" w:rsidRPr="00661595" w:rsidRDefault="00FD54FC" w:rsidP="00FD54FC">
            <w:pPr>
              <w:spacing w:before="0" w:after="0"/>
              <w:ind w:left="33"/>
              <w:rPr>
                <w:rFonts w:ascii="Times New Roman" w:hAnsi="Times New Roman"/>
                <w:b/>
                <w:bCs/>
                <w:sz w:val="24"/>
                <w:u w:val="single"/>
                <w:lang w:eastAsia="de-DE"/>
              </w:rPr>
            </w:pPr>
            <w:r w:rsidRPr="00661595">
              <w:rPr>
                <w:rFonts w:ascii="Times New Roman" w:hAnsi="Times New Roman"/>
                <w:b/>
                <w:bCs/>
                <w:sz w:val="24"/>
                <w:u w:val="single"/>
                <w:lang w:eastAsia="de-DE"/>
              </w:rPr>
              <w:t>Standardised Approach</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 xml:space="preserve">Exposures to General governments that shall be risk-weighted in accordance with </w:t>
            </w:r>
            <w:r w:rsidR="00306163" w:rsidRPr="00661595">
              <w:rPr>
                <w:rFonts w:ascii="Times New Roman" w:hAnsi="Times New Roman"/>
                <w:bCs/>
                <w:sz w:val="24"/>
                <w:lang w:eastAsia="de-DE"/>
              </w:rPr>
              <w:t xml:space="preserve">Chapter 2 of Title II of </w:t>
            </w:r>
            <w:r w:rsidRPr="00661595">
              <w:rPr>
                <w:rFonts w:ascii="Times New Roman" w:hAnsi="Times New Roman"/>
                <w:bCs/>
                <w:sz w:val="24"/>
                <w:lang w:eastAsia="de-DE"/>
              </w:rPr>
              <w:t>Part Three</w:t>
            </w:r>
            <w:r w:rsidR="00306163" w:rsidRPr="00661595">
              <w:rPr>
                <w:rFonts w:ascii="Times New Roman" w:hAnsi="Times New Roman"/>
                <w:bCs/>
                <w:sz w:val="24"/>
                <w:lang w:eastAsia="de-DE"/>
              </w:rPr>
              <w:t xml:space="preserve"> </w:t>
            </w:r>
            <w:r w:rsidRPr="00661595">
              <w:rPr>
                <w:rFonts w:ascii="Times New Roman" w:hAnsi="Times New Roman"/>
                <w:bCs/>
                <w:sz w:val="24"/>
                <w:lang w:eastAsia="de-DE"/>
              </w:rPr>
              <w:t>CRR, including exposures from the non-trading book for which the risk-weighting in accordance with that Chapter addresses counterparty credit risk.</w:t>
            </w:r>
          </w:p>
          <w:p w:rsidR="00FD54FC" w:rsidRPr="00661595" w:rsidRDefault="00FD54FC" w:rsidP="00FD54FC">
            <w:pPr>
              <w:spacing w:before="0" w:after="0"/>
              <w:ind w:left="33"/>
              <w:rPr>
                <w:rFonts w:ascii="Times New Roman" w:hAnsi="Times New Roman"/>
                <w:bCs/>
                <w:sz w:val="24"/>
                <w:lang w:eastAsia="de-DE"/>
              </w:rPr>
            </w:pPr>
          </w:p>
        </w:tc>
      </w:tr>
      <w:tr w:rsidR="00FD54FC" w:rsidRPr="00661595" w:rsidTr="00672D2A">
        <w:tc>
          <w:tcPr>
            <w:tcW w:w="1188" w:type="dxa"/>
          </w:tcPr>
          <w:p w:rsidR="00FD54FC" w:rsidRPr="00661595" w:rsidRDefault="00535792"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0</w:t>
            </w:r>
            <w:r w:rsidR="00FD54FC" w:rsidRPr="00661595">
              <w:rPr>
                <w:rFonts w:ascii="Times New Roman" w:hAnsi="Times New Roman"/>
                <w:bCs/>
                <w:sz w:val="24"/>
                <w:lang w:eastAsia="de-DE"/>
              </w:rPr>
              <w:t>040</w:t>
            </w:r>
          </w:p>
        </w:tc>
        <w:tc>
          <w:tcPr>
            <w:tcW w:w="8701" w:type="dxa"/>
          </w:tcPr>
          <w:p w:rsidR="00FD54FC" w:rsidRPr="00661595" w:rsidRDefault="00FD54FC" w:rsidP="00FD54FC">
            <w:pPr>
              <w:spacing w:before="0" w:after="0"/>
              <w:ind w:left="33"/>
              <w:rPr>
                <w:rFonts w:ascii="Times New Roman" w:hAnsi="Times New Roman"/>
                <w:b/>
                <w:bCs/>
                <w:sz w:val="24"/>
                <w:u w:val="single"/>
                <w:lang w:eastAsia="de-DE"/>
              </w:rPr>
            </w:pPr>
            <w:r w:rsidRPr="00661595">
              <w:rPr>
                <w:rFonts w:ascii="Times New Roman" w:hAnsi="Times New Roman"/>
                <w:b/>
                <w:bCs/>
                <w:sz w:val="24"/>
                <w:u w:val="single"/>
                <w:lang w:eastAsia="de-DE"/>
              </w:rPr>
              <w:t>Central governments</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Exposures to General governments that are central governments. These exposures are allocated to the “Central governments or central banks” exposure class in accordance with Article</w:t>
            </w:r>
            <w:r w:rsidR="006E5D07" w:rsidRPr="00661595">
              <w:rPr>
                <w:rFonts w:ascii="Times New Roman" w:hAnsi="Times New Roman"/>
                <w:bCs/>
                <w:sz w:val="24"/>
                <w:lang w:eastAsia="de-DE"/>
              </w:rPr>
              <w:t>s</w:t>
            </w:r>
            <w:r w:rsidRPr="00661595">
              <w:rPr>
                <w:rFonts w:ascii="Times New Roman" w:hAnsi="Times New Roman"/>
                <w:bCs/>
                <w:sz w:val="24"/>
                <w:lang w:eastAsia="de-DE"/>
              </w:rPr>
              <w:t xml:space="preserve"> 112 and 114</w:t>
            </w:r>
            <w:r w:rsidR="006E5D07" w:rsidRPr="00661595">
              <w:rPr>
                <w:rFonts w:ascii="Times New Roman" w:hAnsi="Times New Roman"/>
                <w:bCs/>
                <w:sz w:val="24"/>
                <w:lang w:eastAsia="de-DE"/>
              </w:rPr>
              <w:t xml:space="preserve"> CRR</w:t>
            </w:r>
            <w:r w:rsidRPr="00661595">
              <w:rPr>
                <w:rFonts w:ascii="Times New Roman" w:hAnsi="Times New Roman"/>
                <w:bCs/>
                <w:sz w:val="24"/>
                <w:lang w:eastAsia="de-DE"/>
              </w:rPr>
              <w:t>, as specified by the instructions for template C</w:t>
            </w:r>
            <w:r w:rsidR="006E5D07" w:rsidRPr="00661595">
              <w:rPr>
                <w:rFonts w:ascii="Times New Roman" w:hAnsi="Times New Roman"/>
                <w:bCs/>
                <w:sz w:val="24"/>
                <w:lang w:eastAsia="de-DE"/>
              </w:rPr>
              <w:t xml:space="preserve"> </w:t>
            </w:r>
            <w:r w:rsidRPr="00661595">
              <w:rPr>
                <w:rFonts w:ascii="Times New Roman" w:hAnsi="Times New Roman"/>
                <w:bCs/>
                <w:sz w:val="24"/>
                <w:lang w:eastAsia="de-DE"/>
              </w:rPr>
              <w:t>07</w:t>
            </w:r>
            <w:r w:rsidR="006E5D07" w:rsidRPr="00661595">
              <w:rPr>
                <w:rFonts w:ascii="Times New Roman" w:hAnsi="Times New Roman"/>
                <w:bCs/>
                <w:sz w:val="24"/>
                <w:lang w:eastAsia="de-DE"/>
              </w:rPr>
              <w:t>.00</w:t>
            </w:r>
            <w:r w:rsidRPr="00661595">
              <w:rPr>
                <w:rFonts w:ascii="Times New Roman" w:hAnsi="Times New Roman"/>
                <w:bCs/>
                <w:sz w:val="24"/>
                <w:lang w:eastAsia="de-DE"/>
              </w:rPr>
              <w:t>, with the exception of the specifications as regards the redistribution of exposures to General governments to other exposure classes due to the application of credit risk mitigation techniques with substitution effects on the exposure, which shall not apply.</w:t>
            </w:r>
          </w:p>
          <w:p w:rsidR="00FD54FC" w:rsidRPr="00661595" w:rsidRDefault="00FD54FC" w:rsidP="00FD54FC">
            <w:pPr>
              <w:spacing w:before="0" w:after="0"/>
              <w:ind w:left="33"/>
              <w:rPr>
                <w:rFonts w:ascii="Times New Roman" w:hAnsi="Times New Roman"/>
                <w:bCs/>
                <w:sz w:val="24"/>
                <w:lang w:eastAsia="de-DE"/>
              </w:rPr>
            </w:pPr>
          </w:p>
        </w:tc>
      </w:tr>
      <w:tr w:rsidR="00FD54FC" w:rsidRPr="00661595" w:rsidTr="00672D2A">
        <w:tc>
          <w:tcPr>
            <w:tcW w:w="1188" w:type="dxa"/>
          </w:tcPr>
          <w:p w:rsidR="00FD54FC" w:rsidRPr="00661595" w:rsidRDefault="00535792"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0</w:t>
            </w:r>
            <w:r w:rsidR="00FD54FC" w:rsidRPr="00661595">
              <w:rPr>
                <w:rFonts w:ascii="Times New Roman" w:hAnsi="Times New Roman"/>
                <w:bCs/>
                <w:sz w:val="24"/>
                <w:lang w:eastAsia="de-DE"/>
              </w:rPr>
              <w:t>050</w:t>
            </w:r>
          </w:p>
        </w:tc>
        <w:tc>
          <w:tcPr>
            <w:tcW w:w="8701" w:type="dxa"/>
          </w:tcPr>
          <w:p w:rsidR="00FD54FC" w:rsidRPr="00661595" w:rsidRDefault="00FD54FC" w:rsidP="00FD54FC">
            <w:pPr>
              <w:spacing w:before="0" w:after="0"/>
              <w:ind w:left="33"/>
              <w:rPr>
                <w:rFonts w:ascii="Times New Roman" w:hAnsi="Times New Roman"/>
                <w:b/>
                <w:bCs/>
                <w:sz w:val="24"/>
                <w:u w:val="single"/>
                <w:lang w:eastAsia="de-DE"/>
              </w:rPr>
            </w:pPr>
            <w:r w:rsidRPr="00661595">
              <w:rPr>
                <w:rFonts w:ascii="Times New Roman" w:hAnsi="Times New Roman"/>
                <w:b/>
                <w:bCs/>
                <w:sz w:val="24"/>
                <w:u w:val="single"/>
                <w:lang w:eastAsia="de-DE"/>
              </w:rPr>
              <w:t>Regional governments or local authorities</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 xml:space="preserve">Exposures to General governments that are regional governments or local authorities. These </w:t>
            </w:r>
            <w:r w:rsidR="006E5D07" w:rsidRPr="00661595">
              <w:rPr>
                <w:rFonts w:ascii="Times New Roman" w:hAnsi="Times New Roman"/>
                <w:bCs/>
                <w:sz w:val="24"/>
                <w:lang w:eastAsia="de-DE"/>
              </w:rPr>
              <w:t>exposures</w:t>
            </w:r>
            <w:r w:rsidRPr="00661595">
              <w:rPr>
                <w:rFonts w:ascii="Times New Roman" w:hAnsi="Times New Roman"/>
                <w:bCs/>
                <w:sz w:val="24"/>
                <w:lang w:eastAsia="de-DE"/>
              </w:rPr>
              <w:t xml:space="preserve"> are allocated to the “Regional governments or local authorities” exposure class in accordance with Article</w:t>
            </w:r>
            <w:r w:rsidR="006E5D07" w:rsidRPr="00661595">
              <w:rPr>
                <w:rFonts w:ascii="Times New Roman" w:hAnsi="Times New Roman"/>
                <w:bCs/>
                <w:sz w:val="24"/>
                <w:lang w:eastAsia="de-DE"/>
              </w:rPr>
              <w:t>s</w:t>
            </w:r>
            <w:r w:rsidRPr="00661595">
              <w:rPr>
                <w:rFonts w:ascii="Times New Roman" w:hAnsi="Times New Roman"/>
                <w:bCs/>
                <w:sz w:val="24"/>
                <w:lang w:eastAsia="de-DE"/>
              </w:rPr>
              <w:t xml:space="preserve"> 112 and 11</w:t>
            </w:r>
            <w:r w:rsidR="002F7E28" w:rsidRPr="00661595">
              <w:rPr>
                <w:rFonts w:ascii="Times New Roman" w:hAnsi="Times New Roman"/>
                <w:bCs/>
                <w:sz w:val="24"/>
                <w:lang w:eastAsia="de-DE"/>
              </w:rPr>
              <w:t>5</w:t>
            </w:r>
            <w:r w:rsidR="006E5D07" w:rsidRPr="00661595">
              <w:rPr>
                <w:rFonts w:ascii="Times New Roman" w:hAnsi="Times New Roman"/>
                <w:bCs/>
                <w:sz w:val="24"/>
                <w:lang w:eastAsia="de-DE"/>
              </w:rPr>
              <w:t xml:space="preserve"> CRR</w:t>
            </w:r>
            <w:r w:rsidRPr="00661595">
              <w:rPr>
                <w:rFonts w:ascii="Times New Roman" w:hAnsi="Times New Roman"/>
                <w:bCs/>
                <w:sz w:val="24"/>
                <w:lang w:eastAsia="de-DE"/>
              </w:rPr>
              <w:t>, as specified by the instructions for template C</w:t>
            </w:r>
            <w:r w:rsidR="006E5D07" w:rsidRPr="00661595">
              <w:rPr>
                <w:rFonts w:ascii="Times New Roman" w:hAnsi="Times New Roman"/>
                <w:bCs/>
                <w:sz w:val="24"/>
                <w:lang w:eastAsia="de-DE"/>
              </w:rPr>
              <w:t xml:space="preserve"> </w:t>
            </w:r>
            <w:r w:rsidRPr="00661595">
              <w:rPr>
                <w:rFonts w:ascii="Times New Roman" w:hAnsi="Times New Roman"/>
                <w:bCs/>
                <w:sz w:val="24"/>
                <w:lang w:eastAsia="de-DE"/>
              </w:rPr>
              <w:t>07</w:t>
            </w:r>
            <w:r w:rsidR="006E5D07" w:rsidRPr="00661595">
              <w:rPr>
                <w:rFonts w:ascii="Times New Roman" w:hAnsi="Times New Roman"/>
                <w:bCs/>
                <w:sz w:val="24"/>
                <w:lang w:eastAsia="de-DE"/>
              </w:rPr>
              <w:t>.00</w:t>
            </w:r>
            <w:r w:rsidRPr="00661595">
              <w:rPr>
                <w:rFonts w:ascii="Times New Roman" w:hAnsi="Times New Roman"/>
                <w:bCs/>
                <w:sz w:val="24"/>
                <w:lang w:eastAsia="de-DE"/>
              </w:rPr>
              <w:t>, with the exception of the specifications as regards the redistribution of exposures to General governments to other exposure classes due to the application of credit risk mitigation techniques with substitution effects on the exposure, which shall not apply.</w:t>
            </w:r>
          </w:p>
          <w:p w:rsidR="00FD54FC" w:rsidRPr="00661595" w:rsidRDefault="00FD54FC" w:rsidP="00FD54FC">
            <w:pPr>
              <w:spacing w:before="0" w:after="0"/>
              <w:ind w:left="33"/>
              <w:rPr>
                <w:rFonts w:ascii="Times New Roman" w:hAnsi="Times New Roman"/>
                <w:bCs/>
                <w:sz w:val="24"/>
                <w:lang w:eastAsia="de-DE"/>
              </w:rPr>
            </w:pPr>
          </w:p>
        </w:tc>
      </w:tr>
      <w:tr w:rsidR="00FD54FC" w:rsidRPr="00661595" w:rsidTr="00672D2A">
        <w:tc>
          <w:tcPr>
            <w:tcW w:w="1188" w:type="dxa"/>
          </w:tcPr>
          <w:p w:rsidR="00FD54FC" w:rsidRPr="00661595" w:rsidRDefault="00535792"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0</w:t>
            </w:r>
            <w:r w:rsidR="00FD54FC" w:rsidRPr="00661595">
              <w:rPr>
                <w:rFonts w:ascii="Times New Roman" w:hAnsi="Times New Roman"/>
                <w:bCs/>
                <w:sz w:val="24"/>
                <w:lang w:eastAsia="de-DE"/>
              </w:rPr>
              <w:t>060</w:t>
            </w:r>
          </w:p>
        </w:tc>
        <w:tc>
          <w:tcPr>
            <w:tcW w:w="8701" w:type="dxa"/>
          </w:tcPr>
          <w:p w:rsidR="00FD54FC" w:rsidRPr="00661595" w:rsidRDefault="00FD54FC" w:rsidP="00FD54FC">
            <w:pPr>
              <w:spacing w:before="0" w:after="0"/>
              <w:ind w:left="33"/>
              <w:rPr>
                <w:rFonts w:ascii="Times New Roman" w:hAnsi="Times New Roman"/>
                <w:b/>
                <w:bCs/>
                <w:sz w:val="24"/>
                <w:u w:val="single"/>
                <w:lang w:eastAsia="de-DE"/>
              </w:rPr>
            </w:pPr>
            <w:r w:rsidRPr="00661595">
              <w:rPr>
                <w:rFonts w:ascii="Times New Roman" w:hAnsi="Times New Roman"/>
                <w:b/>
                <w:bCs/>
                <w:sz w:val="24"/>
                <w:u w:val="single"/>
                <w:lang w:eastAsia="de-DE"/>
              </w:rPr>
              <w:t>Public sector entities</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Exposures to General governments that are public sector entities. These exposures are allocated to the “Public sector entities” exposure class in accordance with Article</w:t>
            </w:r>
            <w:r w:rsidR="006E5D07" w:rsidRPr="00661595">
              <w:rPr>
                <w:rFonts w:ascii="Times New Roman" w:hAnsi="Times New Roman"/>
                <w:bCs/>
                <w:sz w:val="24"/>
                <w:lang w:eastAsia="de-DE"/>
              </w:rPr>
              <w:t>s</w:t>
            </w:r>
            <w:r w:rsidRPr="00661595">
              <w:rPr>
                <w:rFonts w:ascii="Times New Roman" w:hAnsi="Times New Roman"/>
                <w:bCs/>
                <w:sz w:val="24"/>
                <w:lang w:eastAsia="de-DE"/>
              </w:rPr>
              <w:t xml:space="preserve"> 112 and 11</w:t>
            </w:r>
            <w:r w:rsidR="002F7E28" w:rsidRPr="00661595">
              <w:rPr>
                <w:rFonts w:ascii="Times New Roman" w:hAnsi="Times New Roman"/>
                <w:bCs/>
                <w:sz w:val="24"/>
                <w:lang w:eastAsia="de-DE"/>
              </w:rPr>
              <w:t>6</w:t>
            </w:r>
            <w:r w:rsidR="006E5D07" w:rsidRPr="00661595">
              <w:rPr>
                <w:rFonts w:ascii="Times New Roman" w:hAnsi="Times New Roman"/>
                <w:bCs/>
                <w:sz w:val="24"/>
                <w:lang w:eastAsia="de-DE"/>
              </w:rPr>
              <w:t xml:space="preserve"> CRR</w:t>
            </w:r>
            <w:r w:rsidRPr="00661595">
              <w:rPr>
                <w:rFonts w:ascii="Times New Roman" w:hAnsi="Times New Roman"/>
                <w:bCs/>
                <w:sz w:val="24"/>
                <w:lang w:eastAsia="de-DE"/>
              </w:rPr>
              <w:t>, as specified by the instructions for template C</w:t>
            </w:r>
            <w:r w:rsidR="006E5D07" w:rsidRPr="00661595">
              <w:rPr>
                <w:rFonts w:ascii="Times New Roman" w:hAnsi="Times New Roman"/>
                <w:bCs/>
                <w:sz w:val="24"/>
                <w:lang w:eastAsia="de-DE"/>
              </w:rPr>
              <w:t xml:space="preserve"> </w:t>
            </w:r>
            <w:r w:rsidRPr="00661595">
              <w:rPr>
                <w:rFonts w:ascii="Times New Roman" w:hAnsi="Times New Roman"/>
                <w:bCs/>
                <w:sz w:val="24"/>
                <w:lang w:eastAsia="de-DE"/>
              </w:rPr>
              <w:t>07</w:t>
            </w:r>
            <w:r w:rsidR="006E5D07" w:rsidRPr="00661595">
              <w:rPr>
                <w:rFonts w:ascii="Times New Roman" w:hAnsi="Times New Roman"/>
                <w:bCs/>
                <w:sz w:val="24"/>
                <w:lang w:eastAsia="de-DE"/>
              </w:rPr>
              <w:t>.00</w:t>
            </w:r>
            <w:r w:rsidRPr="00661595">
              <w:rPr>
                <w:rFonts w:ascii="Times New Roman" w:hAnsi="Times New Roman"/>
                <w:bCs/>
                <w:sz w:val="24"/>
                <w:lang w:eastAsia="de-DE"/>
              </w:rPr>
              <w:t>, with the exception of the specifications as regards the redistribution of exposures to General governments to other exposure classes due to the application of credit risk mitigation techniques with substitution effects on the exposure, which shall not apply.</w:t>
            </w:r>
          </w:p>
          <w:p w:rsidR="00FD54FC" w:rsidRPr="00661595" w:rsidRDefault="00FD54FC" w:rsidP="00FD54FC">
            <w:pPr>
              <w:spacing w:before="0" w:after="0"/>
              <w:ind w:left="33"/>
              <w:rPr>
                <w:rFonts w:ascii="Times New Roman" w:hAnsi="Times New Roman"/>
                <w:bCs/>
                <w:sz w:val="24"/>
                <w:lang w:eastAsia="de-DE"/>
              </w:rPr>
            </w:pPr>
          </w:p>
        </w:tc>
      </w:tr>
      <w:tr w:rsidR="00FD54FC" w:rsidRPr="00661595" w:rsidTr="00672D2A">
        <w:tc>
          <w:tcPr>
            <w:tcW w:w="1188" w:type="dxa"/>
          </w:tcPr>
          <w:p w:rsidR="00FD54FC" w:rsidRPr="00661595" w:rsidRDefault="00535792"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0</w:t>
            </w:r>
            <w:r w:rsidR="00FD54FC" w:rsidRPr="00661595">
              <w:rPr>
                <w:rFonts w:ascii="Times New Roman" w:hAnsi="Times New Roman"/>
                <w:bCs/>
                <w:sz w:val="24"/>
                <w:lang w:eastAsia="de-DE"/>
              </w:rPr>
              <w:t>070</w:t>
            </w:r>
          </w:p>
        </w:tc>
        <w:tc>
          <w:tcPr>
            <w:tcW w:w="8701" w:type="dxa"/>
          </w:tcPr>
          <w:p w:rsidR="00FD54FC" w:rsidRPr="00661595" w:rsidRDefault="00FD54FC" w:rsidP="00FD54FC">
            <w:pPr>
              <w:spacing w:before="0" w:after="0"/>
              <w:ind w:left="33"/>
              <w:rPr>
                <w:rFonts w:ascii="Times New Roman" w:hAnsi="Times New Roman"/>
                <w:b/>
                <w:bCs/>
                <w:sz w:val="24"/>
                <w:u w:val="single"/>
                <w:lang w:eastAsia="de-DE"/>
              </w:rPr>
            </w:pPr>
            <w:r w:rsidRPr="00661595">
              <w:rPr>
                <w:rFonts w:ascii="Times New Roman" w:hAnsi="Times New Roman"/>
                <w:b/>
                <w:bCs/>
                <w:sz w:val="24"/>
                <w:u w:val="single"/>
                <w:lang w:eastAsia="de-DE"/>
              </w:rPr>
              <w:t>International Organisations</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530BA1"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E</w:t>
            </w:r>
            <w:r w:rsidR="00FD54FC" w:rsidRPr="00661595">
              <w:rPr>
                <w:rFonts w:ascii="Times New Roman" w:hAnsi="Times New Roman"/>
                <w:bCs/>
                <w:sz w:val="24"/>
                <w:lang w:eastAsia="de-DE"/>
              </w:rPr>
              <w:t>xposures to General government</w:t>
            </w:r>
            <w:r w:rsidRPr="00661595">
              <w:rPr>
                <w:rFonts w:ascii="Times New Roman" w:hAnsi="Times New Roman"/>
                <w:bCs/>
                <w:sz w:val="24"/>
                <w:lang w:eastAsia="de-DE"/>
              </w:rPr>
              <w:t>s</w:t>
            </w:r>
            <w:r w:rsidR="00FD54FC" w:rsidRPr="00661595">
              <w:rPr>
                <w:rFonts w:ascii="Times New Roman" w:hAnsi="Times New Roman"/>
                <w:bCs/>
                <w:sz w:val="24"/>
                <w:lang w:eastAsia="de-DE"/>
              </w:rPr>
              <w:t xml:space="preserve"> that are international organisations. These exposures are allocated to the “International Organisations” exposure classes in accordance with Article</w:t>
            </w:r>
            <w:r w:rsidR="006E5D07" w:rsidRPr="00661595">
              <w:rPr>
                <w:rFonts w:ascii="Times New Roman" w:hAnsi="Times New Roman"/>
                <w:bCs/>
                <w:sz w:val="24"/>
                <w:lang w:eastAsia="de-DE"/>
              </w:rPr>
              <w:t>s</w:t>
            </w:r>
            <w:r w:rsidR="00FD54FC" w:rsidRPr="00661595">
              <w:rPr>
                <w:rFonts w:ascii="Times New Roman" w:hAnsi="Times New Roman"/>
                <w:bCs/>
                <w:sz w:val="24"/>
                <w:lang w:eastAsia="de-DE"/>
              </w:rPr>
              <w:t xml:space="preserve"> 112 and 1</w:t>
            </w:r>
            <w:r w:rsidR="002F7E28" w:rsidRPr="00661595">
              <w:rPr>
                <w:rFonts w:ascii="Times New Roman" w:hAnsi="Times New Roman"/>
                <w:bCs/>
                <w:sz w:val="24"/>
                <w:lang w:eastAsia="de-DE"/>
              </w:rPr>
              <w:t>18</w:t>
            </w:r>
            <w:r w:rsidR="006E5D07" w:rsidRPr="00661595">
              <w:rPr>
                <w:rFonts w:ascii="Times New Roman" w:hAnsi="Times New Roman"/>
                <w:bCs/>
                <w:sz w:val="24"/>
                <w:lang w:eastAsia="de-DE"/>
              </w:rPr>
              <w:t xml:space="preserve"> CRR</w:t>
            </w:r>
            <w:r w:rsidR="00FD54FC" w:rsidRPr="00661595">
              <w:rPr>
                <w:rFonts w:ascii="Times New Roman" w:hAnsi="Times New Roman"/>
                <w:bCs/>
                <w:sz w:val="24"/>
                <w:lang w:eastAsia="de-DE"/>
              </w:rPr>
              <w:t>, as specified by the instructions for template C</w:t>
            </w:r>
            <w:r w:rsidR="006E5D07" w:rsidRPr="00661595">
              <w:rPr>
                <w:rFonts w:ascii="Times New Roman" w:hAnsi="Times New Roman"/>
                <w:bCs/>
                <w:sz w:val="24"/>
                <w:lang w:eastAsia="de-DE"/>
              </w:rPr>
              <w:t xml:space="preserve"> </w:t>
            </w:r>
            <w:r w:rsidR="00FD54FC" w:rsidRPr="00661595">
              <w:rPr>
                <w:rFonts w:ascii="Times New Roman" w:hAnsi="Times New Roman"/>
                <w:bCs/>
                <w:sz w:val="24"/>
                <w:lang w:eastAsia="de-DE"/>
              </w:rPr>
              <w:t>07</w:t>
            </w:r>
            <w:r w:rsidR="006E5D07" w:rsidRPr="00661595">
              <w:rPr>
                <w:rFonts w:ascii="Times New Roman" w:hAnsi="Times New Roman"/>
                <w:bCs/>
                <w:sz w:val="24"/>
                <w:lang w:eastAsia="de-DE"/>
              </w:rPr>
              <w:t>.00</w:t>
            </w:r>
            <w:r w:rsidR="00FD54FC" w:rsidRPr="00661595">
              <w:rPr>
                <w:rFonts w:ascii="Times New Roman" w:hAnsi="Times New Roman"/>
                <w:bCs/>
                <w:sz w:val="24"/>
                <w:lang w:eastAsia="de-DE"/>
              </w:rPr>
              <w:t>, with the exception of the specifications as regards the redistribution of exposures to General governments to other exposure classes due to the application of credit risk mitigation techniques with substitution effects on the exposure, which shall not apply.</w:t>
            </w:r>
          </w:p>
          <w:p w:rsidR="00FD54FC" w:rsidRPr="00661595" w:rsidRDefault="00FD54FC" w:rsidP="00FD54FC">
            <w:pPr>
              <w:spacing w:before="0" w:after="0"/>
              <w:ind w:left="33"/>
              <w:rPr>
                <w:rFonts w:ascii="Times New Roman" w:hAnsi="Times New Roman"/>
                <w:b/>
                <w:bCs/>
                <w:sz w:val="24"/>
                <w:u w:val="single"/>
                <w:lang w:eastAsia="de-DE"/>
              </w:rPr>
            </w:pPr>
          </w:p>
        </w:tc>
      </w:tr>
      <w:tr w:rsidR="00CE47AF" w:rsidRPr="00661595" w:rsidTr="00672D2A">
        <w:tc>
          <w:tcPr>
            <w:tcW w:w="1188" w:type="dxa"/>
          </w:tcPr>
          <w:p w:rsidR="00CE47AF" w:rsidRPr="00661595" w:rsidRDefault="00535792"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0</w:t>
            </w:r>
            <w:r w:rsidR="00CE47AF" w:rsidRPr="00661595">
              <w:rPr>
                <w:rFonts w:ascii="Times New Roman" w:hAnsi="Times New Roman"/>
                <w:bCs/>
                <w:sz w:val="24"/>
                <w:lang w:eastAsia="de-DE"/>
              </w:rPr>
              <w:t>075</w:t>
            </w:r>
          </w:p>
        </w:tc>
        <w:tc>
          <w:tcPr>
            <w:tcW w:w="8701" w:type="dxa"/>
          </w:tcPr>
          <w:p w:rsidR="00CE47AF" w:rsidRPr="00661595" w:rsidRDefault="00CE47AF" w:rsidP="00FD54FC">
            <w:pPr>
              <w:spacing w:before="0" w:after="0"/>
              <w:ind w:left="33"/>
              <w:rPr>
                <w:rFonts w:ascii="Times New Roman" w:hAnsi="Times New Roman"/>
                <w:b/>
                <w:bCs/>
                <w:sz w:val="24"/>
                <w:u w:val="single"/>
                <w:lang w:eastAsia="de-DE"/>
              </w:rPr>
            </w:pPr>
            <w:r w:rsidRPr="00661595">
              <w:rPr>
                <w:rFonts w:ascii="Times New Roman" w:hAnsi="Times New Roman"/>
                <w:b/>
                <w:bCs/>
                <w:sz w:val="24"/>
                <w:u w:val="single"/>
                <w:lang w:eastAsia="de-DE"/>
              </w:rPr>
              <w:t>Other general government exposures subject to Standardised Approach</w:t>
            </w:r>
          </w:p>
          <w:p w:rsidR="00CE47AF" w:rsidRPr="00661595" w:rsidRDefault="00CE47AF" w:rsidP="00CE47AF">
            <w:pPr>
              <w:spacing w:before="0" w:after="0"/>
              <w:ind w:left="33"/>
              <w:rPr>
                <w:rFonts w:ascii="Times New Roman" w:hAnsi="Times New Roman"/>
                <w:bCs/>
                <w:sz w:val="24"/>
                <w:lang w:eastAsia="de-DE"/>
              </w:rPr>
            </w:pPr>
          </w:p>
          <w:p w:rsidR="00CE47AF" w:rsidRPr="00661595" w:rsidRDefault="00530BA1"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 xml:space="preserve">Exposures to General governments other than those included in rows </w:t>
            </w:r>
            <w:r w:rsidR="00535792" w:rsidRPr="00661595">
              <w:rPr>
                <w:rFonts w:ascii="Times New Roman" w:hAnsi="Times New Roman"/>
                <w:bCs/>
                <w:sz w:val="24"/>
                <w:lang w:eastAsia="de-DE"/>
              </w:rPr>
              <w:t>0</w:t>
            </w:r>
            <w:r w:rsidRPr="00661595">
              <w:rPr>
                <w:rFonts w:ascii="Times New Roman" w:hAnsi="Times New Roman"/>
                <w:bCs/>
                <w:sz w:val="24"/>
                <w:lang w:eastAsia="de-DE"/>
              </w:rPr>
              <w:t xml:space="preserve">040 to </w:t>
            </w:r>
            <w:r w:rsidR="00535792" w:rsidRPr="00661595">
              <w:rPr>
                <w:rFonts w:ascii="Times New Roman" w:hAnsi="Times New Roman"/>
                <w:bCs/>
                <w:sz w:val="24"/>
                <w:lang w:eastAsia="de-DE"/>
              </w:rPr>
              <w:t>0</w:t>
            </w:r>
            <w:r w:rsidRPr="00661595">
              <w:rPr>
                <w:rFonts w:ascii="Times New Roman" w:hAnsi="Times New Roman"/>
                <w:bCs/>
                <w:sz w:val="24"/>
                <w:lang w:eastAsia="de-DE"/>
              </w:rPr>
              <w:t>070 above, which are allocated to SA exposure classes in accordance with Article 112 CRR for the purposes of calculating own funds requirements.</w:t>
            </w:r>
          </w:p>
          <w:p w:rsidR="00530BA1" w:rsidRPr="00661595" w:rsidRDefault="00530BA1" w:rsidP="00530BA1">
            <w:pPr>
              <w:spacing w:before="0" w:after="0"/>
              <w:ind w:left="33"/>
              <w:rPr>
                <w:rFonts w:ascii="Times New Roman" w:hAnsi="Times New Roman"/>
                <w:b/>
                <w:bCs/>
                <w:sz w:val="24"/>
                <w:u w:val="single"/>
                <w:lang w:eastAsia="de-DE"/>
              </w:rPr>
            </w:pPr>
          </w:p>
        </w:tc>
      </w:tr>
      <w:tr w:rsidR="00FD54FC" w:rsidRPr="00661595" w:rsidTr="00672D2A">
        <w:tc>
          <w:tcPr>
            <w:tcW w:w="1188" w:type="dxa"/>
          </w:tcPr>
          <w:p w:rsidR="00FD54FC" w:rsidRPr="00661595" w:rsidRDefault="00535792"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0</w:t>
            </w:r>
            <w:r w:rsidR="00FD54FC" w:rsidRPr="00661595">
              <w:rPr>
                <w:rFonts w:ascii="Times New Roman" w:hAnsi="Times New Roman"/>
                <w:bCs/>
                <w:sz w:val="24"/>
                <w:lang w:eastAsia="de-DE"/>
              </w:rPr>
              <w:t>080</w:t>
            </w:r>
          </w:p>
        </w:tc>
        <w:tc>
          <w:tcPr>
            <w:tcW w:w="8701" w:type="dxa"/>
          </w:tcPr>
          <w:p w:rsidR="00FD54FC" w:rsidRPr="00661595" w:rsidRDefault="00FD54FC" w:rsidP="00FD54FC">
            <w:pPr>
              <w:spacing w:before="0" w:after="0"/>
              <w:ind w:left="33"/>
              <w:rPr>
                <w:rFonts w:ascii="Times New Roman" w:hAnsi="Times New Roman"/>
                <w:b/>
                <w:bCs/>
                <w:sz w:val="24"/>
                <w:u w:val="single"/>
                <w:lang w:eastAsia="de-DE"/>
              </w:rPr>
            </w:pPr>
            <w:r w:rsidRPr="00661595">
              <w:rPr>
                <w:rFonts w:ascii="Times New Roman" w:hAnsi="Times New Roman"/>
                <w:b/>
                <w:bCs/>
                <w:sz w:val="24"/>
                <w:u w:val="single"/>
                <w:lang w:eastAsia="de-DE"/>
              </w:rPr>
              <w:t>IRB Approach</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 xml:space="preserve">Exposures to General governments that shall be risk-weighted in accordance with </w:t>
            </w:r>
            <w:r w:rsidR="00306163" w:rsidRPr="00661595">
              <w:rPr>
                <w:rFonts w:ascii="Times New Roman" w:hAnsi="Times New Roman"/>
                <w:bCs/>
                <w:sz w:val="24"/>
                <w:lang w:eastAsia="de-DE"/>
              </w:rPr>
              <w:t xml:space="preserve">Chapter 3 of Title II of </w:t>
            </w:r>
            <w:r w:rsidRPr="00661595">
              <w:rPr>
                <w:rFonts w:ascii="Times New Roman" w:hAnsi="Times New Roman"/>
                <w:bCs/>
                <w:sz w:val="24"/>
                <w:lang w:eastAsia="de-DE"/>
              </w:rPr>
              <w:t>Part Three</w:t>
            </w:r>
            <w:r w:rsidR="00306163" w:rsidRPr="00661595">
              <w:rPr>
                <w:rFonts w:ascii="Times New Roman" w:hAnsi="Times New Roman"/>
                <w:bCs/>
                <w:sz w:val="24"/>
                <w:lang w:eastAsia="de-DE"/>
              </w:rPr>
              <w:t xml:space="preserve"> </w:t>
            </w:r>
            <w:r w:rsidRPr="00661595">
              <w:rPr>
                <w:rFonts w:ascii="Times New Roman" w:hAnsi="Times New Roman"/>
                <w:bCs/>
                <w:sz w:val="24"/>
                <w:lang w:eastAsia="de-DE"/>
              </w:rPr>
              <w:t>CRR, including exposures from the non-trading book for which the risk-weighting in accordance with that Chapter addresses counterparty credit risk.</w:t>
            </w:r>
          </w:p>
          <w:p w:rsidR="00FD54FC" w:rsidRPr="00661595" w:rsidRDefault="00FD54FC" w:rsidP="00FD54FC">
            <w:pPr>
              <w:spacing w:before="0" w:after="0"/>
              <w:ind w:left="33"/>
              <w:rPr>
                <w:rFonts w:ascii="Times New Roman" w:hAnsi="Times New Roman"/>
                <w:bCs/>
                <w:sz w:val="24"/>
                <w:lang w:eastAsia="de-DE"/>
              </w:rPr>
            </w:pPr>
          </w:p>
        </w:tc>
      </w:tr>
      <w:tr w:rsidR="00FD54FC" w:rsidRPr="00661595" w:rsidTr="00672D2A">
        <w:tc>
          <w:tcPr>
            <w:tcW w:w="1188" w:type="dxa"/>
          </w:tcPr>
          <w:p w:rsidR="00FD54FC" w:rsidRPr="00661595" w:rsidRDefault="00535792"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0</w:t>
            </w:r>
            <w:r w:rsidR="00FD54FC" w:rsidRPr="00661595">
              <w:rPr>
                <w:rFonts w:ascii="Times New Roman" w:hAnsi="Times New Roman"/>
                <w:bCs/>
                <w:sz w:val="24"/>
                <w:lang w:eastAsia="de-DE"/>
              </w:rPr>
              <w:t>090</w:t>
            </w:r>
          </w:p>
        </w:tc>
        <w:tc>
          <w:tcPr>
            <w:tcW w:w="8701" w:type="dxa"/>
          </w:tcPr>
          <w:p w:rsidR="00FD54FC" w:rsidRPr="00661595" w:rsidRDefault="00FD54FC" w:rsidP="00FD54FC">
            <w:pPr>
              <w:spacing w:before="0" w:after="0"/>
              <w:ind w:left="33"/>
              <w:rPr>
                <w:rFonts w:ascii="Times New Roman" w:hAnsi="Times New Roman"/>
                <w:b/>
                <w:bCs/>
                <w:sz w:val="24"/>
                <w:u w:val="single"/>
                <w:lang w:eastAsia="de-DE"/>
              </w:rPr>
            </w:pPr>
            <w:r w:rsidRPr="00661595">
              <w:rPr>
                <w:rFonts w:ascii="Times New Roman" w:hAnsi="Times New Roman"/>
                <w:b/>
                <w:bCs/>
                <w:sz w:val="24"/>
                <w:u w:val="single"/>
                <w:lang w:eastAsia="de-DE"/>
              </w:rPr>
              <w:t>Central governments</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 xml:space="preserve">Exposures to General governments that are central governments and that are allocated to the “Central governments and central banks” exposure class in accordance with </w:t>
            </w:r>
            <w:r w:rsidR="002B004B" w:rsidRPr="00661595">
              <w:rPr>
                <w:rFonts w:ascii="Times New Roman" w:hAnsi="Times New Roman"/>
                <w:bCs/>
                <w:sz w:val="24"/>
                <w:lang w:eastAsia="de-DE"/>
              </w:rPr>
              <w:t xml:space="preserve">point (a) of </w:t>
            </w:r>
            <w:r w:rsidRPr="00661595">
              <w:rPr>
                <w:rFonts w:ascii="Times New Roman" w:hAnsi="Times New Roman"/>
                <w:bCs/>
                <w:sz w:val="24"/>
                <w:lang w:eastAsia="de-DE"/>
              </w:rPr>
              <w:t>Article 147(3)</w:t>
            </w:r>
            <w:r w:rsidR="002B004B" w:rsidRPr="00661595">
              <w:rPr>
                <w:rFonts w:ascii="Times New Roman" w:hAnsi="Times New Roman"/>
                <w:bCs/>
                <w:sz w:val="24"/>
                <w:lang w:eastAsia="de-DE"/>
              </w:rPr>
              <w:t xml:space="preserve"> </w:t>
            </w:r>
            <w:r w:rsidRPr="00661595">
              <w:rPr>
                <w:rFonts w:ascii="Times New Roman" w:hAnsi="Times New Roman"/>
                <w:bCs/>
                <w:sz w:val="24"/>
                <w:lang w:eastAsia="de-DE"/>
              </w:rPr>
              <w:t>CRR, as specified by the instructions for template C</w:t>
            </w:r>
            <w:r w:rsidR="006E5D07" w:rsidRPr="00661595">
              <w:rPr>
                <w:rFonts w:ascii="Times New Roman" w:hAnsi="Times New Roman"/>
                <w:bCs/>
                <w:sz w:val="24"/>
                <w:lang w:eastAsia="de-DE"/>
              </w:rPr>
              <w:t xml:space="preserve"> </w:t>
            </w:r>
            <w:r w:rsidRPr="00661595">
              <w:rPr>
                <w:rFonts w:ascii="Times New Roman" w:hAnsi="Times New Roman"/>
                <w:bCs/>
                <w:sz w:val="24"/>
                <w:lang w:eastAsia="de-DE"/>
              </w:rPr>
              <w:t>08.01 and C</w:t>
            </w:r>
            <w:r w:rsidR="006E5D07" w:rsidRPr="00661595">
              <w:rPr>
                <w:rFonts w:ascii="Times New Roman" w:hAnsi="Times New Roman"/>
                <w:bCs/>
                <w:sz w:val="24"/>
                <w:lang w:eastAsia="de-DE"/>
              </w:rPr>
              <w:t xml:space="preserve"> </w:t>
            </w:r>
            <w:r w:rsidRPr="00661595">
              <w:rPr>
                <w:rFonts w:ascii="Times New Roman" w:hAnsi="Times New Roman"/>
                <w:bCs/>
                <w:sz w:val="24"/>
                <w:lang w:eastAsia="de-DE"/>
              </w:rPr>
              <w:t>08.02, with the exception of the specifications as regards the redistribution of exposures to General governments to other exposure classes due to the application of credit risk mitigation techniques with substitution effects on the exposure, which shall not apply..</w:t>
            </w:r>
          </w:p>
          <w:p w:rsidR="00FD54FC" w:rsidRPr="00661595" w:rsidRDefault="00FD54FC" w:rsidP="00FD54FC">
            <w:pPr>
              <w:spacing w:before="0" w:after="0"/>
              <w:ind w:left="33"/>
              <w:rPr>
                <w:rFonts w:ascii="Times New Roman" w:hAnsi="Times New Roman"/>
                <w:bCs/>
                <w:sz w:val="24"/>
                <w:lang w:eastAsia="de-DE"/>
              </w:rPr>
            </w:pPr>
          </w:p>
        </w:tc>
      </w:tr>
      <w:tr w:rsidR="00FD54FC" w:rsidRPr="00661595" w:rsidTr="00672D2A">
        <w:tc>
          <w:tcPr>
            <w:tcW w:w="1188" w:type="dxa"/>
          </w:tcPr>
          <w:p w:rsidR="00FD54FC" w:rsidRPr="00661595" w:rsidRDefault="00535792"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0</w:t>
            </w:r>
            <w:r w:rsidR="00FD54FC" w:rsidRPr="00661595">
              <w:rPr>
                <w:rFonts w:ascii="Times New Roman" w:hAnsi="Times New Roman"/>
                <w:bCs/>
                <w:sz w:val="24"/>
                <w:lang w:eastAsia="de-DE"/>
              </w:rPr>
              <w:t>100</w:t>
            </w:r>
          </w:p>
        </w:tc>
        <w:tc>
          <w:tcPr>
            <w:tcW w:w="8701" w:type="dxa"/>
          </w:tcPr>
          <w:p w:rsidR="00FD54FC" w:rsidRPr="00661595" w:rsidRDefault="00FD54FC" w:rsidP="00FD54FC">
            <w:pPr>
              <w:spacing w:before="0" w:after="0"/>
              <w:ind w:left="33"/>
              <w:rPr>
                <w:rFonts w:ascii="Times New Roman" w:hAnsi="Times New Roman"/>
                <w:b/>
                <w:bCs/>
                <w:sz w:val="24"/>
                <w:u w:val="single"/>
                <w:lang w:eastAsia="de-DE"/>
              </w:rPr>
            </w:pPr>
            <w:r w:rsidRPr="00661595">
              <w:rPr>
                <w:rFonts w:ascii="Times New Roman" w:hAnsi="Times New Roman"/>
                <w:b/>
                <w:bCs/>
                <w:sz w:val="24"/>
                <w:u w:val="single"/>
                <w:lang w:eastAsia="de-DE"/>
              </w:rPr>
              <w:t>Regional governments or local authorities [Central governments and central banks]</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 xml:space="preserve">Exposures to General governments that are regional governments or local authorities and that are allocated to the “Central governments and central banks” exposure class in accordance with </w:t>
            </w:r>
            <w:r w:rsidR="002B004B" w:rsidRPr="00661595">
              <w:rPr>
                <w:rFonts w:ascii="Times New Roman" w:hAnsi="Times New Roman"/>
                <w:bCs/>
                <w:sz w:val="24"/>
                <w:lang w:eastAsia="de-DE"/>
              </w:rPr>
              <w:t xml:space="preserve">point (a) of </w:t>
            </w:r>
            <w:r w:rsidRPr="00661595">
              <w:rPr>
                <w:rFonts w:ascii="Times New Roman" w:hAnsi="Times New Roman"/>
                <w:bCs/>
                <w:sz w:val="24"/>
                <w:lang w:eastAsia="de-DE"/>
              </w:rPr>
              <w:t>Article 147(3)</w:t>
            </w:r>
            <w:r w:rsidR="002B004B" w:rsidRPr="00661595">
              <w:rPr>
                <w:rFonts w:ascii="Times New Roman" w:hAnsi="Times New Roman"/>
                <w:bCs/>
                <w:sz w:val="24"/>
                <w:lang w:eastAsia="de-DE"/>
              </w:rPr>
              <w:t xml:space="preserve"> </w:t>
            </w:r>
            <w:r w:rsidRPr="00661595">
              <w:rPr>
                <w:rFonts w:ascii="Times New Roman" w:hAnsi="Times New Roman"/>
                <w:bCs/>
                <w:sz w:val="24"/>
                <w:lang w:eastAsia="de-DE"/>
              </w:rPr>
              <w:t>CRR, as specified by the instructions for template C</w:t>
            </w:r>
            <w:r w:rsidR="006E5D07" w:rsidRPr="00661595">
              <w:rPr>
                <w:rFonts w:ascii="Times New Roman" w:hAnsi="Times New Roman"/>
                <w:bCs/>
                <w:sz w:val="24"/>
                <w:lang w:eastAsia="de-DE"/>
              </w:rPr>
              <w:t xml:space="preserve"> </w:t>
            </w:r>
            <w:r w:rsidRPr="00661595">
              <w:rPr>
                <w:rFonts w:ascii="Times New Roman" w:hAnsi="Times New Roman"/>
                <w:bCs/>
                <w:sz w:val="24"/>
                <w:lang w:eastAsia="de-DE"/>
              </w:rPr>
              <w:t>08.01 and C</w:t>
            </w:r>
            <w:r w:rsidR="006E5D07" w:rsidRPr="00661595">
              <w:rPr>
                <w:rFonts w:ascii="Times New Roman" w:hAnsi="Times New Roman"/>
                <w:bCs/>
                <w:sz w:val="24"/>
                <w:lang w:eastAsia="de-DE"/>
              </w:rPr>
              <w:t xml:space="preserve"> </w:t>
            </w:r>
            <w:r w:rsidRPr="00661595">
              <w:rPr>
                <w:rFonts w:ascii="Times New Roman" w:hAnsi="Times New Roman"/>
                <w:bCs/>
                <w:sz w:val="24"/>
                <w:lang w:eastAsia="de-DE"/>
              </w:rPr>
              <w:t>08.02, with the exception of the specifications as regards the redistribution of exposures to General governments to other exposure classes due to the application of credit risk mitigation techniques with substitution effects on the exposure, which shall not apply.</w:t>
            </w:r>
          </w:p>
          <w:p w:rsidR="00FD54FC" w:rsidRPr="00661595" w:rsidRDefault="00FD54FC" w:rsidP="00FD54FC">
            <w:pPr>
              <w:spacing w:before="0" w:after="0"/>
              <w:ind w:left="33"/>
              <w:rPr>
                <w:rFonts w:ascii="Times New Roman" w:hAnsi="Times New Roman"/>
                <w:bCs/>
                <w:sz w:val="24"/>
                <w:lang w:eastAsia="de-DE"/>
              </w:rPr>
            </w:pPr>
          </w:p>
        </w:tc>
      </w:tr>
      <w:tr w:rsidR="00FD54FC" w:rsidRPr="00661595" w:rsidTr="00672D2A">
        <w:tc>
          <w:tcPr>
            <w:tcW w:w="1188" w:type="dxa"/>
          </w:tcPr>
          <w:p w:rsidR="00FD54FC" w:rsidRPr="00661595" w:rsidRDefault="00535792"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0</w:t>
            </w:r>
            <w:r w:rsidR="00FD54FC" w:rsidRPr="00661595">
              <w:rPr>
                <w:rFonts w:ascii="Times New Roman" w:hAnsi="Times New Roman"/>
                <w:bCs/>
                <w:sz w:val="24"/>
                <w:lang w:eastAsia="de-DE"/>
              </w:rPr>
              <w:t>110</w:t>
            </w:r>
          </w:p>
        </w:tc>
        <w:tc>
          <w:tcPr>
            <w:tcW w:w="8701" w:type="dxa"/>
          </w:tcPr>
          <w:p w:rsidR="00FD54FC" w:rsidRPr="00661595" w:rsidRDefault="00FD54FC" w:rsidP="00FD54FC">
            <w:pPr>
              <w:spacing w:before="0" w:after="0"/>
              <w:ind w:left="33"/>
              <w:rPr>
                <w:rFonts w:ascii="Times New Roman" w:hAnsi="Times New Roman"/>
                <w:b/>
                <w:bCs/>
                <w:sz w:val="24"/>
                <w:u w:val="single"/>
                <w:lang w:eastAsia="de-DE"/>
              </w:rPr>
            </w:pPr>
            <w:r w:rsidRPr="00661595">
              <w:rPr>
                <w:rFonts w:ascii="Times New Roman" w:hAnsi="Times New Roman"/>
                <w:b/>
                <w:bCs/>
                <w:sz w:val="24"/>
                <w:u w:val="single"/>
                <w:lang w:eastAsia="de-DE"/>
              </w:rPr>
              <w:t>Regional governments or local authorities [Institutions]</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 xml:space="preserve">Exposures to General governments that are regional governments or local authorities and that are allocated to the “Institutions” exposure class in accordance with </w:t>
            </w:r>
            <w:r w:rsidR="002B004B" w:rsidRPr="00661595">
              <w:rPr>
                <w:rFonts w:ascii="Times New Roman" w:hAnsi="Times New Roman"/>
                <w:bCs/>
                <w:sz w:val="24"/>
                <w:lang w:eastAsia="de-DE"/>
              </w:rPr>
              <w:t xml:space="preserve">point (a) of </w:t>
            </w:r>
            <w:r w:rsidRPr="00661595">
              <w:rPr>
                <w:rFonts w:ascii="Times New Roman" w:hAnsi="Times New Roman"/>
                <w:bCs/>
                <w:sz w:val="24"/>
                <w:lang w:eastAsia="de-DE"/>
              </w:rPr>
              <w:t>Article 147(4) CRR, as specified by the instructions for template C</w:t>
            </w:r>
            <w:r w:rsidR="006E5D07" w:rsidRPr="00661595">
              <w:rPr>
                <w:rFonts w:ascii="Times New Roman" w:hAnsi="Times New Roman"/>
                <w:bCs/>
                <w:sz w:val="24"/>
                <w:lang w:eastAsia="de-DE"/>
              </w:rPr>
              <w:t xml:space="preserve"> </w:t>
            </w:r>
            <w:r w:rsidRPr="00661595">
              <w:rPr>
                <w:rFonts w:ascii="Times New Roman" w:hAnsi="Times New Roman"/>
                <w:bCs/>
                <w:sz w:val="24"/>
                <w:lang w:eastAsia="de-DE"/>
              </w:rPr>
              <w:t>08.01 and C</w:t>
            </w:r>
            <w:r w:rsidR="006E5D07" w:rsidRPr="00661595">
              <w:rPr>
                <w:rFonts w:ascii="Times New Roman" w:hAnsi="Times New Roman"/>
                <w:bCs/>
                <w:sz w:val="24"/>
                <w:lang w:eastAsia="de-DE"/>
              </w:rPr>
              <w:t xml:space="preserve"> </w:t>
            </w:r>
            <w:r w:rsidRPr="00661595">
              <w:rPr>
                <w:rFonts w:ascii="Times New Roman" w:hAnsi="Times New Roman"/>
                <w:bCs/>
                <w:sz w:val="24"/>
                <w:lang w:eastAsia="de-DE"/>
              </w:rPr>
              <w:t>08.02, with the exception of the specifications as regards the redistribution of exposures to General governments to other exposure classes due to the application of credit risk mitigation techniques with substitution effects on the exposure, which shall not apply.</w:t>
            </w:r>
          </w:p>
          <w:p w:rsidR="00FD54FC" w:rsidRPr="00661595" w:rsidRDefault="00FD54FC" w:rsidP="00FD54FC">
            <w:pPr>
              <w:spacing w:before="0" w:after="0"/>
              <w:ind w:left="33"/>
              <w:rPr>
                <w:rFonts w:ascii="Times New Roman" w:hAnsi="Times New Roman"/>
                <w:bCs/>
                <w:sz w:val="24"/>
                <w:lang w:eastAsia="de-DE"/>
              </w:rPr>
            </w:pPr>
          </w:p>
        </w:tc>
      </w:tr>
      <w:tr w:rsidR="00FD54FC" w:rsidRPr="00661595" w:rsidTr="00672D2A">
        <w:tc>
          <w:tcPr>
            <w:tcW w:w="1188" w:type="dxa"/>
          </w:tcPr>
          <w:p w:rsidR="00FD54FC" w:rsidRPr="00661595" w:rsidRDefault="00535792"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0</w:t>
            </w:r>
            <w:r w:rsidR="00FD54FC" w:rsidRPr="00661595">
              <w:rPr>
                <w:rFonts w:ascii="Times New Roman" w:hAnsi="Times New Roman"/>
                <w:bCs/>
                <w:sz w:val="24"/>
                <w:lang w:eastAsia="de-DE"/>
              </w:rPr>
              <w:t>120</w:t>
            </w:r>
          </w:p>
        </w:tc>
        <w:tc>
          <w:tcPr>
            <w:tcW w:w="8701" w:type="dxa"/>
          </w:tcPr>
          <w:p w:rsidR="00FD54FC" w:rsidRPr="00661595" w:rsidRDefault="00FD54FC" w:rsidP="00FD54FC">
            <w:pPr>
              <w:spacing w:before="0" w:after="0"/>
              <w:ind w:left="33"/>
              <w:rPr>
                <w:rFonts w:ascii="Times New Roman" w:hAnsi="Times New Roman"/>
                <w:b/>
                <w:bCs/>
                <w:sz w:val="24"/>
                <w:u w:val="single"/>
                <w:lang w:eastAsia="de-DE"/>
              </w:rPr>
            </w:pPr>
            <w:r w:rsidRPr="00661595">
              <w:rPr>
                <w:rFonts w:ascii="Times New Roman" w:hAnsi="Times New Roman"/>
                <w:b/>
                <w:bCs/>
                <w:sz w:val="24"/>
                <w:u w:val="single"/>
                <w:lang w:eastAsia="de-DE"/>
              </w:rPr>
              <w:t>Public sector entities [Central governments and central banks]</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 xml:space="preserve">Exposures to General governments that are public sector entities in accordance with Article 4(8) CRR and that are allocated to the “Central governments and central banks” exposure class in accordance with </w:t>
            </w:r>
            <w:r w:rsidR="002B004B" w:rsidRPr="00661595">
              <w:rPr>
                <w:rFonts w:ascii="Times New Roman" w:hAnsi="Times New Roman"/>
                <w:bCs/>
                <w:sz w:val="24"/>
                <w:lang w:eastAsia="de-DE"/>
              </w:rPr>
              <w:t xml:space="preserve">point (a) of </w:t>
            </w:r>
            <w:r w:rsidRPr="00661595">
              <w:rPr>
                <w:rFonts w:ascii="Times New Roman" w:hAnsi="Times New Roman"/>
                <w:bCs/>
                <w:sz w:val="24"/>
                <w:lang w:eastAsia="de-DE"/>
              </w:rPr>
              <w:t>Article 147(3) CRR, as specified by the instructions for template C</w:t>
            </w:r>
            <w:r w:rsidR="006E5D07" w:rsidRPr="00661595">
              <w:rPr>
                <w:rFonts w:ascii="Times New Roman" w:hAnsi="Times New Roman"/>
                <w:bCs/>
                <w:sz w:val="24"/>
                <w:lang w:eastAsia="de-DE"/>
              </w:rPr>
              <w:t xml:space="preserve"> </w:t>
            </w:r>
            <w:r w:rsidRPr="00661595">
              <w:rPr>
                <w:rFonts w:ascii="Times New Roman" w:hAnsi="Times New Roman"/>
                <w:bCs/>
                <w:sz w:val="24"/>
                <w:lang w:eastAsia="de-DE"/>
              </w:rPr>
              <w:t>08.01 and C</w:t>
            </w:r>
            <w:r w:rsidR="006E5D07" w:rsidRPr="00661595">
              <w:rPr>
                <w:rFonts w:ascii="Times New Roman" w:hAnsi="Times New Roman"/>
                <w:bCs/>
                <w:sz w:val="24"/>
                <w:lang w:eastAsia="de-DE"/>
              </w:rPr>
              <w:t xml:space="preserve"> </w:t>
            </w:r>
            <w:r w:rsidRPr="00661595">
              <w:rPr>
                <w:rFonts w:ascii="Times New Roman" w:hAnsi="Times New Roman"/>
                <w:bCs/>
                <w:sz w:val="24"/>
                <w:lang w:eastAsia="de-DE"/>
              </w:rPr>
              <w:t>08.02, with the exception of the specifications as regards the redistribution of exposures to General governments to other exposure classes due to the application of credit risk mitigation techniques with substitution effects on the exposure, which shall not apply.</w:t>
            </w:r>
          </w:p>
          <w:p w:rsidR="00FD54FC" w:rsidRPr="00661595" w:rsidRDefault="00FD54FC" w:rsidP="00FD54FC">
            <w:pPr>
              <w:spacing w:before="0" w:after="0"/>
              <w:ind w:left="33"/>
              <w:rPr>
                <w:rFonts w:ascii="Times New Roman" w:hAnsi="Times New Roman"/>
                <w:bCs/>
                <w:sz w:val="24"/>
                <w:lang w:eastAsia="de-DE"/>
              </w:rPr>
            </w:pPr>
          </w:p>
        </w:tc>
      </w:tr>
      <w:tr w:rsidR="00FD54FC" w:rsidRPr="00661595" w:rsidTr="00672D2A">
        <w:tc>
          <w:tcPr>
            <w:tcW w:w="1188" w:type="dxa"/>
          </w:tcPr>
          <w:p w:rsidR="00FD54FC" w:rsidRPr="00661595" w:rsidRDefault="00535792"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0</w:t>
            </w:r>
            <w:r w:rsidR="00FD54FC" w:rsidRPr="00661595">
              <w:rPr>
                <w:rFonts w:ascii="Times New Roman" w:hAnsi="Times New Roman"/>
                <w:bCs/>
                <w:sz w:val="24"/>
                <w:lang w:eastAsia="de-DE"/>
              </w:rPr>
              <w:t>130</w:t>
            </w:r>
          </w:p>
        </w:tc>
        <w:tc>
          <w:tcPr>
            <w:tcW w:w="8701" w:type="dxa"/>
          </w:tcPr>
          <w:p w:rsidR="00FD54FC" w:rsidRPr="00661595" w:rsidRDefault="00FD54FC" w:rsidP="00FD54FC">
            <w:pPr>
              <w:spacing w:before="0" w:after="0"/>
              <w:ind w:left="33"/>
              <w:rPr>
                <w:rFonts w:ascii="Times New Roman" w:hAnsi="Times New Roman"/>
                <w:b/>
                <w:bCs/>
                <w:sz w:val="24"/>
                <w:u w:val="single"/>
                <w:lang w:eastAsia="de-DE"/>
              </w:rPr>
            </w:pPr>
            <w:r w:rsidRPr="00661595">
              <w:rPr>
                <w:rFonts w:ascii="Times New Roman" w:hAnsi="Times New Roman"/>
                <w:b/>
                <w:bCs/>
                <w:sz w:val="24"/>
                <w:u w:val="single"/>
                <w:lang w:eastAsia="de-DE"/>
              </w:rPr>
              <w:t>Public sector entities [Institutions]</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 xml:space="preserve">Exposures to General governments that are public sector entities in accordance with Article 4(8) CRR and that are allocated to the “Institutions” exposure class in accordance with </w:t>
            </w:r>
            <w:r w:rsidR="002B004B" w:rsidRPr="00661595">
              <w:rPr>
                <w:rFonts w:ascii="Times New Roman" w:hAnsi="Times New Roman"/>
                <w:bCs/>
                <w:sz w:val="24"/>
                <w:lang w:eastAsia="de-DE"/>
              </w:rPr>
              <w:t xml:space="preserve">point (b) of </w:t>
            </w:r>
            <w:r w:rsidRPr="00661595">
              <w:rPr>
                <w:rFonts w:ascii="Times New Roman" w:hAnsi="Times New Roman"/>
                <w:bCs/>
                <w:sz w:val="24"/>
                <w:lang w:eastAsia="de-DE"/>
              </w:rPr>
              <w:t>Article 147(4) CRR, as specified by the instructions for template C</w:t>
            </w:r>
            <w:r w:rsidR="006E5D07" w:rsidRPr="00661595">
              <w:rPr>
                <w:rFonts w:ascii="Times New Roman" w:hAnsi="Times New Roman"/>
                <w:bCs/>
                <w:sz w:val="24"/>
                <w:lang w:eastAsia="de-DE"/>
              </w:rPr>
              <w:t xml:space="preserve"> </w:t>
            </w:r>
            <w:r w:rsidRPr="00661595">
              <w:rPr>
                <w:rFonts w:ascii="Times New Roman" w:hAnsi="Times New Roman"/>
                <w:bCs/>
                <w:sz w:val="24"/>
                <w:lang w:eastAsia="de-DE"/>
              </w:rPr>
              <w:t>08.01 and C</w:t>
            </w:r>
            <w:r w:rsidR="006E5D07" w:rsidRPr="00661595">
              <w:rPr>
                <w:rFonts w:ascii="Times New Roman" w:hAnsi="Times New Roman"/>
                <w:bCs/>
                <w:sz w:val="24"/>
                <w:lang w:eastAsia="de-DE"/>
              </w:rPr>
              <w:t xml:space="preserve"> </w:t>
            </w:r>
            <w:r w:rsidRPr="00661595">
              <w:rPr>
                <w:rFonts w:ascii="Times New Roman" w:hAnsi="Times New Roman"/>
                <w:bCs/>
                <w:sz w:val="24"/>
                <w:lang w:eastAsia="de-DE"/>
              </w:rPr>
              <w:t>08.02, with the exception of the specifications as regards the redistribution of exposures to General governments to other exposure classes due to the application of credit risk mitigation techniques with substitution effects on the exposure, which shall not apply.</w:t>
            </w:r>
          </w:p>
          <w:p w:rsidR="00FD54FC" w:rsidRPr="00661595" w:rsidRDefault="00FD54FC" w:rsidP="00FD54FC">
            <w:pPr>
              <w:spacing w:before="0" w:after="0"/>
              <w:ind w:left="33"/>
              <w:rPr>
                <w:rFonts w:ascii="Times New Roman" w:hAnsi="Times New Roman"/>
                <w:bCs/>
                <w:sz w:val="24"/>
                <w:lang w:eastAsia="de-DE"/>
              </w:rPr>
            </w:pPr>
          </w:p>
        </w:tc>
      </w:tr>
      <w:tr w:rsidR="00FD54FC" w:rsidRPr="00661595" w:rsidTr="00672D2A">
        <w:tc>
          <w:tcPr>
            <w:tcW w:w="1188" w:type="dxa"/>
          </w:tcPr>
          <w:p w:rsidR="00FD54FC" w:rsidRPr="00661595" w:rsidDel="00C211CB" w:rsidRDefault="00535792"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0</w:t>
            </w:r>
            <w:r w:rsidR="00FD54FC" w:rsidRPr="00661595">
              <w:rPr>
                <w:rFonts w:ascii="Times New Roman" w:hAnsi="Times New Roman"/>
                <w:bCs/>
                <w:sz w:val="24"/>
                <w:lang w:eastAsia="de-DE"/>
              </w:rPr>
              <w:t>140</w:t>
            </w:r>
          </w:p>
        </w:tc>
        <w:tc>
          <w:tcPr>
            <w:tcW w:w="8701" w:type="dxa"/>
          </w:tcPr>
          <w:p w:rsidR="00FD54FC" w:rsidRPr="00661595" w:rsidRDefault="00FD54FC" w:rsidP="00FD54FC">
            <w:pPr>
              <w:spacing w:before="0" w:after="0"/>
              <w:ind w:left="33"/>
              <w:rPr>
                <w:rFonts w:ascii="Times New Roman" w:hAnsi="Times New Roman"/>
                <w:b/>
                <w:bCs/>
                <w:sz w:val="24"/>
                <w:u w:val="single"/>
                <w:lang w:eastAsia="de-DE"/>
              </w:rPr>
            </w:pPr>
            <w:r w:rsidRPr="00661595">
              <w:rPr>
                <w:rFonts w:ascii="Times New Roman" w:hAnsi="Times New Roman"/>
                <w:b/>
                <w:bCs/>
                <w:sz w:val="24"/>
                <w:u w:val="single"/>
                <w:lang w:eastAsia="de-DE"/>
              </w:rPr>
              <w:t>International Organisations [Central governments and central banks]</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 xml:space="preserve">Exposures to General governments that are International Organisations and that are allocated to the “Central governments and central banks” exposure class in accordance with </w:t>
            </w:r>
            <w:r w:rsidR="002B004B" w:rsidRPr="00661595">
              <w:rPr>
                <w:rFonts w:ascii="Times New Roman" w:hAnsi="Times New Roman"/>
                <w:bCs/>
                <w:sz w:val="24"/>
                <w:lang w:eastAsia="de-DE"/>
              </w:rPr>
              <w:t xml:space="preserve">point (c) of </w:t>
            </w:r>
            <w:r w:rsidRPr="00661595">
              <w:rPr>
                <w:rFonts w:ascii="Times New Roman" w:hAnsi="Times New Roman"/>
                <w:bCs/>
                <w:sz w:val="24"/>
                <w:lang w:eastAsia="de-DE"/>
              </w:rPr>
              <w:t>Article 147(3) CRR, as specified by the instructions for template C</w:t>
            </w:r>
            <w:r w:rsidR="006E5D07" w:rsidRPr="00661595">
              <w:rPr>
                <w:rFonts w:ascii="Times New Roman" w:hAnsi="Times New Roman"/>
                <w:bCs/>
                <w:sz w:val="24"/>
                <w:lang w:eastAsia="de-DE"/>
              </w:rPr>
              <w:t xml:space="preserve"> </w:t>
            </w:r>
            <w:r w:rsidRPr="00661595">
              <w:rPr>
                <w:rFonts w:ascii="Times New Roman" w:hAnsi="Times New Roman"/>
                <w:bCs/>
                <w:sz w:val="24"/>
                <w:lang w:eastAsia="de-DE"/>
              </w:rPr>
              <w:t>08.01 and C</w:t>
            </w:r>
            <w:r w:rsidR="006E5D07" w:rsidRPr="00661595">
              <w:rPr>
                <w:rFonts w:ascii="Times New Roman" w:hAnsi="Times New Roman"/>
                <w:bCs/>
                <w:sz w:val="24"/>
                <w:lang w:eastAsia="de-DE"/>
              </w:rPr>
              <w:t xml:space="preserve"> </w:t>
            </w:r>
            <w:r w:rsidRPr="00661595">
              <w:rPr>
                <w:rFonts w:ascii="Times New Roman" w:hAnsi="Times New Roman"/>
                <w:bCs/>
                <w:sz w:val="24"/>
                <w:lang w:eastAsia="de-DE"/>
              </w:rPr>
              <w:t>08.02, with the exception of the specifications as regards the redistribution of exposures to General governments to other exposure classes due to the application of credit risk mitigation techniques with substitution effects on the exposure, which shall not apply.</w:t>
            </w:r>
          </w:p>
          <w:p w:rsidR="00FD54FC" w:rsidRPr="00661595" w:rsidRDefault="00FD54FC" w:rsidP="00FD54FC">
            <w:pPr>
              <w:spacing w:before="0" w:after="0"/>
              <w:ind w:left="33"/>
              <w:rPr>
                <w:rFonts w:ascii="Times New Roman" w:hAnsi="Times New Roman"/>
                <w:b/>
                <w:bCs/>
                <w:sz w:val="24"/>
                <w:u w:val="single"/>
                <w:lang w:eastAsia="de-DE"/>
              </w:rPr>
            </w:pPr>
          </w:p>
        </w:tc>
      </w:tr>
      <w:tr w:rsidR="00530BA1" w:rsidRPr="00661595" w:rsidTr="00672D2A">
        <w:tc>
          <w:tcPr>
            <w:tcW w:w="1188" w:type="dxa"/>
          </w:tcPr>
          <w:p w:rsidR="00530BA1" w:rsidRPr="00661595" w:rsidRDefault="00535792"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0</w:t>
            </w:r>
            <w:r w:rsidR="00530BA1" w:rsidRPr="00661595">
              <w:rPr>
                <w:rFonts w:ascii="Times New Roman" w:hAnsi="Times New Roman"/>
                <w:bCs/>
                <w:sz w:val="24"/>
                <w:lang w:eastAsia="de-DE"/>
              </w:rPr>
              <w:t>155</w:t>
            </w:r>
          </w:p>
        </w:tc>
        <w:tc>
          <w:tcPr>
            <w:tcW w:w="8701" w:type="dxa"/>
          </w:tcPr>
          <w:p w:rsidR="00530BA1" w:rsidRPr="00661595" w:rsidRDefault="00530BA1" w:rsidP="00530BA1">
            <w:pPr>
              <w:spacing w:before="0" w:after="0"/>
              <w:ind w:left="33"/>
              <w:rPr>
                <w:rFonts w:ascii="Times New Roman" w:hAnsi="Times New Roman"/>
                <w:b/>
                <w:bCs/>
                <w:sz w:val="24"/>
                <w:u w:val="single"/>
                <w:lang w:eastAsia="de-DE"/>
              </w:rPr>
            </w:pPr>
            <w:r w:rsidRPr="00661595">
              <w:rPr>
                <w:rFonts w:ascii="Times New Roman" w:hAnsi="Times New Roman"/>
                <w:b/>
                <w:bCs/>
                <w:sz w:val="24"/>
                <w:u w:val="single"/>
                <w:lang w:eastAsia="de-DE"/>
              </w:rPr>
              <w:t xml:space="preserve">Other general government exposures subject to </w:t>
            </w:r>
            <w:r w:rsidR="008241B9" w:rsidRPr="00661595">
              <w:rPr>
                <w:rFonts w:ascii="Times New Roman" w:hAnsi="Times New Roman"/>
                <w:b/>
                <w:bCs/>
                <w:sz w:val="24"/>
                <w:u w:val="single"/>
                <w:lang w:eastAsia="de-DE"/>
              </w:rPr>
              <w:t>IRB Approach</w:t>
            </w:r>
          </w:p>
          <w:p w:rsidR="00530BA1" w:rsidRPr="00661595" w:rsidRDefault="00530BA1" w:rsidP="00530BA1">
            <w:pPr>
              <w:spacing w:before="0" w:after="0"/>
              <w:ind w:left="33"/>
              <w:rPr>
                <w:rFonts w:ascii="Times New Roman" w:hAnsi="Times New Roman"/>
                <w:bCs/>
                <w:sz w:val="24"/>
                <w:lang w:eastAsia="de-DE"/>
              </w:rPr>
            </w:pPr>
          </w:p>
          <w:p w:rsidR="00530BA1" w:rsidRPr="00661595" w:rsidRDefault="00530BA1" w:rsidP="00530BA1">
            <w:pPr>
              <w:spacing w:before="0" w:after="0"/>
              <w:ind w:left="33"/>
              <w:rPr>
                <w:rFonts w:ascii="Times New Roman" w:hAnsi="Times New Roman"/>
                <w:bCs/>
                <w:sz w:val="24"/>
                <w:lang w:eastAsia="de-DE"/>
              </w:rPr>
            </w:pPr>
            <w:r w:rsidRPr="00661595">
              <w:rPr>
                <w:rFonts w:ascii="Times New Roman" w:hAnsi="Times New Roman"/>
                <w:bCs/>
                <w:sz w:val="24"/>
                <w:lang w:eastAsia="de-DE"/>
              </w:rPr>
              <w:t xml:space="preserve">Exposures to General governments other than those included in rows </w:t>
            </w:r>
            <w:r w:rsidR="00535792" w:rsidRPr="00661595">
              <w:rPr>
                <w:rFonts w:ascii="Times New Roman" w:hAnsi="Times New Roman"/>
                <w:bCs/>
                <w:sz w:val="24"/>
                <w:lang w:eastAsia="de-DE"/>
              </w:rPr>
              <w:t>0</w:t>
            </w:r>
            <w:r w:rsidRPr="00661595">
              <w:rPr>
                <w:rFonts w:ascii="Times New Roman" w:hAnsi="Times New Roman"/>
                <w:bCs/>
                <w:sz w:val="24"/>
                <w:lang w:eastAsia="de-DE"/>
              </w:rPr>
              <w:t xml:space="preserve">090 to </w:t>
            </w:r>
            <w:r w:rsidR="00535792" w:rsidRPr="00661595">
              <w:rPr>
                <w:rFonts w:ascii="Times New Roman" w:hAnsi="Times New Roman"/>
                <w:bCs/>
                <w:sz w:val="24"/>
                <w:lang w:eastAsia="de-DE"/>
              </w:rPr>
              <w:t>0</w:t>
            </w:r>
            <w:r w:rsidRPr="00661595">
              <w:rPr>
                <w:rFonts w:ascii="Times New Roman" w:hAnsi="Times New Roman"/>
                <w:bCs/>
                <w:sz w:val="24"/>
                <w:lang w:eastAsia="de-DE"/>
              </w:rPr>
              <w:t>140 above which are allocated to IRB exposure classes in accordance with Article 147 CRR for the purposes of calculating own funds requirements.</w:t>
            </w:r>
          </w:p>
          <w:p w:rsidR="00530BA1" w:rsidRPr="00661595" w:rsidRDefault="00530BA1" w:rsidP="00FD54FC">
            <w:pPr>
              <w:spacing w:before="0" w:after="0"/>
              <w:ind w:left="33"/>
              <w:rPr>
                <w:rFonts w:ascii="Times New Roman" w:hAnsi="Times New Roman"/>
                <w:b/>
                <w:bCs/>
                <w:sz w:val="24"/>
                <w:u w:val="single"/>
                <w:lang w:eastAsia="de-DE"/>
              </w:rPr>
            </w:pPr>
          </w:p>
        </w:tc>
      </w:tr>
      <w:tr w:rsidR="00FD54FC" w:rsidRPr="00661595" w:rsidTr="00672D2A">
        <w:tc>
          <w:tcPr>
            <w:tcW w:w="1188" w:type="dxa"/>
          </w:tcPr>
          <w:p w:rsidR="00FD54FC" w:rsidRPr="00661595" w:rsidRDefault="00535792"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0</w:t>
            </w:r>
            <w:r w:rsidR="00FD54FC" w:rsidRPr="00661595">
              <w:rPr>
                <w:rFonts w:ascii="Times New Roman" w:hAnsi="Times New Roman"/>
                <w:bCs/>
                <w:sz w:val="24"/>
                <w:lang w:eastAsia="de-DE"/>
              </w:rPr>
              <w:t>160</w:t>
            </w:r>
          </w:p>
        </w:tc>
        <w:tc>
          <w:tcPr>
            <w:tcW w:w="8701" w:type="dxa"/>
          </w:tcPr>
          <w:p w:rsidR="00FD54FC" w:rsidRPr="00661595" w:rsidRDefault="00FD54FC" w:rsidP="00FD54FC">
            <w:pPr>
              <w:spacing w:before="0" w:after="0"/>
              <w:ind w:left="33"/>
              <w:rPr>
                <w:rFonts w:ascii="Times New Roman" w:hAnsi="Times New Roman"/>
                <w:b/>
                <w:bCs/>
                <w:sz w:val="24"/>
                <w:u w:val="single"/>
                <w:lang w:eastAsia="de-DE"/>
              </w:rPr>
            </w:pPr>
            <w:r w:rsidRPr="00661595">
              <w:rPr>
                <w:rFonts w:ascii="Times New Roman" w:hAnsi="Times New Roman"/>
                <w:b/>
                <w:bCs/>
                <w:sz w:val="24"/>
                <w:u w:val="single"/>
                <w:lang w:eastAsia="de-DE"/>
              </w:rPr>
              <w:t>Exposures subject to market risk</w:t>
            </w:r>
          </w:p>
          <w:p w:rsidR="00FD54FC" w:rsidRPr="00661595" w:rsidRDefault="00FD54FC" w:rsidP="00FD54FC">
            <w:pPr>
              <w:spacing w:before="0" w:after="0"/>
              <w:ind w:left="33"/>
              <w:rPr>
                <w:rFonts w:ascii="Times New Roman" w:hAnsi="Times New Roman"/>
                <w:bCs/>
                <w:sz w:val="24"/>
                <w:lang w:eastAsia="de-DE"/>
              </w:rPr>
            </w:pPr>
          </w:p>
          <w:p w:rsidR="00262B22" w:rsidRPr="00661595" w:rsidRDefault="00DA4AAE"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This row</w:t>
            </w:r>
            <w:r w:rsidR="00FD54FC" w:rsidRPr="00661595">
              <w:rPr>
                <w:rFonts w:ascii="Times New Roman" w:hAnsi="Times New Roman"/>
                <w:bCs/>
                <w:sz w:val="24"/>
                <w:lang w:eastAsia="de-DE"/>
              </w:rPr>
              <w:t xml:space="preserve"> cover</w:t>
            </w:r>
            <w:r w:rsidRPr="00661595">
              <w:rPr>
                <w:rFonts w:ascii="Times New Roman" w:hAnsi="Times New Roman"/>
                <w:bCs/>
                <w:sz w:val="24"/>
                <w:lang w:eastAsia="de-DE"/>
              </w:rPr>
              <w:t>s</w:t>
            </w:r>
            <w:r w:rsidR="00FD54FC" w:rsidRPr="00661595">
              <w:rPr>
                <w:rFonts w:ascii="Times New Roman" w:hAnsi="Times New Roman"/>
                <w:bCs/>
                <w:sz w:val="24"/>
                <w:lang w:eastAsia="de-DE"/>
              </w:rPr>
              <w:t xml:space="preserve"> positions for which </w:t>
            </w:r>
            <w:r w:rsidR="00262B22" w:rsidRPr="00661595">
              <w:rPr>
                <w:rFonts w:ascii="Times New Roman" w:hAnsi="Times New Roman"/>
                <w:bCs/>
                <w:sz w:val="24"/>
                <w:lang w:eastAsia="de-DE"/>
              </w:rPr>
              <w:t>one of the following own funds requirements of</w:t>
            </w:r>
            <w:r w:rsidR="00FD54FC" w:rsidRPr="00661595">
              <w:rPr>
                <w:rFonts w:ascii="Times New Roman" w:hAnsi="Times New Roman"/>
                <w:bCs/>
                <w:sz w:val="24"/>
                <w:lang w:eastAsia="de-DE"/>
              </w:rPr>
              <w:t xml:space="preserve"> Title IV of Part Three CRR</w:t>
            </w:r>
            <w:r w:rsidR="00262B22" w:rsidRPr="00661595">
              <w:rPr>
                <w:rFonts w:ascii="Times New Roman" w:hAnsi="Times New Roman"/>
                <w:bCs/>
                <w:sz w:val="24"/>
                <w:lang w:eastAsia="de-DE"/>
              </w:rPr>
              <w:t xml:space="preserve"> is calculated:</w:t>
            </w:r>
          </w:p>
          <w:p w:rsidR="00AB5C94" w:rsidRPr="00661595" w:rsidRDefault="00262B22" w:rsidP="000911FE">
            <w:pPr>
              <w:pStyle w:val="ListParagraph"/>
              <w:numPr>
                <w:ilvl w:val="0"/>
                <w:numId w:val="31"/>
              </w:numPr>
              <w:rPr>
                <w:rFonts w:ascii="Times New Roman" w:hAnsi="Times New Roman"/>
                <w:bCs/>
                <w:sz w:val="24"/>
                <w:lang w:eastAsia="de-DE"/>
              </w:rPr>
            </w:pPr>
            <w:r w:rsidRPr="00661595">
              <w:rPr>
                <w:rFonts w:ascii="Times New Roman" w:hAnsi="Times New Roman"/>
                <w:bCs/>
                <w:sz w:val="24"/>
                <w:lang w:eastAsia="de-DE"/>
              </w:rPr>
              <w:t>Own funds requirements for position risk in accordance with Article 326 CRR</w:t>
            </w:r>
          </w:p>
          <w:p w:rsidR="00FD54FC" w:rsidRPr="00661595" w:rsidRDefault="00AB5C94" w:rsidP="000911FE">
            <w:pPr>
              <w:pStyle w:val="ListParagraph"/>
              <w:numPr>
                <w:ilvl w:val="0"/>
                <w:numId w:val="31"/>
              </w:numPr>
              <w:rPr>
                <w:lang w:eastAsia="de-DE"/>
              </w:rPr>
            </w:pPr>
            <w:r w:rsidRPr="00661595">
              <w:rPr>
                <w:rFonts w:ascii="Times New Roman" w:hAnsi="Times New Roman"/>
                <w:bCs/>
                <w:sz w:val="24"/>
                <w:lang w:eastAsia="de-DE"/>
              </w:rPr>
              <w:t>Own funds requirements for specific or general risk in accordance with Chapter 5 of Title IV of Part Three CRR</w:t>
            </w:r>
            <w:r w:rsidR="00FD54FC" w:rsidRPr="00661595">
              <w:rPr>
                <w:rFonts w:ascii="Times New Roman" w:hAnsi="Times New Roman"/>
                <w:bCs/>
                <w:sz w:val="24"/>
                <w:lang w:eastAsia="de-DE"/>
              </w:rPr>
              <w:t>.</w:t>
            </w:r>
            <w:r w:rsidR="00262B22" w:rsidRPr="00661595">
              <w:rPr>
                <w:rFonts w:ascii="Times New Roman" w:hAnsi="Times New Roman"/>
                <w:bCs/>
                <w:sz w:val="24"/>
                <w:lang w:eastAsia="de-DE"/>
              </w:rPr>
              <w:t xml:space="preserve"> </w:t>
            </w: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 xml:space="preserve">Direct exposures </w:t>
            </w:r>
            <w:r w:rsidR="00CE47AF" w:rsidRPr="00661595">
              <w:rPr>
                <w:rFonts w:ascii="Times New Roman" w:hAnsi="Times New Roman"/>
                <w:bCs/>
                <w:sz w:val="24"/>
                <w:lang w:eastAsia="de-DE"/>
              </w:rPr>
              <w:t>within the scope of Article 271 CRR</w:t>
            </w:r>
            <w:r w:rsidRPr="00661595">
              <w:rPr>
                <w:rFonts w:ascii="Times New Roman" w:hAnsi="Times New Roman"/>
                <w:bCs/>
                <w:sz w:val="24"/>
                <w:lang w:eastAsia="de-DE"/>
              </w:rPr>
              <w:t xml:space="preserve"> subject to </w:t>
            </w:r>
            <w:r w:rsidR="00CE47AF" w:rsidRPr="00661595">
              <w:rPr>
                <w:rFonts w:ascii="Times New Roman" w:hAnsi="Times New Roman"/>
                <w:bCs/>
                <w:sz w:val="24"/>
                <w:lang w:eastAsia="de-DE"/>
              </w:rPr>
              <w:t xml:space="preserve">own funds requirements for </w:t>
            </w:r>
            <w:r w:rsidRPr="00661595">
              <w:rPr>
                <w:rFonts w:ascii="Times New Roman" w:hAnsi="Times New Roman"/>
                <w:bCs/>
                <w:sz w:val="24"/>
                <w:lang w:eastAsia="de-DE"/>
              </w:rPr>
              <w:t xml:space="preserve">both counterparty credit risk and market risk </w:t>
            </w:r>
            <w:r w:rsidR="00542EAE" w:rsidRPr="00661595">
              <w:rPr>
                <w:rFonts w:ascii="Times New Roman" w:hAnsi="Times New Roman"/>
                <w:bCs/>
                <w:sz w:val="24"/>
                <w:lang w:eastAsia="de-DE"/>
              </w:rPr>
              <w:t xml:space="preserve">shall </w:t>
            </w:r>
            <w:r w:rsidRPr="00661595">
              <w:rPr>
                <w:rFonts w:ascii="Times New Roman" w:hAnsi="Times New Roman"/>
                <w:bCs/>
                <w:sz w:val="24"/>
                <w:lang w:eastAsia="de-DE"/>
              </w:rPr>
              <w:t>be reported both in the credit risk rows (</w:t>
            </w:r>
            <w:r w:rsidR="00535792" w:rsidRPr="00661595">
              <w:rPr>
                <w:rFonts w:ascii="Times New Roman" w:hAnsi="Times New Roman"/>
                <w:bCs/>
                <w:sz w:val="24"/>
                <w:lang w:eastAsia="de-DE"/>
              </w:rPr>
              <w:t>0</w:t>
            </w:r>
            <w:r w:rsidRPr="00661595">
              <w:rPr>
                <w:rFonts w:ascii="Times New Roman" w:hAnsi="Times New Roman"/>
                <w:bCs/>
                <w:sz w:val="24"/>
                <w:lang w:eastAsia="de-DE"/>
              </w:rPr>
              <w:t xml:space="preserve">020 to </w:t>
            </w:r>
            <w:r w:rsidR="00AB5C94" w:rsidRPr="00661595">
              <w:rPr>
                <w:rFonts w:ascii="Times New Roman" w:hAnsi="Times New Roman"/>
                <w:bCs/>
                <w:sz w:val="24"/>
                <w:lang w:eastAsia="de-DE"/>
              </w:rPr>
              <w:t>0</w:t>
            </w:r>
            <w:r w:rsidRPr="00661595">
              <w:rPr>
                <w:rFonts w:ascii="Times New Roman" w:hAnsi="Times New Roman"/>
                <w:bCs/>
                <w:sz w:val="24"/>
                <w:lang w:eastAsia="de-DE"/>
              </w:rPr>
              <w:t>15</w:t>
            </w:r>
            <w:r w:rsidR="00257FBC" w:rsidRPr="00661595">
              <w:rPr>
                <w:rFonts w:ascii="Times New Roman" w:hAnsi="Times New Roman"/>
                <w:bCs/>
                <w:sz w:val="24"/>
                <w:lang w:eastAsia="de-DE"/>
              </w:rPr>
              <w:t>5</w:t>
            </w:r>
            <w:r w:rsidRPr="00661595">
              <w:rPr>
                <w:rFonts w:ascii="Times New Roman" w:hAnsi="Times New Roman"/>
                <w:bCs/>
                <w:sz w:val="24"/>
                <w:lang w:eastAsia="de-DE"/>
              </w:rPr>
              <w:t xml:space="preserve">) and the market risk row (row </w:t>
            </w:r>
            <w:r w:rsidR="00535792" w:rsidRPr="00661595">
              <w:rPr>
                <w:rFonts w:ascii="Times New Roman" w:hAnsi="Times New Roman"/>
                <w:bCs/>
                <w:sz w:val="24"/>
                <w:lang w:eastAsia="de-DE"/>
              </w:rPr>
              <w:t>0</w:t>
            </w:r>
            <w:r w:rsidRPr="00661595">
              <w:rPr>
                <w:rFonts w:ascii="Times New Roman" w:hAnsi="Times New Roman"/>
                <w:bCs/>
                <w:sz w:val="24"/>
                <w:lang w:eastAsia="de-DE"/>
              </w:rPr>
              <w:t>160)</w:t>
            </w:r>
            <w:r w:rsidR="00CE47AF" w:rsidRPr="00661595">
              <w:rPr>
                <w:rFonts w:ascii="Times New Roman" w:hAnsi="Times New Roman"/>
                <w:bCs/>
                <w:sz w:val="24"/>
                <w:lang w:eastAsia="de-DE"/>
              </w:rPr>
              <w:t xml:space="preserve">: the </w:t>
            </w:r>
            <w:r w:rsidRPr="00661595">
              <w:rPr>
                <w:rFonts w:ascii="Times New Roman" w:hAnsi="Times New Roman"/>
                <w:bCs/>
                <w:sz w:val="24"/>
                <w:lang w:eastAsia="de-DE"/>
              </w:rPr>
              <w:t xml:space="preserve">exposure due to counterparty credit risk </w:t>
            </w:r>
            <w:r w:rsidR="00542EAE" w:rsidRPr="00661595">
              <w:rPr>
                <w:rFonts w:ascii="Times New Roman" w:hAnsi="Times New Roman"/>
                <w:bCs/>
                <w:sz w:val="24"/>
                <w:lang w:eastAsia="de-DE"/>
              </w:rPr>
              <w:t xml:space="preserve">shall </w:t>
            </w:r>
            <w:r w:rsidRPr="00661595">
              <w:rPr>
                <w:rFonts w:ascii="Times New Roman" w:hAnsi="Times New Roman"/>
                <w:bCs/>
                <w:sz w:val="24"/>
                <w:lang w:eastAsia="de-DE"/>
              </w:rPr>
              <w:t xml:space="preserve">be reported in the credit risk rows, while the exposure due to market risk </w:t>
            </w:r>
            <w:r w:rsidR="00542EAE" w:rsidRPr="00661595">
              <w:rPr>
                <w:rFonts w:ascii="Times New Roman" w:hAnsi="Times New Roman"/>
                <w:bCs/>
                <w:sz w:val="24"/>
                <w:lang w:eastAsia="de-DE"/>
              </w:rPr>
              <w:t xml:space="preserve">shall </w:t>
            </w:r>
            <w:r w:rsidRPr="00661595">
              <w:rPr>
                <w:rFonts w:ascii="Times New Roman" w:hAnsi="Times New Roman"/>
                <w:bCs/>
                <w:sz w:val="24"/>
                <w:lang w:eastAsia="de-DE"/>
              </w:rPr>
              <w:t>be reported in the market risk row.</w:t>
            </w:r>
          </w:p>
          <w:p w:rsidR="00FD54FC" w:rsidRPr="00661595" w:rsidRDefault="00FD54FC" w:rsidP="00FD54FC">
            <w:pPr>
              <w:spacing w:before="0" w:after="0"/>
              <w:ind w:left="33"/>
              <w:rPr>
                <w:rFonts w:ascii="Times New Roman" w:hAnsi="Times New Roman"/>
                <w:bCs/>
                <w:sz w:val="24"/>
                <w:lang w:eastAsia="de-DE"/>
              </w:rPr>
            </w:pPr>
          </w:p>
        </w:tc>
      </w:tr>
      <w:tr w:rsidR="00FD54FC" w:rsidRPr="00661595" w:rsidTr="00672D2A">
        <w:tc>
          <w:tcPr>
            <w:tcW w:w="1188" w:type="dxa"/>
          </w:tcPr>
          <w:p w:rsidR="00FD54FC" w:rsidRPr="00661595" w:rsidRDefault="00535792" w:rsidP="00B74792">
            <w:pPr>
              <w:spacing w:before="0" w:after="0"/>
              <w:ind w:left="33"/>
              <w:rPr>
                <w:rFonts w:ascii="Times New Roman" w:hAnsi="Times New Roman"/>
                <w:bCs/>
                <w:sz w:val="24"/>
                <w:lang w:eastAsia="de-DE"/>
              </w:rPr>
            </w:pPr>
            <w:r w:rsidRPr="00661595">
              <w:rPr>
                <w:rFonts w:ascii="Times New Roman" w:hAnsi="Times New Roman"/>
                <w:bCs/>
                <w:sz w:val="24"/>
                <w:lang w:eastAsia="de-DE"/>
              </w:rPr>
              <w:t>0</w:t>
            </w:r>
            <w:r w:rsidR="00FD54FC" w:rsidRPr="00661595">
              <w:rPr>
                <w:rFonts w:ascii="Times New Roman" w:hAnsi="Times New Roman"/>
                <w:bCs/>
                <w:sz w:val="24"/>
                <w:lang w:eastAsia="de-DE"/>
              </w:rPr>
              <w:t>170</w:t>
            </w:r>
            <w:r w:rsidR="00B74792" w:rsidRPr="00661595">
              <w:rPr>
                <w:rFonts w:ascii="Times New Roman" w:hAnsi="Times New Roman"/>
                <w:bCs/>
                <w:sz w:val="24"/>
                <w:lang w:eastAsia="de-DE"/>
              </w:rPr>
              <w:t>-</w:t>
            </w:r>
            <w:r w:rsidRPr="00661595">
              <w:rPr>
                <w:rFonts w:ascii="Times New Roman" w:hAnsi="Times New Roman"/>
                <w:bCs/>
                <w:sz w:val="24"/>
                <w:lang w:eastAsia="de-DE"/>
              </w:rPr>
              <w:t>0</w:t>
            </w:r>
            <w:r w:rsidR="00FD54FC" w:rsidRPr="00661595">
              <w:rPr>
                <w:rFonts w:ascii="Times New Roman" w:hAnsi="Times New Roman"/>
                <w:bCs/>
                <w:sz w:val="24"/>
                <w:lang w:eastAsia="de-DE"/>
              </w:rPr>
              <w:t>230</w:t>
            </w:r>
          </w:p>
        </w:tc>
        <w:tc>
          <w:tcPr>
            <w:tcW w:w="8701" w:type="dxa"/>
          </w:tcPr>
          <w:p w:rsidR="00FD54FC" w:rsidRPr="00661595" w:rsidRDefault="00FD54FC" w:rsidP="00FD54FC">
            <w:pPr>
              <w:spacing w:before="0" w:after="0"/>
              <w:ind w:left="33"/>
              <w:rPr>
                <w:rFonts w:ascii="Times New Roman" w:hAnsi="Times New Roman"/>
                <w:b/>
                <w:bCs/>
                <w:sz w:val="24"/>
                <w:lang w:eastAsia="de-DE"/>
              </w:rPr>
            </w:pPr>
            <w:r w:rsidRPr="00661595">
              <w:rPr>
                <w:rFonts w:ascii="Times New Roman" w:hAnsi="Times New Roman"/>
                <w:b/>
                <w:bCs/>
                <w:sz w:val="24"/>
                <w:lang w:eastAsia="de-DE"/>
              </w:rPr>
              <w:t>BREAKDOWN OF EXPOSURES BY RESIDUAL MATURITY</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Residual maturity shall be computed in days between the contractual date of maturity and the reporting reference date for all positions.</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FD54F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Exposures to General governments shall be broken-down by residual maturity and allocated to the buckets provided as follows:</w:t>
            </w:r>
          </w:p>
          <w:p w:rsidR="00FD54FC" w:rsidRPr="00661595" w:rsidRDefault="00FD54FC" w:rsidP="00FD54FC">
            <w:pPr>
              <w:spacing w:before="0" w:after="0"/>
              <w:ind w:left="33"/>
              <w:rPr>
                <w:rFonts w:ascii="Times New Roman" w:hAnsi="Times New Roman"/>
                <w:bCs/>
                <w:sz w:val="24"/>
                <w:lang w:eastAsia="de-DE"/>
              </w:rPr>
            </w:pPr>
          </w:p>
          <w:p w:rsidR="00FD54FC" w:rsidRPr="00661595" w:rsidRDefault="00125707" w:rsidP="0023700C">
            <w:pPr>
              <w:spacing w:before="0" w:after="0"/>
              <w:ind w:left="808" w:hanging="360"/>
              <w:rPr>
                <w:rFonts w:ascii="Times New Roman" w:hAnsi="Times New Roman"/>
                <w:bCs/>
                <w:sz w:val="24"/>
                <w:lang w:eastAsia="de-DE"/>
              </w:rPr>
            </w:pPr>
            <w:r w:rsidRPr="00661595">
              <w:rPr>
                <w:rFonts w:ascii="Symbol" w:hAnsi="Symbol"/>
                <w:bCs/>
                <w:sz w:val="24"/>
                <w:lang w:eastAsia="de-DE"/>
              </w:rPr>
              <w:t></w:t>
            </w:r>
            <w:r w:rsidRPr="00661595">
              <w:rPr>
                <w:rFonts w:ascii="Symbol" w:hAnsi="Symbol"/>
                <w:bCs/>
                <w:sz w:val="24"/>
                <w:lang w:eastAsia="de-DE"/>
              </w:rPr>
              <w:tab/>
            </w:r>
            <w:r w:rsidR="00FD54FC" w:rsidRPr="00661595">
              <w:rPr>
                <w:rFonts w:ascii="Times New Roman" w:hAnsi="Times New Roman"/>
                <w:b/>
                <w:bCs/>
                <w:sz w:val="24"/>
                <w:lang w:eastAsia="de-DE"/>
              </w:rPr>
              <w:t>[ 0 - 3M [</w:t>
            </w:r>
            <w:r w:rsidR="00FD54FC" w:rsidRPr="00661595">
              <w:rPr>
                <w:rFonts w:ascii="Times New Roman" w:hAnsi="Times New Roman"/>
                <w:bCs/>
                <w:sz w:val="24"/>
                <w:lang w:eastAsia="de-DE"/>
              </w:rPr>
              <w:t xml:space="preserve"> : Less than 90 days</w:t>
            </w:r>
            <w:r w:rsidR="00854146">
              <w:rPr>
                <w:rFonts w:ascii="Times New Roman" w:hAnsi="Times New Roman"/>
                <w:bCs/>
                <w:sz w:val="24"/>
                <w:lang w:eastAsia="de-DE"/>
              </w:rPr>
              <w:t>;</w:t>
            </w:r>
          </w:p>
          <w:p w:rsidR="00FD54FC" w:rsidRPr="00661595" w:rsidRDefault="00125707" w:rsidP="0023700C">
            <w:pPr>
              <w:spacing w:before="0" w:after="0"/>
              <w:ind w:left="808" w:hanging="360"/>
              <w:rPr>
                <w:rFonts w:ascii="Times New Roman" w:hAnsi="Times New Roman"/>
                <w:bCs/>
                <w:sz w:val="24"/>
                <w:lang w:eastAsia="de-DE"/>
              </w:rPr>
            </w:pPr>
            <w:r w:rsidRPr="00661595">
              <w:rPr>
                <w:rFonts w:ascii="Symbol" w:hAnsi="Symbol"/>
                <w:bCs/>
                <w:sz w:val="24"/>
                <w:lang w:eastAsia="de-DE"/>
              </w:rPr>
              <w:t></w:t>
            </w:r>
            <w:r w:rsidRPr="00661595">
              <w:rPr>
                <w:rFonts w:ascii="Symbol" w:hAnsi="Symbol"/>
                <w:bCs/>
                <w:sz w:val="24"/>
                <w:lang w:eastAsia="de-DE"/>
              </w:rPr>
              <w:tab/>
            </w:r>
            <w:r w:rsidR="00FD54FC" w:rsidRPr="00661595">
              <w:rPr>
                <w:rFonts w:ascii="Times New Roman" w:hAnsi="Times New Roman"/>
                <w:b/>
                <w:bCs/>
                <w:sz w:val="24"/>
                <w:lang w:eastAsia="de-DE"/>
              </w:rPr>
              <w:t>[ 3M - 1Y [</w:t>
            </w:r>
            <w:r w:rsidR="00FD54FC" w:rsidRPr="00661595">
              <w:rPr>
                <w:rFonts w:ascii="Times New Roman" w:hAnsi="Times New Roman"/>
                <w:bCs/>
                <w:sz w:val="24"/>
                <w:lang w:eastAsia="de-DE"/>
              </w:rPr>
              <w:t xml:space="preserve"> : Equal or greater than 90 days and less than 365 days</w:t>
            </w:r>
            <w:r w:rsidR="00854146">
              <w:rPr>
                <w:rFonts w:ascii="Times New Roman" w:hAnsi="Times New Roman"/>
                <w:bCs/>
                <w:sz w:val="24"/>
                <w:lang w:eastAsia="de-DE"/>
              </w:rPr>
              <w:t>;</w:t>
            </w:r>
          </w:p>
          <w:p w:rsidR="00FD54FC" w:rsidRPr="00661595" w:rsidRDefault="00125707" w:rsidP="0023700C">
            <w:pPr>
              <w:spacing w:before="0" w:after="0"/>
              <w:ind w:left="808" w:hanging="360"/>
              <w:rPr>
                <w:rFonts w:ascii="Times New Roman" w:hAnsi="Times New Roman"/>
                <w:bCs/>
                <w:sz w:val="24"/>
                <w:lang w:eastAsia="de-DE"/>
              </w:rPr>
            </w:pPr>
            <w:r w:rsidRPr="00661595">
              <w:rPr>
                <w:rFonts w:ascii="Symbol" w:hAnsi="Symbol"/>
                <w:bCs/>
                <w:sz w:val="24"/>
                <w:lang w:eastAsia="de-DE"/>
              </w:rPr>
              <w:t></w:t>
            </w:r>
            <w:r w:rsidRPr="00661595">
              <w:rPr>
                <w:rFonts w:ascii="Symbol" w:hAnsi="Symbol"/>
                <w:bCs/>
                <w:sz w:val="24"/>
                <w:lang w:eastAsia="de-DE"/>
              </w:rPr>
              <w:tab/>
            </w:r>
            <w:r w:rsidR="00FD54FC" w:rsidRPr="00661595">
              <w:rPr>
                <w:rFonts w:ascii="Times New Roman" w:hAnsi="Times New Roman"/>
                <w:b/>
                <w:bCs/>
                <w:sz w:val="24"/>
                <w:lang w:eastAsia="de-DE"/>
              </w:rPr>
              <w:t>[ 1Y – 2Y [</w:t>
            </w:r>
            <w:r w:rsidR="00FD54FC" w:rsidRPr="00661595">
              <w:rPr>
                <w:rFonts w:ascii="Times New Roman" w:hAnsi="Times New Roman"/>
                <w:bCs/>
                <w:sz w:val="24"/>
                <w:lang w:eastAsia="de-DE"/>
              </w:rPr>
              <w:t xml:space="preserve"> : Equal or greater than 365 days and less than 730 days</w:t>
            </w:r>
            <w:r w:rsidR="00854146">
              <w:rPr>
                <w:rFonts w:ascii="Times New Roman" w:hAnsi="Times New Roman"/>
                <w:bCs/>
                <w:sz w:val="24"/>
                <w:lang w:eastAsia="de-DE"/>
              </w:rPr>
              <w:t>;</w:t>
            </w:r>
          </w:p>
          <w:p w:rsidR="00FD54FC" w:rsidRPr="00661595" w:rsidRDefault="00125707" w:rsidP="0023700C">
            <w:pPr>
              <w:spacing w:before="0" w:after="0"/>
              <w:ind w:left="808" w:hanging="360"/>
              <w:rPr>
                <w:rFonts w:ascii="Times New Roman" w:hAnsi="Times New Roman"/>
                <w:bCs/>
                <w:sz w:val="24"/>
                <w:lang w:eastAsia="de-DE"/>
              </w:rPr>
            </w:pPr>
            <w:r w:rsidRPr="00661595">
              <w:rPr>
                <w:rFonts w:ascii="Symbol" w:hAnsi="Symbol"/>
                <w:bCs/>
                <w:sz w:val="24"/>
                <w:lang w:eastAsia="de-DE"/>
              </w:rPr>
              <w:t></w:t>
            </w:r>
            <w:r w:rsidRPr="00661595">
              <w:rPr>
                <w:rFonts w:ascii="Symbol" w:hAnsi="Symbol"/>
                <w:bCs/>
                <w:sz w:val="24"/>
                <w:lang w:eastAsia="de-DE"/>
              </w:rPr>
              <w:tab/>
            </w:r>
            <w:r w:rsidR="00FD54FC" w:rsidRPr="00661595">
              <w:rPr>
                <w:rFonts w:ascii="Times New Roman" w:hAnsi="Times New Roman"/>
                <w:b/>
                <w:bCs/>
                <w:sz w:val="24"/>
                <w:lang w:eastAsia="de-DE"/>
              </w:rPr>
              <w:t>[ 2Y – 3Y [</w:t>
            </w:r>
            <w:r w:rsidR="00FD54FC" w:rsidRPr="00661595">
              <w:rPr>
                <w:rFonts w:ascii="Times New Roman" w:hAnsi="Times New Roman"/>
                <w:bCs/>
                <w:sz w:val="24"/>
                <w:lang w:eastAsia="de-DE"/>
              </w:rPr>
              <w:t xml:space="preserve"> : Equal or greater than 730 days and less than 1</w:t>
            </w:r>
            <w:r w:rsidR="00A92F0D" w:rsidRPr="00661595">
              <w:rPr>
                <w:rFonts w:ascii="Times New Roman" w:hAnsi="Times New Roman"/>
                <w:bCs/>
                <w:sz w:val="24"/>
                <w:lang w:eastAsia="de-DE"/>
              </w:rPr>
              <w:t> </w:t>
            </w:r>
            <w:r w:rsidR="00FD54FC" w:rsidRPr="00661595">
              <w:rPr>
                <w:rFonts w:ascii="Times New Roman" w:hAnsi="Times New Roman"/>
                <w:bCs/>
                <w:sz w:val="24"/>
                <w:lang w:eastAsia="de-DE"/>
              </w:rPr>
              <w:t>095 days</w:t>
            </w:r>
            <w:r w:rsidR="00854146">
              <w:rPr>
                <w:rFonts w:ascii="Times New Roman" w:hAnsi="Times New Roman"/>
                <w:bCs/>
                <w:sz w:val="24"/>
                <w:lang w:eastAsia="de-DE"/>
              </w:rPr>
              <w:t>;</w:t>
            </w:r>
          </w:p>
          <w:p w:rsidR="00FD54FC" w:rsidRPr="00661595" w:rsidRDefault="00125707" w:rsidP="0023700C">
            <w:pPr>
              <w:spacing w:before="0" w:after="0"/>
              <w:ind w:left="808" w:hanging="360"/>
              <w:rPr>
                <w:rFonts w:ascii="Times New Roman" w:hAnsi="Times New Roman"/>
                <w:bCs/>
                <w:sz w:val="24"/>
                <w:lang w:eastAsia="de-DE"/>
              </w:rPr>
            </w:pPr>
            <w:r w:rsidRPr="00661595">
              <w:rPr>
                <w:rFonts w:ascii="Symbol" w:hAnsi="Symbol"/>
                <w:bCs/>
                <w:sz w:val="24"/>
                <w:lang w:eastAsia="de-DE"/>
              </w:rPr>
              <w:t></w:t>
            </w:r>
            <w:r w:rsidRPr="00661595">
              <w:rPr>
                <w:rFonts w:ascii="Symbol" w:hAnsi="Symbol"/>
                <w:bCs/>
                <w:sz w:val="24"/>
                <w:lang w:eastAsia="de-DE"/>
              </w:rPr>
              <w:tab/>
            </w:r>
            <w:r w:rsidR="00FD54FC" w:rsidRPr="00661595">
              <w:rPr>
                <w:rFonts w:ascii="Times New Roman" w:hAnsi="Times New Roman"/>
                <w:b/>
                <w:bCs/>
                <w:sz w:val="24"/>
                <w:lang w:eastAsia="de-DE"/>
              </w:rPr>
              <w:t>[ 3Y – 5Y [</w:t>
            </w:r>
            <w:r w:rsidR="00FD54FC" w:rsidRPr="00661595">
              <w:rPr>
                <w:rFonts w:ascii="Times New Roman" w:hAnsi="Times New Roman"/>
                <w:bCs/>
                <w:sz w:val="24"/>
                <w:lang w:eastAsia="de-DE"/>
              </w:rPr>
              <w:t xml:space="preserve"> : Equal or greater than 1</w:t>
            </w:r>
            <w:r w:rsidR="00A92F0D" w:rsidRPr="00661595">
              <w:rPr>
                <w:rFonts w:ascii="Times New Roman" w:hAnsi="Times New Roman"/>
                <w:bCs/>
                <w:sz w:val="24"/>
                <w:lang w:eastAsia="de-DE"/>
              </w:rPr>
              <w:t> </w:t>
            </w:r>
            <w:r w:rsidR="00FD54FC" w:rsidRPr="00661595">
              <w:rPr>
                <w:rFonts w:ascii="Times New Roman" w:hAnsi="Times New Roman"/>
                <w:bCs/>
                <w:sz w:val="24"/>
                <w:lang w:eastAsia="de-DE"/>
              </w:rPr>
              <w:t>095 days and less than 1</w:t>
            </w:r>
            <w:r w:rsidR="00A92F0D" w:rsidRPr="00661595">
              <w:rPr>
                <w:rFonts w:ascii="Times New Roman" w:hAnsi="Times New Roman"/>
                <w:bCs/>
                <w:sz w:val="24"/>
                <w:lang w:eastAsia="de-DE"/>
              </w:rPr>
              <w:t> </w:t>
            </w:r>
            <w:r w:rsidR="00FD54FC" w:rsidRPr="00661595">
              <w:rPr>
                <w:rFonts w:ascii="Times New Roman" w:hAnsi="Times New Roman"/>
                <w:bCs/>
                <w:sz w:val="24"/>
                <w:lang w:eastAsia="de-DE"/>
              </w:rPr>
              <w:t>825 days</w:t>
            </w:r>
            <w:r w:rsidR="00854146">
              <w:rPr>
                <w:rFonts w:ascii="Times New Roman" w:hAnsi="Times New Roman"/>
                <w:bCs/>
                <w:sz w:val="24"/>
                <w:lang w:eastAsia="de-DE"/>
              </w:rPr>
              <w:t>;</w:t>
            </w:r>
          </w:p>
          <w:p w:rsidR="00FD54FC" w:rsidRPr="00661595" w:rsidRDefault="00125707" w:rsidP="0023700C">
            <w:pPr>
              <w:spacing w:before="0" w:after="0"/>
              <w:ind w:left="808" w:hanging="360"/>
              <w:rPr>
                <w:rFonts w:ascii="Times New Roman" w:hAnsi="Times New Roman"/>
                <w:bCs/>
                <w:sz w:val="24"/>
                <w:lang w:eastAsia="de-DE"/>
              </w:rPr>
            </w:pPr>
            <w:r w:rsidRPr="00661595">
              <w:rPr>
                <w:rFonts w:ascii="Symbol" w:hAnsi="Symbol"/>
                <w:bCs/>
                <w:sz w:val="24"/>
                <w:lang w:eastAsia="de-DE"/>
              </w:rPr>
              <w:t></w:t>
            </w:r>
            <w:r w:rsidRPr="00661595">
              <w:rPr>
                <w:rFonts w:ascii="Symbol" w:hAnsi="Symbol"/>
                <w:bCs/>
                <w:sz w:val="24"/>
                <w:lang w:eastAsia="de-DE"/>
              </w:rPr>
              <w:tab/>
            </w:r>
            <w:r w:rsidR="00FD54FC" w:rsidRPr="00661595">
              <w:rPr>
                <w:rFonts w:ascii="Times New Roman" w:hAnsi="Times New Roman"/>
                <w:b/>
                <w:bCs/>
                <w:sz w:val="24"/>
                <w:lang w:eastAsia="de-DE"/>
              </w:rPr>
              <w:t>[ 5Y – 10Y [</w:t>
            </w:r>
            <w:r w:rsidR="00FD54FC" w:rsidRPr="00661595">
              <w:rPr>
                <w:rFonts w:ascii="Times New Roman" w:hAnsi="Times New Roman"/>
                <w:bCs/>
                <w:sz w:val="24"/>
                <w:lang w:eastAsia="de-DE"/>
              </w:rPr>
              <w:t xml:space="preserve"> : Equal or greater than 1</w:t>
            </w:r>
            <w:r w:rsidR="00A92F0D" w:rsidRPr="00661595">
              <w:rPr>
                <w:rFonts w:ascii="Times New Roman" w:hAnsi="Times New Roman"/>
                <w:bCs/>
                <w:sz w:val="24"/>
                <w:lang w:eastAsia="de-DE"/>
              </w:rPr>
              <w:t> </w:t>
            </w:r>
            <w:r w:rsidR="00FD54FC" w:rsidRPr="00661595">
              <w:rPr>
                <w:rFonts w:ascii="Times New Roman" w:hAnsi="Times New Roman"/>
                <w:bCs/>
                <w:sz w:val="24"/>
                <w:lang w:eastAsia="de-DE"/>
              </w:rPr>
              <w:t>825 days and less than 3</w:t>
            </w:r>
            <w:r w:rsidR="00A92F0D" w:rsidRPr="00661595">
              <w:rPr>
                <w:rFonts w:ascii="Times New Roman" w:hAnsi="Times New Roman"/>
                <w:bCs/>
                <w:sz w:val="24"/>
                <w:lang w:eastAsia="de-DE"/>
              </w:rPr>
              <w:t> </w:t>
            </w:r>
            <w:r w:rsidR="00FD54FC" w:rsidRPr="00661595">
              <w:rPr>
                <w:rFonts w:ascii="Times New Roman" w:hAnsi="Times New Roman"/>
                <w:bCs/>
                <w:sz w:val="24"/>
                <w:lang w:eastAsia="de-DE"/>
              </w:rPr>
              <w:t>650 days</w:t>
            </w:r>
            <w:r w:rsidR="00854146">
              <w:rPr>
                <w:rFonts w:ascii="Times New Roman" w:hAnsi="Times New Roman"/>
                <w:bCs/>
                <w:sz w:val="24"/>
                <w:lang w:eastAsia="de-DE"/>
              </w:rPr>
              <w:t>;</w:t>
            </w:r>
          </w:p>
          <w:p w:rsidR="00FD54FC" w:rsidRPr="00661595" w:rsidRDefault="00125707" w:rsidP="0023700C">
            <w:pPr>
              <w:spacing w:before="0" w:after="0"/>
              <w:ind w:left="808" w:hanging="360"/>
              <w:rPr>
                <w:rFonts w:ascii="Times New Roman" w:hAnsi="Times New Roman"/>
                <w:bCs/>
                <w:sz w:val="24"/>
                <w:lang w:eastAsia="de-DE"/>
              </w:rPr>
            </w:pPr>
            <w:r w:rsidRPr="00661595">
              <w:rPr>
                <w:rFonts w:ascii="Symbol" w:hAnsi="Symbol"/>
                <w:bCs/>
                <w:sz w:val="24"/>
                <w:lang w:eastAsia="de-DE"/>
              </w:rPr>
              <w:t></w:t>
            </w:r>
            <w:r w:rsidRPr="00661595">
              <w:rPr>
                <w:rFonts w:ascii="Symbol" w:hAnsi="Symbol"/>
                <w:bCs/>
                <w:sz w:val="24"/>
                <w:lang w:eastAsia="de-DE"/>
              </w:rPr>
              <w:tab/>
            </w:r>
            <w:r w:rsidR="00FD54FC" w:rsidRPr="00661595">
              <w:rPr>
                <w:rFonts w:ascii="Times New Roman" w:hAnsi="Times New Roman"/>
                <w:b/>
                <w:bCs/>
                <w:sz w:val="24"/>
                <w:lang w:eastAsia="de-DE"/>
              </w:rPr>
              <w:t>[ 10Y – more</w:t>
            </w:r>
            <w:r w:rsidR="00FD54FC" w:rsidRPr="00661595">
              <w:rPr>
                <w:rFonts w:ascii="Times New Roman" w:hAnsi="Times New Roman"/>
                <w:bCs/>
                <w:sz w:val="24"/>
                <w:lang w:eastAsia="de-DE"/>
              </w:rPr>
              <w:t xml:space="preserve"> : Equal or greater than 3</w:t>
            </w:r>
            <w:r w:rsidR="00A92F0D" w:rsidRPr="00661595">
              <w:rPr>
                <w:rFonts w:ascii="Times New Roman" w:hAnsi="Times New Roman"/>
                <w:bCs/>
                <w:sz w:val="24"/>
                <w:lang w:eastAsia="de-DE"/>
              </w:rPr>
              <w:t> </w:t>
            </w:r>
            <w:r w:rsidR="00FD54FC" w:rsidRPr="00661595">
              <w:rPr>
                <w:rFonts w:ascii="Times New Roman" w:hAnsi="Times New Roman"/>
                <w:bCs/>
                <w:sz w:val="24"/>
                <w:lang w:eastAsia="de-DE"/>
              </w:rPr>
              <w:t>650 days</w:t>
            </w:r>
            <w:r w:rsidR="00854146">
              <w:rPr>
                <w:rFonts w:ascii="Times New Roman" w:hAnsi="Times New Roman"/>
                <w:bCs/>
                <w:sz w:val="24"/>
                <w:lang w:eastAsia="de-DE"/>
              </w:rPr>
              <w:t>.</w:t>
            </w:r>
          </w:p>
          <w:p w:rsidR="00E1421C" w:rsidRPr="00661595" w:rsidRDefault="00E1421C" w:rsidP="0023700C">
            <w:pPr>
              <w:spacing w:before="0" w:after="0"/>
              <w:ind w:left="808" w:hanging="360"/>
              <w:rPr>
                <w:rFonts w:ascii="Times New Roman" w:hAnsi="Times New Roman"/>
                <w:bCs/>
                <w:sz w:val="24"/>
                <w:lang w:eastAsia="de-DE"/>
              </w:rPr>
            </w:pPr>
          </w:p>
          <w:p w:rsidR="00E1421C" w:rsidRPr="00661595" w:rsidRDefault="00E1421C" w:rsidP="00E1421C">
            <w:pPr>
              <w:spacing w:before="0" w:after="0"/>
              <w:rPr>
                <w:rFonts w:ascii="Times New Roman" w:hAnsi="Times New Roman"/>
                <w:bCs/>
                <w:sz w:val="24"/>
                <w:lang w:eastAsia="de-DE"/>
              </w:rPr>
            </w:pPr>
            <w:r w:rsidRPr="00661595">
              <w:rPr>
                <w:rFonts w:ascii="Times New Roman" w:hAnsi="Times New Roman"/>
                <w:bCs/>
                <w:sz w:val="24"/>
                <w:lang w:eastAsia="de-DE"/>
              </w:rPr>
              <w:t xml:space="preserve">Where the contractual date of maturity </w:t>
            </w:r>
            <w:r w:rsidR="009807C6">
              <w:rPr>
                <w:rFonts w:ascii="Times New Roman" w:hAnsi="Times New Roman"/>
                <w:bCs/>
                <w:sz w:val="24"/>
                <w:lang w:eastAsia="de-DE"/>
              </w:rPr>
              <w:t>is earlier than</w:t>
            </w:r>
            <w:r w:rsidRPr="00661595">
              <w:rPr>
                <w:rFonts w:ascii="Times New Roman" w:hAnsi="Times New Roman"/>
                <w:bCs/>
                <w:sz w:val="24"/>
                <w:lang w:eastAsia="de-DE"/>
              </w:rPr>
              <w:t xml:space="preserve"> the reporting reference date (i.e. the difference between reporting reference date and maturity date is a negative value), the exposure shall be allocated to the bucket [0 – 3M].</w:t>
            </w:r>
          </w:p>
          <w:p w:rsidR="00E1421C" w:rsidRPr="00661595" w:rsidRDefault="00E1421C" w:rsidP="00E1421C">
            <w:pPr>
              <w:spacing w:before="0" w:after="0"/>
              <w:rPr>
                <w:rFonts w:ascii="Times New Roman" w:hAnsi="Times New Roman"/>
                <w:bCs/>
                <w:sz w:val="24"/>
                <w:lang w:eastAsia="de-DE"/>
              </w:rPr>
            </w:pPr>
          </w:p>
          <w:p w:rsidR="00FD54FC" w:rsidRPr="00661595" w:rsidRDefault="00E1421C" w:rsidP="00FD54FC">
            <w:pPr>
              <w:spacing w:before="0" w:after="0"/>
              <w:ind w:left="33"/>
              <w:rPr>
                <w:rFonts w:ascii="Times New Roman" w:hAnsi="Times New Roman"/>
                <w:bCs/>
                <w:sz w:val="24"/>
                <w:lang w:eastAsia="de-DE"/>
              </w:rPr>
            </w:pPr>
            <w:r w:rsidRPr="00661595">
              <w:rPr>
                <w:rFonts w:ascii="Times New Roman" w:hAnsi="Times New Roman"/>
                <w:bCs/>
                <w:sz w:val="24"/>
                <w:lang w:eastAsia="de-DE"/>
              </w:rPr>
              <w:t>Exposures without a residual maturity shall be allocated to the residual maturity bucket on the basis of their period of notice or other contractual indications about the maturity.  If there is no predefined period of notice nor other contractual indication about the maturity, exposures shall be allocated to the residual maturity bucket [10Y – more].</w:t>
            </w:r>
          </w:p>
        </w:tc>
      </w:tr>
    </w:tbl>
    <w:p w:rsidR="00FD54FC" w:rsidRPr="00661595" w:rsidRDefault="00FD54FC" w:rsidP="006452A4">
      <w:pPr>
        <w:spacing w:after="0"/>
        <w:rPr>
          <w:rStyle w:val="InstructionsTabelleText"/>
          <w:rFonts w:ascii="Times New Roman" w:hAnsi="Times New Roman"/>
          <w:sz w:val="24"/>
        </w:rPr>
      </w:pPr>
    </w:p>
    <w:p w:rsidR="00DD00B4" w:rsidRPr="00661595" w:rsidRDefault="00DD00B4" w:rsidP="00DD00B4">
      <w:pPr>
        <w:pStyle w:val="Instructionsberschrift2"/>
        <w:numPr>
          <w:ilvl w:val="0"/>
          <w:numId w:val="0"/>
        </w:numPr>
        <w:ind w:left="357" w:hanging="357"/>
        <w:rPr>
          <w:rFonts w:ascii="Times New Roman" w:hAnsi="Times New Roman" w:cs="Times New Roman"/>
          <w:sz w:val="24"/>
          <w:u w:val="none"/>
          <w:lang w:val="en-GB"/>
        </w:rPr>
      </w:pPr>
      <w:bookmarkStart w:id="778" w:name="_Toc19715886"/>
      <w:bookmarkStart w:id="779" w:name="_Toc57831676"/>
      <w:bookmarkStart w:id="780" w:name="_Toc522019774"/>
      <w:r w:rsidRPr="00661595">
        <w:rPr>
          <w:rFonts w:ascii="Times New Roman" w:hAnsi="Times New Roman" w:cs="Times New Roman"/>
          <w:sz w:val="24"/>
          <w:u w:val="none"/>
          <w:lang w:val="en-GB"/>
        </w:rPr>
        <w:t>8.</w:t>
      </w:r>
      <w:r w:rsidRPr="00661595">
        <w:rPr>
          <w:rFonts w:ascii="Times New Roman" w:hAnsi="Times New Roman" w:cs="Times New Roman"/>
          <w:sz w:val="24"/>
          <w:u w:val="none"/>
          <w:lang w:val="en-GB"/>
        </w:rPr>
        <w:tab/>
        <w:t>NPE Loss Coverage (NPE LC)</w:t>
      </w:r>
      <w:bookmarkEnd w:id="778"/>
      <w:bookmarkEnd w:id="779"/>
    </w:p>
    <w:p w:rsidR="00DD00B4" w:rsidRPr="00751FBE" w:rsidRDefault="00DD00B4" w:rsidP="00DD00B4">
      <w:pPr>
        <w:pStyle w:val="Instructionsberschrift2"/>
        <w:numPr>
          <w:ilvl w:val="0"/>
          <w:numId w:val="0"/>
        </w:numPr>
        <w:ind w:left="357" w:hanging="357"/>
        <w:rPr>
          <w:rFonts w:ascii="Times New Roman" w:hAnsi="Times New Roman" w:cs="Times New Roman"/>
          <w:sz w:val="24"/>
          <w:u w:val="none"/>
          <w:lang w:val="en-GB"/>
        </w:rPr>
      </w:pPr>
      <w:bookmarkStart w:id="781" w:name="_Toc19715887"/>
      <w:bookmarkStart w:id="782" w:name="_Toc57831677"/>
      <w:r w:rsidRPr="00661595">
        <w:rPr>
          <w:rFonts w:ascii="Times New Roman" w:hAnsi="Times New Roman" w:cs="Times New Roman"/>
          <w:sz w:val="24"/>
          <w:u w:val="none"/>
          <w:lang w:val="en-GB"/>
        </w:rPr>
        <w:t>8.1.</w:t>
      </w:r>
      <w:r w:rsidRPr="00B50D11">
        <w:rPr>
          <w:rFonts w:ascii="Times New Roman" w:hAnsi="Times New Roman" w:cs="Times New Roman"/>
          <w:sz w:val="24"/>
          <w:u w:val="none"/>
          <w:lang w:val="en-GB"/>
        </w:rPr>
        <w:tab/>
        <w:t xml:space="preserve">General </w:t>
      </w:r>
      <w:r w:rsidRPr="00751FBE">
        <w:rPr>
          <w:rFonts w:ascii="Times New Roman" w:hAnsi="Times New Roman" w:cs="Times New Roman"/>
          <w:sz w:val="24"/>
          <w:u w:val="none"/>
          <w:lang w:val="en-GB"/>
        </w:rPr>
        <w:t>remarks</w:t>
      </w:r>
      <w:bookmarkEnd w:id="781"/>
      <w:bookmarkEnd w:id="782"/>
      <w:r w:rsidRPr="00751FBE">
        <w:rPr>
          <w:rFonts w:ascii="Times New Roman" w:hAnsi="Times New Roman" w:cs="Times New Roman"/>
          <w:sz w:val="24"/>
          <w:u w:val="none"/>
          <w:lang w:val="en-GB"/>
        </w:rPr>
        <w:t xml:space="preserve"> </w:t>
      </w:r>
    </w:p>
    <w:p w:rsidR="00DD00B4" w:rsidRPr="00751FBE" w:rsidRDefault="00840A22" w:rsidP="00487A02">
      <w:pPr>
        <w:pStyle w:val="InstructionsText2"/>
        <w:numPr>
          <w:ilvl w:val="0"/>
          <w:numId w:val="0"/>
        </w:numPr>
        <w:ind w:left="1353" w:hanging="360"/>
        <w:rPr>
          <w:noProof/>
        </w:rPr>
      </w:pPr>
      <w:r>
        <w:rPr>
          <w:noProof/>
        </w:rPr>
        <w:fldChar w:fldCharType="begin"/>
      </w:r>
      <w:r>
        <w:rPr>
          <w:noProof/>
        </w:rPr>
        <w:instrText xml:space="preserve"> seq paragraphs </w:instrText>
      </w:r>
      <w:r>
        <w:rPr>
          <w:noProof/>
        </w:rPr>
        <w:fldChar w:fldCharType="separate"/>
      </w:r>
      <w:r w:rsidR="00771068" w:rsidRPr="00751FBE">
        <w:rPr>
          <w:noProof/>
        </w:rPr>
        <w:t>200</w:t>
      </w:r>
      <w:r>
        <w:rPr>
          <w:noProof/>
        </w:rPr>
        <w:fldChar w:fldCharType="end"/>
      </w:r>
      <w:r w:rsidR="00DD00B4" w:rsidRPr="00751FBE">
        <w:rPr>
          <w:noProof/>
        </w:rPr>
        <w:t>. The NPE loss coverage templates contain information about non-performing exposures (NPEs</w:t>
      </w:r>
      <w:r w:rsidR="00DD00B4" w:rsidRPr="00771068">
        <w:rPr>
          <w:noProof/>
        </w:rPr>
        <w:t xml:space="preserve">) for the purposes of calculating the minimum loss coverage requirement </w:t>
      </w:r>
      <w:r w:rsidR="00DD00B4" w:rsidRPr="00751FBE">
        <w:rPr>
          <w:noProof/>
        </w:rPr>
        <w:t>for non-performing exposures as specified in Articles 47a, 47b and 47c CRR.</w:t>
      </w:r>
    </w:p>
    <w:p w:rsidR="00DD00B4" w:rsidRPr="00751FBE" w:rsidRDefault="00D11E4C" w:rsidP="00487A02">
      <w:pPr>
        <w:pStyle w:val="InstructionsText2"/>
        <w:numPr>
          <w:ilvl w:val="0"/>
          <w:numId w:val="0"/>
        </w:numPr>
        <w:ind w:left="1353" w:hanging="360"/>
      </w:pPr>
      <w:fldSimple w:instr=" seq paragraphs ">
        <w:r w:rsidR="00771068" w:rsidRPr="00751FBE">
          <w:t>201</w:t>
        </w:r>
      </w:fldSimple>
      <w:r w:rsidR="00771068" w:rsidRPr="00751FBE">
        <w:t>.</w:t>
      </w:r>
      <w:r w:rsidR="00DD00B4" w:rsidRPr="00751FBE">
        <w:t xml:space="preserve"> The block of templates consists of a set of three templates:</w:t>
      </w:r>
    </w:p>
    <w:p w:rsidR="00DD00B4" w:rsidRPr="00B50D11" w:rsidRDefault="00DD00B4" w:rsidP="006418A0">
      <w:pPr>
        <w:pStyle w:val="ListParagraph"/>
        <w:numPr>
          <w:ilvl w:val="0"/>
          <w:numId w:val="37"/>
        </w:numPr>
        <w:ind w:left="1077" w:hanging="357"/>
        <w:rPr>
          <w:rFonts w:ascii="Times New Roman" w:hAnsi="Times New Roman"/>
          <w:sz w:val="24"/>
        </w:rPr>
      </w:pPr>
      <w:r w:rsidRPr="00751FBE">
        <w:rPr>
          <w:rFonts w:ascii="Times New Roman" w:hAnsi="Times New Roman"/>
          <w:sz w:val="24"/>
        </w:rPr>
        <w:t>The</w:t>
      </w:r>
      <w:r w:rsidRPr="00771068">
        <w:rPr>
          <w:rFonts w:ascii="Times New Roman" w:hAnsi="Times New Roman"/>
          <w:sz w:val="24"/>
        </w:rPr>
        <w:t xml:space="preserve"> calculation of deductions for NPEs (C 35.01): this is an overview template indicating the applicable amount of insufficient coverage, calculated as the difference between the</w:t>
      </w:r>
      <w:r w:rsidRPr="00B50D11">
        <w:rPr>
          <w:rFonts w:ascii="Times New Roman" w:hAnsi="Times New Roman"/>
          <w:sz w:val="24"/>
        </w:rPr>
        <w:t xml:space="preserve"> total minimum coverage requirements for NPEs and the total provisions and adjustments or deductions already made. The template covers both the non-performing exposures where forbearance measure has not been granted, and non-performing forborne exposures.</w:t>
      </w:r>
    </w:p>
    <w:p w:rsidR="00DD00B4" w:rsidRPr="00771068" w:rsidRDefault="00DD00B4" w:rsidP="00D8617F">
      <w:pPr>
        <w:pStyle w:val="ListParagraph"/>
        <w:numPr>
          <w:ilvl w:val="0"/>
          <w:numId w:val="37"/>
        </w:numPr>
        <w:spacing w:line="276" w:lineRule="auto"/>
        <w:ind w:left="1077" w:hanging="357"/>
        <w:rPr>
          <w:rFonts w:ascii="Times New Roman" w:hAnsi="Times New Roman"/>
          <w:sz w:val="24"/>
        </w:rPr>
      </w:pPr>
      <w:r w:rsidRPr="00771068">
        <w:rPr>
          <w:rFonts w:ascii="Times New Roman" w:hAnsi="Times New Roman"/>
          <w:sz w:val="24"/>
        </w:rPr>
        <w:t>Minimum coverage requirements and exposure values of non-performing exposure</w:t>
      </w:r>
      <w:r w:rsidR="005563DA" w:rsidRPr="00771068">
        <w:rPr>
          <w:rFonts w:ascii="Times New Roman" w:hAnsi="Times New Roman"/>
          <w:sz w:val="24"/>
        </w:rPr>
        <w:t>s</w:t>
      </w:r>
      <w:r w:rsidRPr="00771068">
        <w:rPr>
          <w:rFonts w:ascii="Times New Roman" w:hAnsi="Times New Roman"/>
          <w:sz w:val="24"/>
        </w:rPr>
        <w:t xml:space="preserve">, excluding forborne exposures that fall under Article 47c(6) </w:t>
      </w:r>
      <w:r w:rsidR="000212B7">
        <w:rPr>
          <w:rFonts w:ascii="Times New Roman" w:hAnsi="Times New Roman"/>
          <w:sz w:val="24"/>
        </w:rPr>
        <w:t>CRR</w:t>
      </w:r>
      <w:r w:rsidRPr="00771068">
        <w:rPr>
          <w:rFonts w:ascii="Times New Roman" w:hAnsi="Times New Roman"/>
          <w:sz w:val="24"/>
        </w:rPr>
        <w:t xml:space="preserve"> (C 35.02): the template calculates the total minimum coverage requirements for non-performing exposures that are not non-performing forborne exposures that fall under Article 47c(6) CRR, indicating the factors to be applied on the exposure values for the purposes of this calculation given whether the exposure is secured or unsecured and given the time since the exposure became non-performing.  </w:t>
      </w:r>
    </w:p>
    <w:p w:rsidR="00DD00B4" w:rsidRPr="00771068" w:rsidRDefault="00DD00B4" w:rsidP="00D8617F">
      <w:pPr>
        <w:pStyle w:val="ListParagraph"/>
        <w:numPr>
          <w:ilvl w:val="0"/>
          <w:numId w:val="37"/>
        </w:numPr>
        <w:spacing w:line="276" w:lineRule="auto"/>
        <w:ind w:left="1077" w:hanging="357"/>
        <w:rPr>
          <w:rFonts w:ascii="Times New Roman" w:hAnsi="Times New Roman"/>
          <w:sz w:val="24"/>
        </w:rPr>
      </w:pPr>
      <w:r w:rsidRPr="00771068">
        <w:rPr>
          <w:rFonts w:ascii="Times New Roman" w:hAnsi="Times New Roman"/>
          <w:sz w:val="24"/>
        </w:rPr>
        <w:t xml:space="preserve">Minimum coverage requirements and exposure values of non-performing forborne exposures that fall under Article 47c(6) </w:t>
      </w:r>
      <w:r w:rsidR="00866C27">
        <w:rPr>
          <w:rFonts w:ascii="Times New Roman" w:hAnsi="Times New Roman"/>
          <w:sz w:val="24"/>
        </w:rPr>
        <w:t>CRR</w:t>
      </w:r>
      <w:r w:rsidRPr="00771068">
        <w:rPr>
          <w:rFonts w:ascii="Times New Roman" w:hAnsi="Times New Roman"/>
          <w:sz w:val="24"/>
        </w:rPr>
        <w:t xml:space="preserve"> (C 35.03): the template calculates the total minimum coverage requirements for non-performing forborne exposures that fall under Article 47c(6) </w:t>
      </w:r>
      <w:r w:rsidR="000212B7">
        <w:rPr>
          <w:rFonts w:ascii="Times New Roman" w:hAnsi="Times New Roman"/>
          <w:sz w:val="24"/>
        </w:rPr>
        <w:t>CRR</w:t>
      </w:r>
      <w:r w:rsidRPr="00771068">
        <w:rPr>
          <w:rFonts w:ascii="Times New Roman" w:hAnsi="Times New Roman"/>
          <w:sz w:val="24"/>
        </w:rPr>
        <w:t xml:space="preserve">, indicating the factors to be applied on the exposure values for the purposes of this calculation given whether the exposure is secured or unsecured and given the time since the exposure became non-performing.  </w:t>
      </w:r>
    </w:p>
    <w:p w:rsidR="00DD00B4" w:rsidRPr="00771068" w:rsidRDefault="00D11E4C" w:rsidP="00487A02">
      <w:pPr>
        <w:pStyle w:val="InstructionsText2"/>
        <w:numPr>
          <w:ilvl w:val="0"/>
          <w:numId w:val="0"/>
        </w:numPr>
        <w:ind w:left="1353" w:hanging="360"/>
      </w:pPr>
      <w:fldSimple w:instr=" seq paragraphs ">
        <w:r w:rsidR="00771068" w:rsidRPr="00751FBE">
          <w:t>202</w:t>
        </w:r>
      </w:fldSimple>
      <w:r w:rsidR="00771068" w:rsidRPr="00751FBE">
        <w:t xml:space="preserve">. </w:t>
      </w:r>
      <w:r w:rsidR="00381685">
        <w:t xml:space="preserve"> The</w:t>
      </w:r>
      <w:r w:rsidR="00381685" w:rsidRPr="00381685">
        <w:t xml:space="preserve"> the minimum loss coverage requirement for non-performing exposures </w:t>
      </w:r>
      <w:r w:rsidR="00DD00B4" w:rsidRPr="00751FBE">
        <w:t>applies to (i) expos</w:t>
      </w:r>
      <w:r w:rsidR="00DD00B4" w:rsidRPr="00771068">
        <w:t>ures, originated on and after 26 April 2019, that become non-performing, and (ii) exposures originated before 26 April 2019 when they are modified after that date in a way that increases their exposure value to the obligor (Article 469a</w:t>
      </w:r>
      <w:r w:rsidR="00381685">
        <w:t xml:space="preserve"> CRR</w:t>
      </w:r>
      <w:r w:rsidR="00DD00B4" w:rsidRPr="00771068">
        <w:t>), that become non-performing.</w:t>
      </w:r>
    </w:p>
    <w:p w:rsidR="00DD00B4" w:rsidRPr="00751FBE" w:rsidRDefault="00D11E4C" w:rsidP="00487A02">
      <w:pPr>
        <w:pStyle w:val="InstructionsText2"/>
        <w:numPr>
          <w:ilvl w:val="0"/>
          <w:numId w:val="0"/>
        </w:numPr>
        <w:ind w:left="1353" w:hanging="360"/>
      </w:pPr>
      <w:fldSimple w:instr=" seq paragraphs ">
        <w:r w:rsidR="00771068" w:rsidRPr="00751FBE">
          <w:t>203</w:t>
        </w:r>
      </w:fldSimple>
      <w:r w:rsidR="00771068" w:rsidRPr="00751FBE">
        <w:t xml:space="preserve">. </w:t>
      </w:r>
      <w:r w:rsidR="000212B7">
        <w:t>I</w:t>
      </w:r>
      <w:r w:rsidR="00DD00B4" w:rsidRPr="00751FBE">
        <w:t>nstitutions shall calculate the deductions for NPEs</w:t>
      </w:r>
      <w:r w:rsidR="004F0F3D" w:rsidRPr="004F0F3D">
        <w:t xml:space="preserve"> </w:t>
      </w:r>
      <w:r w:rsidR="004F0F3D">
        <w:t>in accordance with points (a) and (b) of Article 47c(1) CRR,</w:t>
      </w:r>
      <w:r w:rsidR="00DD00B4" w:rsidRPr="00751FBE">
        <w:t>, including  the calculation of minimum coverage requirements and total provisions and adjustments or deductions, at individual exposure level (‘transaction based’) and not at debtor or portfolio levels.</w:t>
      </w:r>
    </w:p>
    <w:p w:rsidR="00DD00B4" w:rsidRPr="00751FBE" w:rsidRDefault="00D11E4C" w:rsidP="00487A02">
      <w:pPr>
        <w:pStyle w:val="InstructionsText2"/>
        <w:numPr>
          <w:ilvl w:val="0"/>
          <w:numId w:val="0"/>
        </w:numPr>
        <w:ind w:left="1353" w:hanging="360"/>
      </w:pPr>
      <w:fldSimple w:instr=" seq paragraphs ">
        <w:r w:rsidR="00771068" w:rsidRPr="00751FBE">
          <w:t>204</w:t>
        </w:r>
      </w:fldSimple>
      <w:r w:rsidR="00771068" w:rsidRPr="00751FBE">
        <w:t xml:space="preserve">. </w:t>
      </w:r>
      <w:r w:rsidR="00866C27">
        <w:t>F</w:t>
      </w:r>
      <w:r w:rsidR="00DD00B4" w:rsidRPr="00751FBE">
        <w:t>or the purposes of calculating the deductions for NPEs, institutions shall differentiate between the unsecured and secured part of a NPE</w:t>
      </w:r>
      <w:r w:rsidR="00866C27" w:rsidRPr="00866C27">
        <w:t xml:space="preserve"> </w:t>
      </w:r>
      <w:r w:rsidR="00866C27">
        <w:t>in accordance with Article 47c(1) CRR</w:t>
      </w:r>
      <w:r w:rsidR="00DD00B4" w:rsidRPr="00751FBE">
        <w:t>. To this end, institutions shall report exposure values and minimum coverage requirements separately for the unsecured part of NPEs and for the secured part of NPEs.</w:t>
      </w:r>
    </w:p>
    <w:p w:rsidR="00DD00B4" w:rsidRPr="00751FBE" w:rsidRDefault="00D11E4C" w:rsidP="00487A02">
      <w:pPr>
        <w:pStyle w:val="InstructionsText2"/>
        <w:numPr>
          <w:ilvl w:val="0"/>
          <w:numId w:val="0"/>
        </w:numPr>
        <w:ind w:left="1353" w:hanging="360"/>
      </w:pPr>
      <w:fldSimple w:instr=" seq paragraphs ">
        <w:r w:rsidR="00771068" w:rsidRPr="00751FBE">
          <w:t>205</w:t>
        </w:r>
      </w:fldSimple>
      <w:r w:rsidR="00771068" w:rsidRPr="00751FBE">
        <w:t xml:space="preserve">. </w:t>
      </w:r>
      <w:r w:rsidR="00866C27">
        <w:t>For</w:t>
      </w:r>
      <w:r w:rsidR="00DD00B4" w:rsidRPr="00751FBE">
        <w:t xml:space="preserve"> the purposes of mapping of relevant applicable factors and calculating minimum coverage requirements, </w:t>
      </w:r>
      <w:r w:rsidR="00866C27">
        <w:t xml:space="preserve">institutions shall classify </w:t>
      </w:r>
      <w:r w:rsidR="00DD00B4" w:rsidRPr="00751FBE">
        <w:t xml:space="preserve">the secured part of NPEs </w:t>
      </w:r>
      <w:r w:rsidR="004F0F3D" w:rsidRPr="00751FBE">
        <w:t>depending on the type of credit protection</w:t>
      </w:r>
      <w:r w:rsidR="004F0F3D">
        <w:t xml:space="preserve"> </w:t>
      </w:r>
      <w:r w:rsidR="00866C27">
        <w:t>in accordance with Article 47c(3) CRR</w:t>
      </w:r>
      <w:r w:rsidR="00866C27" w:rsidRPr="00751FBE">
        <w:t xml:space="preserve"> </w:t>
      </w:r>
      <w:r w:rsidR="00DD00B4" w:rsidRPr="00751FBE">
        <w:t>as</w:t>
      </w:r>
      <w:r w:rsidR="00866C27">
        <w:t xml:space="preserve"> follows</w:t>
      </w:r>
      <w:r w:rsidR="00DD00B4" w:rsidRPr="00751FBE">
        <w:t xml:space="preserve">: (i) “secured by immovable property or residential loan guaranteed by an eligible protection provider as referred to in Art. 201”, (ii) “secured by other funded or unfunded credit protection” or (iii) “guaranteed or insured by an official export credit agency”,. When a non-performing exposure is secured by more than one type of credit protection, its exposure value shall be allocated according to the quality of the credit protection, starting from the one with the best quality. </w:t>
      </w:r>
    </w:p>
    <w:p w:rsidR="00DD00B4" w:rsidRPr="00661595" w:rsidRDefault="00DD00B4" w:rsidP="00DD00B4">
      <w:pPr>
        <w:pStyle w:val="Instructionsberschrift2"/>
        <w:numPr>
          <w:ilvl w:val="0"/>
          <w:numId w:val="0"/>
        </w:numPr>
        <w:ind w:left="357" w:hanging="357"/>
        <w:rPr>
          <w:rFonts w:ascii="Times New Roman" w:hAnsi="Times New Roman" w:cs="Times New Roman"/>
          <w:sz w:val="24"/>
          <w:u w:val="none"/>
          <w:lang w:val="en-GB"/>
        </w:rPr>
      </w:pPr>
      <w:bookmarkStart w:id="783" w:name="_Toc19715888"/>
      <w:bookmarkStart w:id="784" w:name="_Toc57831678"/>
      <w:r w:rsidRPr="00661595">
        <w:rPr>
          <w:rFonts w:ascii="Times New Roman" w:hAnsi="Times New Roman" w:cs="Times New Roman"/>
          <w:sz w:val="24"/>
          <w:u w:val="none"/>
          <w:lang w:val="en-GB"/>
        </w:rPr>
        <w:t xml:space="preserve">8.2. C 35.01 – </w:t>
      </w:r>
      <w:bookmarkEnd w:id="780"/>
      <w:r w:rsidRPr="00661595">
        <w:rPr>
          <w:rFonts w:ascii="Times New Roman" w:hAnsi="Times New Roman" w:cs="Times New Roman"/>
          <w:sz w:val="24"/>
          <w:u w:val="none"/>
          <w:lang w:val="en-GB"/>
        </w:rPr>
        <w:t>THE CALCULATION OF DEDUCTIONS FOR NON-PERFORMING EXPOSURES (NPE LC1)</w:t>
      </w:r>
      <w:bookmarkEnd w:id="783"/>
      <w:bookmarkEnd w:id="784"/>
    </w:p>
    <w:p w:rsidR="00DD00B4" w:rsidRPr="00661595" w:rsidRDefault="00DD00B4" w:rsidP="002F29AF">
      <w:pPr>
        <w:pStyle w:val="Instructionsberschrift2"/>
        <w:numPr>
          <w:ilvl w:val="2"/>
          <w:numId w:val="38"/>
        </w:numPr>
        <w:rPr>
          <w:rFonts w:ascii="Times New Roman" w:hAnsi="Times New Roman" w:cs="Times New Roman"/>
          <w:sz w:val="24"/>
          <w:lang w:val="en-GB"/>
        </w:rPr>
      </w:pPr>
      <w:bookmarkStart w:id="785" w:name="_Toc57831679"/>
      <w:r w:rsidRPr="00661595">
        <w:rPr>
          <w:rFonts w:ascii="Times New Roman" w:hAnsi="Times New Roman" w:cs="Times New Roman"/>
          <w:sz w:val="24"/>
          <w:lang w:val="en-GB"/>
        </w:rPr>
        <w:t>Instructions concerning specific positions</w:t>
      </w:r>
      <w:bookmarkEnd w:id="785"/>
    </w:p>
    <w:p w:rsidR="00DD00B4" w:rsidRPr="00661595" w:rsidRDefault="00DD00B4" w:rsidP="00DD00B4">
      <w:pPr>
        <w:pStyle w:val="body"/>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8843"/>
      </w:tblGrid>
      <w:tr w:rsidR="00DD00B4" w:rsidRPr="00661595" w:rsidTr="00DD00B4">
        <w:tc>
          <w:tcPr>
            <w:tcW w:w="1188" w:type="dxa"/>
            <w:tcBorders>
              <w:top w:val="single" w:sz="4" w:space="0" w:color="auto"/>
              <w:left w:val="single" w:sz="4" w:space="0" w:color="auto"/>
              <w:bottom w:val="single" w:sz="4" w:space="0" w:color="auto"/>
              <w:right w:val="single" w:sz="4" w:space="0" w:color="auto"/>
            </w:tcBorders>
            <w:shd w:val="clear" w:color="auto" w:fill="CCCCCC"/>
            <w:hideMark/>
          </w:tcPr>
          <w:p w:rsidR="00DD00B4" w:rsidRPr="00661595" w:rsidRDefault="00DD00B4" w:rsidP="00DD00B4">
            <w:pPr>
              <w:rPr>
                <w:rFonts w:ascii="Times New Roman" w:hAnsi="Times New Roman"/>
                <w:sz w:val="24"/>
                <w:lang w:bidi="ne-NP"/>
              </w:rPr>
            </w:pPr>
            <w:bookmarkStart w:id="786" w:name="_Toc19715889"/>
            <w:r w:rsidRPr="00661595">
              <w:rPr>
                <w:rFonts w:ascii="Times New Roman" w:hAnsi="Times New Roman"/>
                <w:sz w:val="24"/>
                <w:lang w:bidi="ne-NP"/>
              </w:rPr>
              <w:t>Columns</w:t>
            </w:r>
          </w:p>
        </w:tc>
        <w:tc>
          <w:tcPr>
            <w:tcW w:w="8843" w:type="dxa"/>
            <w:tcBorders>
              <w:top w:val="single" w:sz="4" w:space="0" w:color="auto"/>
              <w:left w:val="single" w:sz="4" w:space="0" w:color="auto"/>
              <w:bottom w:val="single" w:sz="4" w:space="0" w:color="auto"/>
              <w:right w:val="single" w:sz="4" w:space="0" w:color="auto"/>
            </w:tcBorders>
            <w:shd w:val="clear" w:color="auto" w:fill="CCCCCC"/>
            <w:hideMark/>
          </w:tcPr>
          <w:p w:rsidR="00DD00B4" w:rsidRPr="00661595" w:rsidRDefault="00DD00B4" w:rsidP="00DD00B4">
            <w:pPr>
              <w:rPr>
                <w:rFonts w:ascii="Times New Roman" w:hAnsi="Times New Roman"/>
                <w:sz w:val="24"/>
                <w:lang w:bidi="ne-NP"/>
              </w:rPr>
            </w:pPr>
            <w:r w:rsidRPr="00661595">
              <w:rPr>
                <w:rFonts w:ascii="Times New Roman" w:hAnsi="Times New Roman"/>
                <w:sz w:val="24"/>
                <w:lang w:bidi="ne-NP"/>
              </w:rPr>
              <w:t>Instructions</w:t>
            </w:r>
          </w:p>
        </w:tc>
      </w:tr>
      <w:tr w:rsidR="00DD00B4" w:rsidRPr="00661595" w:rsidTr="00751FBE">
        <w:tc>
          <w:tcPr>
            <w:tcW w:w="1188" w:type="dxa"/>
            <w:tcBorders>
              <w:top w:val="single" w:sz="4" w:space="0" w:color="auto"/>
              <w:left w:val="single" w:sz="4" w:space="0" w:color="auto"/>
              <w:bottom w:val="single" w:sz="4" w:space="0" w:color="auto"/>
              <w:right w:val="single" w:sz="4" w:space="0" w:color="auto"/>
            </w:tcBorders>
            <w:hideMark/>
          </w:tcPr>
          <w:p w:rsidR="00DD00B4" w:rsidRPr="00661595" w:rsidRDefault="00DD00B4" w:rsidP="00DD00B4">
            <w:pPr>
              <w:rPr>
                <w:rFonts w:ascii="Times New Roman" w:hAnsi="Times New Roman"/>
                <w:sz w:val="24"/>
              </w:rPr>
            </w:pPr>
            <w:r w:rsidRPr="00661595">
              <w:rPr>
                <w:rFonts w:ascii="Times New Roman" w:hAnsi="Times New Roman"/>
                <w:sz w:val="24"/>
              </w:rPr>
              <w:t>0010 – 0100</w:t>
            </w:r>
          </w:p>
        </w:tc>
        <w:tc>
          <w:tcPr>
            <w:tcW w:w="8843"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b/>
                <w:sz w:val="24"/>
                <w:u w:val="single"/>
              </w:rPr>
            </w:pPr>
            <w:r w:rsidRPr="00661595">
              <w:rPr>
                <w:rFonts w:ascii="Times New Roman" w:hAnsi="Times New Roman"/>
                <w:b/>
                <w:sz w:val="24"/>
                <w:u w:val="single"/>
              </w:rPr>
              <w:t>Time passed since exposures classified as non-performing</w:t>
            </w:r>
          </w:p>
          <w:p w:rsidR="00DD00B4" w:rsidRPr="00661595" w:rsidRDefault="00DD00B4" w:rsidP="00DD00B4">
            <w:pPr>
              <w:rPr>
                <w:rFonts w:ascii="Times New Roman" w:hAnsi="Times New Roman"/>
                <w:sz w:val="24"/>
              </w:rPr>
            </w:pPr>
            <w:r w:rsidRPr="00661595">
              <w:rPr>
                <w:rFonts w:ascii="Times New Roman" w:hAnsi="Times New Roman"/>
                <w:sz w:val="24"/>
              </w:rPr>
              <w:t>The ‘time passed since exposures classified as non-performing’ shall mean the time in years passed, as of the reference date, since exposure has been classified as non-performing. For purchased non-performing exposures, the time in ye</w:t>
            </w:r>
            <w:r w:rsidR="0060500C" w:rsidRPr="00661595">
              <w:rPr>
                <w:rFonts w:ascii="Times New Roman" w:hAnsi="Times New Roman"/>
                <w:sz w:val="24"/>
              </w:rPr>
              <w:t>ars shall start to run from the date on which the exposures was originally classified as non- performing</w:t>
            </w:r>
            <w:r w:rsidRPr="00661595">
              <w:rPr>
                <w:rFonts w:ascii="Times New Roman" w:hAnsi="Times New Roman"/>
                <w:sz w:val="24"/>
              </w:rPr>
              <w:t xml:space="preserve">, and not from the date of their purchase. </w:t>
            </w:r>
          </w:p>
          <w:p w:rsidR="00DD00B4" w:rsidRPr="00661595" w:rsidRDefault="00DD00B4" w:rsidP="00DD00B4">
            <w:pPr>
              <w:rPr>
                <w:rFonts w:ascii="Times New Roman" w:hAnsi="Times New Roman"/>
                <w:sz w:val="24"/>
              </w:rPr>
            </w:pPr>
            <w:r w:rsidRPr="00661595">
              <w:rPr>
                <w:rFonts w:ascii="Times New Roman" w:hAnsi="Times New Roman"/>
                <w:sz w:val="24"/>
              </w:rPr>
              <w:t>Institutions shall report data on exposures for which the reference date falls under the corresponding time interval indicating the period in years following exposures’ classification as non-performing, regardless of any application of forbearance measures.</w:t>
            </w:r>
          </w:p>
          <w:p w:rsidR="00DD00B4" w:rsidRPr="00661595" w:rsidRDefault="00DD00B4" w:rsidP="00DD00B4">
            <w:pPr>
              <w:rPr>
                <w:rFonts w:ascii="Times New Roman" w:hAnsi="Times New Roman"/>
                <w:sz w:val="24"/>
              </w:rPr>
            </w:pPr>
            <w:r w:rsidRPr="00661595">
              <w:rPr>
                <w:rFonts w:ascii="Times New Roman" w:hAnsi="Times New Roman"/>
                <w:sz w:val="24"/>
              </w:rPr>
              <w:t>For the time interval, “&gt; X year(s), &lt;= Y year(s)”, institutions shall report data on exposures for which the reference date corresponds to the period between the first and the last day of the Yth year following the classification of these exposures as non-performing.</w:t>
            </w:r>
          </w:p>
        </w:tc>
      </w:tr>
      <w:tr w:rsidR="00DD00B4" w:rsidRPr="00661595" w:rsidTr="00751FBE">
        <w:tc>
          <w:tcPr>
            <w:tcW w:w="1188"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sz w:val="24"/>
              </w:rPr>
            </w:pPr>
            <w:r w:rsidRPr="00661595">
              <w:rPr>
                <w:rFonts w:ascii="Times New Roman" w:hAnsi="Times New Roman"/>
                <w:sz w:val="24"/>
              </w:rPr>
              <w:t>0110</w:t>
            </w:r>
          </w:p>
        </w:tc>
        <w:tc>
          <w:tcPr>
            <w:tcW w:w="8843"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b/>
                <w:sz w:val="24"/>
                <w:u w:val="single"/>
              </w:rPr>
            </w:pPr>
            <w:r w:rsidRPr="00661595">
              <w:rPr>
                <w:rFonts w:ascii="Times New Roman" w:hAnsi="Times New Roman"/>
                <w:sz w:val="24"/>
              </w:rPr>
              <w:t xml:space="preserve"> </w:t>
            </w:r>
            <w:r w:rsidRPr="00661595">
              <w:rPr>
                <w:rFonts w:ascii="Times New Roman" w:hAnsi="Times New Roman"/>
                <w:b/>
                <w:sz w:val="24"/>
                <w:u w:val="single"/>
              </w:rPr>
              <w:t>Total</w:t>
            </w:r>
          </w:p>
          <w:p w:rsidR="00DD00B4" w:rsidRPr="00661595" w:rsidRDefault="00DD00B4" w:rsidP="00DD00B4">
            <w:pPr>
              <w:rPr>
                <w:rFonts w:ascii="Times New Roman" w:hAnsi="Times New Roman"/>
                <w:sz w:val="24"/>
              </w:rPr>
            </w:pPr>
            <w:r w:rsidRPr="00661595">
              <w:rPr>
                <w:rFonts w:ascii="Times New Roman" w:hAnsi="Times New Roman"/>
                <w:sz w:val="24"/>
              </w:rPr>
              <w:t>Institutions shall report the sum of all columns from 0010 to 0100.</w:t>
            </w:r>
          </w:p>
        </w:tc>
      </w:tr>
      <w:tr w:rsidR="00751FBE" w:rsidRPr="00661595" w:rsidTr="00751FBE">
        <w:tc>
          <w:tcPr>
            <w:tcW w:w="1188" w:type="dxa"/>
            <w:tcBorders>
              <w:top w:val="single" w:sz="4" w:space="0" w:color="auto"/>
              <w:left w:val="nil"/>
              <w:bottom w:val="single" w:sz="4" w:space="0" w:color="auto"/>
              <w:right w:val="nil"/>
            </w:tcBorders>
          </w:tcPr>
          <w:p w:rsidR="00751FBE" w:rsidRPr="00661595" w:rsidRDefault="00751FBE" w:rsidP="00DD00B4">
            <w:pPr>
              <w:rPr>
                <w:rFonts w:ascii="Times New Roman" w:hAnsi="Times New Roman"/>
                <w:sz w:val="24"/>
              </w:rPr>
            </w:pPr>
          </w:p>
        </w:tc>
        <w:tc>
          <w:tcPr>
            <w:tcW w:w="8843" w:type="dxa"/>
            <w:tcBorders>
              <w:top w:val="single" w:sz="4" w:space="0" w:color="auto"/>
              <w:left w:val="nil"/>
              <w:bottom w:val="single" w:sz="4" w:space="0" w:color="auto"/>
              <w:right w:val="nil"/>
            </w:tcBorders>
          </w:tcPr>
          <w:p w:rsidR="00751FBE" w:rsidRPr="00661595" w:rsidRDefault="00751FBE" w:rsidP="00DD00B4">
            <w:pPr>
              <w:rPr>
                <w:rFonts w:ascii="Times New Roman" w:hAnsi="Times New Roman"/>
                <w:sz w:val="24"/>
              </w:rPr>
            </w:pPr>
          </w:p>
        </w:tc>
      </w:tr>
      <w:bookmarkEnd w:id="786"/>
      <w:tr w:rsidR="00DD00B4" w:rsidRPr="00661595" w:rsidTr="00751FBE">
        <w:tc>
          <w:tcPr>
            <w:tcW w:w="1188" w:type="dxa"/>
            <w:tcBorders>
              <w:top w:val="single" w:sz="4" w:space="0" w:color="auto"/>
              <w:left w:val="single" w:sz="4" w:space="0" w:color="auto"/>
              <w:bottom w:val="single" w:sz="4" w:space="0" w:color="auto"/>
              <w:right w:val="single" w:sz="4" w:space="0" w:color="auto"/>
            </w:tcBorders>
            <w:shd w:val="clear" w:color="auto" w:fill="CCCCCC"/>
            <w:hideMark/>
          </w:tcPr>
          <w:p w:rsidR="00DD00B4" w:rsidRPr="00661595" w:rsidRDefault="00DD00B4" w:rsidP="00DD00B4">
            <w:pPr>
              <w:rPr>
                <w:rFonts w:ascii="Times New Roman" w:hAnsi="Times New Roman"/>
                <w:sz w:val="24"/>
                <w:lang w:bidi="ne-NP"/>
              </w:rPr>
            </w:pPr>
            <w:r w:rsidRPr="00661595">
              <w:rPr>
                <w:rFonts w:ascii="Times New Roman" w:hAnsi="Times New Roman"/>
                <w:sz w:val="24"/>
                <w:lang w:bidi="ne-NP"/>
              </w:rPr>
              <w:t>Rows</w:t>
            </w:r>
          </w:p>
        </w:tc>
        <w:tc>
          <w:tcPr>
            <w:tcW w:w="8843" w:type="dxa"/>
            <w:tcBorders>
              <w:top w:val="single" w:sz="4" w:space="0" w:color="auto"/>
              <w:left w:val="single" w:sz="4" w:space="0" w:color="auto"/>
              <w:bottom w:val="single" w:sz="4" w:space="0" w:color="auto"/>
              <w:right w:val="single" w:sz="4" w:space="0" w:color="auto"/>
            </w:tcBorders>
            <w:shd w:val="clear" w:color="auto" w:fill="CCCCCC"/>
            <w:hideMark/>
          </w:tcPr>
          <w:p w:rsidR="00DD00B4" w:rsidRPr="00661595" w:rsidRDefault="00DD00B4" w:rsidP="00DD00B4">
            <w:pPr>
              <w:rPr>
                <w:rFonts w:ascii="Times New Roman" w:hAnsi="Times New Roman"/>
                <w:sz w:val="24"/>
                <w:lang w:bidi="ne-NP"/>
              </w:rPr>
            </w:pPr>
            <w:r w:rsidRPr="00661595">
              <w:rPr>
                <w:rFonts w:ascii="Times New Roman" w:hAnsi="Times New Roman"/>
                <w:sz w:val="24"/>
                <w:lang w:bidi="ne-NP"/>
              </w:rPr>
              <w:t>Instructions</w:t>
            </w:r>
          </w:p>
        </w:tc>
      </w:tr>
      <w:tr w:rsidR="00DD00B4" w:rsidRPr="00661595" w:rsidTr="00DD00B4">
        <w:tc>
          <w:tcPr>
            <w:tcW w:w="1188" w:type="dxa"/>
            <w:tcBorders>
              <w:top w:val="single" w:sz="4" w:space="0" w:color="auto"/>
              <w:left w:val="single" w:sz="4" w:space="0" w:color="auto"/>
              <w:bottom w:val="single" w:sz="4" w:space="0" w:color="auto"/>
              <w:right w:val="single" w:sz="4" w:space="0" w:color="auto"/>
            </w:tcBorders>
            <w:hideMark/>
          </w:tcPr>
          <w:p w:rsidR="00DD00B4" w:rsidRPr="00661595" w:rsidRDefault="00DD00B4" w:rsidP="00DD00B4">
            <w:pPr>
              <w:rPr>
                <w:rFonts w:ascii="Times New Roman" w:hAnsi="Times New Roman"/>
                <w:sz w:val="24"/>
              </w:rPr>
            </w:pPr>
            <w:r w:rsidRPr="00661595">
              <w:rPr>
                <w:rFonts w:ascii="Times New Roman" w:hAnsi="Times New Roman"/>
                <w:sz w:val="24"/>
              </w:rPr>
              <w:t>0010</w:t>
            </w:r>
          </w:p>
        </w:tc>
        <w:tc>
          <w:tcPr>
            <w:tcW w:w="8843"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b/>
                <w:sz w:val="24"/>
                <w:u w:val="single"/>
              </w:rPr>
            </w:pPr>
            <w:r w:rsidRPr="00661595">
              <w:rPr>
                <w:rFonts w:ascii="Times New Roman" w:hAnsi="Times New Roman"/>
                <w:b/>
                <w:sz w:val="24"/>
                <w:u w:val="single"/>
              </w:rPr>
              <w:t>Applicable amount of insufficient coverage</w:t>
            </w:r>
          </w:p>
          <w:p w:rsidR="00DD00B4" w:rsidRPr="00661595" w:rsidRDefault="002327CE" w:rsidP="00DD00B4">
            <w:pPr>
              <w:rPr>
                <w:rFonts w:ascii="Times New Roman" w:hAnsi="Times New Roman"/>
                <w:sz w:val="24"/>
              </w:rPr>
            </w:pPr>
            <w:r w:rsidRPr="00661595">
              <w:rPr>
                <w:rFonts w:ascii="Times New Roman" w:hAnsi="Times New Roman"/>
                <w:sz w:val="24"/>
              </w:rPr>
              <w:t xml:space="preserve">Article 47c(1) </w:t>
            </w:r>
            <w:r w:rsidR="00DD00B4" w:rsidRPr="00661595">
              <w:rPr>
                <w:rFonts w:ascii="Times New Roman" w:hAnsi="Times New Roman"/>
                <w:sz w:val="24"/>
              </w:rPr>
              <w:t>CRR</w:t>
            </w:r>
          </w:p>
          <w:p w:rsidR="00DD00B4" w:rsidRPr="00661595" w:rsidRDefault="00DD00B4" w:rsidP="00DD00B4">
            <w:pPr>
              <w:rPr>
                <w:rFonts w:ascii="Times New Roman" w:hAnsi="Times New Roman"/>
                <w:sz w:val="24"/>
              </w:rPr>
            </w:pPr>
            <w:r w:rsidRPr="00661595">
              <w:rPr>
                <w:rFonts w:ascii="Times New Roman" w:hAnsi="Times New Roman"/>
                <w:sz w:val="24"/>
              </w:rPr>
              <w:t>For the calculation of the applicable amount of insufficient coverage, institutions shall deduct the total provisions and adjustments or deductions (capped) (row 0080) from the total minimum coverage requirement for non-performing exposures (row 0020).</w:t>
            </w:r>
          </w:p>
          <w:p w:rsidR="00DD00B4" w:rsidRPr="00661595" w:rsidRDefault="00DD00B4" w:rsidP="00DD00B4">
            <w:pPr>
              <w:rPr>
                <w:rFonts w:ascii="Times New Roman" w:hAnsi="Times New Roman"/>
                <w:sz w:val="24"/>
              </w:rPr>
            </w:pPr>
            <w:r w:rsidRPr="00661595">
              <w:rPr>
                <w:rFonts w:ascii="Times New Roman" w:hAnsi="Times New Roman"/>
                <w:sz w:val="24"/>
              </w:rPr>
              <w:t>The applicable amount of insufficient coverage (i.e. the shortfall in the total minimum coverage requirement for non-performing exposures) shall be equal to or greater than zero.</w:t>
            </w:r>
          </w:p>
        </w:tc>
      </w:tr>
      <w:tr w:rsidR="00DD00B4" w:rsidRPr="00661595" w:rsidTr="00DD00B4">
        <w:tc>
          <w:tcPr>
            <w:tcW w:w="1188"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sz w:val="24"/>
              </w:rPr>
            </w:pPr>
            <w:r w:rsidRPr="00661595">
              <w:rPr>
                <w:rFonts w:ascii="Times New Roman" w:hAnsi="Times New Roman"/>
                <w:sz w:val="24"/>
              </w:rPr>
              <w:t>0020</w:t>
            </w:r>
          </w:p>
        </w:tc>
        <w:tc>
          <w:tcPr>
            <w:tcW w:w="8843"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b/>
                <w:sz w:val="24"/>
                <w:u w:val="single"/>
              </w:rPr>
            </w:pPr>
            <w:r w:rsidRPr="00661595">
              <w:rPr>
                <w:rFonts w:ascii="Times New Roman" w:hAnsi="Times New Roman"/>
                <w:b/>
                <w:sz w:val="24"/>
                <w:u w:val="single"/>
              </w:rPr>
              <w:t>Total minimum coverage requirement for non-performing exposures</w:t>
            </w:r>
          </w:p>
          <w:p w:rsidR="00DD00B4" w:rsidRPr="00661595" w:rsidRDefault="00DD00B4" w:rsidP="00DD00B4">
            <w:pPr>
              <w:rPr>
                <w:rFonts w:ascii="Times New Roman" w:hAnsi="Times New Roman"/>
                <w:sz w:val="24"/>
              </w:rPr>
            </w:pPr>
            <w:r w:rsidRPr="00661595">
              <w:rPr>
                <w:rFonts w:ascii="Times New Roman" w:hAnsi="Times New Roman"/>
                <w:sz w:val="24"/>
              </w:rPr>
              <w:t xml:space="preserve">Point (a) </w:t>
            </w:r>
            <w:r w:rsidR="002327CE" w:rsidRPr="00661595">
              <w:rPr>
                <w:rFonts w:ascii="Times New Roman" w:hAnsi="Times New Roman"/>
                <w:sz w:val="24"/>
              </w:rPr>
              <w:t xml:space="preserve">of Article 47c(1) </w:t>
            </w:r>
            <w:r w:rsidRPr="00661595">
              <w:rPr>
                <w:rFonts w:ascii="Times New Roman" w:hAnsi="Times New Roman"/>
                <w:sz w:val="24"/>
              </w:rPr>
              <w:t>CRR</w:t>
            </w:r>
          </w:p>
          <w:p w:rsidR="00DD00B4" w:rsidRPr="00661595" w:rsidRDefault="00DD00B4" w:rsidP="00DD00B4">
            <w:pPr>
              <w:rPr>
                <w:rFonts w:ascii="Times New Roman" w:hAnsi="Times New Roman"/>
                <w:sz w:val="24"/>
              </w:rPr>
            </w:pPr>
            <w:r w:rsidRPr="00661595">
              <w:rPr>
                <w:rFonts w:ascii="Times New Roman" w:hAnsi="Times New Roman"/>
                <w:sz w:val="24"/>
              </w:rPr>
              <w:t xml:space="preserve">For the calculation of the total minimum coverage requirement for non-performing exposures, institutions shall sum the minimum coverage requirement for the unsecured part of NPEs (row 0030) and for the secured part of NPEs (row 0040). </w:t>
            </w:r>
          </w:p>
        </w:tc>
      </w:tr>
      <w:tr w:rsidR="00DD00B4" w:rsidRPr="00661595" w:rsidTr="00DD00B4">
        <w:tc>
          <w:tcPr>
            <w:tcW w:w="1188"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sz w:val="24"/>
              </w:rPr>
            </w:pPr>
            <w:r w:rsidRPr="00661595">
              <w:rPr>
                <w:rFonts w:ascii="Times New Roman" w:hAnsi="Times New Roman"/>
                <w:sz w:val="24"/>
              </w:rPr>
              <w:t>0030</w:t>
            </w:r>
          </w:p>
        </w:tc>
        <w:tc>
          <w:tcPr>
            <w:tcW w:w="8843"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sz w:val="24"/>
              </w:rPr>
            </w:pPr>
            <w:r w:rsidRPr="00661595">
              <w:rPr>
                <w:rFonts w:ascii="Times New Roman" w:hAnsi="Times New Roman"/>
                <w:b/>
                <w:sz w:val="24"/>
                <w:u w:val="single"/>
              </w:rPr>
              <w:t>Unsecured part of NPEs</w:t>
            </w:r>
            <w:r w:rsidRPr="00661595">
              <w:rPr>
                <w:rFonts w:ascii="Times New Roman" w:hAnsi="Times New Roman"/>
                <w:sz w:val="24"/>
              </w:rPr>
              <w:t xml:space="preserve"> </w:t>
            </w:r>
          </w:p>
          <w:p w:rsidR="00DD00B4" w:rsidRPr="00661595" w:rsidRDefault="00DD00B4" w:rsidP="00DD00B4">
            <w:pPr>
              <w:rPr>
                <w:rFonts w:ascii="Times New Roman" w:hAnsi="Times New Roman"/>
                <w:sz w:val="24"/>
              </w:rPr>
            </w:pPr>
            <w:r w:rsidRPr="00661595">
              <w:rPr>
                <w:rFonts w:ascii="Times New Roman" w:hAnsi="Times New Roman"/>
                <w:sz w:val="24"/>
              </w:rPr>
              <w:t>Point (a)(i) of Article 47c(1), Article 47c(2), Article 47c(6</w:t>
            </w:r>
            <w:r w:rsidR="002327CE" w:rsidRPr="00661595">
              <w:rPr>
                <w:rFonts w:ascii="Times New Roman" w:hAnsi="Times New Roman"/>
                <w:sz w:val="24"/>
              </w:rPr>
              <w:t xml:space="preserve">) </w:t>
            </w:r>
            <w:r w:rsidRPr="00661595">
              <w:rPr>
                <w:rFonts w:ascii="Times New Roman" w:hAnsi="Times New Roman"/>
                <w:sz w:val="24"/>
              </w:rPr>
              <w:t>CRR</w:t>
            </w:r>
          </w:p>
          <w:p w:rsidR="00DD00B4" w:rsidRPr="00661595" w:rsidRDefault="00A532F5" w:rsidP="00DD00B4">
            <w:pPr>
              <w:rPr>
                <w:rFonts w:ascii="Times New Roman" w:hAnsi="Times New Roman"/>
                <w:sz w:val="24"/>
              </w:rPr>
            </w:pPr>
            <w:r>
              <w:rPr>
                <w:rFonts w:ascii="Times New Roman" w:hAnsi="Times New Roman"/>
                <w:sz w:val="24"/>
              </w:rPr>
              <w:t>Institution shall report the t</w:t>
            </w:r>
            <w:r w:rsidR="00DD00B4" w:rsidRPr="00661595">
              <w:rPr>
                <w:rFonts w:ascii="Times New Roman" w:hAnsi="Times New Roman"/>
                <w:sz w:val="24"/>
              </w:rPr>
              <w:t xml:space="preserve">otal minimum coverage requirement for the unsecured part of NPEs, i.e. </w:t>
            </w:r>
            <w:r w:rsidR="004F0F3D">
              <w:rPr>
                <w:rFonts w:ascii="Times New Roman" w:hAnsi="Times New Roman"/>
                <w:sz w:val="24"/>
              </w:rPr>
              <w:t xml:space="preserve">the </w:t>
            </w:r>
            <w:r w:rsidR="00DD00B4" w:rsidRPr="00661595">
              <w:rPr>
                <w:rFonts w:ascii="Times New Roman" w:hAnsi="Times New Roman"/>
                <w:sz w:val="24"/>
              </w:rPr>
              <w:t xml:space="preserve">aggregate of calculations at exposure level. </w:t>
            </w:r>
          </w:p>
          <w:p w:rsidR="00DD00B4" w:rsidRPr="00661595" w:rsidRDefault="00DD00B4" w:rsidP="00DD00B4">
            <w:pPr>
              <w:rPr>
                <w:rFonts w:ascii="Times New Roman" w:hAnsi="Times New Roman"/>
                <w:sz w:val="24"/>
              </w:rPr>
            </w:pPr>
            <w:r w:rsidRPr="00661595">
              <w:rPr>
                <w:rFonts w:ascii="Times New Roman" w:hAnsi="Times New Roman"/>
                <w:sz w:val="24"/>
              </w:rPr>
              <w:t xml:space="preserve">The amount reported in each column shall be equal to the sum of the amounts reported in row 0020 of C 35.02 and row 0020 of C 35.03 (where applicable) in the respective columns. </w:t>
            </w:r>
          </w:p>
        </w:tc>
      </w:tr>
      <w:tr w:rsidR="00DD00B4" w:rsidRPr="00661595" w:rsidTr="00DD00B4">
        <w:tc>
          <w:tcPr>
            <w:tcW w:w="1188"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sz w:val="24"/>
              </w:rPr>
            </w:pPr>
            <w:r w:rsidRPr="00661595">
              <w:rPr>
                <w:rFonts w:ascii="Times New Roman" w:hAnsi="Times New Roman"/>
                <w:sz w:val="24"/>
              </w:rPr>
              <w:t>0040</w:t>
            </w:r>
          </w:p>
        </w:tc>
        <w:tc>
          <w:tcPr>
            <w:tcW w:w="8843"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b/>
                <w:sz w:val="24"/>
                <w:u w:val="single"/>
              </w:rPr>
            </w:pPr>
            <w:r w:rsidRPr="00661595">
              <w:rPr>
                <w:rFonts w:ascii="Times New Roman" w:hAnsi="Times New Roman"/>
                <w:b/>
                <w:sz w:val="24"/>
                <w:u w:val="single"/>
              </w:rPr>
              <w:t>Secured part of NPEs</w:t>
            </w:r>
          </w:p>
          <w:p w:rsidR="00DD00B4" w:rsidRPr="00661595" w:rsidRDefault="00DD00B4" w:rsidP="00DD00B4">
            <w:pPr>
              <w:rPr>
                <w:rFonts w:ascii="Times New Roman" w:hAnsi="Times New Roman"/>
                <w:sz w:val="24"/>
                <w:lang w:val="en-US"/>
              </w:rPr>
            </w:pPr>
            <w:r w:rsidRPr="00661595">
              <w:rPr>
                <w:rFonts w:ascii="Times New Roman" w:hAnsi="Times New Roman"/>
                <w:sz w:val="24"/>
                <w:lang w:val="en-US"/>
              </w:rPr>
              <w:t>Point (a)(ii) Article 47c(1), Article 47c(3), Article 47c(4), Article 47c(6</w:t>
            </w:r>
            <w:r w:rsidR="002327CE" w:rsidRPr="00661595">
              <w:rPr>
                <w:rFonts w:ascii="Times New Roman" w:hAnsi="Times New Roman"/>
                <w:sz w:val="24"/>
                <w:lang w:val="en-US"/>
              </w:rPr>
              <w:t xml:space="preserve">) </w:t>
            </w:r>
            <w:r w:rsidRPr="00661595">
              <w:rPr>
                <w:rFonts w:ascii="Times New Roman" w:hAnsi="Times New Roman"/>
                <w:sz w:val="24"/>
                <w:lang w:val="en-US"/>
              </w:rPr>
              <w:t>CRR.</w:t>
            </w:r>
          </w:p>
          <w:p w:rsidR="00DD00B4" w:rsidRPr="00661595" w:rsidRDefault="00A532F5" w:rsidP="00DD00B4">
            <w:pPr>
              <w:rPr>
                <w:rFonts w:ascii="Times New Roman" w:hAnsi="Times New Roman"/>
                <w:sz w:val="24"/>
              </w:rPr>
            </w:pPr>
            <w:r>
              <w:rPr>
                <w:rFonts w:ascii="Times New Roman" w:hAnsi="Times New Roman"/>
                <w:sz w:val="24"/>
              </w:rPr>
              <w:t>Institutions shall report the t</w:t>
            </w:r>
            <w:r w:rsidR="00DD00B4" w:rsidRPr="00661595">
              <w:rPr>
                <w:rFonts w:ascii="Times New Roman" w:hAnsi="Times New Roman"/>
                <w:sz w:val="24"/>
              </w:rPr>
              <w:t xml:space="preserve">otal minimum coverage requirement for the secured part of NPEs, i.e. </w:t>
            </w:r>
            <w:r w:rsidR="004F0F3D">
              <w:rPr>
                <w:rFonts w:ascii="Times New Roman" w:hAnsi="Times New Roman"/>
                <w:sz w:val="24"/>
              </w:rPr>
              <w:t xml:space="preserve">the </w:t>
            </w:r>
            <w:r w:rsidR="00DD00B4" w:rsidRPr="00661595">
              <w:rPr>
                <w:rFonts w:ascii="Times New Roman" w:hAnsi="Times New Roman"/>
                <w:sz w:val="24"/>
              </w:rPr>
              <w:t>aggregate of calculations at exposure level.</w:t>
            </w:r>
          </w:p>
          <w:p w:rsidR="00DD00B4" w:rsidRPr="00661595" w:rsidRDefault="00DD00B4" w:rsidP="00DD00B4">
            <w:pPr>
              <w:rPr>
                <w:rFonts w:ascii="Times New Roman" w:hAnsi="Times New Roman"/>
                <w:b/>
                <w:sz w:val="24"/>
                <w:u w:val="single"/>
              </w:rPr>
            </w:pPr>
            <w:r w:rsidRPr="00661595">
              <w:rPr>
                <w:rFonts w:ascii="Times New Roman" w:hAnsi="Times New Roman"/>
                <w:sz w:val="24"/>
              </w:rPr>
              <w:t>The amount reported in each column shall be equal to the sum of the amounts reported in row 0030-0050 of C 35.02 and row 0030-0040 of C 35.03 (where applicable) in the respective columns.</w:t>
            </w:r>
          </w:p>
        </w:tc>
      </w:tr>
      <w:tr w:rsidR="00DD00B4" w:rsidRPr="00661595" w:rsidTr="00DD00B4">
        <w:tc>
          <w:tcPr>
            <w:tcW w:w="1188"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sz w:val="24"/>
              </w:rPr>
            </w:pPr>
            <w:r w:rsidRPr="00661595">
              <w:rPr>
                <w:rFonts w:ascii="Times New Roman" w:hAnsi="Times New Roman"/>
                <w:sz w:val="24"/>
              </w:rPr>
              <w:t>0050</w:t>
            </w:r>
          </w:p>
        </w:tc>
        <w:tc>
          <w:tcPr>
            <w:tcW w:w="8843"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b/>
                <w:sz w:val="24"/>
                <w:u w:val="single"/>
              </w:rPr>
            </w:pPr>
            <w:r w:rsidRPr="00661595">
              <w:rPr>
                <w:rFonts w:ascii="Times New Roman" w:hAnsi="Times New Roman"/>
                <w:b/>
                <w:sz w:val="24"/>
                <w:u w:val="single"/>
              </w:rPr>
              <w:t>Exposure value</w:t>
            </w:r>
          </w:p>
          <w:p w:rsidR="00DD00B4" w:rsidRPr="00661595" w:rsidRDefault="00DD00B4" w:rsidP="00DD00B4">
            <w:pPr>
              <w:rPr>
                <w:rFonts w:ascii="Times New Roman" w:hAnsi="Times New Roman"/>
                <w:sz w:val="24"/>
              </w:rPr>
            </w:pPr>
            <w:r w:rsidRPr="00661595">
              <w:rPr>
                <w:rFonts w:ascii="Times New Roman" w:hAnsi="Times New Roman"/>
                <w:sz w:val="24"/>
              </w:rPr>
              <w:t>Article 47a</w:t>
            </w:r>
            <w:r w:rsidR="002327CE" w:rsidRPr="00661595">
              <w:rPr>
                <w:rFonts w:ascii="Times New Roman" w:hAnsi="Times New Roman"/>
                <w:sz w:val="24"/>
              </w:rPr>
              <w:t xml:space="preserve">(2) </w:t>
            </w:r>
            <w:r w:rsidRPr="00661595">
              <w:rPr>
                <w:rFonts w:ascii="Times New Roman" w:hAnsi="Times New Roman"/>
                <w:sz w:val="24"/>
              </w:rPr>
              <w:t>CRR</w:t>
            </w:r>
          </w:p>
          <w:p w:rsidR="00DD00B4" w:rsidRPr="00661595" w:rsidRDefault="00DD00B4" w:rsidP="00DD00B4">
            <w:pPr>
              <w:rPr>
                <w:rFonts w:ascii="Times New Roman" w:hAnsi="Times New Roman"/>
                <w:sz w:val="24"/>
              </w:rPr>
            </w:pPr>
            <w:r w:rsidRPr="00661595">
              <w:rPr>
                <w:rFonts w:ascii="Times New Roman" w:hAnsi="Times New Roman"/>
                <w:sz w:val="24"/>
              </w:rPr>
              <w:t xml:space="preserve">Institutions shall report the total exposure value of NPEs including both unsecured and secured exposures. This shall correspond to the sum of row 0060 and row 0070. </w:t>
            </w:r>
          </w:p>
        </w:tc>
      </w:tr>
      <w:tr w:rsidR="00DD00B4" w:rsidRPr="00661595" w:rsidTr="00DD00B4">
        <w:tc>
          <w:tcPr>
            <w:tcW w:w="1188"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sz w:val="24"/>
              </w:rPr>
            </w:pPr>
            <w:r w:rsidRPr="00661595">
              <w:rPr>
                <w:rFonts w:ascii="Times New Roman" w:hAnsi="Times New Roman"/>
                <w:sz w:val="24"/>
              </w:rPr>
              <w:t>0060</w:t>
            </w:r>
          </w:p>
        </w:tc>
        <w:tc>
          <w:tcPr>
            <w:tcW w:w="8843"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sz w:val="24"/>
              </w:rPr>
            </w:pPr>
            <w:r w:rsidRPr="00661595">
              <w:rPr>
                <w:rFonts w:ascii="Times New Roman" w:hAnsi="Times New Roman"/>
                <w:b/>
                <w:sz w:val="24"/>
                <w:u w:val="single"/>
              </w:rPr>
              <w:t>Unsecured part of NPEs</w:t>
            </w:r>
            <w:r w:rsidRPr="00661595">
              <w:rPr>
                <w:rFonts w:ascii="Times New Roman" w:hAnsi="Times New Roman"/>
                <w:sz w:val="24"/>
              </w:rPr>
              <w:t xml:space="preserve"> </w:t>
            </w:r>
          </w:p>
          <w:p w:rsidR="00DD00B4" w:rsidRPr="00661595" w:rsidRDefault="00623EAD" w:rsidP="00DD00B4">
            <w:pPr>
              <w:rPr>
                <w:rFonts w:ascii="Times New Roman" w:hAnsi="Times New Roman"/>
                <w:sz w:val="24"/>
              </w:rPr>
            </w:pPr>
            <w:r w:rsidRPr="00661595">
              <w:rPr>
                <w:rFonts w:ascii="Times New Roman" w:hAnsi="Times New Roman"/>
                <w:sz w:val="24"/>
              </w:rPr>
              <w:t>Article 47a</w:t>
            </w:r>
            <w:r w:rsidR="00DD00B4" w:rsidRPr="00661595">
              <w:rPr>
                <w:rFonts w:ascii="Times New Roman" w:hAnsi="Times New Roman"/>
                <w:sz w:val="24"/>
              </w:rPr>
              <w:t>(2)</w:t>
            </w:r>
            <w:r w:rsidR="00B43F29" w:rsidRPr="00661595">
              <w:rPr>
                <w:rFonts w:ascii="Times New Roman" w:hAnsi="Times New Roman"/>
                <w:sz w:val="24"/>
              </w:rPr>
              <w:t xml:space="preserve"> and</w:t>
            </w:r>
            <w:r w:rsidR="00DD00B4" w:rsidRPr="00661595">
              <w:rPr>
                <w:rFonts w:ascii="Times New Roman" w:hAnsi="Times New Roman"/>
                <w:sz w:val="24"/>
              </w:rPr>
              <w:t xml:space="preserve"> Article 47c(1)</w:t>
            </w:r>
            <w:r w:rsidR="00B43F29" w:rsidRPr="00661595">
              <w:rPr>
                <w:rFonts w:ascii="Times New Roman" w:hAnsi="Times New Roman"/>
                <w:sz w:val="24"/>
              </w:rPr>
              <w:t xml:space="preserve"> </w:t>
            </w:r>
            <w:r w:rsidR="00DD00B4" w:rsidRPr="00661595">
              <w:rPr>
                <w:rFonts w:ascii="Times New Roman" w:hAnsi="Times New Roman"/>
                <w:sz w:val="24"/>
              </w:rPr>
              <w:t>CRR</w:t>
            </w:r>
          </w:p>
        </w:tc>
      </w:tr>
      <w:tr w:rsidR="00DD00B4" w:rsidRPr="00661595" w:rsidTr="00DD00B4">
        <w:tc>
          <w:tcPr>
            <w:tcW w:w="1188"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sz w:val="24"/>
              </w:rPr>
            </w:pPr>
            <w:r w:rsidRPr="00661595">
              <w:rPr>
                <w:rFonts w:ascii="Times New Roman" w:hAnsi="Times New Roman"/>
                <w:sz w:val="24"/>
              </w:rPr>
              <w:t>0070</w:t>
            </w:r>
          </w:p>
        </w:tc>
        <w:tc>
          <w:tcPr>
            <w:tcW w:w="8843"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b/>
                <w:sz w:val="24"/>
                <w:u w:val="single"/>
              </w:rPr>
            </w:pPr>
            <w:r w:rsidRPr="00661595">
              <w:rPr>
                <w:rFonts w:ascii="Times New Roman" w:hAnsi="Times New Roman"/>
                <w:b/>
                <w:sz w:val="24"/>
                <w:u w:val="single"/>
              </w:rPr>
              <w:t>Secured part of NPEs</w:t>
            </w:r>
          </w:p>
          <w:p w:rsidR="00DD00B4" w:rsidRPr="00661595" w:rsidRDefault="00623EAD" w:rsidP="00DD00B4">
            <w:pPr>
              <w:rPr>
                <w:rFonts w:ascii="Times New Roman" w:hAnsi="Times New Roman"/>
                <w:b/>
                <w:sz w:val="24"/>
                <w:u w:val="single"/>
              </w:rPr>
            </w:pPr>
            <w:r w:rsidRPr="00661595">
              <w:rPr>
                <w:rFonts w:ascii="Times New Roman" w:hAnsi="Times New Roman"/>
                <w:sz w:val="24"/>
              </w:rPr>
              <w:t>Article 47a</w:t>
            </w:r>
            <w:r w:rsidR="00DD00B4" w:rsidRPr="00661595">
              <w:rPr>
                <w:rFonts w:ascii="Times New Roman" w:hAnsi="Times New Roman"/>
                <w:sz w:val="24"/>
              </w:rPr>
              <w:t>(2)</w:t>
            </w:r>
            <w:r w:rsidR="00B43F29" w:rsidRPr="00661595">
              <w:rPr>
                <w:rFonts w:ascii="Times New Roman" w:hAnsi="Times New Roman"/>
                <w:sz w:val="24"/>
              </w:rPr>
              <w:t xml:space="preserve"> and</w:t>
            </w:r>
            <w:r w:rsidR="00DD00B4" w:rsidRPr="00661595">
              <w:rPr>
                <w:rFonts w:ascii="Times New Roman" w:hAnsi="Times New Roman"/>
                <w:sz w:val="24"/>
              </w:rPr>
              <w:t xml:space="preserve"> </w:t>
            </w:r>
            <w:r w:rsidR="00770F0C" w:rsidRPr="00661595">
              <w:rPr>
                <w:rFonts w:ascii="Times New Roman" w:hAnsi="Times New Roman"/>
                <w:sz w:val="24"/>
              </w:rPr>
              <w:t>Article</w:t>
            </w:r>
            <w:r w:rsidR="00DD00B4" w:rsidRPr="00661595">
              <w:rPr>
                <w:rFonts w:ascii="Times New Roman" w:hAnsi="Times New Roman"/>
                <w:sz w:val="24"/>
              </w:rPr>
              <w:t xml:space="preserve"> 47c(1</w:t>
            </w:r>
            <w:r w:rsidR="00B43F29" w:rsidRPr="00661595">
              <w:rPr>
                <w:rFonts w:ascii="Times New Roman" w:hAnsi="Times New Roman"/>
                <w:sz w:val="24"/>
              </w:rPr>
              <w:t xml:space="preserve">) </w:t>
            </w:r>
            <w:r w:rsidR="00DD00B4" w:rsidRPr="00661595">
              <w:rPr>
                <w:rFonts w:ascii="Times New Roman" w:hAnsi="Times New Roman"/>
                <w:sz w:val="24"/>
              </w:rPr>
              <w:t>CRR</w:t>
            </w:r>
          </w:p>
        </w:tc>
      </w:tr>
      <w:tr w:rsidR="00DD00B4" w:rsidRPr="00661595" w:rsidTr="00DD00B4">
        <w:trPr>
          <w:trHeight w:val="699"/>
        </w:trPr>
        <w:tc>
          <w:tcPr>
            <w:tcW w:w="1188"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sz w:val="24"/>
              </w:rPr>
            </w:pPr>
            <w:r w:rsidRPr="00661595">
              <w:rPr>
                <w:rFonts w:ascii="Times New Roman" w:hAnsi="Times New Roman"/>
                <w:sz w:val="24"/>
              </w:rPr>
              <w:t>0080</w:t>
            </w:r>
          </w:p>
        </w:tc>
        <w:tc>
          <w:tcPr>
            <w:tcW w:w="8843"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b/>
                <w:sz w:val="24"/>
                <w:u w:val="single"/>
              </w:rPr>
            </w:pPr>
            <w:r w:rsidRPr="00661595">
              <w:rPr>
                <w:rFonts w:ascii="Times New Roman" w:hAnsi="Times New Roman"/>
                <w:b/>
                <w:sz w:val="24"/>
                <w:u w:val="single"/>
              </w:rPr>
              <w:t>Total provisions and adjustments or deductions (capped)</w:t>
            </w:r>
          </w:p>
          <w:p w:rsidR="00DD00B4" w:rsidRPr="00661595" w:rsidRDefault="00DD00B4" w:rsidP="00DD00B4">
            <w:pPr>
              <w:rPr>
                <w:rFonts w:ascii="Times New Roman" w:hAnsi="Times New Roman"/>
                <w:sz w:val="24"/>
              </w:rPr>
            </w:pPr>
            <w:r w:rsidRPr="00661595">
              <w:rPr>
                <w:rFonts w:ascii="Times New Roman" w:hAnsi="Times New Roman"/>
                <w:sz w:val="24"/>
                <w:lang w:bidi="ne-NP"/>
              </w:rPr>
              <w:t>Institutions shall report the capped amount of the sum of the items listed in rows 0100-0150 in accordance with p</w:t>
            </w:r>
            <w:r w:rsidRPr="00661595">
              <w:rPr>
                <w:rFonts w:ascii="Times New Roman" w:hAnsi="Times New Roman"/>
                <w:sz w:val="24"/>
              </w:rPr>
              <w:t xml:space="preserve">oint (b) of Article </w:t>
            </w:r>
            <w:r w:rsidR="004773AB" w:rsidRPr="00661595">
              <w:rPr>
                <w:rFonts w:ascii="Times New Roman" w:hAnsi="Times New Roman"/>
                <w:sz w:val="24"/>
              </w:rPr>
              <w:t xml:space="preserve">47c(1) </w:t>
            </w:r>
            <w:r w:rsidRPr="00661595">
              <w:rPr>
                <w:rFonts w:ascii="Times New Roman" w:hAnsi="Times New Roman"/>
                <w:sz w:val="24"/>
              </w:rPr>
              <w:t>CRR. The maximum limit for capped provisions and adjustment or deductions is the amount of minimum coverage requirement at exposure level.</w:t>
            </w:r>
          </w:p>
          <w:p w:rsidR="00DD00B4" w:rsidRPr="00661595" w:rsidRDefault="00DD00B4" w:rsidP="00DD00B4">
            <w:pPr>
              <w:rPr>
                <w:rFonts w:ascii="Times New Roman" w:hAnsi="Times New Roman"/>
                <w:sz w:val="24"/>
              </w:rPr>
            </w:pPr>
            <w:r w:rsidRPr="00661595">
              <w:rPr>
                <w:rFonts w:ascii="Times New Roman" w:hAnsi="Times New Roman"/>
                <w:sz w:val="24"/>
              </w:rPr>
              <w:t>Capped amount shall be calculated separately for each exposure as the lower amount between minimum coverage requirement for this exposure and total provisions and adjustments or deductions for the same exposure.</w:t>
            </w:r>
          </w:p>
        </w:tc>
      </w:tr>
      <w:tr w:rsidR="00DD00B4" w:rsidRPr="00661595" w:rsidTr="00DD00B4">
        <w:tc>
          <w:tcPr>
            <w:tcW w:w="1188"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sz w:val="24"/>
              </w:rPr>
            </w:pPr>
            <w:r w:rsidRPr="00661595">
              <w:rPr>
                <w:rFonts w:ascii="Times New Roman" w:hAnsi="Times New Roman"/>
                <w:sz w:val="24"/>
              </w:rPr>
              <w:t>0090</w:t>
            </w:r>
          </w:p>
        </w:tc>
        <w:tc>
          <w:tcPr>
            <w:tcW w:w="8843"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jc w:val="left"/>
              <w:rPr>
                <w:rFonts w:ascii="Times New Roman" w:hAnsi="Times New Roman"/>
                <w:b/>
                <w:sz w:val="24"/>
                <w:u w:val="single"/>
              </w:rPr>
            </w:pPr>
            <w:r w:rsidRPr="00661595">
              <w:rPr>
                <w:rFonts w:ascii="Times New Roman" w:hAnsi="Times New Roman"/>
                <w:b/>
                <w:sz w:val="24"/>
                <w:u w:val="single"/>
              </w:rPr>
              <w:t>Total provisions and adjustments or deductions (uncapped)</w:t>
            </w:r>
          </w:p>
          <w:p w:rsidR="00DD00B4" w:rsidRPr="00C4623C" w:rsidRDefault="00DD00B4" w:rsidP="00DD00B4">
            <w:pPr>
              <w:jc w:val="left"/>
              <w:rPr>
                <w:rFonts w:ascii="Times New Roman" w:hAnsi="Times New Roman"/>
                <w:sz w:val="24"/>
              </w:rPr>
            </w:pPr>
            <w:r w:rsidRPr="00661595">
              <w:rPr>
                <w:rFonts w:ascii="Times New Roman" w:hAnsi="Times New Roman"/>
                <w:sz w:val="24"/>
                <w:lang w:bidi="ne-NP"/>
              </w:rPr>
              <w:t>Institutions shall report the sum of uncapped amount of the items listed in rows  0100-0150 in accordance with p</w:t>
            </w:r>
            <w:r w:rsidRPr="00661595">
              <w:rPr>
                <w:rFonts w:ascii="Times New Roman" w:hAnsi="Times New Roman"/>
                <w:sz w:val="24"/>
              </w:rPr>
              <w:t>oi</w:t>
            </w:r>
            <w:r w:rsidR="002327CE" w:rsidRPr="00661595">
              <w:rPr>
                <w:rFonts w:ascii="Times New Roman" w:hAnsi="Times New Roman"/>
                <w:sz w:val="24"/>
              </w:rPr>
              <w:t xml:space="preserve">nt (b) of Article 47c(1) </w:t>
            </w:r>
            <w:r w:rsidRPr="00661595">
              <w:rPr>
                <w:rFonts w:ascii="Times New Roman" w:hAnsi="Times New Roman"/>
                <w:sz w:val="24"/>
              </w:rPr>
              <w:t>CRR.</w:t>
            </w:r>
            <w:r w:rsidRPr="00661595">
              <w:rPr>
                <w:rFonts w:ascii="Times New Roman" w:hAnsi="Times New Roman"/>
                <w:sz w:val="24"/>
                <w:lang w:bidi="ne-NP"/>
              </w:rPr>
              <w:t xml:space="preserve"> </w:t>
            </w:r>
            <w:r w:rsidRPr="00661595">
              <w:rPr>
                <w:rFonts w:ascii="Times New Roman" w:hAnsi="Times New Roman"/>
                <w:sz w:val="24"/>
              </w:rPr>
              <w:t xml:space="preserve">Provisions and adjustment or deductions (uncapped) shall not be limited to the amount of minimum coverage requirement at exposure level.  </w:t>
            </w:r>
          </w:p>
        </w:tc>
      </w:tr>
      <w:tr w:rsidR="00DD00B4" w:rsidRPr="00661595" w:rsidTr="00DD00B4">
        <w:tc>
          <w:tcPr>
            <w:tcW w:w="1188"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sz w:val="24"/>
              </w:rPr>
            </w:pPr>
            <w:r w:rsidRPr="00661595">
              <w:rPr>
                <w:rFonts w:ascii="Times New Roman" w:hAnsi="Times New Roman"/>
                <w:sz w:val="24"/>
              </w:rPr>
              <w:t>0100</w:t>
            </w:r>
          </w:p>
        </w:tc>
        <w:tc>
          <w:tcPr>
            <w:tcW w:w="8843"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jc w:val="left"/>
              <w:rPr>
                <w:rFonts w:ascii="Times New Roman" w:hAnsi="Times New Roman"/>
                <w:b/>
                <w:sz w:val="24"/>
                <w:u w:val="single"/>
              </w:rPr>
            </w:pPr>
            <w:r w:rsidRPr="00661595">
              <w:rPr>
                <w:rFonts w:ascii="Times New Roman" w:hAnsi="Times New Roman"/>
                <w:b/>
                <w:sz w:val="24"/>
                <w:u w:val="single"/>
              </w:rPr>
              <w:t>Specific credit risk adjustments</w:t>
            </w:r>
          </w:p>
          <w:p w:rsidR="00DD00B4" w:rsidRPr="00661595" w:rsidRDefault="00DD00B4" w:rsidP="00DD00B4">
            <w:pPr>
              <w:jc w:val="left"/>
              <w:rPr>
                <w:rFonts w:ascii="Times New Roman" w:hAnsi="Times New Roman"/>
                <w:sz w:val="24"/>
                <w:lang w:bidi="ne-NP"/>
              </w:rPr>
            </w:pPr>
            <w:r w:rsidRPr="00661595">
              <w:rPr>
                <w:rFonts w:ascii="Times New Roman" w:hAnsi="Times New Roman"/>
                <w:sz w:val="24"/>
                <w:lang w:bidi="ne-NP"/>
              </w:rPr>
              <w:t>Point (b)(i) of Article 47c</w:t>
            </w:r>
            <w:r w:rsidR="002327CE" w:rsidRPr="00661595">
              <w:rPr>
                <w:rFonts w:ascii="Times New Roman" w:hAnsi="Times New Roman"/>
                <w:sz w:val="24"/>
                <w:lang w:bidi="ne-NP"/>
              </w:rPr>
              <w:t xml:space="preserve">(1) </w:t>
            </w:r>
            <w:r w:rsidRPr="00661595">
              <w:rPr>
                <w:rFonts w:ascii="Times New Roman" w:hAnsi="Times New Roman"/>
                <w:sz w:val="24"/>
                <w:lang w:bidi="ne-NP"/>
              </w:rPr>
              <w:t>CRR</w:t>
            </w:r>
          </w:p>
        </w:tc>
      </w:tr>
      <w:tr w:rsidR="00DD00B4" w:rsidRPr="00661595" w:rsidTr="00DD00B4">
        <w:tc>
          <w:tcPr>
            <w:tcW w:w="1188"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sz w:val="24"/>
              </w:rPr>
            </w:pPr>
            <w:r w:rsidRPr="00661595">
              <w:rPr>
                <w:rFonts w:ascii="Times New Roman" w:hAnsi="Times New Roman"/>
                <w:sz w:val="24"/>
              </w:rPr>
              <w:t>0110</w:t>
            </w:r>
          </w:p>
        </w:tc>
        <w:tc>
          <w:tcPr>
            <w:tcW w:w="8843"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jc w:val="left"/>
              <w:rPr>
                <w:rFonts w:ascii="Times New Roman" w:hAnsi="Times New Roman"/>
                <w:b/>
                <w:sz w:val="24"/>
                <w:u w:val="single"/>
              </w:rPr>
            </w:pPr>
            <w:r w:rsidRPr="00661595">
              <w:rPr>
                <w:rFonts w:ascii="Times New Roman" w:hAnsi="Times New Roman"/>
                <w:b/>
                <w:sz w:val="24"/>
                <w:u w:val="single"/>
              </w:rPr>
              <w:t>Additional valuation adjustments</w:t>
            </w:r>
          </w:p>
          <w:p w:rsidR="00DD00B4" w:rsidRPr="00661595" w:rsidRDefault="00DD00B4" w:rsidP="00DD00B4">
            <w:pPr>
              <w:jc w:val="left"/>
              <w:rPr>
                <w:rFonts w:ascii="Times New Roman" w:hAnsi="Times New Roman"/>
                <w:b/>
                <w:sz w:val="24"/>
                <w:u w:val="single"/>
              </w:rPr>
            </w:pPr>
            <w:r w:rsidRPr="00661595">
              <w:rPr>
                <w:rFonts w:ascii="Times New Roman" w:hAnsi="Times New Roman"/>
                <w:sz w:val="24"/>
                <w:lang w:bidi="ne-NP"/>
              </w:rPr>
              <w:t>Point (</w:t>
            </w:r>
            <w:r w:rsidR="002327CE" w:rsidRPr="00661595">
              <w:rPr>
                <w:rFonts w:ascii="Times New Roman" w:hAnsi="Times New Roman"/>
                <w:sz w:val="24"/>
                <w:lang w:bidi="ne-NP"/>
              </w:rPr>
              <w:t xml:space="preserve">b)(ii) of Article 47c(1) </w:t>
            </w:r>
            <w:r w:rsidRPr="00661595">
              <w:rPr>
                <w:rFonts w:ascii="Times New Roman" w:hAnsi="Times New Roman"/>
                <w:sz w:val="24"/>
                <w:lang w:bidi="ne-NP"/>
              </w:rPr>
              <w:t>CRR</w:t>
            </w:r>
          </w:p>
        </w:tc>
      </w:tr>
      <w:tr w:rsidR="00DD00B4" w:rsidRPr="00661595" w:rsidTr="00DD00B4">
        <w:tc>
          <w:tcPr>
            <w:tcW w:w="1188"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sz w:val="24"/>
              </w:rPr>
            </w:pPr>
            <w:r w:rsidRPr="00661595">
              <w:rPr>
                <w:rFonts w:ascii="Times New Roman" w:hAnsi="Times New Roman"/>
                <w:sz w:val="24"/>
              </w:rPr>
              <w:t>0120</w:t>
            </w:r>
          </w:p>
        </w:tc>
        <w:tc>
          <w:tcPr>
            <w:tcW w:w="8843"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jc w:val="left"/>
              <w:rPr>
                <w:rFonts w:ascii="Times New Roman" w:hAnsi="Times New Roman"/>
                <w:b/>
                <w:sz w:val="24"/>
                <w:u w:val="single"/>
              </w:rPr>
            </w:pPr>
            <w:r w:rsidRPr="00661595">
              <w:rPr>
                <w:rFonts w:ascii="Times New Roman" w:hAnsi="Times New Roman"/>
                <w:b/>
                <w:sz w:val="24"/>
                <w:u w:val="single"/>
              </w:rPr>
              <w:t>Other own funds reductions</w:t>
            </w:r>
          </w:p>
          <w:p w:rsidR="00DD00B4" w:rsidRPr="00661595" w:rsidRDefault="00DD00B4" w:rsidP="00DD00B4">
            <w:pPr>
              <w:jc w:val="left"/>
              <w:rPr>
                <w:rFonts w:ascii="Times New Roman" w:hAnsi="Times New Roman"/>
                <w:b/>
                <w:sz w:val="24"/>
                <w:u w:val="single"/>
              </w:rPr>
            </w:pPr>
            <w:r w:rsidRPr="00661595">
              <w:rPr>
                <w:rFonts w:ascii="Times New Roman" w:hAnsi="Times New Roman"/>
                <w:sz w:val="24"/>
                <w:lang w:bidi="ne-NP"/>
              </w:rPr>
              <w:t>Point (b</w:t>
            </w:r>
            <w:r w:rsidR="002327CE" w:rsidRPr="00661595">
              <w:rPr>
                <w:rFonts w:ascii="Times New Roman" w:hAnsi="Times New Roman"/>
                <w:sz w:val="24"/>
                <w:lang w:bidi="ne-NP"/>
              </w:rPr>
              <w:t xml:space="preserve">)(iii) of Article 47c(1) </w:t>
            </w:r>
            <w:r w:rsidRPr="00661595">
              <w:rPr>
                <w:rFonts w:ascii="Times New Roman" w:hAnsi="Times New Roman"/>
                <w:sz w:val="24"/>
                <w:lang w:bidi="ne-NP"/>
              </w:rPr>
              <w:t>CRR</w:t>
            </w:r>
          </w:p>
        </w:tc>
      </w:tr>
      <w:tr w:rsidR="00DD00B4" w:rsidRPr="00661595" w:rsidTr="00DD00B4">
        <w:tc>
          <w:tcPr>
            <w:tcW w:w="1188"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sz w:val="24"/>
              </w:rPr>
            </w:pPr>
            <w:r w:rsidRPr="00661595">
              <w:rPr>
                <w:rFonts w:ascii="Times New Roman" w:hAnsi="Times New Roman"/>
                <w:sz w:val="24"/>
              </w:rPr>
              <w:t>0130</w:t>
            </w:r>
          </w:p>
        </w:tc>
        <w:tc>
          <w:tcPr>
            <w:tcW w:w="8843"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jc w:val="left"/>
              <w:rPr>
                <w:rFonts w:ascii="Times New Roman" w:hAnsi="Times New Roman"/>
                <w:b/>
                <w:sz w:val="24"/>
                <w:u w:val="single"/>
              </w:rPr>
            </w:pPr>
            <w:r w:rsidRPr="00661595">
              <w:rPr>
                <w:rFonts w:ascii="Times New Roman" w:hAnsi="Times New Roman"/>
                <w:b/>
                <w:sz w:val="24"/>
                <w:u w:val="single"/>
              </w:rPr>
              <w:t>IRB shortfall</w:t>
            </w:r>
          </w:p>
          <w:p w:rsidR="00DD00B4" w:rsidRPr="00661595" w:rsidRDefault="00DD00B4" w:rsidP="00DD00B4">
            <w:pPr>
              <w:jc w:val="left"/>
              <w:rPr>
                <w:rFonts w:ascii="Times New Roman" w:hAnsi="Times New Roman"/>
                <w:b/>
                <w:sz w:val="24"/>
                <w:u w:val="single"/>
              </w:rPr>
            </w:pPr>
            <w:r w:rsidRPr="00661595">
              <w:rPr>
                <w:rFonts w:ascii="Times New Roman" w:hAnsi="Times New Roman"/>
                <w:sz w:val="24"/>
                <w:lang w:bidi="ne-NP"/>
              </w:rPr>
              <w:t>Point (</w:t>
            </w:r>
            <w:r w:rsidR="002327CE" w:rsidRPr="00661595">
              <w:rPr>
                <w:rFonts w:ascii="Times New Roman" w:hAnsi="Times New Roman"/>
                <w:sz w:val="24"/>
                <w:lang w:bidi="ne-NP"/>
              </w:rPr>
              <w:t xml:space="preserve">b)(iv) of Article 47c(1) </w:t>
            </w:r>
            <w:r w:rsidRPr="00661595">
              <w:rPr>
                <w:rFonts w:ascii="Times New Roman" w:hAnsi="Times New Roman"/>
                <w:sz w:val="24"/>
                <w:lang w:bidi="ne-NP"/>
              </w:rPr>
              <w:t>CRR</w:t>
            </w:r>
          </w:p>
        </w:tc>
      </w:tr>
      <w:tr w:rsidR="00DD00B4" w:rsidRPr="00661595" w:rsidTr="00DD00B4">
        <w:tc>
          <w:tcPr>
            <w:tcW w:w="1188"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sz w:val="24"/>
              </w:rPr>
            </w:pPr>
            <w:r w:rsidRPr="00661595">
              <w:rPr>
                <w:rFonts w:ascii="Times New Roman" w:hAnsi="Times New Roman"/>
                <w:sz w:val="24"/>
              </w:rPr>
              <w:t>0140</w:t>
            </w:r>
          </w:p>
        </w:tc>
        <w:tc>
          <w:tcPr>
            <w:tcW w:w="8843"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jc w:val="left"/>
              <w:rPr>
                <w:rFonts w:ascii="Times New Roman" w:hAnsi="Times New Roman"/>
                <w:b/>
                <w:sz w:val="24"/>
                <w:u w:val="single"/>
              </w:rPr>
            </w:pPr>
            <w:r w:rsidRPr="00661595">
              <w:rPr>
                <w:rFonts w:ascii="Times New Roman" w:hAnsi="Times New Roman"/>
                <w:b/>
                <w:sz w:val="24"/>
                <w:u w:val="single"/>
              </w:rPr>
              <w:t>Difference between the purchase price and the amount owed by the debtor</w:t>
            </w:r>
          </w:p>
          <w:p w:rsidR="00DD00B4" w:rsidRPr="00661595" w:rsidRDefault="00DD00B4" w:rsidP="00DD00B4">
            <w:pPr>
              <w:jc w:val="left"/>
              <w:rPr>
                <w:rFonts w:ascii="Times New Roman" w:hAnsi="Times New Roman"/>
                <w:b/>
                <w:sz w:val="24"/>
                <w:u w:val="single"/>
              </w:rPr>
            </w:pPr>
            <w:r w:rsidRPr="00661595">
              <w:rPr>
                <w:rFonts w:ascii="Times New Roman" w:hAnsi="Times New Roman"/>
                <w:sz w:val="24"/>
                <w:lang w:bidi="ne-NP"/>
              </w:rPr>
              <w:t xml:space="preserve">Point </w:t>
            </w:r>
            <w:r w:rsidR="00FC223C" w:rsidRPr="00661595">
              <w:rPr>
                <w:rFonts w:ascii="Times New Roman" w:hAnsi="Times New Roman"/>
                <w:sz w:val="24"/>
                <w:lang w:bidi="ne-NP"/>
              </w:rPr>
              <w:t xml:space="preserve">(b)(v) of Article 47c(1) </w:t>
            </w:r>
            <w:r w:rsidRPr="00661595">
              <w:rPr>
                <w:rFonts w:ascii="Times New Roman" w:hAnsi="Times New Roman"/>
                <w:sz w:val="24"/>
                <w:lang w:bidi="ne-NP"/>
              </w:rPr>
              <w:t>CRR</w:t>
            </w:r>
          </w:p>
        </w:tc>
      </w:tr>
      <w:tr w:rsidR="00DD00B4" w:rsidRPr="00661595" w:rsidTr="00DD00B4">
        <w:tc>
          <w:tcPr>
            <w:tcW w:w="1188"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sz w:val="24"/>
              </w:rPr>
            </w:pPr>
            <w:r w:rsidRPr="00661595">
              <w:rPr>
                <w:rFonts w:ascii="Times New Roman" w:hAnsi="Times New Roman"/>
                <w:sz w:val="24"/>
              </w:rPr>
              <w:t>0150</w:t>
            </w:r>
          </w:p>
        </w:tc>
        <w:tc>
          <w:tcPr>
            <w:tcW w:w="8843"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jc w:val="left"/>
              <w:rPr>
                <w:rFonts w:ascii="Times New Roman" w:hAnsi="Times New Roman"/>
                <w:b/>
                <w:sz w:val="24"/>
                <w:u w:val="single"/>
              </w:rPr>
            </w:pPr>
            <w:r w:rsidRPr="00661595">
              <w:rPr>
                <w:rFonts w:ascii="Times New Roman" w:hAnsi="Times New Roman"/>
                <w:b/>
                <w:sz w:val="24"/>
                <w:u w:val="single"/>
              </w:rPr>
              <w:t>Amounts written-off by the institution since the exposure was classified as non-performing</w:t>
            </w:r>
          </w:p>
          <w:p w:rsidR="00DD00B4" w:rsidRPr="00661595" w:rsidRDefault="00DD00B4" w:rsidP="00DD00B4">
            <w:pPr>
              <w:jc w:val="left"/>
              <w:rPr>
                <w:rFonts w:ascii="Times New Roman" w:hAnsi="Times New Roman"/>
                <w:b/>
                <w:sz w:val="24"/>
                <w:u w:val="single"/>
              </w:rPr>
            </w:pPr>
            <w:r w:rsidRPr="00661595">
              <w:rPr>
                <w:rFonts w:ascii="Times New Roman" w:hAnsi="Times New Roman"/>
                <w:sz w:val="24"/>
                <w:lang w:bidi="ne-NP"/>
              </w:rPr>
              <w:t>Point (</w:t>
            </w:r>
            <w:r w:rsidR="00FC223C" w:rsidRPr="00661595">
              <w:rPr>
                <w:rFonts w:ascii="Times New Roman" w:hAnsi="Times New Roman"/>
                <w:sz w:val="24"/>
                <w:lang w:bidi="ne-NP"/>
              </w:rPr>
              <w:t xml:space="preserve">b)(vi) of Article 47c(1) </w:t>
            </w:r>
            <w:r w:rsidRPr="00661595">
              <w:rPr>
                <w:rFonts w:ascii="Times New Roman" w:hAnsi="Times New Roman"/>
                <w:sz w:val="24"/>
                <w:lang w:bidi="ne-NP"/>
              </w:rPr>
              <w:t>CRR</w:t>
            </w:r>
          </w:p>
        </w:tc>
      </w:tr>
    </w:tbl>
    <w:p w:rsidR="00DD00B4" w:rsidRPr="00661595" w:rsidRDefault="00DD00B4" w:rsidP="002F29AF">
      <w:pPr>
        <w:pStyle w:val="Instructionsberschrift2"/>
        <w:numPr>
          <w:ilvl w:val="1"/>
          <w:numId w:val="38"/>
        </w:numPr>
        <w:rPr>
          <w:rFonts w:ascii="Times New Roman" w:hAnsi="Times New Roman" w:cs="Times New Roman"/>
          <w:sz w:val="24"/>
          <w:lang w:val="en-GB"/>
        </w:rPr>
      </w:pPr>
      <w:bookmarkStart w:id="787" w:name="_Toc19715890"/>
      <w:bookmarkStart w:id="788" w:name="_Toc57831680"/>
      <w:r w:rsidRPr="00661595">
        <w:rPr>
          <w:rFonts w:ascii="Times New Roman" w:hAnsi="Times New Roman" w:cs="Times New Roman"/>
          <w:sz w:val="24"/>
          <w:lang w:val="en-GB"/>
        </w:rPr>
        <w:t>C 35.02 – MINIMUM COVERAGE REQUIREMENTS AND EXPOSURE VALUES OF NON-PERFORMING EXPOSURES EXCLUDING FORBORNE EXPOSURES THAT FA</w:t>
      </w:r>
      <w:r w:rsidR="00FC223C" w:rsidRPr="00661595">
        <w:rPr>
          <w:rFonts w:ascii="Times New Roman" w:hAnsi="Times New Roman" w:cs="Times New Roman"/>
          <w:sz w:val="24"/>
          <w:lang w:val="en-GB"/>
        </w:rPr>
        <w:t xml:space="preserve">LL UNDER ARTICLE 47C (6) </w:t>
      </w:r>
      <w:r w:rsidRPr="00661595">
        <w:rPr>
          <w:rFonts w:ascii="Times New Roman" w:hAnsi="Times New Roman" w:cs="Times New Roman"/>
          <w:sz w:val="24"/>
          <w:lang w:val="en-GB"/>
        </w:rPr>
        <w:t>CRR (NPE LC2)</w:t>
      </w:r>
      <w:bookmarkStart w:id="789" w:name="_Toc19715891"/>
      <w:bookmarkEnd w:id="787"/>
      <w:bookmarkEnd w:id="788"/>
      <w:bookmarkEnd w:id="789"/>
    </w:p>
    <w:p w:rsidR="00DD00B4" w:rsidRPr="00661595" w:rsidRDefault="00DD00B4" w:rsidP="002F29AF">
      <w:pPr>
        <w:pStyle w:val="Instructionsberschrift2"/>
        <w:numPr>
          <w:ilvl w:val="2"/>
          <w:numId w:val="38"/>
        </w:numPr>
        <w:rPr>
          <w:rFonts w:ascii="Times New Roman" w:hAnsi="Times New Roman" w:cs="Times New Roman"/>
          <w:sz w:val="24"/>
          <w:lang w:val="en-GB"/>
        </w:rPr>
      </w:pPr>
      <w:bookmarkStart w:id="790" w:name="_Toc19715892"/>
      <w:bookmarkStart w:id="791" w:name="_Toc57831681"/>
      <w:r w:rsidRPr="00661595">
        <w:rPr>
          <w:rFonts w:ascii="Times New Roman" w:hAnsi="Times New Roman" w:cs="Times New Roman"/>
          <w:sz w:val="24"/>
          <w:lang w:val="en-GB"/>
        </w:rPr>
        <w:t>Instructions concerning specific positions</w:t>
      </w:r>
      <w:bookmarkEnd w:id="790"/>
      <w:bookmarkEnd w:id="791"/>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8843"/>
      </w:tblGrid>
      <w:tr w:rsidR="00DD00B4" w:rsidRPr="00661595" w:rsidTr="00DD00B4">
        <w:tc>
          <w:tcPr>
            <w:tcW w:w="1188" w:type="dxa"/>
            <w:tcBorders>
              <w:top w:val="single" w:sz="4" w:space="0" w:color="auto"/>
              <w:left w:val="single" w:sz="4" w:space="0" w:color="auto"/>
              <w:bottom w:val="single" w:sz="4" w:space="0" w:color="auto"/>
              <w:right w:val="single" w:sz="4" w:space="0" w:color="auto"/>
            </w:tcBorders>
            <w:shd w:val="clear" w:color="auto" w:fill="CCCCCC"/>
            <w:hideMark/>
          </w:tcPr>
          <w:p w:rsidR="00DD00B4" w:rsidRPr="00661595" w:rsidRDefault="00DD00B4" w:rsidP="00DD00B4">
            <w:pPr>
              <w:rPr>
                <w:rFonts w:ascii="Times New Roman" w:hAnsi="Times New Roman"/>
                <w:sz w:val="24"/>
                <w:lang w:bidi="ne-NP"/>
              </w:rPr>
            </w:pPr>
            <w:r w:rsidRPr="00661595">
              <w:rPr>
                <w:rFonts w:ascii="Times New Roman" w:hAnsi="Times New Roman"/>
                <w:sz w:val="24"/>
                <w:lang w:bidi="ne-NP"/>
              </w:rPr>
              <w:t>Columns</w:t>
            </w:r>
          </w:p>
        </w:tc>
        <w:tc>
          <w:tcPr>
            <w:tcW w:w="8843" w:type="dxa"/>
            <w:tcBorders>
              <w:top w:val="single" w:sz="4" w:space="0" w:color="auto"/>
              <w:left w:val="single" w:sz="4" w:space="0" w:color="auto"/>
              <w:bottom w:val="single" w:sz="4" w:space="0" w:color="auto"/>
              <w:right w:val="single" w:sz="4" w:space="0" w:color="auto"/>
            </w:tcBorders>
            <w:shd w:val="clear" w:color="auto" w:fill="CCCCCC"/>
            <w:hideMark/>
          </w:tcPr>
          <w:p w:rsidR="00DD00B4" w:rsidRPr="00661595" w:rsidRDefault="00DD00B4" w:rsidP="00DD00B4">
            <w:pPr>
              <w:rPr>
                <w:rFonts w:ascii="Times New Roman" w:hAnsi="Times New Roman"/>
                <w:sz w:val="24"/>
                <w:lang w:bidi="ne-NP"/>
              </w:rPr>
            </w:pPr>
            <w:r w:rsidRPr="00661595">
              <w:rPr>
                <w:rFonts w:ascii="Times New Roman" w:hAnsi="Times New Roman"/>
                <w:sz w:val="24"/>
                <w:lang w:bidi="ne-NP"/>
              </w:rPr>
              <w:t>Instructions</w:t>
            </w:r>
          </w:p>
        </w:tc>
      </w:tr>
      <w:tr w:rsidR="00DD00B4" w:rsidRPr="00661595" w:rsidTr="00DD00B4">
        <w:tc>
          <w:tcPr>
            <w:tcW w:w="1188" w:type="dxa"/>
            <w:tcBorders>
              <w:top w:val="single" w:sz="4" w:space="0" w:color="auto"/>
              <w:left w:val="single" w:sz="4" w:space="0" w:color="auto"/>
              <w:bottom w:val="single" w:sz="4" w:space="0" w:color="auto"/>
              <w:right w:val="single" w:sz="4" w:space="0" w:color="auto"/>
            </w:tcBorders>
            <w:hideMark/>
          </w:tcPr>
          <w:p w:rsidR="00DD00B4" w:rsidRPr="00661595" w:rsidRDefault="00DD00B4" w:rsidP="00DD00B4">
            <w:pPr>
              <w:rPr>
                <w:rFonts w:ascii="Times New Roman" w:hAnsi="Times New Roman"/>
                <w:sz w:val="24"/>
              </w:rPr>
            </w:pPr>
            <w:r w:rsidRPr="00661595">
              <w:rPr>
                <w:rFonts w:ascii="Times New Roman" w:hAnsi="Times New Roman"/>
                <w:sz w:val="24"/>
              </w:rPr>
              <w:t>0010 – 0100</w:t>
            </w:r>
          </w:p>
        </w:tc>
        <w:tc>
          <w:tcPr>
            <w:tcW w:w="8843"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b/>
                <w:sz w:val="24"/>
                <w:u w:val="single"/>
              </w:rPr>
            </w:pPr>
            <w:r w:rsidRPr="00661595">
              <w:rPr>
                <w:rFonts w:ascii="Times New Roman" w:hAnsi="Times New Roman"/>
                <w:b/>
                <w:sz w:val="24"/>
                <w:u w:val="single"/>
              </w:rPr>
              <w:t>Time passed since exposures classified as non-performing</w:t>
            </w:r>
          </w:p>
          <w:p w:rsidR="00DD00B4" w:rsidRPr="00661595" w:rsidRDefault="00DD00B4" w:rsidP="00DD00B4">
            <w:pPr>
              <w:rPr>
                <w:rFonts w:ascii="Times New Roman" w:hAnsi="Times New Roman"/>
                <w:sz w:val="24"/>
              </w:rPr>
            </w:pPr>
            <w:r w:rsidRPr="00661595">
              <w:rPr>
                <w:rFonts w:ascii="Times New Roman" w:hAnsi="Times New Roman"/>
                <w:sz w:val="24"/>
              </w:rPr>
              <w:t>The ‘time passed since exposures classified as non-performing’ shall mean the time in years passed since exposure has been classified as non-performing. Institutions shall report data on exposures for which the reference date falls under the corresponding time interval indicating the period in years following exposures’ classification as non-performing,  regardless of any application of forbearance measures.</w:t>
            </w:r>
          </w:p>
          <w:p w:rsidR="00DD00B4" w:rsidRPr="00661595" w:rsidRDefault="00DD00B4" w:rsidP="00DD00B4">
            <w:pPr>
              <w:rPr>
                <w:rFonts w:ascii="Times New Roman" w:hAnsi="Times New Roman"/>
                <w:sz w:val="24"/>
              </w:rPr>
            </w:pPr>
            <w:r w:rsidRPr="00661595">
              <w:rPr>
                <w:rFonts w:ascii="Times New Roman" w:hAnsi="Times New Roman"/>
                <w:sz w:val="24"/>
              </w:rPr>
              <w:t>For the time interval, “&gt; X year(s), &lt;= Y year(s)”, institutions shall report data on exposures for which the reference date corresponds to the period between the first and the last day of the Yth year following the classification of these exposures as non-performing.</w:t>
            </w:r>
          </w:p>
        </w:tc>
      </w:tr>
      <w:tr w:rsidR="00DD00B4" w:rsidRPr="00661595" w:rsidTr="00DD00B4">
        <w:tc>
          <w:tcPr>
            <w:tcW w:w="1188"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sz w:val="24"/>
              </w:rPr>
            </w:pPr>
            <w:r w:rsidRPr="00661595">
              <w:rPr>
                <w:rFonts w:ascii="Times New Roman" w:hAnsi="Times New Roman"/>
                <w:sz w:val="24"/>
              </w:rPr>
              <w:t>0110</w:t>
            </w:r>
          </w:p>
        </w:tc>
        <w:tc>
          <w:tcPr>
            <w:tcW w:w="8843"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b/>
                <w:sz w:val="24"/>
                <w:u w:val="single"/>
              </w:rPr>
            </w:pPr>
            <w:r w:rsidRPr="00661595">
              <w:rPr>
                <w:rFonts w:ascii="Times New Roman" w:hAnsi="Times New Roman"/>
                <w:b/>
                <w:sz w:val="24"/>
                <w:u w:val="single"/>
              </w:rPr>
              <w:t>Total</w:t>
            </w:r>
          </w:p>
          <w:p w:rsidR="00DD00B4" w:rsidRPr="00661595" w:rsidRDefault="00DD00B4" w:rsidP="00DD00B4">
            <w:pPr>
              <w:rPr>
                <w:rFonts w:ascii="Times New Roman" w:hAnsi="Times New Roman"/>
                <w:sz w:val="24"/>
                <w:u w:val="single"/>
              </w:rPr>
            </w:pPr>
            <w:r w:rsidRPr="00661595">
              <w:rPr>
                <w:rFonts w:ascii="Times New Roman" w:hAnsi="Times New Roman"/>
                <w:sz w:val="24"/>
              </w:rPr>
              <w:t>Institutions shall report the sum of all columns from 0010 to 0100.</w:t>
            </w:r>
          </w:p>
        </w:tc>
      </w:tr>
    </w:tbl>
    <w:p w:rsidR="00DD00B4" w:rsidRPr="00661595" w:rsidRDefault="00DD00B4" w:rsidP="00DD00B4">
      <w:pPr>
        <w:jc w:val="left"/>
        <w:rPr>
          <w:rFonts w:ascii="Times New Roman" w:hAnsi="Times New Roman"/>
          <w:sz w:val="24"/>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8843"/>
      </w:tblGrid>
      <w:tr w:rsidR="00DD00B4" w:rsidRPr="00661595" w:rsidTr="00DD00B4">
        <w:tc>
          <w:tcPr>
            <w:tcW w:w="1188" w:type="dxa"/>
            <w:tcBorders>
              <w:top w:val="single" w:sz="4" w:space="0" w:color="auto"/>
              <w:left w:val="single" w:sz="4" w:space="0" w:color="auto"/>
              <w:bottom w:val="single" w:sz="4" w:space="0" w:color="auto"/>
              <w:right w:val="single" w:sz="4" w:space="0" w:color="auto"/>
            </w:tcBorders>
            <w:shd w:val="clear" w:color="auto" w:fill="CCCCCC"/>
            <w:hideMark/>
          </w:tcPr>
          <w:p w:rsidR="00DD00B4" w:rsidRPr="00661595" w:rsidRDefault="00DD00B4" w:rsidP="00DD00B4">
            <w:pPr>
              <w:rPr>
                <w:rFonts w:ascii="Times New Roman" w:hAnsi="Times New Roman"/>
                <w:sz w:val="24"/>
                <w:lang w:bidi="ne-NP"/>
              </w:rPr>
            </w:pPr>
            <w:r w:rsidRPr="00661595">
              <w:rPr>
                <w:rFonts w:ascii="Times New Roman" w:hAnsi="Times New Roman"/>
                <w:sz w:val="24"/>
                <w:lang w:bidi="ne-NP"/>
              </w:rPr>
              <w:t>Rows</w:t>
            </w:r>
          </w:p>
        </w:tc>
        <w:tc>
          <w:tcPr>
            <w:tcW w:w="8843" w:type="dxa"/>
            <w:tcBorders>
              <w:top w:val="single" w:sz="4" w:space="0" w:color="auto"/>
              <w:left w:val="single" w:sz="4" w:space="0" w:color="auto"/>
              <w:bottom w:val="single" w:sz="4" w:space="0" w:color="auto"/>
              <w:right w:val="single" w:sz="4" w:space="0" w:color="auto"/>
            </w:tcBorders>
            <w:shd w:val="clear" w:color="auto" w:fill="CCCCCC"/>
            <w:hideMark/>
          </w:tcPr>
          <w:p w:rsidR="00DD00B4" w:rsidRPr="00661595" w:rsidRDefault="00DD00B4" w:rsidP="00DD00B4">
            <w:pPr>
              <w:rPr>
                <w:rFonts w:ascii="Times New Roman" w:hAnsi="Times New Roman"/>
                <w:sz w:val="24"/>
                <w:lang w:bidi="ne-NP"/>
              </w:rPr>
            </w:pPr>
            <w:r w:rsidRPr="00661595">
              <w:rPr>
                <w:rFonts w:ascii="Times New Roman" w:hAnsi="Times New Roman"/>
                <w:sz w:val="24"/>
                <w:lang w:bidi="ne-NP"/>
              </w:rPr>
              <w:t>Instructions</w:t>
            </w:r>
          </w:p>
        </w:tc>
      </w:tr>
      <w:tr w:rsidR="00DD00B4" w:rsidRPr="00661595" w:rsidTr="00DD00B4">
        <w:tc>
          <w:tcPr>
            <w:tcW w:w="1188" w:type="dxa"/>
            <w:tcBorders>
              <w:top w:val="single" w:sz="4" w:space="0" w:color="auto"/>
              <w:left w:val="single" w:sz="4" w:space="0" w:color="auto"/>
              <w:bottom w:val="single" w:sz="4" w:space="0" w:color="auto"/>
              <w:right w:val="single" w:sz="4" w:space="0" w:color="auto"/>
            </w:tcBorders>
            <w:hideMark/>
          </w:tcPr>
          <w:p w:rsidR="00DD00B4" w:rsidRPr="00661595" w:rsidRDefault="00DD00B4" w:rsidP="00DD00B4">
            <w:pPr>
              <w:rPr>
                <w:rFonts w:ascii="Times New Roman" w:hAnsi="Times New Roman"/>
                <w:sz w:val="24"/>
              </w:rPr>
            </w:pPr>
            <w:r w:rsidRPr="00661595">
              <w:rPr>
                <w:rFonts w:ascii="Times New Roman" w:hAnsi="Times New Roman"/>
                <w:sz w:val="24"/>
              </w:rPr>
              <w:t>0010</w:t>
            </w:r>
          </w:p>
        </w:tc>
        <w:tc>
          <w:tcPr>
            <w:tcW w:w="8843"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b/>
                <w:sz w:val="24"/>
                <w:u w:val="single"/>
              </w:rPr>
            </w:pPr>
            <w:r w:rsidRPr="00661595">
              <w:rPr>
                <w:rFonts w:ascii="Times New Roman" w:hAnsi="Times New Roman"/>
                <w:b/>
                <w:sz w:val="24"/>
                <w:u w:val="single"/>
              </w:rPr>
              <w:t>Total minimum coverage requirement</w:t>
            </w:r>
          </w:p>
          <w:p w:rsidR="00DD00B4" w:rsidRPr="00661595" w:rsidRDefault="00DD00B4" w:rsidP="00DD00B4">
            <w:pPr>
              <w:rPr>
                <w:rFonts w:ascii="Times New Roman" w:hAnsi="Times New Roman"/>
                <w:sz w:val="24"/>
              </w:rPr>
            </w:pPr>
            <w:r w:rsidRPr="00661595">
              <w:rPr>
                <w:rFonts w:ascii="Times New Roman" w:hAnsi="Times New Roman"/>
                <w:sz w:val="24"/>
              </w:rPr>
              <w:t>Poi</w:t>
            </w:r>
            <w:r w:rsidR="00FC223C" w:rsidRPr="00661595">
              <w:rPr>
                <w:rFonts w:ascii="Times New Roman" w:hAnsi="Times New Roman"/>
                <w:sz w:val="24"/>
              </w:rPr>
              <w:t xml:space="preserve">nt (a) of Article 47c(1) </w:t>
            </w:r>
            <w:r w:rsidRPr="00661595">
              <w:rPr>
                <w:rFonts w:ascii="Times New Roman" w:hAnsi="Times New Roman"/>
                <w:sz w:val="24"/>
              </w:rPr>
              <w:t>CRR</w:t>
            </w:r>
          </w:p>
          <w:p w:rsidR="00DD00B4" w:rsidRPr="00661595" w:rsidRDefault="00DD00B4" w:rsidP="00DD00B4">
            <w:pPr>
              <w:rPr>
                <w:rFonts w:ascii="Times New Roman" w:hAnsi="Times New Roman"/>
                <w:sz w:val="24"/>
              </w:rPr>
            </w:pPr>
            <w:r w:rsidRPr="00661595">
              <w:rPr>
                <w:rFonts w:ascii="Times New Roman" w:hAnsi="Times New Roman"/>
                <w:sz w:val="24"/>
              </w:rPr>
              <w:t>For the calculation of the total minimum coverage requirement for non-performing exposures, excluding forborne exposures</w:t>
            </w:r>
            <w:r w:rsidR="00623EAD" w:rsidRPr="00661595">
              <w:rPr>
                <w:rFonts w:ascii="Times New Roman" w:hAnsi="Times New Roman"/>
                <w:sz w:val="24"/>
              </w:rPr>
              <w:t xml:space="preserve"> that fall under Article 47c(6) </w:t>
            </w:r>
            <w:r w:rsidRPr="00661595">
              <w:rPr>
                <w:rFonts w:ascii="Times New Roman" w:hAnsi="Times New Roman"/>
                <w:sz w:val="24"/>
              </w:rPr>
              <w:t>CRR, institutions shall sum the minimum coverage requirement for the unsecured part of NPEs (row 0020) and the minimum coverage requirement for the secured part of NPEs (rows 0030</w:t>
            </w:r>
            <w:r w:rsidR="00623EAD" w:rsidRPr="00661595">
              <w:rPr>
                <w:rFonts w:ascii="Times New Roman" w:hAnsi="Times New Roman"/>
                <w:sz w:val="24"/>
              </w:rPr>
              <w:t>-0050</w:t>
            </w:r>
            <w:r w:rsidRPr="00661595">
              <w:rPr>
                <w:rFonts w:ascii="Times New Roman" w:hAnsi="Times New Roman"/>
                <w:sz w:val="24"/>
              </w:rPr>
              <w:t>).</w:t>
            </w:r>
          </w:p>
        </w:tc>
      </w:tr>
      <w:tr w:rsidR="00DD00B4" w:rsidRPr="00661595" w:rsidTr="00DD00B4">
        <w:tc>
          <w:tcPr>
            <w:tcW w:w="1188"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sz w:val="24"/>
              </w:rPr>
            </w:pPr>
            <w:r w:rsidRPr="00661595">
              <w:rPr>
                <w:rFonts w:ascii="Times New Roman" w:hAnsi="Times New Roman"/>
                <w:sz w:val="24"/>
              </w:rPr>
              <w:t>0020</w:t>
            </w:r>
          </w:p>
        </w:tc>
        <w:tc>
          <w:tcPr>
            <w:tcW w:w="8843"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b/>
                <w:sz w:val="24"/>
                <w:u w:val="single"/>
              </w:rPr>
            </w:pPr>
            <w:r w:rsidRPr="00661595">
              <w:rPr>
                <w:rFonts w:ascii="Times New Roman" w:hAnsi="Times New Roman"/>
                <w:b/>
                <w:sz w:val="24"/>
                <w:u w:val="single"/>
              </w:rPr>
              <w:t>Unsecured part of NPEs</w:t>
            </w:r>
          </w:p>
          <w:p w:rsidR="00DD00B4" w:rsidRPr="00661595" w:rsidRDefault="00DD00B4" w:rsidP="00DD00B4">
            <w:pPr>
              <w:rPr>
                <w:rFonts w:ascii="Times New Roman" w:hAnsi="Times New Roman"/>
                <w:sz w:val="24"/>
              </w:rPr>
            </w:pPr>
            <w:r w:rsidRPr="00661595">
              <w:rPr>
                <w:rFonts w:ascii="Times New Roman" w:hAnsi="Times New Roman"/>
                <w:sz w:val="24"/>
              </w:rPr>
              <w:t>Point (a)(i) of Article 47c(1), Article 47c(2</w:t>
            </w:r>
            <w:r w:rsidR="00623EAD" w:rsidRPr="00661595">
              <w:rPr>
                <w:rFonts w:ascii="Times New Roman" w:hAnsi="Times New Roman"/>
                <w:sz w:val="24"/>
              </w:rPr>
              <w:t xml:space="preserve">) </w:t>
            </w:r>
            <w:r w:rsidRPr="00661595">
              <w:rPr>
                <w:rFonts w:ascii="Times New Roman" w:hAnsi="Times New Roman"/>
                <w:sz w:val="24"/>
              </w:rPr>
              <w:t>CRR</w:t>
            </w:r>
          </w:p>
          <w:p w:rsidR="00DD00B4" w:rsidRPr="00661595" w:rsidRDefault="00DD00B4" w:rsidP="00EA2AFF">
            <w:pPr>
              <w:rPr>
                <w:rFonts w:ascii="Times New Roman" w:hAnsi="Times New Roman"/>
                <w:sz w:val="24"/>
              </w:rPr>
            </w:pPr>
            <w:r w:rsidRPr="00661595">
              <w:rPr>
                <w:rFonts w:ascii="Times New Roman" w:hAnsi="Times New Roman"/>
                <w:sz w:val="24"/>
              </w:rPr>
              <w:t xml:space="preserve">The minimum coverage requirement </w:t>
            </w:r>
            <w:r w:rsidR="00EA2AFF">
              <w:rPr>
                <w:rFonts w:ascii="Times New Roman" w:hAnsi="Times New Roman"/>
                <w:sz w:val="24"/>
              </w:rPr>
              <w:t>shall be</w:t>
            </w:r>
            <w:r w:rsidR="00EA2AFF" w:rsidRPr="00661595">
              <w:rPr>
                <w:rFonts w:ascii="Times New Roman" w:hAnsi="Times New Roman"/>
                <w:sz w:val="24"/>
              </w:rPr>
              <w:t xml:space="preserve"> </w:t>
            </w:r>
            <w:r w:rsidRPr="00661595">
              <w:rPr>
                <w:rFonts w:ascii="Times New Roman" w:hAnsi="Times New Roman"/>
                <w:sz w:val="24"/>
              </w:rPr>
              <w:t xml:space="preserve">calculated by multiplying the aggregate exposure values in row 0070 </w:t>
            </w:r>
            <w:r w:rsidR="00EA2AFF">
              <w:rPr>
                <w:rFonts w:ascii="Times New Roman" w:hAnsi="Times New Roman"/>
                <w:sz w:val="24"/>
              </w:rPr>
              <w:t>by</w:t>
            </w:r>
            <w:r w:rsidR="00EA2AFF" w:rsidRPr="00661595">
              <w:rPr>
                <w:rFonts w:ascii="Times New Roman" w:hAnsi="Times New Roman"/>
                <w:sz w:val="24"/>
              </w:rPr>
              <w:t xml:space="preserve"> </w:t>
            </w:r>
            <w:r w:rsidRPr="00661595">
              <w:rPr>
                <w:rFonts w:ascii="Times New Roman" w:hAnsi="Times New Roman"/>
                <w:sz w:val="24"/>
              </w:rPr>
              <w:t>the corresponding factor per column.</w:t>
            </w:r>
          </w:p>
        </w:tc>
      </w:tr>
      <w:tr w:rsidR="00DD00B4" w:rsidRPr="00661595" w:rsidTr="00DD00B4">
        <w:tc>
          <w:tcPr>
            <w:tcW w:w="1188"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sz w:val="24"/>
              </w:rPr>
            </w:pPr>
            <w:r w:rsidRPr="00661595">
              <w:rPr>
                <w:rFonts w:ascii="Times New Roman" w:hAnsi="Times New Roman"/>
                <w:sz w:val="24"/>
              </w:rPr>
              <w:t>0030</w:t>
            </w:r>
          </w:p>
        </w:tc>
        <w:tc>
          <w:tcPr>
            <w:tcW w:w="8843"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b/>
                <w:sz w:val="24"/>
                <w:u w:val="single"/>
              </w:rPr>
            </w:pPr>
            <w:r w:rsidRPr="00661595">
              <w:rPr>
                <w:rFonts w:ascii="Times New Roman" w:hAnsi="Times New Roman"/>
                <w:b/>
                <w:sz w:val="24"/>
                <w:u w:val="single"/>
              </w:rPr>
              <w:t xml:space="preserve">Part of NPEs secured by immovable property or residential loan guaranteed by an eligible protection provider  </w:t>
            </w:r>
          </w:p>
          <w:p w:rsidR="00DD00B4" w:rsidRPr="00661595" w:rsidRDefault="00DD00B4" w:rsidP="00DD00B4">
            <w:pPr>
              <w:rPr>
                <w:rFonts w:ascii="Times New Roman" w:hAnsi="Times New Roman"/>
                <w:sz w:val="24"/>
              </w:rPr>
            </w:pPr>
            <w:r w:rsidRPr="00661595">
              <w:rPr>
                <w:rFonts w:ascii="Times New Roman" w:hAnsi="Times New Roman"/>
                <w:sz w:val="24"/>
              </w:rPr>
              <w:t xml:space="preserve">Point (a)(ii) of Article 47c(1) and points </w:t>
            </w:r>
            <w:r w:rsidR="00130586" w:rsidRPr="00661595">
              <w:rPr>
                <w:rFonts w:ascii="Times New Roman" w:hAnsi="Times New Roman"/>
                <w:sz w:val="24"/>
              </w:rPr>
              <w:t xml:space="preserve">(a), (b), (c), </w:t>
            </w:r>
            <w:r w:rsidRPr="00661595">
              <w:rPr>
                <w:rFonts w:ascii="Times New Roman" w:hAnsi="Times New Roman"/>
                <w:sz w:val="24"/>
              </w:rPr>
              <w:t>(d), (f), (h) and (i</w:t>
            </w:r>
            <w:r w:rsidR="00130586" w:rsidRPr="00661595">
              <w:rPr>
                <w:rFonts w:ascii="Times New Roman" w:hAnsi="Times New Roman"/>
                <w:sz w:val="24"/>
              </w:rPr>
              <w:t xml:space="preserve">) of Article 47c(3) </w:t>
            </w:r>
            <w:r w:rsidRPr="00661595">
              <w:rPr>
                <w:rFonts w:ascii="Times New Roman" w:hAnsi="Times New Roman"/>
                <w:sz w:val="24"/>
              </w:rPr>
              <w:t>CRR</w:t>
            </w:r>
          </w:p>
          <w:p w:rsidR="00DD00B4" w:rsidRPr="00661595" w:rsidRDefault="00DD00B4" w:rsidP="00EA2AFF">
            <w:pPr>
              <w:rPr>
                <w:rFonts w:ascii="Times New Roman" w:hAnsi="Times New Roman"/>
                <w:b/>
                <w:sz w:val="24"/>
                <w:u w:val="single"/>
              </w:rPr>
            </w:pPr>
            <w:r w:rsidRPr="00661595">
              <w:rPr>
                <w:rFonts w:ascii="Times New Roman" w:hAnsi="Times New Roman"/>
                <w:sz w:val="24"/>
              </w:rPr>
              <w:t xml:space="preserve">The minimum coverage requirement </w:t>
            </w:r>
            <w:r w:rsidR="00EA2AFF">
              <w:rPr>
                <w:rFonts w:ascii="Times New Roman" w:hAnsi="Times New Roman"/>
                <w:sz w:val="24"/>
              </w:rPr>
              <w:t>shall be</w:t>
            </w:r>
            <w:r w:rsidR="00EA2AFF" w:rsidRPr="00661595">
              <w:rPr>
                <w:rFonts w:ascii="Times New Roman" w:hAnsi="Times New Roman"/>
                <w:sz w:val="24"/>
              </w:rPr>
              <w:t xml:space="preserve"> </w:t>
            </w:r>
            <w:r w:rsidRPr="00661595">
              <w:rPr>
                <w:rFonts w:ascii="Times New Roman" w:hAnsi="Times New Roman"/>
                <w:sz w:val="24"/>
              </w:rPr>
              <w:t xml:space="preserve">calculated by multiplying the aggregate exposure values in row 0080 </w:t>
            </w:r>
            <w:r w:rsidR="00EA2AFF">
              <w:rPr>
                <w:rFonts w:ascii="Times New Roman" w:hAnsi="Times New Roman"/>
                <w:sz w:val="24"/>
              </w:rPr>
              <w:t>by</w:t>
            </w:r>
            <w:r w:rsidR="00EA2AFF" w:rsidRPr="00661595">
              <w:rPr>
                <w:rFonts w:ascii="Times New Roman" w:hAnsi="Times New Roman"/>
                <w:sz w:val="24"/>
              </w:rPr>
              <w:t xml:space="preserve"> </w:t>
            </w:r>
            <w:r w:rsidRPr="00661595">
              <w:rPr>
                <w:rFonts w:ascii="Times New Roman" w:hAnsi="Times New Roman"/>
                <w:sz w:val="24"/>
              </w:rPr>
              <w:t>the corresponding factor per column.</w:t>
            </w:r>
          </w:p>
        </w:tc>
      </w:tr>
      <w:tr w:rsidR="00DD00B4" w:rsidRPr="00661595" w:rsidTr="00DD00B4">
        <w:tc>
          <w:tcPr>
            <w:tcW w:w="1188"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sz w:val="24"/>
              </w:rPr>
            </w:pPr>
            <w:r w:rsidRPr="00661595">
              <w:rPr>
                <w:rFonts w:ascii="Times New Roman" w:hAnsi="Times New Roman"/>
                <w:sz w:val="24"/>
              </w:rPr>
              <w:t>0040</w:t>
            </w:r>
          </w:p>
        </w:tc>
        <w:tc>
          <w:tcPr>
            <w:tcW w:w="8843"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jc w:val="left"/>
              <w:rPr>
                <w:rFonts w:ascii="Times New Roman" w:hAnsi="Times New Roman"/>
                <w:b/>
                <w:sz w:val="24"/>
                <w:u w:val="single"/>
                <w:lang w:bidi="ne-NP"/>
              </w:rPr>
            </w:pPr>
            <w:r w:rsidRPr="00661595">
              <w:rPr>
                <w:rFonts w:ascii="Times New Roman" w:hAnsi="Times New Roman"/>
                <w:b/>
                <w:sz w:val="24"/>
                <w:u w:val="single"/>
                <w:lang w:bidi="ne-NP"/>
              </w:rPr>
              <w:t>Part of NPEs secured by other funded or unfunded credit protection</w:t>
            </w:r>
          </w:p>
          <w:p w:rsidR="00DD00B4" w:rsidRPr="00661595" w:rsidRDefault="00DD00B4" w:rsidP="00DD00B4">
            <w:pPr>
              <w:rPr>
                <w:rFonts w:ascii="Times New Roman" w:hAnsi="Times New Roman"/>
                <w:sz w:val="24"/>
              </w:rPr>
            </w:pPr>
            <w:r w:rsidRPr="00661595">
              <w:rPr>
                <w:rFonts w:ascii="Times New Roman" w:hAnsi="Times New Roman"/>
                <w:sz w:val="24"/>
              </w:rPr>
              <w:t>Point (a)(ii) of Article 47c(1) and points (a), (b), (c), (e)</w:t>
            </w:r>
            <w:r w:rsidR="00FC223C" w:rsidRPr="00661595">
              <w:rPr>
                <w:rFonts w:ascii="Times New Roman" w:hAnsi="Times New Roman"/>
                <w:sz w:val="24"/>
              </w:rPr>
              <w:t xml:space="preserve"> and (g) of Article 47c(3)</w:t>
            </w:r>
            <w:r w:rsidRPr="00661595">
              <w:rPr>
                <w:rFonts w:ascii="Times New Roman" w:hAnsi="Times New Roman"/>
                <w:sz w:val="24"/>
              </w:rPr>
              <w:t xml:space="preserve"> CRR</w:t>
            </w:r>
          </w:p>
          <w:p w:rsidR="00DD00B4" w:rsidRPr="00661595" w:rsidRDefault="00DD00B4" w:rsidP="00EA2AFF">
            <w:pPr>
              <w:rPr>
                <w:rFonts w:ascii="Times New Roman" w:hAnsi="Times New Roman"/>
                <w:b/>
                <w:sz w:val="24"/>
                <w:u w:val="single"/>
              </w:rPr>
            </w:pPr>
            <w:r w:rsidRPr="00661595">
              <w:rPr>
                <w:rFonts w:ascii="Times New Roman" w:hAnsi="Times New Roman"/>
                <w:sz w:val="24"/>
              </w:rPr>
              <w:t xml:space="preserve">The minimum coverage requirement </w:t>
            </w:r>
            <w:r w:rsidR="00EA2AFF">
              <w:rPr>
                <w:rFonts w:ascii="Times New Roman" w:hAnsi="Times New Roman"/>
                <w:sz w:val="24"/>
              </w:rPr>
              <w:t>shall be</w:t>
            </w:r>
            <w:r w:rsidR="00EA2AFF" w:rsidRPr="00661595">
              <w:rPr>
                <w:rFonts w:ascii="Times New Roman" w:hAnsi="Times New Roman"/>
                <w:sz w:val="24"/>
              </w:rPr>
              <w:t xml:space="preserve"> </w:t>
            </w:r>
            <w:r w:rsidRPr="00661595">
              <w:rPr>
                <w:rFonts w:ascii="Times New Roman" w:hAnsi="Times New Roman"/>
                <w:sz w:val="24"/>
              </w:rPr>
              <w:t xml:space="preserve">calculated by multiplying the aggregate exposure values in row 0090 </w:t>
            </w:r>
            <w:r w:rsidR="00EA2AFF">
              <w:rPr>
                <w:rFonts w:ascii="Times New Roman" w:hAnsi="Times New Roman"/>
                <w:sz w:val="24"/>
              </w:rPr>
              <w:t>by</w:t>
            </w:r>
            <w:r w:rsidR="00EA2AFF" w:rsidRPr="00661595">
              <w:rPr>
                <w:rFonts w:ascii="Times New Roman" w:hAnsi="Times New Roman"/>
                <w:sz w:val="24"/>
              </w:rPr>
              <w:t xml:space="preserve"> </w:t>
            </w:r>
            <w:r w:rsidRPr="00661595">
              <w:rPr>
                <w:rFonts w:ascii="Times New Roman" w:hAnsi="Times New Roman"/>
                <w:sz w:val="24"/>
              </w:rPr>
              <w:t>the corresponding factor per column.</w:t>
            </w:r>
          </w:p>
        </w:tc>
      </w:tr>
      <w:tr w:rsidR="00DD00B4" w:rsidRPr="00661595" w:rsidTr="00DD00B4">
        <w:tc>
          <w:tcPr>
            <w:tcW w:w="1188"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sz w:val="24"/>
              </w:rPr>
            </w:pPr>
            <w:r w:rsidRPr="00661595">
              <w:rPr>
                <w:rFonts w:ascii="Times New Roman" w:hAnsi="Times New Roman"/>
                <w:sz w:val="24"/>
              </w:rPr>
              <w:t>0050</w:t>
            </w:r>
          </w:p>
        </w:tc>
        <w:tc>
          <w:tcPr>
            <w:tcW w:w="8843"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jc w:val="left"/>
              <w:rPr>
                <w:rFonts w:ascii="Times New Roman" w:hAnsi="Times New Roman"/>
                <w:b/>
                <w:sz w:val="24"/>
                <w:u w:val="single"/>
                <w:lang w:bidi="ne-NP"/>
              </w:rPr>
            </w:pPr>
            <w:r w:rsidRPr="00661595">
              <w:rPr>
                <w:rFonts w:ascii="Times New Roman" w:hAnsi="Times New Roman"/>
                <w:b/>
                <w:sz w:val="24"/>
                <w:u w:val="single"/>
                <w:lang w:bidi="ne-NP"/>
              </w:rPr>
              <w:t>Part of NPEs guaranteed or insured by an official export credit agency</w:t>
            </w:r>
          </w:p>
          <w:p w:rsidR="00DD00B4" w:rsidRPr="00661595" w:rsidRDefault="00A14679" w:rsidP="00DD00B4">
            <w:pPr>
              <w:jc w:val="left"/>
              <w:rPr>
                <w:rFonts w:ascii="Times New Roman" w:hAnsi="Times New Roman"/>
                <w:sz w:val="24"/>
              </w:rPr>
            </w:pPr>
            <w:r w:rsidRPr="00661595">
              <w:rPr>
                <w:rFonts w:ascii="Times New Roman" w:hAnsi="Times New Roman"/>
                <w:sz w:val="24"/>
              </w:rPr>
              <w:t xml:space="preserve">Article 47c(4) </w:t>
            </w:r>
            <w:r w:rsidR="00DD00B4" w:rsidRPr="00661595">
              <w:rPr>
                <w:rFonts w:ascii="Times New Roman" w:hAnsi="Times New Roman"/>
                <w:sz w:val="24"/>
              </w:rPr>
              <w:t>CRR.</w:t>
            </w:r>
          </w:p>
          <w:p w:rsidR="00DD00B4" w:rsidRPr="00661595" w:rsidRDefault="00DD00B4" w:rsidP="00EA2AFF">
            <w:pPr>
              <w:jc w:val="left"/>
              <w:rPr>
                <w:rFonts w:ascii="Times New Roman" w:hAnsi="Times New Roman"/>
                <w:b/>
                <w:sz w:val="24"/>
                <w:u w:val="single"/>
                <w:lang w:bidi="ne-NP"/>
              </w:rPr>
            </w:pPr>
            <w:r w:rsidRPr="00661595">
              <w:rPr>
                <w:rFonts w:ascii="Times New Roman" w:hAnsi="Times New Roman"/>
                <w:sz w:val="24"/>
              </w:rPr>
              <w:t xml:space="preserve">The minimum coverage requirement </w:t>
            </w:r>
            <w:r w:rsidR="00EA2AFF">
              <w:rPr>
                <w:rFonts w:ascii="Times New Roman" w:hAnsi="Times New Roman"/>
                <w:sz w:val="24"/>
              </w:rPr>
              <w:t>shall be</w:t>
            </w:r>
            <w:r w:rsidR="00EA2AFF" w:rsidRPr="00661595">
              <w:rPr>
                <w:rFonts w:ascii="Times New Roman" w:hAnsi="Times New Roman"/>
                <w:sz w:val="24"/>
              </w:rPr>
              <w:t xml:space="preserve"> </w:t>
            </w:r>
            <w:r w:rsidRPr="00661595">
              <w:rPr>
                <w:rFonts w:ascii="Times New Roman" w:hAnsi="Times New Roman"/>
                <w:sz w:val="24"/>
              </w:rPr>
              <w:t xml:space="preserve">calculated by multiplying the aggregate exposure values in row 0100 </w:t>
            </w:r>
            <w:r w:rsidR="00EA2AFF">
              <w:rPr>
                <w:rFonts w:ascii="Times New Roman" w:hAnsi="Times New Roman"/>
                <w:sz w:val="24"/>
              </w:rPr>
              <w:t xml:space="preserve">by </w:t>
            </w:r>
            <w:r w:rsidRPr="00661595">
              <w:rPr>
                <w:rFonts w:ascii="Times New Roman" w:hAnsi="Times New Roman"/>
                <w:sz w:val="24"/>
              </w:rPr>
              <w:t>the corresponding factor per column.</w:t>
            </w:r>
          </w:p>
        </w:tc>
      </w:tr>
      <w:tr w:rsidR="00DD00B4" w:rsidRPr="00661595" w:rsidTr="00DD00B4">
        <w:tc>
          <w:tcPr>
            <w:tcW w:w="1188"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sz w:val="24"/>
              </w:rPr>
            </w:pPr>
            <w:r w:rsidRPr="00661595">
              <w:rPr>
                <w:rFonts w:ascii="Times New Roman" w:hAnsi="Times New Roman"/>
                <w:sz w:val="24"/>
              </w:rPr>
              <w:t>0060</w:t>
            </w:r>
          </w:p>
        </w:tc>
        <w:tc>
          <w:tcPr>
            <w:tcW w:w="8843"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b/>
                <w:sz w:val="24"/>
                <w:u w:val="single"/>
              </w:rPr>
            </w:pPr>
            <w:r w:rsidRPr="00661595">
              <w:rPr>
                <w:rFonts w:ascii="Times New Roman" w:hAnsi="Times New Roman"/>
                <w:b/>
                <w:sz w:val="24"/>
                <w:u w:val="single"/>
              </w:rPr>
              <w:t>Exposure value</w:t>
            </w:r>
          </w:p>
          <w:p w:rsidR="00DD00B4" w:rsidRPr="00661595" w:rsidRDefault="00A14679" w:rsidP="00DD00B4">
            <w:pPr>
              <w:jc w:val="left"/>
              <w:rPr>
                <w:rFonts w:ascii="Times New Roman" w:hAnsi="Times New Roman"/>
                <w:sz w:val="24"/>
              </w:rPr>
            </w:pPr>
            <w:r w:rsidRPr="00661595">
              <w:rPr>
                <w:rFonts w:ascii="Times New Roman" w:hAnsi="Times New Roman"/>
                <w:sz w:val="24"/>
              </w:rPr>
              <w:t xml:space="preserve">Article 47a(2) </w:t>
            </w:r>
            <w:r w:rsidR="00DD00B4" w:rsidRPr="00661595">
              <w:rPr>
                <w:rFonts w:ascii="Times New Roman" w:hAnsi="Times New Roman"/>
                <w:sz w:val="24"/>
              </w:rPr>
              <w:t>CRR</w:t>
            </w:r>
          </w:p>
          <w:p w:rsidR="00DD00B4" w:rsidRPr="00661595" w:rsidRDefault="00DD00B4" w:rsidP="00DD00B4">
            <w:pPr>
              <w:jc w:val="left"/>
              <w:rPr>
                <w:rFonts w:ascii="Times New Roman" w:hAnsi="Times New Roman"/>
                <w:b/>
                <w:sz w:val="24"/>
                <w:u w:val="single"/>
                <w:lang w:bidi="ne-NP"/>
              </w:rPr>
            </w:pPr>
            <w:r w:rsidRPr="00661595">
              <w:rPr>
                <w:rFonts w:ascii="Times New Roman" w:hAnsi="Times New Roman"/>
                <w:sz w:val="24"/>
              </w:rPr>
              <w:t>For the calculation of row 0060, institutions shall sum the exposure values reported for the unsecured part of NPEs (row 0070), the part of NPEs secured by immovable property or residential loan guaranteed by an eligible protection provider (row 0080), the part of NPEs secured by other funded or unfunde</w:t>
            </w:r>
            <w:r w:rsidR="009D30AF" w:rsidRPr="00661595">
              <w:rPr>
                <w:rFonts w:ascii="Times New Roman" w:hAnsi="Times New Roman"/>
                <w:sz w:val="24"/>
              </w:rPr>
              <w:t xml:space="preserve">d credit protection (row 0090) </w:t>
            </w:r>
            <w:r w:rsidRPr="00661595">
              <w:rPr>
                <w:rFonts w:ascii="Times New Roman" w:hAnsi="Times New Roman"/>
                <w:sz w:val="24"/>
              </w:rPr>
              <w:t>and the part of NPEs guaranteed or insured by an official export credit agency (row 0100).</w:t>
            </w:r>
          </w:p>
        </w:tc>
      </w:tr>
      <w:tr w:rsidR="00DD00B4" w:rsidRPr="00661595" w:rsidTr="00DD00B4">
        <w:trPr>
          <w:trHeight w:val="800"/>
        </w:trPr>
        <w:tc>
          <w:tcPr>
            <w:tcW w:w="1188"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sz w:val="24"/>
              </w:rPr>
            </w:pPr>
            <w:r w:rsidRPr="00661595">
              <w:rPr>
                <w:rFonts w:ascii="Times New Roman" w:hAnsi="Times New Roman"/>
                <w:sz w:val="24"/>
              </w:rPr>
              <w:t>0070</w:t>
            </w:r>
          </w:p>
        </w:tc>
        <w:tc>
          <w:tcPr>
            <w:tcW w:w="8843"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b/>
                <w:sz w:val="24"/>
                <w:u w:val="single"/>
              </w:rPr>
            </w:pPr>
            <w:r w:rsidRPr="00661595">
              <w:rPr>
                <w:rFonts w:ascii="Times New Roman" w:hAnsi="Times New Roman"/>
                <w:b/>
                <w:sz w:val="24"/>
                <w:u w:val="single"/>
              </w:rPr>
              <w:t>Unsecured part of NPEs</w:t>
            </w:r>
          </w:p>
          <w:p w:rsidR="00DD00B4" w:rsidRPr="00661595" w:rsidRDefault="009D30AF" w:rsidP="00DD00B4">
            <w:pPr>
              <w:jc w:val="left"/>
              <w:rPr>
                <w:rFonts w:ascii="Times New Roman" w:hAnsi="Times New Roman"/>
                <w:sz w:val="24"/>
                <w:lang w:val="en-US"/>
              </w:rPr>
            </w:pPr>
            <w:r w:rsidRPr="00661595">
              <w:rPr>
                <w:rFonts w:ascii="Times New Roman" w:hAnsi="Times New Roman"/>
                <w:sz w:val="24"/>
                <w:lang w:val="en-US"/>
              </w:rPr>
              <w:t>Article 47a</w:t>
            </w:r>
            <w:r w:rsidR="00DD00B4" w:rsidRPr="00661595">
              <w:rPr>
                <w:rFonts w:ascii="Times New Roman" w:hAnsi="Times New Roman"/>
                <w:sz w:val="24"/>
                <w:lang w:val="en-US"/>
              </w:rPr>
              <w:t>(2), Article 47c(1), Article 47c(2)</w:t>
            </w:r>
            <w:r w:rsidR="00A14679" w:rsidRPr="00661595">
              <w:rPr>
                <w:rFonts w:ascii="Times New Roman" w:hAnsi="Times New Roman"/>
                <w:sz w:val="24"/>
                <w:lang w:val="en-US"/>
              </w:rPr>
              <w:t xml:space="preserve"> </w:t>
            </w:r>
            <w:r w:rsidR="00DD00B4" w:rsidRPr="00661595">
              <w:rPr>
                <w:rFonts w:ascii="Times New Roman" w:hAnsi="Times New Roman"/>
                <w:sz w:val="24"/>
                <w:lang w:val="en-US"/>
              </w:rPr>
              <w:t>CRR</w:t>
            </w:r>
          </w:p>
          <w:p w:rsidR="00DD00B4" w:rsidRPr="00661595" w:rsidRDefault="00EA2AFF" w:rsidP="00EA2AFF">
            <w:pPr>
              <w:jc w:val="left"/>
              <w:rPr>
                <w:rFonts w:ascii="Times New Roman" w:hAnsi="Times New Roman"/>
                <w:sz w:val="24"/>
              </w:rPr>
            </w:pPr>
            <w:r>
              <w:rPr>
                <w:rFonts w:ascii="Times New Roman" w:hAnsi="Times New Roman"/>
                <w:sz w:val="24"/>
              </w:rPr>
              <w:t>Institutions shall report the t</w:t>
            </w:r>
            <w:r w:rsidR="00DD00B4" w:rsidRPr="00661595">
              <w:rPr>
                <w:rFonts w:ascii="Times New Roman" w:hAnsi="Times New Roman"/>
                <w:sz w:val="24"/>
              </w:rPr>
              <w:t>otal exposure value of unsecured part of NPEs broken-down by time passed since exposures classified as non-performing.</w:t>
            </w:r>
          </w:p>
        </w:tc>
      </w:tr>
      <w:tr w:rsidR="00DD00B4" w:rsidRPr="00661595" w:rsidTr="00DD00B4">
        <w:tc>
          <w:tcPr>
            <w:tcW w:w="1188"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sz w:val="24"/>
              </w:rPr>
            </w:pPr>
            <w:r w:rsidRPr="00661595">
              <w:rPr>
                <w:rFonts w:ascii="Times New Roman" w:hAnsi="Times New Roman"/>
                <w:sz w:val="24"/>
              </w:rPr>
              <w:t>0080</w:t>
            </w:r>
          </w:p>
        </w:tc>
        <w:tc>
          <w:tcPr>
            <w:tcW w:w="8843"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b/>
                <w:sz w:val="24"/>
                <w:u w:val="single"/>
              </w:rPr>
            </w:pPr>
            <w:r w:rsidRPr="00661595">
              <w:rPr>
                <w:rFonts w:ascii="Times New Roman" w:hAnsi="Times New Roman"/>
                <w:b/>
                <w:sz w:val="24"/>
                <w:u w:val="single"/>
              </w:rPr>
              <w:t>Part of NPEs secured by immovable property or residential loan guaranteed by an eligible protection provider</w:t>
            </w:r>
          </w:p>
          <w:p w:rsidR="00DD00B4" w:rsidRPr="00661595" w:rsidRDefault="00DD00B4" w:rsidP="00DD00B4">
            <w:pPr>
              <w:rPr>
                <w:rFonts w:ascii="Times New Roman" w:hAnsi="Times New Roman"/>
                <w:sz w:val="24"/>
              </w:rPr>
            </w:pPr>
            <w:r w:rsidRPr="00661595">
              <w:rPr>
                <w:rFonts w:ascii="Times New Roman" w:hAnsi="Times New Roman"/>
                <w:sz w:val="24"/>
              </w:rPr>
              <w:t>Article</w:t>
            </w:r>
            <w:r w:rsidR="00C259E2" w:rsidRPr="00661595">
              <w:rPr>
                <w:rFonts w:ascii="Times New Roman" w:hAnsi="Times New Roman"/>
                <w:sz w:val="24"/>
              </w:rPr>
              <w:t xml:space="preserve"> 47a(2), Article</w:t>
            </w:r>
            <w:r w:rsidRPr="00661595">
              <w:rPr>
                <w:rFonts w:ascii="Times New Roman" w:hAnsi="Times New Roman"/>
                <w:sz w:val="24"/>
              </w:rPr>
              <w:t xml:space="preserve"> 47c(1) and points (a), (b), (c), (d), (f), (h) a</w:t>
            </w:r>
            <w:r w:rsidR="009D30AF" w:rsidRPr="00661595">
              <w:rPr>
                <w:rFonts w:ascii="Times New Roman" w:hAnsi="Times New Roman"/>
                <w:sz w:val="24"/>
              </w:rPr>
              <w:t xml:space="preserve">nd (i) of Article 47c(3) </w:t>
            </w:r>
            <w:r w:rsidRPr="00661595">
              <w:rPr>
                <w:rFonts w:ascii="Times New Roman" w:hAnsi="Times New Roman"/>
                <w:sz w:val="24"/>
              </w:rPr>
              <w:t>CRR</w:t>
            </w:r>
          </w:p>
          <w:p w:rsidR="00DD00B4" w:rsidRPr="00661595" w:rsidRDefault="00441F78" w:rsidP="00441F78">
            <w:pPr>
              <w:rPr>
                <w:rFonts w:ascii="Times New Roman" w:hAnsi="Times New Roman"/>
                <w:b/>
                <w:sz w:val="24"/>
                <w:u w:val="single"/>
              </w:rPr>
            </w:pPr>
            <w:r>
              <w:rPr>
                <w:rFonts w:ascii="Times New Roman" w:hAnsi="Times New Roman"/>
                <w:sz w:val="24"/>
              </w:rPr>
              <w:t>Institutions shall report the t</w:t>
            </w:r>
            <w:r w:rsidR="00DD00B4" w:rsidRPr="00661595">
              <w:rPr>
                <w:rFonts w:ascii="Times New Roman" w:hAnsi="Times New Roman"/>
                <w:sz w:val="24"/>
              </w:rPr>
              <w:t>otal exposure value of the parts of NPEs secured by immovable property pursuant t</w:t>
            </w:r>
            <w:r w:rsidR="00C259E2" w:rsidRPr="00661595">
              <w:rPr>
                <w:rFonts w:ascii="Times New Roman" w:hAnsi="Times New Roman"/>
                <w:sz w:val="24"/>
              </w:rPr>
              <w:t xml:space="preserve">o Title II of Part Three </w:t>
            </w:r>
            <w:r w:rsidR="00DD00B4" w:rsidRPr="00661595">
              <w:rPr>
                <w:rFonts w:ascii="Times New Roman" w:hAnsi="Times New Roman"/>
                <w:sz w:val="24"/>
              </w:rPr>
              <w:t>CRR or that is a residential loan guaranteed by an eligible protection provider as re</w:t>
            </w:r>
            <w:r w:rsidR="00C259E2" w:rsidRPr="00661595">
              <w:rPr>
                <w:rFonts w:ascii="Times New Roman" w:hAnsi="Times New Roman"/>
                <w:sz w:val="24"/>
              </w:rPr>
              <w:t xml:space="preserve">ferred to in Article 201 </w:t>
            </w:r>
            <w:r w:rsidR="00DD00B4" w:rsidRPr="00661595">
              <w:rPr>
                <w:rFonts w:ascii="Times New Roman" w:hAnsi="Times New Roman"/>
                <w:sz w:val="24"/>
              </w:rPr>
              <w:t>CRR.</w:t>
            </w:r>
          </w:p>
        </w:tc>
      </w:tr>
      <w:tr w:rsidR="00DD00B4" w:rsidRPr="00661595" w:rsidTr="00DD00B4">
        <w:tc>
          <w:tcPr>
            <w:tcW w:w="1188"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sz w:val="24"/>
              </w:rPr>
            </w:pPr>
            <w:r w:rsidRPr="00661595">
              <w:rPr>
                <w:rFonts w:ascii="Times New Roman" w:hAnsi="Times New Roman"/>
                <w:sz w:val="24"/>
              </w:rPr>
              <w:t>0090</w:t>
            </w:r>
          </w:p>
        </w:tc>
        <w:tc>
          <w:tcPr>
            <w:tcW w:w="8843"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jc w:val="left"/>
              <w:rPr>
                <w:rFonts w:ascii="Times New Roman" w:hAnsi="Times New Roman"/>
                <w:b/>
                <w:sz w:val="24"/>
                <w:u w:val="single"/>
                <w:lang w:bidi="ne-NP"/>
              </w:rPr>
            </w:pPr>
            <w:r w:rsidRPr="00661595">
              <w:rPr>
                <w:rFonts w:ascii="Times New Roman" w:hAnsi="Times New Roman"/>
                <w:b/>
                <w:sz w:val="24"/>
                <w:u w:val="single"/>
                <w:lang w:bidi="ne-NP"/>
              </w:rPr>
              <w:t>Part of NPEs secured by other funded or unfunded credit protection</w:t>
            </w:r>
          </w:p>
          <w:p w:rsidR="00DD00B4" w:rsidRPr="00661595" w:rsidRDefault="00C259E2" w:rsidP="00DD00B4">
            <w:pPr>
              <w:jc w:val="left"/>
              <w:rPr>
                <w:rFonts w:ascii="Times New Roman" w:hAnsi="Times New Roman"/>
                <w:sz w:val="24"/>
              </w:rPr>
            </w:pPr>
            <w:r w:rsidRPr="00661595">
              <w:rPr>
                <w:rFonts w:ascii="Times New Roman" w:hAnsi="Times New Roman"/>
                <w:sz w:val="24"/>
              </w:rPr>
              <w:t xml:space="preserve">Article 47a(2), </w:t>
            </w:r>
            <w:r w:rsidR="00DD00B4" w:rsidRPr="00661595">
              <w:rPr>
                <w:rFonts w:ascii="Times New Roman" w:hAnsi="Times New Roman"/>
                <w:sz w:val="24"/>
              </w:rPr>
              <w:t xml:space="preserve">Article 47c(1) and points (a), (b), (c), (e) </w:t>
            </w:r>
            <w:r w:rsidRPr="00661595">
              <w:rPr>
                <w:rFonts w:ascii="Times New Roman" w:hAnsi="Times New Roman"/>
                <w:sz w:val="24"/>
              </w:rPr>
              <w:t>and (g) of Article 47c(3)</w:t>
            </w:r>
            <w:r w:rsidR="00DD00B4" w:rsidRPr="00661595">
              <w:rPr>
                <w:rFonts w:ascii="Times New Roman" w:hAnsi="Times New Roman"/>
                <w:sz w:val="24"/>
              </w:rPr>
              <w:t xml:space="preserve"> CRR </w:t>
            </w:r>
          </w:p>
          <w:p w:rsidR="00DD00B4" w:rsidRPr="00661595" w:rsidRDefault="00441F78" w:rsidP="00441F78">
            <w:pPr>
              <w:jc w:val="left"/>
              <w:rPr>
                <w:rFonts w:ascii="Times New Roman" w:hAnsi="Times New Roman"/>
                <w:sz w:val="24"/>
              </w:rPr>
            </w:pPr>
            <w:r>
              <w:rPr>
                <w:rFonts w:ascii="Times New Roman" w:hAnsi="Times New Roman"/>
                <w:sz w:val="24"/>
              </w:rPr>
              <w:t>Institutions shall report the t</w:t>
            </w:r>
            <w:r w:rsidR="00DD00B4" w:rsidRPr="00661595">
              <w:rPr>
                <w:rFonts w:ascii="Times New Roman" w:hAnsi="Times New Roman"/>
                <w:sz w:val="24"/>
              </w:rPr>
              <w:t xml:space="preserve">otal exposure value of the parts of NPEs secured by </w:t>
            </w:r>
            <w:r w:rsidR="00DD00B4" w:rsidRPr="00661595">
              <w:rPr>
                <w:rFonts w:ascii="Times New Roman" w:hAnsi="Times New Roman"/>
                <w:sz w:val="24"/>
                <w:lang w:bidi="ne-NP"/>
              </w:rPr>
              <w:t>other funded or unfunded credit protection</w:t>
            </w:r>
            <w:r w:rsidR="00DD00B4" w:rsidRPr="00661595">
              <w:rPr>
                <w:rFonts w:ascii="Times New Roman" w:hAnsi="Times New Roman"/>
                <w:sz w:val="24"/>
              </w:rPr>
              <w:t xml:space="preserve"> pursuant t</w:t>
            </w:r>
            <w:r w:rsidR="00C259E2" w:rsidRPr="00661595">
              <w:rPr>
                <w:rFonts w:ascii="Times New Roman" w:hAnsi="Times New Roman"/>
                <w:sz w:val="24"/>
              </w:rPr>
              <w:t xml:space="preserve">o Title II of Part Three </w:t>
            </w:r>
            <w:r w:rsidR="00DD00B4" w:rsidRPr="00661595">
              <w:rPr>
                <w:rFonts w:ascii="Times New Roman" w:hAnsi="Times New Roman"/>
                <w:sz w:val="24"/>
              </w:rPr>
              <w:t>CRR.</w:t>
            </w:r>
          </w:p>
        </w:tc>
      </w:tr>
      <w:tr w:rsidR="00DD00B4" w:rsidRPr="00661595" w:rsidTr="00DD00B4">
        <w:tc>
          <w:tcPr>
            <w:tcW w:w="1188"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sz w:val="24"/>
              </w:rPr>
            </w:pPr>
            <w:r w:rsidRPr="00661595">
              <w:rPr>
                <w:rFonts w:ascii="Times New Roman" w:hAnsi="Times New Roman"/>
                <w:sz w:val="24"/>
              </w:rPr>
              <w:t>0100</w:t>
            </w:r>
          </w:p>
        </w:tc>
        <w:tc>
          <w:tcPr>
            <w:tcW w:w="8843"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jc w:val="left"/>
              <w:rPr>
                <w:rFonts w:ascii="Times New Roman" w:hAnsi="Times New Roman"/>
                <w:b/>
                <w:sz w:val="24"/>
                <w:u w:val="single"/>
                <w:lang w:bidi="ne-NP"/>
              </w:rPr>
            </w:pPr>
            <w:r w:rsidRPr="00661595">
              <w:rPr>
                <w:rFonts w:ascii="Times New Roman" w:hAnsi="Times New Roman"/>
                <w:b/>
                <w:sz w:val="24"/>
                <w:u w:val="single"/>
                <w:lang w:bidi="ne-NP"/>
              </w:rPr>
              <w:t>Part of NPEs guaranteed or insured by an official export credit agency</w:t>
            </w:r>
          </w:p>
          <w:p w:rsidR="00DD00B4" w:rsidRPr="00661595" w:rsidRDefault="00BD5F43" w:rsidP="00DD00B4">
            <w:pPr>
              <w:jc w:val="left"/>
              <w:rPr>
                <w:rFonts w:ascii="Times New Roman" w:hAnsi="Times New Roman"/>
                <w:sz w:val="24"/>
              </w:rPr>
            </w:pPr>
            <w:r w:rsidRPr="00661595">
              <w:rPr>
                <w:rFonts w:ascii="Times New Roman" w:hAnsi="Times New Roman"/>
                <w:sz w:val="24"/>
              </w:rPr>
              <w:t xml:space="preserve">Article 47a(2) and Article 47c(4) </w:t>
            </w:r>
            <w:r w:rsidR="00DD00B4" w:rsidRPr="00661595">
              <w:rPr>
                <w:rFonts w:ascii="Times New Roman" w:hAnsi="Times New Roman"/>
                <w:sz w:val="24"/>
              </w:rPr>
              <w:t>CRR</w:t>
            </w:r>
          </w:p>
          <w:p w:rsidR="00DD00B4" w:rsidRPr="00661595" w:rsidRDefault="00441F78" w:rsidP="00441F78">
            <w:pPr>
              <w:jc w:val="left"/>
              <w:rPr>
                <w:rFonts w:ascii="Times New Roman" w:hAnsi="Times New Roman"/>
                <w:b/>
                <w:sz w:val="24"/>
                <w:u w:val="single"/>
                <w:lang w:bidi="ne-NP"/>
              </w:rPr>
            </w:pPr>
            <w:r>
              <w:rPr>
                <w:rFonts w:ascii="Times New Roman" w:hAnsi="Times New Roman"/>
                <w:sz w:val="24"/>
              </w:rPr>
              <w:t>Institutions shall report the t</w:t>
            </w:r>
            <w:r w:rsidR="00DD00B4" w:rsidRPr="00661595">
              <w:rPr>
                <w:rFonts w:ascii="Times New Roman" w:hAnsi="Times New Roman"/>
                <w:sz w:val="24"/>
              </w:rPr>
              <w:t xml:space="preserve">otal exposure value of the parts of NPEs </w:t>
            </w:r>
            <w:r w:rsidR="00DD00B4" w:rsidRPr="00661595">
              <w:rPr>
                <w:rFonts w:ascii="Times New Roman" w:hAnsi="Times New Roman"/>
                <w:sz w:val="24"/>
                <w:lang w:bidi="ne-NP"/>
              </w:rPr>
              <w:t xml:space="preserve"> guaranteed or insured by an official export credit agency</w:t>
            </w:r>
            <w:r w:rsidR="001843F9">
              <w:rPr>
                <w:rFonts w:ascii="Times New Roman" w:hAnsi="Times New Roman"/>
                <w:sz w:val="24"/>
                <w:lang w:bidi="ne-NP"/>
              </w:rPr>
              <w:t xml:space="preserve"> or guaranteed or counter-guaranteed by an</w:t>
            </w:r>
            <w:r w:rsidR="00C47E57">
              <w:rPr>
                <w:rFonts w:ascii="Times New Roman" w:hAnsi="Times New Roman"/>
                <w:sz w:val="24"/>
                <w:lang w:bidi="ne-NP"/>
              </w:rPr>
              <w:t>other</w:t>
            </w:r>
            <w:r w:rsidR="001843F9">
              <w:rPr>
                <w:rFonts w:ascii="Times New Roman" w:hAnsi="Times New Roman"/>
                <w:sz w:val="24"/>
                <w:lang w:bidi="ne-NP"/>
              </w:rPr>
              <w:t xml:space="preserve"> eligible protection provider as referred to in article 47c(4) CRR</w:t>
            </w:r>
            <w:r w:rsidR="00DD00B4" w:rsidRPr="00661595">
              <w:rPr>
                <w:rFonts w:ascii="Times New Roman" w:hAnsi="Times New Roman"/>
                <w:sz w:val="24"/>
              </w:rPr>
              <w:t>.</w:t>
            </w:r>
          </w:p>
        </w:tc>
      </w:tr>
    </w:tbl>
    <w:p w:rsidR="00DD00B4" w:rsidRPr="00661595" w:rsidRDefault="00DD00B4" w:rsidP="00DD00B4">
      <w:pPr>
        <w:spacing w:before="0" w:after="160" w:line="259" w:lineRule="auto"/>
        <w:jc w:val="left"/>
        <w:rPr>
          <w:rFonts w:ascii="Times New Roman" w:hAnsi="Times New Roman"/>
          <w:sz w:val="24"/>
        </w:rPr>
      </w:pPr>
    </w:p>
    <w:p w:rsidR="00DD00B4" w:rsidRPr="00661595" w:rsidRDefault="00DD00B4" w:rsidP="002F29AF">
      <w:pPr>
        <w:pStyle w:val="Instructionsberschrift2"/>
        <w:numPr>
          <w:ilvl w:val="1"/>
          <w:numId w:val="38"/>
        </w:numPr>
        <w:rPr>
          <w:rFonts w:ascii="Times New Roman" w:hAnsi="Times New Roman" w:cs="Times New Roman"/>
          <w:sz w:val="24"/>
          <w:lang w:val="en-GB"/>
        </w:rPr>
      </w:pPr>
      <w:bookmarkStart w:id="792" w:name="_Toc19715893"/>
      <w:bookmarkStart w:id="793" w:name="_Toc57831682"/>
      <w:r w:rsidRPr="00661595">
        <w:rPr>
          <w:rFonts w:ascii="Times New Roman" w:hAnsi="Times New Roman" w:cs="Times New Roman"/>
          <w:sz w:val="24"/>
          <w:lang w:val="en-GB"/>
        </w:rPr>
        <w:t>C 35.03 – MINIMUM COVERAGE REQUIREMENTS AND EXPOSURE VALUES OF NON-PERFORMING FORBORNE EXPOSURES THAT FA</w:t>
      </w:r>
      <w:r w:rsidR="00FC223C" w:rsidRPr="00661595">
        <w:rPr>
          <w:rFonts w:ascii="Times New Roman" w:hAnsi="Times New Roman" w:cs="Times New Roman"/>
          <w:sz w:val="24"/>
          <w:lang w:val="en-GB"/>
        </w:rPr>
        <w:t xml:space="preserve">LL UNDER ARTICLE 47C (6) </w:t>
      </w:r>
      <w:r w:rsidRPr="00661595">
        <w:rPr>
          <w:rFonts w:ascii="Times New Roman" w:hAnsi="Times New Roman" w:cs="Times New Roman"/>
          <w:sz w:val="24"/>
          <w:lang w:val="en-GB"/>
        </w:rPr>
        <w:t>CRR (NPE LC3)</w:t>
      </w:r>
      <w:bookmarkStart w:id="794" w:name="_Toc19715894"/>
      <w:bookmarkEnd w:id="792"/>
      <w:bookmarkEnd w:id="793"/>
      <w:bookmarkEnd w:id="794"/>
    </w:p>
    <w:p w:rsidR="00DD00B4" w:rsidRPr="00661595" w:rsidRDefault="00DD00B4" w:rsidP="002F29AF">
      <w:pPr>
        <w:pStyle w:val="Instructionsberschrift2"/>
        <w:numPr>
          <w:ilvl w:val="2"/>
          <w:numId w:val="38"/>
        </w:numPr>
        <w:rPr>
          <w:rFonts w:ascii="Times New Roman" w:hAnsi="Times New Roman" w:cs="Times New Roman"/>
          <w:sz w:val="24"/>
          <w:lang w:val="en-GB"/>
        </w:rPr>
      </w:pPr>
      <w:bookmarkStart w:id="795" w:name="_Toc19715895"/>
      <w:bookmarkStart w:id="796" w:name="_Toc57831683"/>
      <w:r w:rsidRPr="00661595">
        <w:rPr>
          <w:rFonts w:ascii="Times New Roman" w:hAnsi="Times New Roman" w:cs="Times New Roman"/>
          <w:sz w:val="24"/>
          <w:lang w:val="en-GB"/>
        </w:rPr>
        <w:t>Instructions concerning specific positions</w:t>
      </w:r>
      <w:bookmarkEnd w:id="795"/>
      <w:bookmarkEnd w:id="796"/>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8843"/>
      </w:tblGrid>
      <w:tr w:rsidR="00DD00B4" w:rsidRPr="00661595" w:rsidTr="00DD00B4">
        <w:tc>
          <w:tcPr>
            <w:tcW w:w="1188" w:type="dxa"/>
            <w:tcBorders>
              <w:top w:val="single" w:sz="4" w:space="0" w:color="auto"/>
              <w:left w:val="single" w:sz="4" w:space="0" w:color="auto"/>
              <w:bottom w:val="single" w:sz="4" w:space="0" w:color="auto"/>
              <w:right w:val="single" w:sz="4" w:space="0" w:color="auto"/>
            </w:tcBorders>
            <w:shd w:val="clear" w:color="auto" w:fill="CCCCCC"/>
            <w:hideMark/>
          </w:tcPr>
          <w:p w:rsidR="00DD00B4" w:rsidRPr="00661595" w:rsidRDefault="00DD00B4" w:rsidP="00DD00B4">
            <w:pPr>
              <w:rPr>
                <w:rFonts w:ascii="Times New Roman" w:hAnsi="Times New Roman"/>
                <w:sz w:val="24"/>
                <w:lang w:bidi="ne-NP"/>
              </w:rPr>
            </w:pPr>
            <w:r w:rsidRPr="00661595">
              <w:rPr>
                <w:rFonts w:ascii="Times New Roman" w:hAnsi="Times New Roman"/>
                <w:sz w:val="24"/>
                <w:lang w:bidi="ne-NP"/>
              </w:rPr>
              <w:t>Columns</w:t>
            </w:r>
          </w:p>
        </w:tc>
        <w:tc>
          <w:tcPr>
            <w:tcW w:w="8843" w:type="dxa"/>
            <w:tcBorders>
              <w:top w:val="single" w:sz="4" w:space="0" w:color="auto"/>
              <w:left w:val="single" w:sz="4" w:space="0" w:color="auto"/>
              <w:bottom w:val="single" w:sz="4" w:space="0" w:color="auto"/>
              <w:right w:val="single" w:sz="4" w:space="0" w:color="auto"/>
            </w:tcBorders>
            <w:shd w:val="clear" w:color="auto" w:fill="CCCCCC"/>
            <w:hideMark/>
          </w:tcPr>
          <w:p w:rsidR="00DD00B4" w:rsidRPr="00661595" w:rsidRDefault="00DD00B4" w:rsidP="00DD00B4">
            <w:pPr>
              <w:rPr>
                <w:rFonts w:ascii="Times New Roman" w:hAnsi="Times New Roman"/>
                <w:sz w:val="24"/>
                <w:lang w:bidi="ne-NP"/>
              </w:rPr>
            </w:pPr>
            <w:r w:rsidRPr="00661595">
              <w:rPr>
                <w:rFonts w:ascii="Times New Roman" w:hAnsi="Times New Roman"/>
                <w:sz w:val="24"/>
                <w:lang w:bidi="ne-NP"/>
              </w:rPr>
              <w:t>Instructions</w:t>
            </w:r>
          </w:p>
        </w:tc>
      </w:tr>
      <w:tr w:rsidR="00DD00B4" w:rsidRPr="00661595" w:rsidTr="00DD00B4">
        <w:tc>
          <w:tcPr>
            <w:tcW w:w="1188" w:type="dxa"/>
            <w:tcBorders>
              <w:top w:val="single" w:sz="4" w:space="0" w:color="auto"/>
              <w:left w:val="single" w:sz="4" w:space="0" w:color="auto"/>
              <w:bottom w:val="single" w:sz="4" w:space="0" w:color="auto"/>
              <w:right w:val="single" w:sz="4" w:space="0" w:color="auto"/>
            </w:tcBorders>
            <w:hideMark/>
          </w:tcPr>
          <w:p w:rsidR="00DD00B4" w:rsidRPr="00661595" w:rsidRDefault="00DD00B4" w:rsidP="00DD00B4">
            <w:pPr>
              <w:rPr>
                <w:rFonts w:ascii="Times New Roman" w:hAnsi="Times New Roman"/>
                <w:sz w:val="24"/>
              </w:rPr>
            </w:pPr>
            <w:r w:rsidRPr="00661595">
              <w:rPr>
                <w:rFonts w:ascii="Times New Roman" w:hAnsi="Times New Roman"/>
                <w:sz w:val="24"/>
              </w:rPr>
              <w:t>0010 – 0100</w:t>
            </w:r>
          </w:p>
        </w:tc>
        <w:tc>
          <w:tcPr>
            <w:tcW w:w="8843"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b/>
                <w:sz w:val="24"/>
                <w:u w:val="single"/>
              </w:rPr>
            </w:pPr>
            <w:r w:rsidRPr="00661595">
              <w:rPr>
                <w:rFonts w:ascii="Times New Roman" w:hAnsi="Times New Roman"/>
                <w:b/>
                <w:sz w:val="24"/>
                <w:u w:val="single"/>
              </w:rPr>
              <w:t>Time passed since exposures classified as non-performing</w:t>
            </w:r>
          </w:p>
          <w:p w:rsidR="00DD00B4" w:rsidRPr="00661595" w:rsidRDefault="00DD00B4" w:rsidP="00DD00B4">
            <w:pPr>
              <w:rPr>
                <w:rFonts w:ascii="Times New Roman" w:hAnsi="Times New Roman"/>
                <w:sz w:val="24"/>
              </w:rPr>
            </w:pPr>
            <w:r w:rsidRPr="00661595">
              <w:rPr>
                <w:rFonts w:ascii="Times New Roman" w:hAnsi="Times New Roman"/>
                <w:sz w:val="24"/>
              </w:rPr>
              <w:t>The ‘time passed since exposures classified as non-performing’ shall mean the time in years passed since exposure has been classified as non-performing. Institutions shall report data on exposures for which the reference date falls under the corresponding time interval indicating the period in years following exposures’ classification as non-performing, regardless of any application of forbearance measures.</w:t>
            </w:r>
          </w:p>
          <w:p w:rsidR="00DD00B4" w:rsidRPr="00661595" w:rsidRDefault="00DD00B4" w:rsidP="00DD00B4">
            <w:pPr>
              <w:rPr>
                <w:rFonts w:ascii="Times New Roman" w:hAnsi="Times New Roman"/>
                <w:sz w:val="24"/>
              </w:rPr>
            </w:pPr>
            <w:r w:rsidRPr="00661595">
              <w:rPr>
                <w:rFonts w:ascii="Times New Roman" w:hAnsi="Times New Roman"/>
                <w:sz w:val="24"/>
              </w:rPr>
              <w:t>For the time interval, “&gt; X year(s), &lt;= Y year(s)”, institutions shall report data on exposures for which the reference date corresponds to the period between the first and the last day of the Yth year following the classification of these exposures as non-performing.</w:t>
            </w:r>
          </w:p>
        </w:tc>
      </w:tr>
      <w:tr w:rsidR="00DD00B4" w:rsidRPr="00661595" w:rsidTr="00DD00B4">
        <w:tc>
          <w:tcPr>
            <w:tcW w:w="1188"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sz w:val="24"/>
              </w:rPr>
            </w:pPr>
            <w:r w:rsidRPr="00661595">
              <w:rPr>
                <w:rFonts w:ascii="Times New Roman" w:hAnsi="Times New Roman"/>
                <w:sz w:val="24"/>
              </w:rPr>
              <w:t>0110</w:t>
            </w:r>
          </w:p>
        </w:tc>
        <w:tc>
          <w:tcPr>
            <w:tcW w:w="8843"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b/>
                <w:sz w:val="24"/>
                <w:u w:val="single"/>
              </w:rPr>
            </w:pPr>
            <w:r w:rsidRPr="00661595">
              <w:rPr>
                <w:rFonts w:ascii="Times New Roman" w:hAnsi="Times New Roman"/>
                <w:sz w:val="24"/>
              </w:rPr>
              <w:t xml:space="preserve"> </w:t>
            </w:r>
            <w:r w:rsidRPr="00661595">
              <w:rPr>
                <w:rFonts w:ascii="Times New Roman" w:hAnsi="Times New Roman"/>
                <w:b/>
                <w:sz w:val="24"/>
                <w:u w:val="single"/>
              </w:rPr>
              <w:t>Total</w:t>
            </w:r>
          </w:p>
          <w:p w:rsidR="00DD00B4" w:rsidRPr="00661595" w:rsidRDefault="00DD00B4" w:rsidP="00DD00B4">
            <w:pPr>
              <w:rPr>
                <w:rFonts w:ascii="Times New Roman" w:hAnsi="Times New Roman"/>
                <w:b/>
                <w:sz w:val="24"/>
                <w:u w:val="single"/>
              </w:rPr>
            </w:pPr>
            <w:r w:rsidRPr="00661595">
              <w:rPr>
                <w:rFonts w:ascii="Times New Roman" w:hAnsi="Times New Roman"/>
                <w:sz w:val="24"/>
              </w:rPr>
              <w:t>Institutions shall report the sum of all columns from 0010 to 0100.</w:t>
            </w:r>
          </w:p>
        </w:tc>
      </w:tr>
    </w:tbl>
    <w:p w:rsidR="00DD00B4" w:rsidRPr="00661595" w:rsidRDefault="00DD00B4" w:rsidP="00DD00B4">
      <w:pPr>
        <w:jc w:val="left"/>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8843"/>
      </w:tblGrid>
      <w:tr w:rsidR="00DD00B4" w:rsidRPr="00661595" w:rsidTr="00DD00B4">
        <w:tc>
          <w:tcPr>
            <w:tcW w:w="1188" w:type="dxa"/>
            <w:tcBorders>
              <w:top w:val="single" w:sz="4" w:space="0" w:color="auto"/>
              <w:left w:val="single" w:sz="4" w:space="0" w:color="auto"/>
              <w:bottom w:val="single" w:sz="4" w:space="0" w:color="auto"/>
              <w:right w:val="single" w:sz="4" w:space="0" w:color="auto"/>
            </w:tcBorders>
            <w:shd w:val="clear" w:color="auto" w:fill="CCCCCC"/>
            <w:hideMark/>
          </w:tcPr>
          <w:p w:rsidR="00DD00B4" w:rsidRPr="00661595" w:rsidRDefault="00DD00B4" w:rsidP="00DD00B4">
            <w:pPr>
              <w:rPr>
                <w:rFonts w:ascii="Times New Roman" w:hAnsi="Times New Roman"/>
                <w:sz w:val="24"/>
                <w:lang w:bidi="ne-NP"/>
              </w:rPr>
            </w:pPr>
            <w:r w:rsidRPr="00661595">
              <w:rPr>
                <w:rFonts w:ascii="Times New Roman" w:hAnsi="Times New Roman"/>
                <w:sz w:val="24"/>
                <w:lang w:bidi="ne-NP"/>
              </w:rPr>
              <w:t>Rows</w:t>
            </w:r>
          </w:p>
        </w:tc>
        <w:tc>
          <w:tcPr>
            <w:tcW w:w="8843" w:type="dxa"/>
            <w:tcBorders>
              <w:top w:val="single" w:sz="4" w:space="0" w:color="auto"/>
              <w:left w:val="single" w:sz="4" w:space="0" w:color="auto"/>
              <w:bottom w:val="single" w:sz="4" w:space="0" w:color="auto"/>
              <w:right w:val="single" w:sz="4" w:space="0" w:color="auto"/>
            </w:tcBorders>
            <w:shd w:val="clear" w:color="auto" w:fill="CCCCCC"/>
            <w:hideMark/>
          </w:tcPr>
          <w:p w:rsidR="00DD00B4" w:rsidRPr="00661595" w:rsidRDefault="00DD00B4" w:rsidP="00DD00B4">
            <w:pPr>
              <w:rPr>
                <w:rFonts w:ascii="Times New Roman" w:hAnsi="Times New Roman"/>
                <w:sz w:val="24"/>
                <w:lang w:bidi="ne-NP"/>
              </w:rPr>
            </w:pPr>
            <w:r w:rsidRPr="00661595">
              <w:rPr>
                <w:rFonts w:ascii="Times New Roman" w:hAnsi="Times New Roman"/>
                <w:sz w:val="24"/>
                <w:lang w:bidi="ne-NP"/>
              </w:rPr>
              <w:t>Instructions</w:t>
            </w:r>
          </w:p>
        </w:tc>
      </w:tr>
      <w:tr w:rsidR="00DD00B4" w:rsidRPr="00661595" w:rsidTr="00DD00B4">
        <w:tc>
          <w:tcPr>
            <w:tcW w:w="1188" w:type="dxa"/>
            <w:tcBorders>
              <w:top w:val="single" w:sz="4" w:space="0" w:color="auto"/>
              <w:left w:val="single" w:sz="4" w:space="0" w:color="auto"/>
              <w:bottom w:val="single" w:sz="4" w:space="0" w:color="auto"/>
              <w:right w:val="single" w:sz="4" w:space="0" w:color="auto"/>
            </w:tcBorders>
            <w:hideMark/>
          </w:tcPr>
          <w:p w:rsidR="00DD00B4" w:rsidRPr="00661595" w:rsidRDefault="00DD00B4" w:rsidP="00DD00B4">
            <w:pPr>
              <w:rPr>
                <w:rFonts w:ascii="Times New Roman" w:hAnsi="Times New Roman"/>
                <w:sz w:val="24"/>
              </w:rPr>
            </w:pPr>
            <w:r w:rsidRPr="00661595">
              <w:rPr>
                <w:rFonts w:ascii="Times New Roman" w:hAnsi="Times New Roman"/>
                <w:sz w:val="24"/>
              </w:rPr>
              <w:t>0010</w:t>
            </w:r>
          </w:p>
        </w:tc>
        <w:tc>
          <w:tcPr>
            <w:tcW w:w="8843"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b/>
                <w:sz w:val="24"/>
                <w:u w:val="single"/>
              </w:rPr>
            </w:pPr>
            <w:r w:rsidRPr="00661595">
              <w:rPr>
                <w:rFonts w:ascii="Times New Roman" w:hAnsi="Times New Roman"/>
                <w:b/>
                <w:sz w:val="24"/>
                <w:u w:val="single"/>
              </w:rPr>
              <w:t>Total minimum coverage requirement</w:t>
            </w:r>
          </w:p>
          <w:p w:rsidR="00DD00B4" w:rsidRPr="00661595" w:rsidRDefault="00DD00B4" w:rsidP="00DD00B4">
            <w:pPr>
              <w:rPr>
                <w:rFonts w:ascii="Times New Roman" w:hAnsi="Times New Roman"/>
                <w:sz w:val="24"/>
              </w:rPr>
            </w:pPr>
            <w:r w:rsidRPr="00661595">
              <w:rPr>
                <w:rFonts w:ascii="Times New Roman" w:hAnsi="Times New Roman"/>
                <w:sz w:val="24"/>
              </w:rPr>
              <w:t>Point (a) of Article 47c(1) and Article 47c(6)</w:t>
            </w:r>
            <w:r w:rsidR="00A648C2" w:rsidRPr="00661595">
              <w:rPr>
                <w:rFonts w:ascii="Times New Roman" w:hAnsi="Times New Roman"/>
                <w:sz w:val="24"/>
              </w:rPr>
              <w:t xml:space="preserve"> </w:t>
            </w:r>
            <w:r w:rsidRPr="00661595">
              <w:rPr>
                <w:rFonts w:ascii="Times New Roman" w:hAnsi="Times New Roman"/>
                <w:sz w:val="24"/>
              </w:rPr>
              <w:t>CRR</w:t>
            </w:r>
          </w:p>
          <w:p w:rsidR="00DD00B4" w:rsidRPr="00661595" w:rsidRDefault="00DD00B4" w:rsidP="00A648C2">
            <w:pPr>
              <w:rPr>
                <w:rFonts w:ascii="Times New Roman" w:hAnsi="Times New Roman"/>
                <w:sz w:val="24"/>
              </w:rPr>
            </w:pPr>
            <w:r w:rsidRPr="00661595">
              <w:rPr>
                <w:rFonts w:ascii="Times New Roman" w:hAnsi="Times New Roman"/>
                <w:sz w:val="24"/>
              </w:rPr>
              <w:t>For the calculation of total minimum coverage requirement of non-performing forborne exposures that f</w:t>
            </w:r>
            <w:r w:rsidR="00A648C2" w:rsidRPr="00661595">
              <w:rPr>
                <w:rFonts w:ascii="Times New Roman" w:hAnsi="Times New Roman"/>
                <w:sz w:val="24"/>
              </w:rPr>
              <w:t xml:space="preserve">all under Article 47c (6) </w:t>
            </w:r>
            <w:r w:rsidRPr="00661595">
              <w:rPr>
                <w:rFonts w:ascii="Times New Roman" w:hAnsi="Times New Roman"/>
                <w:sz w:val="24"/>
              </w:rPr>
              <w:t>CRR, institutions shall sum minimum coverage requirements for the unsecured part of forborne NPEs (row 0020), the part of forborne NPEs secured by immovable property or residential loan guaranteed by an eligible protection provider (row 0030) and the part of forborne NPEs secured by other funded or unfunded credit protection (row 0040).</w:t>
            </w:r>
          </w:p>
        </w:tc>
      </w:tr>
      <w:tr w:rsidR="00DD00B4" w:rsidRPr="00661595" w:rsidTr="00DD00B4">
        <w:tc>
          <w:tcPr>
            <w:tcW w:w="1188"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sz w:val="24"/>
              </w:rPr>
            </w:pPr>
            <w:r w:rsidRPr="00661595">
              <w:rPr>
                <w:rFonts w:ascii="Times New Roman" w:hAnsi="Times New Roman"/>
                <w:sz w:val="24"/>
              </w:rPr>
              <w:t>0020</w:t>
            </w:r>
          </w:p>
        </w:tc>
        <w:tc>
          <w:tcPr>
            <w:tcW w:w="8843"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b/>
                <w:sz w:val="24"/>
                <w:u w:val="single"/>
              </w:rPr>
            </w:pPr>
            <w:r w:rsidRPr="00661595">
              <w:rPr>
                <w:rFonts w:ascii="Times New Roman" w:hAnsi="Times New Roman"/>
                <w:b/>
                <w:sz w:val="24"/>
                <w:u w:val="single"/>
              </w:rPr>
              <w:t>Unsecured part of NPEs</w:t>
            </w:r>
          </w:p>
          <w:p w:rsidR="00DD00B4" w:rsidRPr="00661595" w:rsidRDefault="00DD00B4" w:rsidP="00DD00B4">
            <w:pPr>
              <w:rPr>
                <w:rFonts w:ascii="Times New Roman" w:hAnsi="Times New Roman"/>
                <w:sz w:val="24"/>
              </w:rPr>
            </w:pPr>
            <w:r w:rsidRPr="00661595">
              <w:rPr>
                <w:rFonts w:ascii="Times New Roman" w:hAnsi="Times New Roman"/>
                <w:sz w:val="24"/>
              </w:rPr>
              <w:t xml:space="preserve">Point </w:t>
            </w:r>
            <w:r w:rsidR="00A648C2" w:rsidRPr="00661595">
              <w:rPr>
                <w:rFonts w:ascii="Times New Roman" w:hAnsi="Times New Roman"/>
                <w:sz w:val="24"/>
              </w:rPr>
              <w:t>(a)(i) of Article 47c(1)</w:t>
            </w:r>
            <w:r w:rsidR="00233577" w:rsidRPr="00661595">
              <w:rPr>
                <w:rFonts w:ascii="Times New Roman" w:hAnsi="Times New Roman"/>
                <w:sz w:val="24"/>
              </w:rPr>
              <w:t xml:space="preserve">, </w:t>
            </w:r>
            <w:r w:rsidRPr="00661595">
              <w:rPr>
                <w:rFonts w:ascii="Times New Roman" w:hAnsi="Times New Roman"/>
                <w:sz w:val="24"/>
              </w:rPr>
              <w:t>Article 47c(2), Article 47c(6</w:t>
            </w:r>
            <w:r w:rsidR="00A648C2" w:rsidRPr="00661595">
              <w:rPr>
                <w:rFonts w:ascii="Times New Roman" w:hAnsi="Times New Roman"/>
                <w:sz w:val="24"/>
              </w:rPr>
              <w:t xml:space="preserve">) </w:t>
            </w:r>
            <w:r w:rsidRPr="00661595">
              <w:rPr>
                <w:rFonts w:ascii="Times New Roman" w:hAnsi="Times New Roman"/>
                <w:sz w:val="24"/>
              </w:rPr>
              <w:t>CRR</w:t>
            </w:r>
          </w:p>
          <w:p w:rsidR="00DD00B4" w:rsidRPr="00661595" w:rsidRDefault="00303974" w:rsidP="00303974">
            <w:pPr>
              <w:rPr>
                <w:rFonts w:ascii="Times New Roman" w:hAnsi="Times New Roman"/>
                <w:sz w:val="24"/>
              </w:rPr>
            </w:pPr>
            <w:r>
              <w:rPr>
                <w:rFonts w:ascii="Times New Roman" w:hAnsi="Times New Roman"/>
                <w:sz w:val="24"/>
              </w:rPr>
              <w:t>Institutions shall report the t</w:t>
            </w:r>
            <w:r w:rsidR="00DD00B4" w:rsidRPr="00661595">
              <w:rPr>
                <w:rFonts w:ascii="Times New Roman" w:hAnsi="Times New Roman"/>
                <w:sz w:val="24"/>
              </w:rPr>
              <w:t>otal minimum coverage requirement for the unsecured part of non-performing forborne exposures that f</w:t>
            </w:r>
            <w:r w:rsidR="00233577" w:rsidRPr="00661595">
              <w:rPr>
                <w:rFonts w:ascii="Times New Roman" w:hAnsi="Times New Roman"/>
                <w:sz w:val="24"/>
              </w:rPr>
              <w:t>all under Article 47c</w:t>
            </w:r>
            <w:r w:rsidR="00A648C2" w:rsidRPr="00661595">
              <w:rPr>
                <w:rFonts w:ascii="Times New Roman" w:hAnsi="Times New Roman"/>
                <w:sz w:val="24"/>
              </w:rPr>
              <w:t xml:space="preserve">(6) </w:t>
            </w:r>
            <w:r w:rsidR="00DD00B4" w:rsidRPr="00661595">
              <w:rPr>
                <w:rFonts w:ascii="Times New Roman" w:hAnsi="Times New Roman"/>
                <w:sz w:val="24"/>
              </w:rPr>
              <w:t xml:space="preserve">CRR, i.e. </w:t>
            </w:r>
            <w:r w:rsidR="004F0F3D">
              <w:rPr>
                <w:rFonts w:ascii="Times New Roman" w:hAnsi="Times New Roman"/>
                <w:sz w:val="24"/>
              </w:rPr>
              <w:t xml:space="preserve">the </w:t>
            </w:r>
            <w:r w:rsidR="00DD00B4" w:rsidRPr="00661595">
              <w:rPr>
                <w:rFonts w:ascii="Times New Roman" w:hAnsi="Times New Roman"/>
                <w:sz w:val="24"/>
              </w:rPr>
              <w:t>aggregate of calculations at exposure level.</w:t>
            </w:r>
          </w:p>
        </w:tc>
      </w:tr>
      <w:tr w:rsidR="00DD00B4" w:rsidRPr="00661595" w:rsidTr="00DD00B4">
        <w:tc>
          <w:tcPr>
            <w:tcW w:w="1188"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sz w:val="24"/>
              </w:rPr>
            </w:pPr>
            <w:r w:rsidRPr="00661595">
              <w:rPr>
                <w:rFonts w:ascii="Times New Roman" w:hAnsi="Times New Roman"/>
                <w:sz w:val="24"/>
              </w:rPr>
              <w:t>0030</w:t>
            </w:r>
          </w:p>
        </w:tc>
        <w:tc>
          <w:tcPr>
            <w:tcW w:w="8843"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b/>
                <w:sz w:val="24"/>
                <w:u w:val="single"/>
              </w:rPr>
            </w:pPr>
            <w:r w:rsidRPr="00661595">
              <w:rPr>
                <w:rFonts w:ascii="Times New Roman" w:hAnsi="Times New Roman"/>
                <w:b/>
                <w:sz w:val="24"/>
                <w:u w:val="single"/>
              </w:rPr>
              <w:t>Part of NPEs secured by immovable property or residential loan guaranteed by an eligible protection provider</w:t>
            </w:r>
          </w:p>
          <w:p w:rsidR="00DD00B4" w:rsidRPr="00661595" w:rsidRDefault="00DD00B4" w:rsidP="00DD00B4">
            <w:pPr>
              <w:rPr>
                <w:rFonts w:ascii="Times New Roman" w:hAnsi="Times New Roman"/>
                <w:sz w:val="24"/>
              </w:rPr>
            </w:pPr>
            <w:r w:rsidRPr="00661595">
              <w:rPr>
                <w:rFonts w:ascii="Times New Roman" w:hAnsi="Times New Roman"/>
                <w:sz w:val="24"/>
              </w:rPr>
              <w:t>Point (a)(ii) of Article 47c(1) and points (a), (b), (c), (d), (f), (h) and (i) of Article 47c(3), Article 47c(6)</w:t>
            </w:r>
            <w:r w:rsidR="00233577" w:rsidRPr="00661595">
              <w:rPr>
                <w:rFonts w:ascii="Times New Roman" w:hAnsi="Times New Roman"/>
                <w:sz w:val="24"/>
              </w:rPr>
              <w:t xml:space="preserve"> </w:t>
            </w:r>
            <w:r w:rsidRPr="00661595">
              <w:rPr>
                <w:rFonts w:ascii="Times New Roman" w:hAnsi="Times New Roman"/>
                <w:sz w:val="24"/>
              </w:rPr>
              <w:t>CRR</w:t>
            </w:r>
          </w:p>
          <w:p w:rsidR="00DD00B4" w:rsidRPr="00661595" w:rsidRDefault="00303974" w:rsidP="00303974">
            <w:pPr>
              <w:rPr>
                <w:rFonts w:ascii="Times New Roman" w:hAnsi="Times New Roman"/>
                <w:b/>
                <w:sz w:val="24"/>
                <w:u w:val="single"/>
              </w:rPr>
            </w:pPr>
            <w:r>
              <w:rPr>
                <w:rFonts w:ascii="Times New Roman" w:hAnsi="Times New Roman"/>
                <w:sz w:val="24"/>
              </w:rPr>
              <w:t>Institutions shall report the t</w:t>
            </w:r>
            <w:r w:rsidR="00DD00B4" w:rsidRPr="00661595">
              <w:rPr>
                <w:rFonts w:ascii="Times New Roman" w:hAnsi="Times New Roman"/>
                <w:sz w:val="24"/>
              </w:rPr>
              <w:t>otal minimum coverage requirement for parts of non-performing forborne exposures secured by immovable property pursuant t</w:t>
            </w:r>
            <w:r w:rsidR="00233577" w:rsidRPr="00661595">
              <w:rPr>
                <w:rFonts w:ascii="Times New Roman" w:hAnsi="Times New Roman"/>
                <w:sz w:val="24"/>
              </w:rPr>
              <w:t xml:space="preserve">o Title II of Part Three </w:t>
            </w:r>
            <w:r w:rsidR="00DD00B4" w:rsidRPr="00661595">
              <w:rPr>
                <w:rFonts w:ascii="Times New Roman" w:hAnsi="Times New Roman"/>
                <w:sz w:val="24"/>
              </w:rPr>
              <w:t>CRR or that are residential loans guaranteed by an eligible protection provider as referr</w:t>
            </w:r>
            <w:r w:rsidR="00233577" w:rsidRPr="00661595">
              <w:rPr>
                <w:rFonts w:ascii="Times New Roman" w:hAnsi="Times New Roman"/>
                <w:sz w:val="24"/>
              </w:rPr>
              <w:t xml:space="preserve">ed to in Article 201 </w:t>
            </w:r>
            <w:r w:rsidR="00DD00B4" w:rsidRPr="00661595">
              <w:rPr>
                <w:rFonts w:ascii="Times New Roman" w:hAnsi="Times New Roman"/>
                <w:sz w:val="24"/>
              </w:rPr>
              <w:t>CRR, falli</w:t>
            </w:r>
            <w:r w:rsidR="00233577" w:rsidRPr="00661595">
              <w:rPr>
                <w:rFonts w:ascii="Times New Roman" w:hAnsi="Times New Roman"/>
                <w:sz w:val="24"/>
              </w:rPr>
              <w:t xml:space="preserve">ng under Article 47c(6) </w:t>
            </w:r>
            <w:r w:rsidR="00DD00B4" w:rsidRPr="00661595">
              <w:rPr>
                <w:rFonts w:ascii="Times New Roman" w:hAnsi="Times New Roman"/>
                <w:sz w:val="24"/>
              </w:rPr>
              <w:t xml:space="preserve">CRR, i.e. </w:t>
            </w:r>
            <w:r w:rsidR="004F0F3D">
              <w:rPr>
                <w:rFonts w:ascii="Times New Roman" w:hAnsi="Times New Roman"/>
                <w:sz w:val="24"/>
              </w:rPr>
              <w:t xml:space="preserve">the </w:t>
            </w:r>
            <w:r w:rsidR="00DD00B4" w:rsidRPr="00661595">
              <w:rPr>
                <w:rFonts w:ascii="Times New Roman" w:hAnsi="Times New Roman"/>
                <w:sz w:val="24"/>
              </w:rPr>
              <w:t xml:space="preserve">aggregate of calculations at exposure level. </w:t>
            </w:r>
          </w:p>
        </w:tc>
      </w:tr>
      <w:tr w:rsidR="00DD00B4" w:rsidRPr="00661595" w:rsidTr="00DD00B4">
        <w:tc>
          <w:tcPr>
            <w:tcW w:w="1188"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sz w:val="24"/>
              </w:rPr>
            </w:pPr>
            <w:r w:rsidRPr="00661595">
              <w:rPr>
                <w:rFonts w:ascii="Times New Roman" w:hAnsi="Times New Roman"/>
                <w:sz w:val="24"/>
              </w:rPr>
              <w:t>0040</w:t>
            </w:r>
          </w:p>
        </w:tc>
        <w:tc>
          <w:tcPr>
            <w:tcW w:w="8843"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jc w:val="left"/>
              <w:rPr>
                <w:rFonts w:ascii="Times New Roman" w:hAnsi="Times New Roman"/>
                <w:b/>
                <w:sz w:val="24"/>
                <w:u w:val="single"/>
                <w:lang w:bidi="ne-NP"/>
              </w:rPr>
            </w:pPr>
            <w:r w:rsidRPr="00661595">
              <w:rPr>
                <w:rFonts w:ascii="Times New Roman" w:hAnsi="Times New Roman"/>
                <w:b/>
                <w:sz w:val="24"/>
                <w:u w:val="single"/>
                <w:lang w:bidi="ne-NP"/>
              </w:rPr>
              <w:t>Part of NPEs secured by other funded or unfunded credit protection</w:t>
            </w:r>
          </w:p>
          <w:p w:rsidR="00DD00B4" w:rsidRPr="00661595" w:rsidRDefault="00DD00B4" w:rsidP="00DD00B4">
            <w:pPr>
              <w:rPr>
                <w:rFonts w:ascii="Times New Roman" w:hAnsi="Times New Roman"/>
                <w:sz w:val="24"/>
              </w:rPr>
            </w:pPr>
            <w:r w:rsidRPr="00661595">
              <w:rPr>
                <w:rFonts w:ascii="Times New Roman" w:hAnsi="Times New Roman"/>
                <w:sz w:val="24"/>
              </w:rPr>
              <w:t>Point (a)(ii) of Article 47c(1) and points (a), (b), (c), (e) and (g) of Article 47c(3),</w:t>
            </w:r>
            <w:r w:rsidR="00FC223C" w:rsidRPr="00661595">
              <w:rPr>
                <w:rFonts w:ascii="Times New Roman" w:hAnsi="Times New Roman"/>
                <w:sz w:val="24"/>
              </w:rPr>
              <w:t xml:space="preserve"> Article 47c(6) </w:t>
            </w:r>
            <w:r w:rsidRPr="00661595">
              <w:rPr>
                <w:rFonts w:ascii="Times New Roman" w:hAnsi="Times New Roman"/>
                <w:sz w:val="24"/>
              </w:rPr>
              <w:t>CRR</w:t>
            </w:r>
          </w:p>
          <w:p w:rsidR="00DD00B4" w:rsidRPr="00661595" w:rsidRDefault="00303974" w:rsidP="00303974">
            <w:pPr>
              <w:rPr>
                <w:rFonts w:ascii="Times New Roman" w:hAnsi="Times New Roman"/>
                <w:sz w:val="24"/>
              </w:rPr>
            </w:pPr>
            <w:r>
              <w:rPr>
                <w:rFonts w:ascii="Times New Roman" w:hAnsi="Times New Roman"/>
                <w:sz w:val="24"/>
              </w:rPr>
              <w:t>Institutions shall report the t</w:t>
            </w:r>
            <w:r w:rsidR="00DD00B4" w:rsidRPr="00661595">
              <w:rPr>
                <w:rFonts w:ascii="Times New Roman" w:hAnsi="Times New Roman"/>
                <w:sz w:val="24"/>
              </w:rPr>
              <w:t>otal minimum coverage requirement for parts of non-performing forborne exposures se-cured by other funded or unfunded credit protection, falling</w:t>
            </w:r>
            <w:r w:rsidR="00233577" w:rsidRPr="00661595">
              <w:rPr>
                <w:rFonts w:ascii="Times New Roman" w:hAnsi="Times New Roman"/>
                <w:sz w:val="24"/>
              </w:rPr>
              <w:t xml:space="preserve"> under Article 47c</w:t>
            </w:r>
            <w:r w:rsidR="00FC223C" w:rsidRPr="00661595">
              <w:rPr>
                <w:rFonts w:ascii="Times New Roman" w:hAnsi="Times New Roman"/>
                <w:sz w:val="24"/>
              </w:rPr>
              <w:t xml:space="preserve">(6) </w:t>
            </w:r>
            <w:r w:rsidR="00DD00B4" w:rsidRPr="00661595">
              <w:rPr>
                <w:rFonts w:ascii="Times New Roman" w:hAnsi="Times New Roman"/>
                <w:sz w:val="24"/>
              </w:rPr>
              <w:t xml:space="preserve">CRR, i.e. </w:t>
            </w:r>
            <w:r w:rsidR="004F0F3D">
              <w:rPr>
                <w:rFonts w:ascii="Times New Roman" w:hAnsi="Times New Roman"/>
                <w:sz w:val="24"/>
              </w:rPr>
              <w:t xml:space="preserve">the </w:t>
            </w:r>
            <w:r w:rsidR="00DD00B4" w:rsidRPr="00661595">
              <w:rPr>
                <w:rFonts w:ascii="Times New Roman" w:hAnsi="Times New Roman"/>
                <w:sz w:val="24"/>
              </w:rPr>
              <w:t>aggregate of calculations at exposure level.</w:t>
            </w:r>
          </w:p>
        </w:tc>
      </w:tr>
      <w:tr w:rsidR="00DD00B4" w:rsidRPr="00661595" w:rsidTr="00DD00B4">
        <w:tc>
          <w:tcPr>
            <w:tcW w:w="1188"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sz w:val="24"/>
              </w:rPr>
            </w:pPr>
            <w:r w:rsidRPr="00661595">
              <w:rPr>
                <w:rFonts w:ascii="Times New Roman" w:hAnsi="Times New Roman"/>
                <w:sz w:val="24"/>
              </w:rPr>
              <w:t>0050</w:t>
            </w:r>
          </w:p>
        </w:tc>
        <w:tc>
          <w:tcPr>
            <w:tcW w:w="8843"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b/>
                <w:sz w:val="24"/>
                <w:u w:val="single"/>
              </w:rPr>
            </w:pPr>
            <w:r w:rsidRPr="00661595">
              <w:rPr>
                <w:rFonts w:ascii="Times New Roman" w:hAnsi="Times New Roman"/>
                <w:b/>
                <w:sz w:val="24"/>
                <w:u w:val="single"/>
              </w:rPr>
              <w:t>Exposure value</w:t>
            </w:r>
          </w:p>
          <w:p w:rsidR="00DD00B4" w:rsidRPr="00661595" w:rsidRDefault="00233577" w:rsidP="00DD00B4">
            <w:pPr>
              <w:rPr>
                <w:rFonts w:ascii="Times New Roman" w:hAnsi="Times New Roman"/>
                <w:sz w:val="24"/>
              </w:rPr>
            </w:pPr>
            <w:r w:rsidRPr="00661595">
              <w:rPr>
                <w:rFonts w:ascii="Times New Roman" w:hAnsi="Times New Roman"/>
                <w:sz w:val="24"/>
              </w:rPr>
              <w:t>Article 47a(2) and Article 47c(6) CRR</w:t>
            </w:r>
          </w:p>
          <w:p w:rsidR="00DD00B4" w:rsidRPr="00661595" w:rsidRDefault="00DD00B4" w:rsidP="00DD00B4">
            <w:pPr>
              <w:rPr>
                <w:rFonts w:ascii="Times New Roman" w:hAnsi="Times New Roman"/>
                <w:b/>
                <w:sz w:val="24"/>
                <w:u w:val="single"/>
              </w:rPr>
            </w:pPr>
            <w:r w:rsidRPr="00661595">
              <w:rPr>
                <w:rFonts w:ascii="Times New Roman" w:hAnsi="Times New Roman"/>
                <w:sz w:val="24"/>
              </w:rPr>
              <w:t xml:space="preserve">For the calculation of exposure value, institutions shall sum exposure values for the unsecured part of NPEs (row 0060), the part of NPEs secured by immovable property or residential loan guaranteed by an eligible protection provider (row 0070) and the part of NPEs secured by other funded or unfunded credit protection (row 0120), where applicable. </w:t>
            </w:r>
          </w:p>
        </w:tc>
      </w:tr>
      <w:tr w:rsidR="00DD00B4" w:rsidRPr="00661595" w:rsidTr="00DD00B4">
        <w:tc>
          <w:tcPr>
            <w:tcW w:w="1188"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sz w:val="24"/>
              </w:rPr>
            </w:pPr>
            <w:r w:rsidRPr="00661595">
              <w:rPr>
                <w:rFonts w:ascii="Times New Roman" w:hAnsi="Times New Roman"/>
                <w:sz w:val="24"/>
              </w:rPr>
              <w:t>0060</w:t>
            </w:r>
          </w:p>
        </w:tc>
        <w:tc>
          <w:tcPr>
            <w:tcW w:w="8843"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b/>
                <w:sz w:val="24"/>
                <w:u w:val="single"/>
              </w:rPr>
            </w:pPr>
            <w:r w:rsidRPr="00661595">
              <w:rPr>
                <w:rFonts w:ascii="Times New Roman" w:hAnsi="Times New Roman"/>
                <w:b/>
                <w:sz w:val="24"/>
                <w:u w:val="single"/>
              </w:rPr>
              <w:t>Unsecured part of NPEs</w:t>
            </w:r>
          </w:p>
          <w:p w:rsidR="00DD00B4" w:rsidRPr="00661595" w:rsidRDefault="00233577" w:rsidP="00DD00B4">
            <w:pPr>
              <w:jc w:val="left"/>
              <w:rPr>
                <w:rFonts w:ascii="Times New Roman" w:hAnsi="Times New Roman"/>
                <w:sz w:val="24"/>
                <w:lang w:val="en-US"/>
              </w:rPr>
            </w:pPr>
            <w:r w:rsidRPr="00661595">
              <w:rPr>
                <w:rFonts w:ascii="Times New Roman" w:hAnsi="Times New Roman"/>
                <w:sz w:val="24"/>
                <w:lang w:val="en-US"/>
              </w:rPr>
              <w:t>Article 47a</w:t>
            </w:r>
            <w:r w:rsidR="00DD00B4" w:rsidRPr="00661595">
              <w:rPr>
                <w:rFonts w:ascii="Times New Roman" w:hAnsi="Times New Roman"/>
                <w:sz w:val="24"/>
                <w:lang w:val="en-US"/>
              </w:rPr>
              <w:t>(2), Article 47c(1), Article 47c(2), Article 47c(6)</w:t>
            </w:r>
            <w:r w:rsidRPr="00661595">
              <w:rPr>
                <w:rFonts w:ascii="Times New Roman" w:hAnsi="Times New Roman"/>
                <w:sz w:val="24"/>
                <w:lang w:val="en-US"/>
              </w:rPr>
              <w:t xml:space="preserve"> </w:t>
            </w:r>
            <w:r w:rsidR="00DD00B4" w:rsidRPr="00661595">
              <w:rPr>
                <w:rFonts w:ascii="Times New Roman" w:hAnsi="Times New Roman"/>
                <w:sz w:val="24"/>
                <w:lang w:val="en-US"/>
              </w:rPr>
              <w:t>CRR</w:t>
            </w:r>
          </w:p>
          <w:p w:rsidR="00DD00B4" w:rsidRPr="00661595" w:rsidRDefault="00303974" w:rsidP="00303974">
            <w:pPr>
              <w:rPr>
                <w:rFonts w:ascii="Times New Roman" w:hAnsi="Times New Roman"/>
                <w:b/>
                <w:sz w:val="24"/>
                <w:u w:val="single"/>
              </w:rPr>
            </w:pPr>
            <w:r>
              <w:rPr>
                <w:rFonts w:ascii="Times New Roman" w:hAnsi="Times New Roman"/>
                <w:sz w:val="24"/>
              </w:rPr>
              <w:t>Institutions shall report the t</w:t>
            </w:r>
            <w:r w:rsidR="00DD00B4" w:rsidRPr="00661595">
              <w:rPr>
                <w:rFonts w:ascii="Times New Roman" w:hAnsi="Times New Roman"/>
                <w:sz w:val="24"/>
              </w:rPr>
              <w:t>otal exposure value of unsecured part of forborne N</w:t>
            </w:r>
            <w:r w:rsidR="00233577" w:rsidRPr="00661595">
              <w:rPr>
                <w:rFonts w:ascii="Times New Roman" w:hAnsi="Times New Roman"/>
                <w:sz w:val="24"/>
              </w:rPr>
              <w:t xml:space="preserve">PEs that fall under Article 47c(6) </w:t>
            </w:r>
            <w:r w:rsidR="00DD00B4" w:rsidRPr="00661595">
              <w:rPr>
                <w:rFonts w:ascii="Times New Roman" w:hAnsi="Times New Roman"/>
                <w:sz w:val="24"/>
              </w:rPr>
              <w:t>CRR</w:t>
            </w:r>
            <w:r w:rsidR="00D53774" w:rsidRPr="00661595">
              <w:rPr>
                <w:rFonts w:ascii="Times New Roman" w:hAnsi="Times New Roman"/>
                <w:sz w:val="24"/>
              </w:rPr>
              <w:t xml:space="preserve"> where the first forbearance measure has been granted between the first and the last day of the second year after the classification of the exposure as non-performing (&gt;1 year; &lt;=2 years).</w:t>
            </w:r>
          </w:p>
        </w:tc>
      </w:tr>
      <w:tr w:rsidR="00DD00B4" w:rsidRPr="00661595" w:rsidTr="00DD00B4">
        <w:tc>
          <w:tcPr>
            <w:tcW w:w="1188"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sz w:val="24"/>
              </w:rPr>
            </w:pPr>
            <w:r w:rsidRPr="00661595">
              <w:rPr>
                <w:rFonts w:ascii="Times New Roman" w:hAnsi="Times New Roman"/>
                <w:sz w:val="24"/>
              </w:rPr>
              <w:t>0070</w:t>
            </w:r>
          </w:p>
        </w:tc>
        <w:tc>
          <w:tcPr>
            <w:tcW w:w="8843"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b/>
                <w:sz w:val="24"/>
                <w:u w:val="single"/>
              </w:rPr>
            </w:pPr>
            <w:r w:rsidRPr="00661595">
              <w:rPr>
                <w:rFonts w:ascii="Times New Roman" w:hAnsi="Times New Roman"/>
                <w:b/>
                <w:sz w:val="24"/>
                <w:u w:val="single"/>
              </w:rPr>
              <w:t>Part of NPEs secured by immovable property or residential loan guaranteed by an eligible protection provider</w:t>
            </w:r>
          </w:p>
          <w:p w:rsidR="00DD00B4" w:rsidRPr="00661595" w:rsidRDefault="006C0EF3" w:rsidP="00DD00B4">
            <w:pPr>
              <w:rPr>
                <w:rFonts w:ascii="Times New Roman" w:hAnsi="Times New Roman"/>
                <w:sz w:val="24"/>
              </w:rPr>
            </w:pPr>
            <w:r w:rsidRPr="00661595">
              <w:rPr>
                <w:rFonts w:ascii="Times New Roman" w:hAnsi="Times New Roman"/>
                <w:sz w:val="24"/>
              </w:rPr>
              <w:t xml:space="preserve">Article 47a(2), </w:t>
            </w:r>
            <w:r w:rsidR="00DD00B4" w:rsidRPr="00661595">
              <w:rPr>
                <w:rFonts w:ascii="Times New Roman" w:hAnsi="Times New Roman"/>
                <w:sz w:val="24"/>
              </w:rPr>
              <w:t>Article 47c(1) and points (a), (b), (c), (d), (f), (h) and (i) of Article 47c(3), Article 47c(6)</w:t>
            </w:r>
            <w:r w:rsidR="00233577" w:rsidRPr="00661595">
              <w:rPr>
                <w:rFonts w:ascii="Times New Roman" w:hAnsi="Times New Roman"/>
                <w:sz w:val="24"/>
              </w:rPr>
              <w:t xml:space="preserve"> </w:t>
            </w:r>
            <w:r w:rsidR="00DD00B4" w:rsidRPr="00661595">
              <w:rPr>
                <w:rFonts w:ascii="Times New Roman" w:hAnsi="Times New Roman"/>
                <w:sz w:val="24"/>
              </w:rPr>
              <w:t>CRR</w:t>
            </w:r>
          </w:p>
          <w:p w:rsidR="00DD00B4" w:rsidRPr="00661595" w:rsidRDefault="00303974" w:rsidP="00303974">
            <w:pPr>
              <w:rPr>
                <w:rFonts w:ascii="Times New Roman" w:hAnsi="Times New Roman"/>
                <w:b/>
                <w:sz w:val="24"/>
                <w:u w:val="single"/>
              </w:rPr>
            </w:pPr>
            <w:r>
              <w:rPr>
                <w:rFonts w:ascii="Times New Roman" w:hAnsi="Times New Roman"/>
                <w:sz w:val="24"/>
              </w:rPr>
              <w:t>Institutions shall report the t</w:t>
            </w:r>
            <w:r w:rsidR="00DD00B4" w:rsidRPr="00661595">
              <w:rPr>
                <w:rFonts w:ascii="Times New Roman" w:hAnsi="Times New Roman"/>
                <w:sz w:val="24"/>
              </w:rPr>
              <w:t xml:space="preserve">otal exposure value of the parts of forborne NPEs  </w:t>
            </w:r>
            <w:r w:rsidR="008D0D6A" w:rsidRPr="00661595">
              <w:rPr>
                <w:rFonts w:ascii="Times New Roman" w:hAnsi="Times New Roman"/>
                <w:sz w:val="24"/>
              </w:rPr>
              <w:t xml:space="preserve">that fall under Article 47c(6) </w:t>
            </w:r>
            <w:r w:rsidR="00DD00B4" w:rsidRPr="00661595">
              <w:rPr>
                <w:rFonts w:ascii="Times New Roman" w:hAnsi="Times New Roman"/>
                <w:sz w:val="24"/>
              </w:rPr>
              <w:t>CRR secured by immovable property pursuant t</w:t>
            </w:r>
            <w:r w:rsidR="008D0D6A" w:rsidRPr="00661595">
              <w:rPr>
                <w:rFonts w:ascii="Times New Roman" w:hAnsi="Times New Roman"/>
                <w:sz w:val="24"/>
              </w:rPr>
              <w:t xml:space="preserve">o Title II or Part Three </w:t>
            </w:r>
            <w:r w:rsidR="00DD00B4" w:rsidRPr="00661595">
              <w:rPr>
                <w:rFonts w:ascii="Times New Roman" w:hAnsi="Times New Roman"/>
                <w:sz w:val="24"/>
              </w:rPr>
              <w:t>CRR or that is a residential loan guaranteed by an eligible protection provider as re</w:t>
            </w:r>
            <w:r w:rsidR="008D0D6A" w:rsidRPr="00661595">
              <w:rPr>
                <w:rFonts w:ascii="Times New Roman" w:hAnsi="Times New Roman"/>
                <w:sz w:val="24"/>
              </w:rPr>
              <w:t xml:space="preserve">ferred to in Article 201 </w:t>
            </w:r>
            <w:r w:rsidR="00DD00B4" w:rsidRPr="00661595">
              <w:rPr>
                <w:rFonts w:ascii="Times New Roman" w:hAnsi="Times New Roman"/>
                <w:sz w:val="24"/>
              </w:rPr>
              <w:t>CRR.</w:t>
            </w:r>
          </w:p>
        </w:tc>
      </w:tr>
      <w:tr w:rsidR="00DD00B4" w:rsidRPr="00661595" w:rsidTr="00DD00B4">
        <w:tc>
          <w:tcPr>
            <w:tcW w:w="1188"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sz w:val="24"/>
              </w:rPr>
            </w:pPr>
            <w:r w:rsidRPr="00661595">
              <w:rPr>
                <w:rFonts w:ascii="Times New Roman" w:hAnsi="Times New Roman"/>
                <w:sz w:val="24"/>
              </w:rPr>
              <w:t>0080</w:t>
            </w:r>
          </w:p>
        </w:tc>
        <w:tc>
          <w:tcPr>
            <w:tcW w:w="8843"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b/>
                <w:sz w:val="24"/>
                <w:u w:val="single"/>
              </w:rPr>
            </w:pPr>
            <w:r w:rsidRPr="00661595">
              <w:rPr>
                <w:rFonts w:ascii="Times New Roman" w:hAnsi="Times New Roman"/>
                <w:b/>
                <w:sz w:val="24"/>
                <w:u w:val="single"/>
              </w:rPr>
              <w:t>&gt; 2 and &lt;= 3 years after classification as NPE</w:t>
            </w:r>
          </w:p>
          <w:p w:rsidR="00DD00B4" w:rsidRPr="00661595" w:rsidRDefault="00DD00B4" w:rsidP="00DD00B4">
            <w:pPr>
              <w:rPr>
                <w:rFonts w:ascii="Times New Roman" w:hAnsi="Times New Roman"/>
                <w:b/>
                <w:sz w:val="24"/>
                <w:u w:val="single"/>
              </w:rPr>
            </w:pPr>
            <w:r w:rsidRPr="00661595">
              <w:rPr>
                <w:rFonts w:ascii="Times New Roman" w:hAnsi="Times New Roman"/>
                <w:sz w:val="24"/>
              </w:rPr>
              <w:t>Institutions shall report exposure value of forborne NPEs</w:t>
            </w:r>
            <w:r w:rsidR="008D0D6A" w:rsidRPr="00661595">
              <w:rPr>
                <w:rFonts w:ascii="Times New Roman" w:hAnsi="Times New Roman"/>
                <w:sz w:val="24"/>
              </w:rPr>
              <w:t xml:space="preserve"> that fall under Article 47c</w:t>
            </w:r>
            <w:r w:rsidR="00FC223C" w:rsidRPr="00661595">
              <w:rPr>
                <w:rFonts w:ascii="Times New Roman" w:hAnsi="Times New Roman"/>
                <w:sz w:val="24"/>
              </w:rPr>
              <w:t xml:space="preserve">(6) </w:t>
            </w:r>
            <w:r w:rsidRPr="00661595">
              <w:rPr>
                <w:rFonts w:ascii="Times New Roman" w:hAnsi="Times New Roman"/>
                <w:sz w:val="24"/>
              </w:rPr>
              <w:t>CRR secured by immovable property or residential loan guaranteed by an eligible protection provider  where the first forbearance measure has been granted between the first and the last day of the third year after the classification of the exposure as non-performing.</w:t>
            </w:r>
          </w:p>
        </w:tc>
      </w:tr>
      <w:tr w:rsidR="00DD00B4" w:rsidRPr="00661595" w:rsidTr="00DD00B4">
        <w:tc>
          <w:tcPr>
            <w:tcW w:w="1188"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sz w:val="24"/>
              </w:rPr>
            </w:pPr>
            <w:r w:rsidRPr="00661595">
              <w:rPr>
                <w:rFonts w:ascii="Times New Roman" w:hAnsi="Times New Roman"/>
                <w:sz w:val="24"/>
              </w:rPr>
              <w:t>0090</w:t>
            </w:r>
          </w:p>
        </w:tc>
        <w:tc>
          <w:tcPr>
            <w:tcW w:w="8843"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b/>
                <w:sz w:val="24"/>
                <w:u w:val="single"/>
              </w:rPr>
            </w:pPr>
            <w:r w:rsidRPr="00661595">
              <w:rPr>
                <w:rFonts w:ascii="Times New Roman" w:hAnsi="Times New Roman"/>
                <w:b/>
                <w:sz w:val="24"/>
                <w:u w:val="single"/>
              </w:rPr>
              <w:t>&gt; 3 and &lt;= 4 years after classification as NPE</w:t>
            </w:r>
          </w:p>
          <w:p w:rsidR="00DD00B4" w:rsidRPr="00661595" w:rsidRDefault="00DD00B4" w:rsidP="00DD00B4">
            <w:pPr>
              <w:rPr>
                <w:rFonts w:ascii="Times New Roman" w:hAnsi="Times New Roman"/>
                <w:b/>
                <w:sz w:val="24"/>
                <w:u w:val="single"/>
              </w:rPr>
            </w:pPr>
            <w:r w:rsidRPr="00661595">
              <w:rPr>
                <w:rFonts w:ascii="Times New Roman" w:hAnsi="Times New Roman"/>
                <w:sz w:val="24"/>
              </w:rPr>
              <w:t>Institutions shall report exposure value of forborne NPEs</w:t>
            </w:r>
            <w:r w:rsidR="008D0D6A" w:rsidRPr="00661595">
              <w:rPr>
                <w:rFonts w:ascii="Times New Roman" w:hAnsi="Times New Roman"/>
                <w:sz w:val="24"/>
              </w:rPr>
              <w:t xml:space="preserve"> that fall under Article 47c(6) </w:t>
            </w:r>
            <w:r w:rsidRPr="00661595">
              <w:rPr>
                <w:rFonts w:ascii="Times New Roman" w:hAnsi="Times New Roman"/>
                <w:sz w:val="24"/>
              </w:rPr>
              <w:t>CRR secured by immovable property or residential loan guaranteed by an eligible protection provider  where the first forbearance measure has been granted between the first and the last day of the fourth year after the classification of the exposure as non-performing.</w:t>
            </w:r>
          </w:p>
        </w:tc>
      </w:tr>
      <w:tr w:rsidR="00DD00B4" w:rsidRPr="00661595" w:rsidTr="00DD00B4">
        <w:tc>
          <w:tcPr>
            <w:tcW w:w="1188"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sz w:val="24"/>
              </w:rPr>
            </w:pPr>
            <w:r w:rsidRPr="00661595">
              <w:rPr>
                <w:rFonts w:ascii="Times New Roman" w:hAnsi="Times New Roman"/>
                <w:sz w:val="24"/>
              </w:rPr>
              <w:t>0100</w:t>
            </w:r>
          </w:p>
        </w:tc>
        <w:tc>
          <w:tcPr>
            <w:tcW w:w="8843"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b/>
                <w:sz w:val="24"/>
                <w:u w:val="single"/>
              </w:rPr>
            </w:pPr>
            <w:r w:rsidRPr="00661595">
              <w:rPr>
                <w:rFonts w:ascii="Times New Roman" w:hAnsi="Times New Roman"/>
                <w:b/>
                <w:sz w:val="24"/>
                <w:u w:val="single"/>
              </w:rPr>
              <w:t>&gt; 4 and &lt;= 5 years after classification as NPE</w:t>
            </w:r>
          </w:p>
          <w:p w:rsidR="00DD00B4" w:rsidRPr="00661595" w:rsidRDefault="00DD00B4" w:rsidP="008D0D6A">
            <w:pPr>
              <w:rPr>
                <w:rFonts w:ascii="Times New Roman" w:hAnsi="Times New Roman"/>
                <w:b/>
                <w:sz w:val="24"/>
                <w:u w:val="single"/>
              </w:rPr>
            </w:pPr>
            <w:r w:rsidRPr="00661595">
              <w:rPr>
                <w:rFonts w:ascii="Times New Roman" w:hAnsi="Times New Roman"/>
                <w:sz w:val="24"/>
              </w:rPr>
              <w:t>Institutions shall report exposure value of forborne NPEs</w:t>
            </w:r>
            <w:r w:rsidR="008D0D6A" w:rsidRPr="00661595">
              <w:rPr>
                <w:rFonts w:ascii="Times New Roman" w:hAnsi="Times New Roman"/>
                <w:sz w:val="24"/>
              </w:rPr>
              <w:t xml:space="preserve"> that fall under Article 47c</w:t>
            </w:r>
            <w:r w:rsidRPr="00661595">
              <w:rPr>
                <w:rFonts w:ascii="Times New Roman" w:hAnsi="Times New Roman"/>
                <w:sz w:val="24"/>
              </w:rPr>
              <w:t>(6) CRR secured by immovable property or residential loan guaranteed by an eligible protection provider  where the first forbearance measure has been granted between the first and the last day of the fifth year after the classification of the exposure as non-performing.</w:t>
            </w:r>
          </w:p>
        </w:tc>
      </w:tr>
      <w:tr w:rsidR="00DD00B4" w:rsidRPr="00661595" w:rsidTr="00DD00B4">
        <w:tc>
          <w:tcPr>
            <w:tcW w:w="1188"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sz w:val="24"/>
              </w:rPr>
            </w:pPr>
            <w:r w:rsidRPr="00661595">
              <w:rPr>
                <w:rFonts w:ascii="Times New Roman" w:hAnsi="Times New Roman"/>
                <w:sz w:val="24"/>
              </w:rPr>
              <w:t>0110</w:t>
            </w:r>
          </w:p>
        </w:tc>
        <w:tc>
          <w:tcPr>
            <w:tcW w:w="8843"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b/>
                <w:sz w:val="24"/>
                <w:u w:val="single"/>
              </w:rPr>
            </w:pPr>
            <w:r w:rsidRPr="00661595">
              <w:rPr>
                <w:rFonts w:ascii="Times New Roman" w:hAnsi="Times New Roman"/>
                <w:b/>
                <w:sz w:val="24"/>
                <w:u w:val="single"/>
              </w:rPr>
              <w:t>&gt; 5 and &lt;= 6 years after classification as NPE</w:t>
            </w:r>
          </w:p>
          <w:p w:rsidR="00DD00B4" w:rsidRPr="00661595" w:rsidRDefault="00DD00B4" w:rsidP="008D0D6A">
            <w:pPr>
              <w:rPr>
                <w:rFonts w:ascii="Times New Roman" w:hAnsi="Times New Roman"/>
                <w:b/>
                <w:sz w:val="24"/>
                <w:u w:val="single"/>
              </w:rPr>
            </w:pPr>
            <w:r w:rsidRPr="00661595">
              <w:rPr>
                <w:rFonts w:ascii="Times New Roman" w:hAnsi="Times New Roman"/>
                <w:sz w:val="24"/>
              </w:rPr>
              <w:t>Institutions shall report exposure value of forborne NPEs secured</w:t>
            </w:r>
            <w:r w:rsidR="008D0D6A" w:rsidRPr="00661595">
              <w:rPr>
                <w:rFonts w:ascii="Times New Roman" w:hAnsi="Times New Roman"/>
                <w:sz w:val="24"/>
              </w:rPr>
              <w:t xml:space="preserve"> that fall under Article 47c</w:t>
            </w:r>
            <w:r w:rsidRPr="00661595">
              <w:rPr>
                <w:rFonts w:ascii="Times New Roman" w:hAnsi="Times New Roman"/>
                <w:sz w:val="24"/>
              </w:rPr>
              <w:t>(6) CRR by immovable property or residential loan guaranteed by an eligible protection provider  where the first forbearance measure has been granted between the first and the last day of the sixth year after the classification of the exposure as non-performing.</w:t>
            </w:r>
          </w:p>
        </w:tc>
      </w:tr>
      <w:tr w:rsidR="00DD00B4" w:rsidRPr="00661595" w:rsidTr="00DD00B4">
        <w:tc>
          <w:tcPr>
            <w:tcW w:w="1188"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sz w:val="24"/>
              </w:rPr>
            </w:pPr>
            <w:r w:rsidRPr="00661595">
              <w:rPr>
                <w:rFonts w:ascii="Times New Roman" w:hAnsi="Times New Roman"/>
                <w:sz w:val="24"/>
              </w:rPr>
              <w:t>0120</w:t>
            </w:r>
          </w:p>
        </w:tc>
        <w:tc>
          <w:tcPr>
            <w:tcW w:w="8843"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b/>
                <w:sz w:val="24"/>
              </w:rPr>
            </w:pPr>
            <w:r w:rsidRPr="00661595">
              <w:rPr>
                <w:rFonts w:ascii="Times New Roman" w:hAnsi="Times New Roman"/>
                <w:b/>
                <w:sz w:val="24"/>
              </w:rPr>
              <w:t>Part of NPEs secured by other funded or unfunded credit protection</w:t>
            </w:r>
          </w:p>
          <w:p w:rsidR="00DD00B4" w:rsidRPr="00661595" w:rsidRDefault="00DD00B4" w:rsidP="00DD00B4">
            <w:pPr>
              <w:jc w:val="left"/>
              <w:rPr>
                <w:rFonts w:ascii="Times New Roman" w:hAnsi="Times New Roman"/>
                <w:sz w:val="24"/>
              </w:rPr>
            </w:pPr>
            <w:r w:rsidRPr="00661595">
              <w:rPr>
                <w:rFonts w:ascii="Times New Roman" w:hAnsi="Times New Roman"/>
                <w:sz w:val="24"/>
              </w:rPr>
              <w:t>Article 47c(1), and points (a), (b), (c), (e) and (g) of Article 47c(3), Article 47c(6)</w:t>
            </w:r>
            <w:r w:rsidR="008D0D6A" w:rsidRPr="00661595">
              <w:rPr>
                <w:rFonts w:ascii="Times New Roman" w:hAnsi="Times New Roman"/>
                <w:sz w:val="24"/>
              </w:rPr>
              <w:t xml:space="preserve"> </w:t>
            </w:r>
            <w:r w:rsidRPr="00661595">
              <w:rPr>
                <w:rFonts w:ascii="Times New Roman" w:hAnsi="Times New Roman"/>
                <w:sz w:val="24"/>
              </w:rPr>
              <w:t>CRR</w:t>
            </w:r>
          </w:p>
          <w:p w:rsidR="00DD00B4" w:rsidRPr="00661595" w:rsidRDefault="00303974" w:rsidP="00303974">
            <w:pPr>
              <w:rPr>
                <w:rFonts w:ascii="Times New Roman" w:hAnsi="Times New Roman"/>
                <w:b/>
                <w:sz w:val="24"/>
                <w:u w:val="single"/>
              </w:rPr>
            </w:pPr>
            <w:r>
              <w:rPr>
                <w:rFonts w:ascii="Times New Roman" w:hAnsi="Times New Roman"/>
                <w:sz w:val="24"/>
              </w:rPr>
              <w:t>Institutions shall report the t</w:t>
            </w:r>
            <w:r w:rsidR="00DD00B4" w:rsidRPr="00661595">
              <w:rPr>
                <w:rFonts w:ascii="Times New Roman" w:hAnsi="Times New Roman"/>
                <w:sz w:val="24"/>
              </w:rPr>
              <w:t>otal exposure value of the part</w:t>
            </w:r>
            <w:r w:rsidR="008D0D6A" w:rsidRPr="00661595">
              <w:rPr>
                <w:rFonts w:ascii="Times New Roman" w:hAnsi="Times New Roman"/>
                <w:sz w:val="24"/>
              </w:rPr>
              <w:t xml:space="preserve">s of forborne NPEs that fall under Article 47c(6) </w:t>
            </w:r>
            <w:r w:rsidR="00DD00B4" w:rsidRPr="00661595">
              <w:rPr>
                <w:rFonts w:ascii="Times New Roman" w:hAnsi="Times New Roman"/>
                <w:sz w:val="24"/>
              </w:rPr>
              <w:t xml:space="preserve">CRR secured by </w:t>
            </w:r>
            <w:r w:rsidR="00DD00B4" w:rsidRPr="00661595">
              <w:rPr>
                <w:rFonts w:ascii="Times New Roman" w:hAnsi="Times New Roman"/>
                <w:sz w:val="24"/>
                <w:lang w:bidi="ne-NP"/>
              </w:rPr>
              <w:t>other funded or unfunded credit protection</w:t>
            </w:r>
            <w:r w:rsidR="00DD00B4" w:rsidRPr="00661595">
              <w:rPr>
                <w:rFonts w:ascii="Times New Roman" w:hAnsi="Times New Roman"/>
                <w:sz w:val="24"/>
              </w:rPr>
              <w:t xml:space="preserve"> pursuant t</w:t>
            </w:r>
            <w:r w:rsidR="008D0D6A" w:rsidRPr="00661595">
              <w:rPr>
                <w:rFonts w:ascii="Times New Roman" w:hAnsi="Times New Roman"/>
                <w:sz w:val="24"/>
              </w:rPr>
              <w:t xml:space="preserve">o Title II of Part Three </w:t>
            </w:r>
            <w:r w:rsidR="00DD00B4" w:rsidRPr="00661595">
              <w:rPr>
                <w:rFonts w:ascii="Times New Roman" w:hAnsi="Times New Roman"/>
                <w:sz w:val="24"/>
              </w:rPr>
              <w:t>CRR.</w:t>
            </w:r>
          </w:p>
        </w:tc>
      </w:tr>
      <w:tr w:rsidR="00DD00B4" w:rsidRPr="00661595" w:rsidTr="00DD00B4">
        <w:tc>
          <w:tcPr>
            <w:tcW w:w="1188"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sz w:val="24"/>
              </w:rPr>
            </w:pPr>
            <w:r w:rsidRPr="00661595">
              <w:rPr>
                <w:rFonts w:ascii="Times New Roman" w:hAnsi="Times New Roman"/>
                <w:sz w:val="24"/>
              </w:rPr>
              <w:t>0130</w:t>
            </w:r>
          </w:p>
        </w:tc>
        <w:tc>
          <w:tcPr>
            <w:tcW w:w="8843"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b/>
                <w:sz w:val="24"/>
                <w:u w:val="single"/>
              </w:rPr>
            </w:pPr>
            <w:r w:rsidRPr="00661595">
              <w:rPr>
                <w:rFonts w:ascii="Times New Roman" w:hAnsi="Times New Roman"/>
                <w:b/>
                <w:sz w:val="24"/>
                <w:u w:val="single"/>
              </w:rPr>
              <w:t>&gt; 2 and &lt;= 3 years after classification as NPE</w:t>
            </w:r>
          </w:p>
          <w:p w:rsidR="00DD00B4" w:rsidRPr="00661595" w:rsidRDefault="00DD00B4" w:rsidP="008D0D6A">
            <w:pPr>
              <w:rPr>
                <w:rFonts w:ascii="Times New Roman" w:hAnsi="Times New Roman"/>
                <w:b/>
                <w:sz w:val="24"/>
              </w:rPr>
            </w:pPr>
            <w:r w:rsidRPr="00661595">
              <w:rPr>
                <w:rFonts w:ascii="Times New Roman" w:hAnsi="Times New Roman"/>
                <w:sz w:val="24"/>
              </w:rPr>
              <w:t>Institutions shall report exposure value of forborne NPEs</w:t>
            </w:r>
            <w:r w:rsidR="008D0D6A" w:rsidRPr="00661595">
              <w:rPr>
                <w:rFonts w:ascii="Times New Roman" w:hAnsi="Times New Roman"/>
                <w:sz w:val="24"/>
              </w:rPr>
              <w:t xml:space="preserve"> that fall under Article 47c</w:t>
            </w:r>
            <w:r w:rsidRPr="00661595">
              <w:rPr>
                <w:rFonts w:ascii="Times New Roman" w:hAnsi="Times New Roman"/>
                <w:sz w:val="24"/>
              </w:rPr>
              <w:t>(6) CRR  secured by other funded or unfunded credit protection, where the first forbearance measure has been granted between the first and the last day of the third year after the classification of the exposure as non-performing.</w:t>
            </w:r>
          </w:p>
        </w:tc>
      </w:tr>
      <w:tr w:rsidR="00DD00B4" w:rsidRPr="00661595" w:rsidTr="00DD00B4">
        <w:tc>
          <w:tcPr>
            <w:tcW w:w="1188"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sz w:val="24"/>
              </w:rPr>
            </w:pPr>
            <w:r w:rsidRPr="00661595">
              <w:rPr>
                <w:rFonts w:ascii="Times New Roman" w:hAnsi="Times New Roman"/>
                <w:sz w:val="24"/>
              </w:rPr>
              <w:t>0140</w:t>
            </w:r>
          </w:p>
        </w:tc>
        <w:tc>
          <w:tcPr>
            <w:tcW w:w="8843"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b/>
                <w:sz w:val="24"/>
                <w:u w:val="single"/>
              </w:rPr>
            </w:pPr>
            <w:r w:rsidRPr="00661595">
              <w:rPr>
                <w:rFonts w:ascii="Times New Roman" w:hAnsi="Times New Roman"/>
                <w:b/>
                <w:sz w:val="24"/>
                <w:u w:val="single"/>
              </w:rPr>
              <w:t>&gt; 3 and &lt;= 4 years after classification as NPE</w:t>
            </w:r>
          </w:p>
          <w:p w:rsidR="00DD00B4" w:rsidRPr="00661595" w:rsidRDefault="00DD00B4" w:rsidP="008D0D6A">
            <w:pPr>
              <w:rPr>
                <w:rFonts w:ascii="Times New Roman" w:hAnsi="Times New Roman"/>
                <w:b/>
                <w:sz w:val="24"/>
                <w:u w:val="single"/>
              </w:rPr>
            </w:pPr>
            <w:r w:rsidRPr="00661595">
              <w:rPr>
                <w:rFonts w:ascii="Times New Roman" w:hAnsi="Times New Roman"/>
                <w:sz w:val="24"/>
              </w:rPr>
              <w:t>Institutions shall report exposure value of forborne NPEs</w:t>
            </w:r>
            <w:r w:rsidR="008D0D6A" w:rsidRPr="00661595">
              <w:rPr>
                <w:rFonts w:ascii="Times New Roman" w:hAnsi="Times New Roman"/>
                <w:sz w:val="24"/>
              </w:rPr>
              <w:t xml:space="preserve"> that fall under Article 47c</w:t>
            </w:r>
            <w:r w:rsidRPr="00661595">
              <w:rPr>
                <w:rFonts w:ascii="Times New Roman" w:hAnsi="Times New Roman"/>
                <w:sz w:val="24"/>
              </w:rPr>
              <w:t>(6) CRR  secured by other funded or unfunded credit protection, where the first forbearance measure has been granted between the first and the last day of the fourth year after the classification of the exposure as non-performing.</w:t>
            </w:r>
          </w:p>
        </w:tc>
      </w:tr>
      <w:tr w:rsidR="00DD00B4" w:rsidRPr="00661595" w:rsidTr="00DD00B4">
        <w:tc>
          <w:tcPr>
            <w:tcW w:w="1188"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sz w:val="24"/>
              </w:rPr>
            </w:pPr>
            <w:r w:rsidRPr="00661595">
              <w:rPr>
                <w:rFonts w:ascii="Times New Roman" w:hAnsi="Times New Roman"/>
                <w:sz w:val="24"/>
              </w:rPr>
              <w:t>0150</w:t>
            </w:r>
          </w:p>
        </w:tc>
        <w:tc>
          <w:tcPr>
            <w:tcW w:w="8843"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b/>
                <w:sz w:val="24"/>
                <w:u w:val="single"/>
              </w:rPr>
            </w:pPr>
            <w:r w:rsidRPr="00661595">
              <w:rPr>
                <w:rFonts w:ascii="Times New Roman" w:hAnsi="Times New Roman"/>
                <w:b/>
                <w:sz w:val="24"/>
                <w:u w:val="single"/>
              </w:rPr>
              <w:t>&gt; 4 and &lt;= 5 years after classification as NPE</w:t>
            </w:r>
          </w:p>
          <w:p w:rsidR="00DD00B4" w:rsidRPr="00661595" w:rsidRDefault="00DD00B4" w:rsidP="008D0D6A">
            <w:pPr>
              <w:rPr>
                <w:rFonts w:ascii="Times New Roman" w:hAnsi="Times New Roman"/>
                <w:b/>
                <w:sz w:val="24"/>
                <w:u w:val="single"/>
              </w:rPr>
            </w:pPr>
            <w:r w:rsidRPr="00661595">
              <w:rPr>
                <w:rFonts w:ascii="Times New Roman" w:hAnsi="Times New Roman"/>
                <w:sz w:val="24"/>
              </w:rPr>
              <w:t>Institutions shall report exposure value of forborne NPEs that fall under Article 47c (6) CRR secured by other funded or unfunded credit protection, where the first forbearance measure has been granted between the first and the last day of the fifth year after the classification of the exposure as non-performing.</w:t>
            </w:r>
          </w:p>
        </w:tc>
      </w:tr>
      <w:tr w:rsidR="00DD00B4" w:rsidRPr="00661595" w:rsidTr="00DD00B4">
        <w:tc>
          <w:tcPr>
            <w:tcW w:w="1188"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sz w:val="24"/>
              </w:rPr>
            </w:pPr>
            <w:r w:rsidRPr="00661595">
              <w:rPr>
                <w:rFonts w:ascii="Times New Roman" w:hAnsi="Times New Roman"/>
                <w:sz w:val="24"/>
              </w:rPr>
              <w:t>0160</w:t>
            </w:r>
          </w:p>
        </w:tc>
        <w:tc>
          <w:tcPr>
            <w:tcW w:w="8843" w:type="dxa"/>
            <w:tcBorders>
              <w:top w:val="single" w:sz="4" w:space="0" w:color="auto"/>
              <w:left w:val="single" w:sz="4" w:space="0" w:color="auto"/>
              <w:bottom w:val="single" w:sz="4" w:space="0" w:color="auto"/>
              <w:right w:val="single" w:sz="4" w:space="0" w:color="auto"/>
            </w:tcBorders>
          </w:tcPr>
          <w:p w:rsidR="00DD00B4" w:rsidRPr="00661595" w:rsidRDefault="00DD00B4" w:rsidP="00DD00B4">
            <w:pPr>
              <w:rPr>
                <w:rFonts w:ascii="Times New Roman" w:hAnsi="Times New Roman"/>
                <w:b/>
                <w:sz w:val="24"/>
                <w:u w:val="single"/>
              </w:rPr>
            </w:pPr>
            <w:r w:rsidRPr="00661595">
              <w:rPr>
                <w:rFonts w:ascii="Times New Roman" w:hAnsi="Times New Roman"/>
                <w:b/>
                <w:sz w:val="24"/>
                <w:u w:val="single"/>
              </w:rPr>
              <w:t>&gt; 5 and &lt;= 6 years after classification as NPE</w:t>
            </w:r>
          </w:p>
          <w:p w:rsidR="00DD00B4" w:rsidRPr="00661595" w:rsidRDefault="00DD00B4" w:rsidP="00DD00B4">
            <w:pPr>
              <w:rPr>
                <w:rFonts w:ascii="Times New Roman" w:hAnsi="Times New Roman"/>
                <w:b/>
                <w:sz w:val="24"/>
                <w:u w:val="single"/>
              </w:rPr>
            </w:pPr>
            <w:r w:rsidRPr="00661595">
              <w:rPr>
                <w:rFonts w:ascii="Times New Roman" w:hAnsi="Times New Roman"/>
                <w:sz w:val="24"/>
              </w:rPr>
              <w:t>Institutions shall report exposure value of forborne NPEs that fa</w:t>
            </w:r>
            <w:r w:rsidR="008D0D6A" w:rsidRPr="00661595">
              <w:rPr>
                <w:rFonts w:ascii="Times New Roman" w:hAnsi="Times New Roman"/>
                <w:sz w:val="24"/>
              </w:rPr>
              <w:t xml:space="preserve">ll under Article 47c(6) </w:t>
            </w:r>
            <w:r w:rsidRPr="00661595">
              <w:rPr>
                <w:rFonts w:ascii="Times New Roman" w:hAnsi="Times New Roman"/>
                <w:sz w:val="24"/>
              </w:rPr>
              <w:t>CRR secured by other funded or unfunded credit protection, where the first forbearance measure has been granted between the first and the last day of the sixth year after the classification of the exposure as non-performing.</w:t>
            </w:r>
          </w:p>
        </w:tc>
      </w:tr>
    </w:tbl>
    <w:p w:rsidR="00DD00B4" w:rsidRPr="00661595" w:rsidRDefault="00DD00B4" w:rsidP="00DD00B4">
      <w:pPr>
        <w:spacing w:after="0"/>
        <w:rPr>
          <w:rStyle w:val="InstructionsTabelleText"/>
          <w:rFonts w:ascii="Times New Roman" w:hAnsi="Times New Roman"/>
          <w:sz w:val="24"/>
        </w:rPr>
      </w:pPr>
    </w:p>
    <w:p w:rsidR="00DD00B4" w:rsidRPr="00661595" w:rsidRDefault="00DD00B4" w:rsidP="006452A4">
      <w:pPr>
        <w:spacing w:after="0"/>
        <w:rPr>
          <w:rStyle w:val="InstructionsTabelleText"/>
          <w:rFonts w:ascii="Times New Roman" w:hAnsi="Times New Roman"/>
          <w:sz w:val="24"/>
        </w:rPr>
      </w:pPr>
    </w:p>
    <w:sectPr w:rsidR="00DD00B4" w:rsidRPr="00661595" w:rsidSect="00B51F42">
      <w:footerReference w:type="even" r:id="rId18"/>
      <w:footerReference w:type="default" r:id="rId19"/>
      <w:headerReference w:type="first" r:id="rId20"/>
      <w:endnotePr>
        <w:numFmt w:val="decimal"/>
      </w:endnotePr>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856" w:rsidRDefault="007F1856" w:rsidP="00D946DB">
      <w:pPr>
        <w:spacing w:before="0" w:after="0"/>
      </w:pPr>
      <w:r>
        <w:separator/>
      </w:r>
    </w:p>
  </w:endnote>
  <w:endnote w:type="continuationSeparator" w:id="0">
    <w:p w:rsidR="007F1856" w:rsidRDefault="007F1856" w:rsidP="00D946DB">
      <w:pPr>
        <w:spacing w:before="0" w:after="0"/>
      </w:pPr>
      <w:r>
        <w:continuationSeparator/>
      </w:r>
    </w:p>
  </w:endnote>
  <w:endnote w:type="continuationNotice" w:id="1">
    <w:p w:rsidR="007F1856" w:rsidRDefault="007F185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EU Albertina">
    <w:altName w:val="EU Albertina"/>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EUAlbertina">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ACFFCFA" w:usb2="00000016" w:usb3="00000000" w:csb0="00100001" w:csb1="00000000"/>
  </w:font>
  <w:font w:name="inherit">
    <w:altName w:val="Times New Roman"/>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27A" w:rsidRDefault="009B62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27A" w:rsidRPr="00ED1956" w:rsidRDefault="009B627A">
    <w:pPr>
      <w:pStyle w:val="Footer"/>
      <w:jc w:val="right"/>
      <w:rPr>
        <w:rFonts w:ascii="Times New Roman" w:hAnsi="Times New Roman"/>
        <w:sz w:val="22"/>
        <w:szCs w:val="22"/>
      </w:rPr>
    </w:pPr>
    <w:r w:rsidRPr="00ED1956">
      <w:rPr>
        <w:rFonts w:ascii="Times New Roman" w:hAnsi="Times New Roman"/>
        <w:sz w:val="22"/>
        <w:szCs w:val="22"/>
      </w:rPr>
      <w:fldChar w:fldCharType="begin"/>
    </w:r>
    <w:r w:rsidRPr="00ED1956">
      <w:rPr>
        <w:rFonts w:ascii="Times New Roman" w:hAnsi="Times New Roman"/>
        <w:sz w:val="22"/>
        <w:szCs w:val="22"/>
      </w:rPr>
      <w:instrText xml:space="preserve"> PAGE   \* MERGEFORMAT </w:instrText>
    </w:r>
    <w:r w:rsidRPr="00ED1956">
      <w:rPr>
        <w:rFonts w:ascii="Times New Roman" w:hAnsi="Times New Roman"/>
        <w:sz w:val="22"/>
        <w:szCs w:val="22"/>
      </w:rPr>
      <w:fldChar w:fldCharType="separate"/>
    </w:r>
    <w:r w:rsidR="001C1571">
      <w:rPr>
        <w:rFonts w:ascii="Times New Roman" w:hAnsi="Times New Roman"/>
        <w:noProof/>
        <w:sz w:val="22"/>
        <w:szCs w:val="22"/>
      </w:rPr>
      <w:t>8</w:t>
    </w:r>
    <w:r w:rsidRPr="00ED1956">
      <w:rPr>
        <w:rFonts w:ascii="Times New Roman" w:hAnsi="Times New Roman"/>
        <w:sz w:val="22"/>
        <w:szCs w:val="22"/>
      </w:rPr>
      <w:fldChar w:fldCharType="end"/>
    </w:r>
  </w:p>
  <w:p w:rsidR="009B627A" w:rsidRDefault="009B62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27A" w:rsidRPr="00E85358" w:rsidRDefault="009B627A">
    <w:pPr>
      <w:pStyle w:val="Footer"/>
      <w:jc w:val="right"/>
      <w:rPr>
        <w:sz w:val="22"/>
        <w:szCs w:val="22"/>
      </w:rPr>
    </w:pPr>
    <w:r w:rsidRPr="00E85358">
      <w:rPr>
        <w:sz w:val="22"/>
        <w:szCs w:val="22"/>
      </w:rPr>
      <w:fldChar w:fldCharType="begin"/>
    </w:r>
    <w:r w:rsidRPr="00E85358">
      <w:rPr>
        <w:sz w:val="22"/>
        <w:szCs w:val="22"/>
      </w:rPr>
      <w:instrText xml:space="preserve"> PAGE   \* MERGEFORMAT </w:instrText>
    </w:r>
    <w:r w:rsidRPr="00E85358">
      <w:rPr>
        <w:sz w:val="22"/>
        <w:szCs w:val="22"/>
      </w:rPr>
      <w:fldChar w:fldCharType="separate"/>
    </w:r>
    <w:r w:rsidR="001C1571">
      <w:rPr>
        <w:noProof/>
        <w:sz w:val="22"/>
        <w:szCs w:val="22"/>
      </w:rPr>
      <w:t>1</w:t>
    </w:r>
    <w:r w:rsidRPr="00E85358">
      <w:rPr>
        <w:noProof/>
        <w:sz w:val="22"/>
        <w:szCs w:val="22"/>
      </w:rPr>
      <w:fldChar w:fldCharType="end"/>
    </w:r>
  </w:p>
  <w:p w:rsidR="009B627A" w:rsidRDefault="009B627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27A" w:rsidRDefault="009B627A">
    <w:pPr>
      <w:pStyle w:val="Footer"/>
      <w:framePr w:wrap="auto" w:vAnchor="text" w:hAnchor="margin" w:xAlign="right" w:y="1"/>
      <w:rPr>
        <w:rStyle w:val="PageNumber"/>
        <w:szCs w:val="22"/>
      </w:rPr>
    </w:pPr>
    <w:r>
      <w:rPr>
        <w:rStyle w:val="PageNumber"/>
        <w:szCs w:val="22"/>
      </w:rPr>
      <w:fldChar w:fldCharType="begin"/>
    </w:r>
    <w:r>
      <w:rPr>
        <w:rStyle w:val="PageNumber"/>
        <w:szCs w:val="22"/>
      </w:rPr>
      <w:instrText xml:space="preserve">PAGE  </w:instrText>
    </w:r>
    <w:r>
      <w:rPr>
        <w:rStyle w:val="PageNumber"/>
        <w:szCs w:val="22"/>
      </w:rPr>
      <w:fldChar w:fldCharType="separate"/>
    </w:r>
    <w:r>
      <w:rPr>
        <w:rStyle w:val="PageNumber"/>
        <w:noProof/>
        <w:szCs w:val="22"/>
      </w:rPr>
      <w:t>183</w:t>
    </w:r>
    <w:r>
      <w:rPr>
        <w:rStyle w:val="PageNumber"/>
        <w:szCs w:val="22"/>
      </w:rPr>
      <w:fldChar w:fldCharType="end"/>
    </w:r>
  </w:p>
  <w:p w:rsidR="009B627A" w:rsidRDefault="009B627A">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27A" w:rsidRPr="00ED1956" w:rsidRDefault="009B627A">
    <w:pPr>
      <w:pStyle w:val="Footer"/>
      <w:jc w:val="right"/>
      <w:rPr>
        <w:rFonts w:ascii="Times New Roman" w:hAnsi="Times New Roman"/>
        <w:sz w:val="20"/>
        <w:szCs w:val="20"/>
      </w:rPr>
    </w:pPr>
    <w:r w:rsidRPr="00ED1956">
      <w:rPr>
        <w:rFonts w:ascii="Times New Roman" w:hAnsi="Times New Roman"/>
        <w:sz w:val="20"/>
        <w:szCs w:val="20"/>
      </w:rPr>
      <w:fldChar w:fldCharType="begin"/>
    </w:r>
    <w:r w:rsidRPr="00ED1956">
      <w:rPr>
        <w:rFonts w:ascii="Times New Roman" w:hAnsi="Times New Roman"/>
        <w:sz w:val="20"/>
        <w:szCs w:val="20"/>
      </w:rPr>
      <w:instrText xml:space="preserve"> PAGE   \* MERGEFORMAT </w:instrText>
    </w:r>
    <w:r w:rsidRPr="00ED1956">
      <w:rPr>
        <w:rFonts w:ascii="Times New Roman" w:hAnsi="Times New Roman"/>
        <w:sz w:val="20"/>
        <w:szCs w:val="20"/>
      </w:rPr>
      <w:fldChar w:fldCharType="separate"/>
    </w:r>
    <w:r w:rsidR="00BC51F5">
      <w:rPr>
        <w:rFonts w:ascii="Times New Roman" w:hAnsi="Times New Roman"/>
        <w:noProof/>
        <w:sz w:val="20"/>
        <w:szCs w:val="20"/>
      </w:rPr>
      <w:t>194</w:t>
    </w:r>
    <w:r w:rsidRPr="00ED1956">
      <w:rPr>
        <w:rFonts w:ascii="Times New Roman" w:hAnsi="Times New Roman"/>
        <w:sz w:val="20"/>
        <w:szCs w:val="20"/>
      </w:rPr>
      <w:fldChar w:fldCharType="end"/>
    </w:r>
  </w:p>
  <w:p w:rsidR="009B627A" w:rsidRPr="00A772B4" w:rsidRDefault="009B627A" w:rsidP="00A772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856" w:rsidRDefault="007F1856" w:rsidP="00D946DB">
      <w:pPr>
        <w:spacing w:before="0" w:after="0"/>
      </w:pPr>
      <w:r>
        <w:separator/>
      </w:r>
    </w:p>
  </w:footnote>
  <w:footnote w:type="continuationSeparator" w:id="0">
    <w:p w:rsidR="007F1856" w:rsidRDefault="007F1856" w:rsidP="00D946DB">
      <w:pPr>
        <w:spacing w:before="0" w:after="0"/>
      </w:pPr>
      <w:r>
        <w:continuationSeparator/>
      </w:r>
    </w:p>
  </w:footnote>
  <w:footnote w:type="continuationNotice" w:id="1">
    <w:p w:rsidR="007F1856" w:rsidRDefault="007F1856">
      <w:pPr>
        <w:spacing w:before="0" w:after="0"/>
      </w:pPr>
    </w:p>
  </w:footnote>
  <w:footnote w:id="2">
    <w:p w:rsidR="009B627A" w:rsidRPr="00535792" w:rsidRDefault="009B627A" w:rsidP="00C7103D">
      <w:pPr>
        <w:pStyle w:val="FootnoteText"/>
        <w:spacing w:before="0" w:after="0" w:line="240" w:lineRule="auto"/>
        <w:ind w:left="567" w:hanging="567"/>
        <w:rPr>
          <w:rStyle w:val="FootnoteReference"/>
          <w:rFonts w:ascii="Times New Roman" w:hAnsi="Times New Roman"/>
          <w:sz w:val="20"/>
          <w:szCs w:val="20"/>
        </w:rPr>
      </w:pPr>
      <w:r w:rsidRPr="002C66A4">
        <w:rPr>
          <w:rStyle w:val="FootnoteReference"/>
          <w:rFonts w:ascii="Times New Roman" w:hAnsi="Times New Roman"/>
          <w:sz w:val="20"/>
          <w:szCs w:val="20"/>
          <w:vertAlign w:val="superscript"/>
          <w:lang w:val="en-GB"/>
        </w:rPr>
        <w:footnoteRef/>
      </w:r>
      <w:r w:rsidRPr="00F95727">
        <w:rPr>
          <w:rFonts w:ascii="Times New Roman" w:hAnsi="Times New Roman"/>
          <w:sz w:val="20"/>
          <w:szCs w:val="20"/>
          <w:lang w:val="en-GB"/>
        </w:rPr>
        <w:tab/>
      </w:r>
      <w:r w:rsidRPr="00535792">
        <w:rPr>
          <w:rStyle w:val="FootnoteReference"/>
          <w:rFonts w:ascii="Times New Roman" w:hAnsi="Times New Roman"/>
          <w:sz w:val="20"/>
          <w:szCs w:val="20"/>
        </w:rPr>
        <w:t>Regulation (EU) No 575/2013 of the European Parliament and of the Council of 26 June 2013 on prudential requirements for credit institutions and investment firms and amending Regulation (EU) No 648/2012 (OJ L 176, 27.6.2013, p. 1).</w:t>
      </w:r>
    </w:p>
  </w:footnote>
  <w:footnote w:id="3">
    <w:p w:rsidR="009B627A" w:rsidRPr="00535792" w:rsidRDefault="009B627A" w:rsidP="00C7103D">
      <w:pPr>
        <w:pStyle w:val="FootnoteText"/>
        <w:spacing w:before="0" w:after="0" w:line="240" w:lineRule="auto"/>
        <w:ind w:left="567" w:hanging="567"/>
        <w:rPr>
          <w:rStyle w:val="FootnoteReference"/>
          <w:rFonts w:ascii="Times New Roman" w:hAnsi="Times New Roman"/>
          <w:sz w:val="20"/>
          <w:szCs w:val="20"/>
        </w:rPr>
      </w:pPr>
      <w:r w:rsidRPr="002C66A4">
        <w:rPr>
          <w:rStyle w:val="FootnoteReference"/>
          <w:rFonts w:ascii="Times New Roman" w:hAnsi="Times New Roman"/>
          <w:sz w:val="20"/>
          <w:szCs w:val="20"/>
          <w:vertAlign w:val="superscript"/>
        </w:rPr>
        <w:footnoteRef/>
      </w:r>
      <w:r w:rsidRPr="005B592F">
        <w:rPr>
          <w:rFonts w:ascii="Times New Roman" w:hAnsi="Times New Roman"/>
          <w:sz w:val="20"/>
          <w:szCs w:val="20"/>
          <w:lang w:val="en-US"/>
        </w:rPr>
        <w:tab/>
      </w:r>
      <w:r w:rsidRPr="00535792">
        <w:rPr>
          <w:rStyle w:val="FootnoteReference"/>
          <w:rFonts w:ascii="Times New Roman" w:hAnsi="Times New Roman"/>
          <w:sz w:val="20"/>
          <w:szCs w:val="20"/>
        </w:rPr>
        <w:t>Directive 2013/36/EU of the European Parliament and of the Council of 26 June 2013 on access to the activity of credit institutions and the prudential supervision of credit institutions and investment firms, amending Directive 2002/87/EC and repealing Directives 2006/48/EC and 2006/49/EC (OJ L 176 27.6.2013, p. 338).</w:t>
      </w:r>
    </w:p>
  </w:footnote>
  <w:footnote w:id="4">
    <w:p w:rsidR="009B627A" w:rsidRPr="00535792" w:rsidRDefault="009B627A" w:rsidP="002C66A4">
      <w:pPr>
        <w:pStyle w:val="FootnoteText"/>
        <w:spacing w:before="0" w:after="0" w:line="240" w:lineRule="auto"/>
        <w:ind w:left="567" w:hanging="567"/>
        <w:rPr>
          <w:rStyle w:val="FootnoteReference"/>
          <w:rFonts w:ascii="Times New Roman" w:hAnsi="Times New Roman"/>
          <w:sz w:val="20"/>
          <w:szCs w:val="20"/>
        </w:rPr>
      </w:pPr>
      <w:r w:rsidRPr="002C66A4">
        <w:rPr>
          <w:rStyle w:val="FootnoteReference"/>
          <w:rFonts w:ascii="Times New Roman" w:hAnsi="Times New Roman"/>
          <w:sz w:val="20"/>
          <w:szCs w:val="20"/>
          <w:vertAlign w:val="superscript"/>
        </w:rPr>
        <w:footnoteRef/>
      </w:r>
      <w:r w:rsidRPr="002C66A4">
        <w:rPr>
          <w:rStyle w:val="FootnoteReference"/>
          <w:rFonts w:ascii="Times New Roman" w:hAnsi="Times New Roman"/>
          <w:sz w:val="20"/>
          <w:szCs w:val="20"/>
          <w:vertAlign w:val="superscript"/>
        </w:rPr>
        <w:t xml:space="preserve"> </w:t>
      </w:r>
      <w:r w:rsidRPr="002C66A4">
        <w:rPr>
          <w:rStyle w:val="FootnoteReference"/>
          <w:rFonts w:ascii="Times New Roman" w:hAnsi="Times New Roman"/>
          <w:sz w:val="20"/>
          <w:szCs w:val="20"/>
        </w:rPr>
        <w:tab/>
        <w:t>Directive 2013/34/EU of the European Parliament and of the Council on the annual financial statements, consolidated financial statements and related reports of certain types of undertakings, amending Directive 2006/43/EC of the European Parliament and of the Council and repealing Council Directives 78/660/EEC and 83/349/EEC (OJ L 182, 29.6.2013, p.</w:t>
      </w:r>
      <w:r w:rsidRPr="00535792">
        <w:rPr>
          <w:rStyle w:val="FootnoteReference"/>
          <w:rFonts w:ascii="Times New Roman" w:hAnsi="Times New Roman"/>
          <w:sz w:val="20"/>
          <w:szCs w:val="20"/>
        </w:rPr>
        <w:t> </w:t>
      </w:r>
      <w:r w:rsidRPr="002C66A4">
        <w:rPr>
          <w:rStyle w:val="FootnoteReference"/>
          <w:rFonts w:ascii="Times New Roman" w:hAnsi="Times New Roman"/>
          <w:sz w:val="20"/>
          <w:szCs w:val="20"/>
        </w:rPr>
        <w:t>19)</w:t>
      </w:r>
      <w:r w:rsidRPr="00535792">
        <w:rPr>
          <w:rStyle w:val="FootnoteReference"/>
          <w:rFonts w:ascii="Times New Roman" w:hAnsi="Times New Roman"/>
          <w:sz w:val="20"/>
          <w:szCs w:val="20"/>
        </w:rPr>
        <w:t>.</w:t>
      </w:r>
    </w:p>
  </w:footnote>
  <w:footnote w:id="5">
    <w:p w:rsidR="009B627A" w:rsidRPr="00535792" w:rsidRDefault="009B627A" w:rsidP="002C66A4">
      <w:pPr>
        <w:pStyle w:val="FootnoteText"/>
        <w:spacing w:before="0" w:after="0" w:line="240" w:lineRule="auto"/>
        <w:ind w:left="567" w:hanging="567"/>
        <w:rPr>
          <w:rStyle w:val="FootnoteReference"/>
          <w:rFonts w:ascii="Times New Roman" w:hAnsi="Times New Roman"/>
          <w:sz w:val="20"/>
          <w:szCs w:val="20"/>
        </w:rPr>
      </w:pPr>
      <w:r w:rsidRPr="002C66A4">
        <w:rPr>
          <w:rStyle w:val="FootnoteReference"/>
          <w:rFonts w:ascii="Times New Roman" w:hAnsi="Times New Roman"/>
          <w:sz w:val="20"/>
          <w:szCs w:val="20"/>
          <w:vertAlign w:val="superscript"/>
        </w:rPr>
        <w:footnoteRef/>
      </w:r>
      <w:r w:rsidRPr="002C66A4">
        <w:rPr>
          <w:rStyle w:val="FootnoteReference"/>
          <w:rFonts w:ascii="Times New Roman" w:hAnsi="Times New Roman"/>
          <w:sz w:val="20"/>
          <w:szCs w:val="20"/>
          <w:vertAlign w:val="superscript"/>
        </w:rPr>
        <w:t xml:space="preserve"> </w:t>
      </w:r>
      <w:r>
        <w:rPr>
          <w:rFonts w:ascii="Times New Roman" w:hAnsi="Times New Roman"/>
          <w:sz w:val="20"/>
          <w:szCs w:val="20"/>
        </w:rPr>
        <w:tab/>
      </w:r>
      <w:r w:rsidRPr="002C66A4">
        <w:rPr>
          <w:rStyle w:val="FootnoteReference"/>
          <w:rFonts w:ascii="Times New Roman" w:hAnsi="Times New Roman"/>
          <w:sz w:val="20"/>
          <w:szCs w:val="20"/>
        </w:rPr>
        <w:t>Council Directive 86/635/EEC of 8 December 1986 on the annual accounts and consolidated accounts of banks and other financial institutions (OJ L 372, 31.12.1986, p. 1)</w:t>
      </w:r>
      <w:r w:rsidRPr="00535792">
        <w:rPr>
          <w:rStyle w:val="FootnoteReference"/>
          <w:rFonts w:ascii="Times New Roman" w:hAnsi="Times New Roman"/>
          <w:sz w:val="20"/>
          <w:szCs w:val="20"/>
        </w:rPr>
        <w:t>.</w:t>
      </w:r>
    </w:p>
  </w:footnote>
  <w:footnote w:id="6">
    <w:p w:rsidR="009B627A" w:rsidRPr="00535792" w:rsidRDefault="009B627A" w:rsidP="00535792">
      <w:pPr>
        <w:pStyle w:val="FootnoteText"/>
        <w:spacing w:before="0" w:after="0" w:line="240" w:lineRule="auto"/>
        <w:ind w:left="567" w:hanging="567"/>
        <w:rPr>
          <w:rStyle w:val="FootnoteReference"/>
          <w:rFonts w:ascii="Times New Roman" w:hAnsi="Times New Roman"/>
          <w:sz w:val="20"/>
          <w:szCs w:val="20"/>
        </w:rPr>
      </w:pPr>
      <w:r>
        <w:rPr>
          <w:rStyle w:val="FootnoteReference"/>
        </w:rPr>
        <w:footnoteRef/>
      </w:r>
      <w:r>
        <w:t xml:space="preserve"> </w:t>
      </w:r>
      <w:r>
        <w:rPr>
          <w:lang w:val="en-GB"/>
        </w:rPr>
        <w:tab/>
      </w:r>
      <w:r w:rsidRPr="00535792">
        <w:rPr>
          <w:rStyle w:val="FootnoteReference"/>
          <w:rFonts w:ascii="Times New Roman" w:hAnsi="Times New Roman"/>
          <w:sz w:val="20"/>
          <w:szCs w:val="20"/>
        </w:rPr>
        <w:t>Directive 2014/59/EU of the European Parliament and of the Council of 15 May 2014 establishing a framework for the recovery and resolution of credit institutions and investment firms and amending Council Directive 82/891/EEC, and Directives 2001/24/EC, 2002/47/EC, 2004/25/EC, 2005/56/EC, 2007/36/EC, 2011/35/EU, 2012/30/EU and 2013/36/EU, and Regulations (EU) No 1093/2010 and (EU) No 648/2012, of the European Parliament and of the Council (OJ L 173, 12.6.2014, p. 190–348)</w:t>
      </w:r>
    </w:p>
  </w:footnote>
  <w:footnote w:id="7">
    <w:p w:rsidR="009B627A" w:rsidRPr="005B592F" w:rsidRDefault="009B627A" w:rsidP="00C7103D">
      <w:pPr>
        <w:pStyle w:val="NormalWeb"/>
        <w:spacing w:before="0" w:beforeAutospacing="0" w:after="0" w:afterAutospacing="0"/>
        <w:ind w:left="567" w:hanging="567"/>
        <w:jc w:val="both"/>
        <w:rPr>
          <w:sz w:val="20"/>
          <w:szCs w:val="20"/>
        </w:rPr>
      </w:pPr>
      <w:r w:rsidRPr="005B592F">
        <w:rPr>
          <w:rStyle w:val="FootnoteReference"/>
          <w:rFonts w:ascii="Times New Roman" w:hAnsi="Times New Roman"/>
          <w:sz w:val="20"/>
          <w:szCs w:val="20"/>
        </w:rPr>
        <w:footnoteRef/>
      </w:r>
      <w:r w:rsidRPr="005B592F">
        <w:rPr>
          <w:sz w:val="20"/>
          <w:szCs w:val="20"/>
          <w:lang w:val="en-US"/>
        </w:rPr>
        <w:tab/>
      </w:r>
      <w:r w:rsidRPr="00F95727">
        <w:rPr>
          <w:color w:val="444444"/>
          <w:sz w:val="20"/>
          <w:szCs w:val="20"/>
        </w:rPr>
        <w:t>Commission Delegated Regulation (EU) No 241/2014 of 7 January 2014 supplementing Regulation (EU) No 575/2013 of the European Parliament and of the Council with regard to regulatory technical standards for Own Funds requirements for institutions</w:t>
      </w:r>
      <w:r w:rsidRPr="005B592F">
        <w:rPr>
          <w:color w:val="444444"/>
          <w:sz w:val="20"/>
          <w:szCs w:val="20"/>
          <w:lang w:val="en-US"/>
        </w:rPr>
        <w:t xml:space="preserve"> (</w:t>
      </w:r>
      <w:r w:rsidRPr="00F95727">
        <w:rPr>
          <w:iCs/>
          <w:color w:val="444444"/>
          <w:sz w:val="20"/>
          <w:szCs w:val="20"/>
        </w:rPr>
        <w:t>OJ L 74, 14.3.2014, p. 8</w:t>
      </w:r>
      <w:r w:rsidRPr="005B592F">
        <w:rPr>
          <w:iCs/>
          <w:color w:val="444444"/>
          <w:sz w:val="20"/>
          <w:szCs w:val="20"/>
          <w:lang w:val="en-US"/>
        </w:rPr>
        <w:t>)</w:t>
      </w:r>
      <w:r w:rsidRPr="005B592F">
        <w:rPr>
          <w:rStyle w:val="Emphasis"/>
          <w:color w:val="444444"/>
          <w:sz w:val="20"/>
          <w:szCs w:val="20"/>
        </w:rPr>
        <w:t>.</w:t>
      </w:r>
    </w:p>
  </w:footnote>
  <w:footnote w:id="8">
    <w:p w:rsidR="009B627A" w:rsidRPr="005B592F" w:rsidRDefault="009B627A" w:rsidP="00D21B29">
      <w:pPr>
        <w:pStyle w:val="FootnoteText"/>
        <w:ind w:left="567" w:hanging="567"/>
        <w:rPr>
          <w:rFonts w:ascii="Times New Roman" w:hAnsi="Times New Roman"/>
          <w:sz w:val="20"/>
          <w:szCs w:val="20"/>
          <w:lang w:val="en-US"/>
        </w:rPr>
      </w:pPr>
      <w:r w:rsidRPr="00F95727">
        <w:rPr>
          <w:rStyle w:val="FootnoteReference"/>
          <w:rFonts w:ascii="Times New Roman" w:hAnsi="Times New Roman"/>
          <w:sz w:val="20"/>
          <w:szCs w:val="20"/>
        </w:rPr>
        <w:footnoteRef/>
      </w:r>
      <w:r w:rsidRPr="00F95727">
        <w:rPr>
          <w:rFonts w:ascii="Times New Roman" w:hAnsi="Times New Roman"/>
          <w:sz w:val="20"/>
          <w:szCs w:val="20"/>
        </w:rPr>
        <w:t xml:space="preserve"> </w:t>
      </w:r>
      <w:r w:rsidRPr="005B592F">
        <w:rPr>
          <w:rFonts w:ascii="Times New Roman" w:hAnsi="Times New Roman"/>
          <w:sz w:val="20"/>
          <w:szCs w:val="20"/>
          <w:lang w:val="en-US"/>
        </w:rPr>
        <w:tab/>
      </w:r>
      <w:r w:rsidRPr="00F95727">
        <w:rPr>
          <w:rFonts w:ascii="Times New Roman" w:hAnsi="Times New Roman"/>
          <w:color w:val="444444"/>
          <w:sz w:val="20"/>
          <w:szCs w:val="20"/>
        </w:rPr>
        <w:t>Seventh Council Directive 83/349/EEC of 13 June 1983 based on the Article 54 (3) (g) of the Treaty on consolidated accounts</w:t>
      </w:r>
      <w:r w:rsidRPr="005B592F">
        <w:rPr>
          <w:rFonts w:ascii="Times New Roman" w:hAnsi="Times New Roman"/>
          <w:color w:val="444444"/>
          <w:sz w:val="20"/>
          <w:szCs w:val="20"/>
          <w:lang w:val="en-US"/>
        </w:rPr>
        <w:t xml:space="preserve"> (</w:t>
      </w:r>
      <w:r w:rsidRPr="00F95727">
        <w:rPr>
          <w:rFonts w:ascii="Times New Roman" w:hAnsi="Times New Roman"/>
          <w:iCs/>
          <w:color w:val="444444"/>
          <w:sz w:val="20"/>
          <w:szCs w:val="20"/>
        </w:rPr>
        <w:t>OJ L 193, 18.7.1983, p. 1</w:t>
      </w:r>
      <w:r w:rsidRPr="005B592F">
        <w:rPr>
          <w:rFonts w:ascii="Times New Roman" w:hAnsi="Times New Roman"/>
          <w:iCs/>
          <w:color w:val="444444"/>
          <w:sz w:val="20"/>
          <w:szCs w:val="20"/>
          <w:lang w:val="en-US"/>
        </w:rPr>
        <w:t>).</w:t>
      </w:r>
    </w:p>
  </w:footnote>
  <w:footnote w:id="9">
    <w:p w:rsidR="009B627A" w:rsidRPr="005B592F" w:rsidRDefault="009B627A" w:rsidP="00D21B29">
      <w:pPr>
        <w:pStyle w:val="FootnoteText"/>
        <w:ind w:left="567" w:hanging="567"/>
        <w:rPr>
          <w:rFonts w:ascii="Times New Roman" w:hAnsi="Times New Roman"/>
          <w:sz w:val="20"/>
          <w:szCs w:val="20"/>
          <w:lang w:val="en-US"/>
        </w:rPr>
      </w:pPr>
      <w:r w:rsidRPr="00F95727">
        <w:rPr>
          <w:rStyle w:val="FootnoteReference"/>
          <w:rFonts w:ascii="Times New Roman" w:hAnsi="Times New Roman"/>
          <w:sz w:val="20"/>
          <w:szCs w:val="20"/>
        </w:rPr>
        <w:footnoteRef/>
      </w:r>
      <w:r w:rsidRPr="00F95727">
        <w:rPr>
          <w:rFonts w:ascii="Times New Roman" w:hAnsi="Times New Roman"/>
          <w:sz w:val="20"/>
          <w:szCs w:val="20"/>
        </w:rPr>
        <w:t xml:space="preserve"> </w:t>
      </w:r>
      <w:r w:rsidRPr="005B592F">
        <w:rPr>
          <w:rFonts w:ascii="Times New Roman" w:hAnsi="Times New Roman"/>
          <w:sz w:val="20"/>
          <w:szCs w:val="20"/>
          <w:lang w:val="en-US"/>
        </w:rPr>
        <w:tab/>
      </w:r>
      <w:r w:rsidRPr="00F95727">
        <w:rPr>
          <w:rFonts w:ascii="Times New Roman" w:hAnsi="Times New Roman"/>
          <w:color w:val="444444"/>
          <w:sz w:val="20"/>
          <w:szCs w:val="20"/>
        </w:rPr>
        <w:t>Directive 2009/65/EC of the European Parliament and of the Council of 13 July 2009 on the coordination of laws, regulations and administrative provisions relating to undertakings for collective investment in transferable securities (UCITS)</w:t>
      </w:r>
      <w:r w:rsidRPr="005B592F">
        <w:rPr>
          <w:rFonts w:ascii="Times New Roman" w:hAnsi="Times New Roman"/>
          <w:color w:val="444444"/>
          <w:sz w:val="20"/>
          <w:szCs w:val="20"/>
          <w:lang w:val="en-US"/>
        </w:rPr>
        <w:t xml:space="preserve"> (</w:t>
      </w:r>
      <w:r w:rsidRPr="00F95727">
        <w:rPr>
          <w:rFonts w:ascii="Times New Roman" w:hAnsi="Times New Roman"/>
          <w:iCs/>
          <w:color w:val="444444"/>
          <w:sz w:val="20"/>
          <w:szCs w:val="20"/>
        </w:rPr>
        <w:t>OJ L 302, 17.11.2009, p. 32</w:t>
      </w:r>
      <w:r w:rsidRPr="005B592F">
        <w:rPr>
          <w:rFonts w:ascii="Times New Roman" w:hAnsi="Times New Roman"/>
          <w:iCs/>
          <w:color w:val="444444"/>
          <w:sz w:val="20"/>
          <w:szCs w:val="20"/>
          <w:lang w:val="en-US"/>
        </w:rPr>
        <w:t>).</w:t>
      </w:r>
    </w:p>
  </w:footnote>
  <w:footnote w:id="10">
    <w:p w:rsidR="009B627A" w:rsidRPr="0002267E" w:rsidRDefault="009B627A" w:rsidP="003B2712">
      <w:pPr>
        <w:pStyle w:val="FootnoteText"/>
        <w:ind w:left="567" w:hanging="567"/>
        <w:rPr>
          <w:rFonts w:ascii="Times New Roman" w:hAnsi="Times New Roman"/>
          <w:sz w:val="20"/>
          <w:szCs w:val="20"/>
          <w:lang w:val="en-US"/>
        </w:rPr>
      </w:pPr>
      <w:r w:rsidRPr="003B2712">
        <w:rPr>
          <w:rStyle w:val="FootnoteReference"/>
          <w:rFonts w:ascii="Times New Roman" w:hAnsi="Times New Roman"/>
          <w:sz w:val="20"/>
          <w:szCs w:val="20"/>
        </w:rPr>
        <w:footnoteRef/>
      </w:r>
      <w:r w:rsidRPr="0002267E">
        <w:rPr>
          <w:rFonts w:ascii="Times New Roman" w:hAnsi="Times New Roman"/>
          <w:sz w:val="20"/>
          <w:szCs w:val="20"/>
          <w:lang w:val="en-US"/>
        </w:rPr>
        <w:tab/>
      </w:r>
      <w:r w:rsidRPr="003B2712">
        <w:rPr>
          <w:rFonts w:ascii="Times New Roman" w:hAnsi="Times New Roman"/>
          <w:color w:val="444444"/>
          <w:sz w:val="20"/>
          <w:szCs w:val="20"/>
        </w:rPr>
        <w:t>Commission Delegated Regulation (EU) No 1152/2014 of 4 June 2014 supplementing Directive 2013/36/EU of the European Parliament and of the Council with regard to regulatory technical standards on the identification of the geographical location of the relevant credit exposures for calculating institution-specific countercyclical capital buffer rates</w:t>
      </w:r>
      <w:r w:rsidRPr="0002267E">
        <w:rPr>
          <w:rFonts w:ascii="Times New Roman" w:hAnsi="Times New Roman"/>
          <w:color w:val="444444"/>
          <w:sz w:val="20"/>
          <w:szCs w:val="20"/>
          <w:lang w:val="en-US"/>
        </w:rPr>
        <w:t xml:space="preserve"> (</w:t>
      </w:r>
      <w:r w:rsidRPr="003B2712">
        <w:rPr>
          <w:rFonts w:ascii="Times New Roman" w:hAnsi="Times New Roman"/>
          <w:iCs/>
          <w:color w:val="444444"/>
          <w:sz w:val="20"/>
          <w:szCs w:val="20"/>
        </w:rPr>
        <w:t>OJ L 309, 30.10.2014, p. 5</w:t>
      </w:r>
      <w:r w:rsidRPr="0002267E">
        <w:rPr>
          <w:rFonts w:ascii="Times New Roman" w:hAnsi="Times New Roman"/>
          <w:iCs/>
          <w:color w:val="444444"/>
          <w:sz w:val="20"/>
          <w:szCs w:val="20"/>
          <w:lang w:val="en-US"/>
        </w:rPr>
        <w:t>).</w:t>
      </w:r>
    </w:p>
  </w:footnote>
  <w:footnote w:id="11">
    <w:p w:rsidR="009B627A" w:rsidRPr="0002267E" w:rsidRDefault="009B627A" w:rsidP="002409C1">
      <w:pPr>
        <w:pStyle w:val="FootnoteText"/>
        <w:ind w:left="567" w:hanging="567"/>
        <w:rPr>
          <w:rFonts w:ascii="Times New Roman" w:hAnsi="Times New Roman"/>
          <w:sz w:val="20"/>
          <w:szCs w:val="20"/>
          <w:lang w:val="en-US"/>
        </w:rPr>
      </w:pPr>
      <w:r>
        <w:rPr>
          <w:rStyle w:val="FootnoteReference"/>
        </w:rPr>
        <w:footnoteRef/>
      </w:r>
      <w:r>
        <w:t xml:space="preserve"> </w:t>
      </w:r>
      <w:r w:rsidRPr="0002267E">
        <w:rPr>
          <w:lang w:val="en-US"/>
        </w:rPr>
        <w:tab/>
      </w:r>
      <w:r w:rsidRPr="002409C1">
        <w:rPr>
          <w:rFonts w:ascii="Times New Roman" w:hAnsi="Times New Roman"/>
          <w:color w:val="444444"/>
          <w:sz w:val="20"/>
          <w:szCs w:val="20"/>
        </w:rPr>
        <w:t>Regulation (EU) 2017/2402 of the European Parliament and of the Council of 12 December 2017 laying down a general framework for securitisation and creating a specific framework for simple, transparent and standardised securitisation, and amending Directives 2009/65/EC, 2009/138/EC and 2011/61/EU and Regulations (EC) No 1060/2009 and (EU) No 648/2012</w:t>
      </w:r>
      <w:r w:rsidRPr="0002267E">
        <w:rPr>
          <w:rFonts w:ascii="Times New Roman" w:hAnsi="Times New Roman"/>
          <w:color w:val="444444"/>
          <w:sz w:val="20"/>
          <w:szCs w:val="20"/>
          <w:lang w:val="en-US"/>
        </w:rPr>
        <w:t xml:space="preserve"> (</w:t>
      </w:r>
      <w:r w:rsidRPr="002409C1">
        <w:rPr>
          <w:rFonts w:ascii="Times New Roman" w:hAnsi="Times New Roman"/>
          <w:iCs/>
          <w:color w:val="444444"/>
          <w:sz w:val="20"/>
          <w:szCs w:val="20"/>
        </w:rPr>
        <w:t>OJ L 347, 28.12.2017, p. 35</w:t>
      </w:r>
      <w:r w:rsidRPr="0002267E">
        <w:rPr>
          <w:rFonts w:ascii="Times New Roman" w:hAnsi="Times New Roman"/>
          <w:iCs/>
          <w:color w:val="444444"/>
          <w:sz w:val="20"/>
          <w:szCs w:val="20"/>
          <w:lang w:val="en-US"/>
        </w:rPr>
        <w:t>).</w:t>
      </w:r>
    </w:p>
  </w:footnote>
  <w:footnote w:id="12">
    <w:p w:rsidR="009B627A" w:rsidRPr="002409C1" w:rsidRDefault="009B627A" w:rsidP="002409C1">
      <w:pPr>
        <w:pStyle w:val="FootnoteText"/>
        <w:ind w:left="567" w:hanging="567"/>
        <w:rPr>
          <w:rFonts w:ascii="Times New Roman" w:hAnsi="Times New Roman"/>
          <w:sz w:val="20"/>
          <w:szCs w:val="20"/>
        </w:rPr>
      </w:pPr>
      <w:r w:rsidRPr="003105C6">
        <w:rPr>
          <w:rStyle w:val="FootnoteReference"/>
          <w:rFonts w:ascii="Times New Roman" w:hAnsi="Times New Roman"/>
        </w:rPr>
        <w:footnoteRef/>
      </w:r>
      <w:r w:rsidRPr="003105C6">
        <w:rPr>
          <w:rFonts w:ascii="Times New Roman" w:hAnsi="Times New Roman"/>
        </w:rPr>
        <w:t xml:space="preserve"> </w:t>
      </w:r>
      <w:r>
        <w:rPr>
          <w:rFonts w:ascii="Times New Roman" w:hAnsi="Times New Roman"/>
        </w:rPr>
        <w:tab/>
      </w:r>
      <w:r w:rsidRPr="002409C1">
        <w:rPr>
          <w:rFonts w:ascii="Times New Roman" w:hAnsi="Times New Roman"/>
          <w:sz w:val="20"/>
          <w:szCs w:val="20"/>
        </w:rPr>
        <w:t>‘Stand alone institutions’ are neither part of a group, nor consolidate themselves in the same country where they are subject to own funds requirements</w:t>
      </w:r>
      <w:r w:rsidRPr="002409C1">
        <w:rPr>
          <w:rFonts w:ascii="Times New Roman" w:hAnsi="Times New Roman"/>
          <w:iCs/>
          <w:sz w:val="20"/>
          <w:szCs w:val="20"/>
        </w:rPr>
        <w:t>.</w:t>
      </w:r>
    </w:p>
  </w:footnote>
  <w:footnote w:id="13">
    <w:p w:rsidR="009B627A" w:rsidRPr="00B828CC" w:rsidRDefault="009B627A">
      <w:pPr>
        <w:pStyle w:val="FootnoteText"/>
      </w:pPr>
      <w:r>
        <w:rPr>
          <w:rStyle w:val="FootnoteReference"/>
        </w:rPr>
        <w:footnoteRef/>
      </w:r>
      <w:r>
        <w:t xml:space="preserve"> </w:t>
      </w:r>
      <w:r w:rsidRPr="00B828CC">
        <w:rPr>
          <w:rFonts w:ascii="Times New Roman" w:hAnsi="Times New Roman"/>
          <w:sz w:val="20"/>
          <w:szCs w:val="20"/>
          <w:lang w:val="en-GB"/>
        </w:rPr>
        <w:t>Commission Delegated Regulation (EU) No 525/2014 of 12 March 2014 supplementing Regulation (EU) No 575/2013 of the European Parliament and of the Council with regard to regulatory technical standards for the definition of market (</w:t>
      </w:r>
      <w:r w:rsidRPr="00B828CC">
        <w:rPr>
          <w:rFonts w:ascii="Times New Roman" w:hAnsi="Times New Roman"/>
          <w:iCs/>
          <w:sz w:val="20"/>
          <w:szCs w:val="20"/>
          <w:lang w:val="en-GB"/>
        </w:rPr>
        <w:t>OJ L 148, 20.5.2014, p. 15)</w:t>
      </w:r>
      <w:r w:rsidRPr="00B828CC">
        <w:rPr>
          <w:rFonts w:ascii="Times New Roman" w:hAnsi="Times New Roman"/>
          <w:i/>
          <w:iCs/>
          <w:sz w:val="20"/>
          <w:szCs w:val="20"/>
          <w:lang w:val="en-GB"/>
        </w:rPr>
        <w:t>.</w:t>
      </w:r>
    </w:p>
  </w:footnote>
  <w:footnote w:id="14">
    <w:p w:rsidR="009B627A" w:rsidRPr="00A11C6E" w:rsidRDefault="009B627A">
      <w:pPr>
        <w:pStyle w:val="FootnoteText"/>
      </w:pPr>
      <w:r>
        <w:rPr>
          <w:rStyle w:val="FootnoteReference"/>
        </w:rPr>
        <w:footnoteRef/>
      </w:r>
      <w:r>
        <w:t xml:space="preserve"> </w:t>
      </w:r>
      <w:r w:rsidRPr="008125D7">
        <w:t>Commission Implementing Regulation (EU) No 945/2014 of 4 September 2014 laying down implementing technical standards with regard to relevant appropriately diversified indices according to Regulation (EU) No 575/2013 of the European Parliament and of the Council</w:t>
      </w:r>
    </w:p>
  </w:footnote>
  <w:footnote w:id="15">
    <w:p w:rsidR="009B627A" w:rsidRPr="00B828CC" w:rsidRDefault="009B627A">
      <w:pPr>
        <w:pStyle w:val="FootnoteText"/>
      </w:pPr>
      <w:r>
        <w:rPr>
          <w:rStyle w:val="FootnoteReference"/>
        </w:rPr>
        <w:footnoteRef/>
      </w:r>
      <w:r>
        <w:t xml:space="preserve"> </w:t>
      </w:r>
      <w:r w:rsidRPr="00B828CC">
        <w:t>Commission Delegated Regulation (EU) 2016/101 of 26 October 2015 supplementing Regulation (EU) No 575/2013 of the European Parliament and of the Council with regard to regulatory technical standards for prudent valuation under Article 105(14) (OJ L 21, 28.1.2016, p. 54).</w:t>
      </w:r>
    </w:p>
  </w:footnote>
  <w:footnote w:id="16">
    <w:p w:rsidR="009B627A" w:rsidRPr="009B688D" w:rsidRDefault="009B627A" w:rsidP="0016282F">
      <w:pPr>
        <w:pStyle w:val="NormalWeb"/>
        <w:spacing w:before="0" w:beforeAutospacing="0" w:after="75" w:afterAutospacing="0"/>
        <w:ind w:left="567" w:hanging="567"/>
        <w:rPr>
          <w:sz w:val="20"/>
          <w:szCs w:val="20"/>
        </w:rPr>
      </w:pPr>
      <w:r w:rsidRPr="0016282F">
        <w:rPr>
          <w:rStyle w:val="FootnoteReference"/>
          <w:rFonts w:ascii="Times New Roman" w:hAnsi="Times New Roman"/>
          <w:sz w:val="20"/>
          <w:szCs w:val="20"/>
        </w:rPr>
        <w:footnoteRef/>
      </w:r>
      <w:r w:rsidRPr="0016282F">
        <w:rPr>
          <w:sz w:val="20"/>
          <w:szCs w:val="20"/>
        </w:rPr>
        <w:t xml:space="preserve"> </w:t>
      </w:r>
      <w:r w:rsidRPr="0016282F">
        <w:rPr>
          <w:sz w:val="20"/>
          <w:szCs w:val="20"/>
        </w:rPr>
        <w:tab/>
      </w:r>
      <w:r w:rsidRPr="009B688D">
        <w:rPr>
          <w:sz w:val="20"/>
          <w:szCs w:val="20"/>
        </w:rPr>
        <w:t>Regulation (EC) No 1606/2002 of the European Parliament and of the Council of 19 July 2002 on the application of international accounting standards (</w:t>
      </w:r>
      <w:r w:rsidRPr="009B688D">
        <w:rPr>
          <w:rStyle w:val="Emphasis"/>
          <w:i w:val="0"/>
          <w:sz w:val="20"/>
          <w:szCs w:val="20"/>
        </w:rPr>
        <w:t>OJ L 243, 11.9.2002, p. 1).</w:t>
      </w:r>
    </w:p>
    <w:p w:rsidR="009B627A" w:rsidRPr="0016282F" w:rsidRDefault="009B627A" w:rsidP="0016282F">
      <w:pPr>
        <w:pStyle w:val="FootnoteText"/>
        <w:ind w:left="567" w:hanging="567"/>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27A" w:rsidRDefault="009B62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27A" w:rsidRDefault="009B62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27A" w:rsidRPr="00631405" w:rsidRDefault="009B627A" w:rsidP="0063140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27A" w:rsidRDefault="009B627A">
    <w:pP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B7860F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E5078C"/>
    <w:multiLevelType w:val="hybridMultilevel"/>
    <w:tmpl w:val="D53853DA"/>
    <w:lvl w:ilvl="0" w:tplc="AFE0D250">
      <w:start w:val="1"/>
      <w:numFmt w:val="bullet"/>
      <w:pStyle w:val="List"/>
      <w:lvlText w:val=""/>
      <w:lvlJc w:val="left"/>
      <w:pPr>
        <w:tabs>
          <w:tab w:val="num" w:pos="680"/>
        </w:tabs>
        <w:ind w:left="680" w:hanging="68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313DF"/>
    <w:multiLevelType w:val="hybridMultilevel"/>
    <w:tmpl w:val="A8C659F6"/>
    <w:lvl w:ilvl="0" w:tplc="9174AD42">
      <w:start w:val="1"/>
      <w:numFmt w:val="bullet"/>
      <w:pStyle w:val="bullet1"/>
      <w:lvlText w:val=""/>
      <w:lvlJc w:val="left"/>
      <w:pPr>
        <w:tabs>
          <w:tab w:val="num" w:pos="340"/>
        </w:tabs>
        <w:ind w:left="340" w:hanging="34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D3A99"/>
    <w:multiLevelType w:val="hybridMultilevel"/>
    <w:tmpl w:val="B9D49566"/>
    <w:lvl w:ilvl="0" w:tplc="D2024F70">
      <w:start w:val="1"/>
      <w:numFmt w:val="bullet"/>
      <w:pStyle w:val="Aufzhlungszeichen1"/>
      <w:lvlText w:val=""/>
      <w:lvlJc w:val="left"/>
      <w:pPr>
        <w:tabs>
          <w:tab w:val="num" w:pos="360"/>
        </w:tabs>
        <w:ind w:left="360" w:hanging="360"/>
      </w:pPr>
      <w:rPr>
        <w:rFonts w:ascii="Symbol" w:hAnsi="Symbol" w:hint="default"/>
        <w:color w:val="auto"/>
        <w:sz w:val="28"/>
      </w:rPr>
    </w:lvl>
    <w:lvl w:ilvl="1" w:tplc="FBC0B1D0" w:tentative="1">
      <w:start w:val="1"/>
      <w:numFmt w:val="bullet"/>
      <w:lvlText w:val="o"/>
      <w:lvlJc w:val="left"/>
      <w:pPr>
        <w:tabs>
          <w:tab w:val="num" w:pos="1440"/>
        </w:tabs>
        <w:ind w:left="1440" w:hanging="360"/>
      </w:pPr>
      <w:rPr>
        <w:rFonts w:ascii="Courier New" w:hAnsi="Courier New" w:hint="default"/>
      </w:rPr>
    </w:lvl>
    <w:lvl w:ilvl="2" w:tplc="0B0AEBA8" w:tentative="1">
      <w:start w:val="1"/>
      <w:numFmt w:val="bullet"/>
      <w:lvlText w:val=""/>
      <w:lvlJc w:val="left"/>
      <w:pPr>
        <w:tabs>
          <w:tab w:val="num" w:pos="2160"/>
        </w:tabs>
        <w:ind w:left="2160" w:hanging="360"/>
      </w:pPr>
      <w:rPr>
        <w:rFonts w:ascii="Wingdings" w:hAnsi="Wingdings" w:hint="default"/>
      </w:rPr>
    </w:lvl>
    <w:lvl w:ilvl="3" w:tplc="320AF0DE" w:tentative="1">
      <w:start w:val="1"/>
      <w:numFmt w:val="bullet"/>
      <w:lvlText w:val=""/>
      <w:lvlJc w:val="left"/>
      <w:pPr>
        <w:tabs>
          <w:tab w:val="num" w:pos="2880"/>
        </w:tabs>
        <w:ind w:left="2880" w:hanging="360"/>
      </w:pPr>
      <w:rPr>
        <w:rFonts w:ascii="Symbol" w:hAnsi="Symbol" w:hint="default"/>
      </w:rPr>
    </w:lvl>
    <w:lvl w:ilvl="4" w:tplc="FCE445B6" w:tentative="1">
      <w:start w:val="1"/>
      <w:numFmt w:val="bullet"/>
      <w:lvlText w:val="o"/>
      <w:lvlJc w:val="left"/>
      <w:pPr>
        <w:tabs>
          <w:tab w:val="num" w:pos="3600"/>
        </w:tabs>
        <w:ind w:left="3600" w:hanging="360"/>
      </w:pPr>
      <w:rPr>
        <w:rFonts w:ascii="Courier New" w:hAnsi="Courier New" w:hint="default"/>
      </w:rPr>
    </w:lvl>
    <w:lvl w:ilvl="5" w:tplc="BD46C1E4" w:tentative="1">
      <w:start w:val="1"/>
      <w:numFmt w:val="bullet"/>
      <w:lvlText w:val=""/>
      <w:lvlJc w:val="left"/>
      <w:pPr>
        <w:tabs>
          <w:tab w:val="num" w:pos="4320"/>
        </w:tabs>
        <w:ind w:left="4320" w:hanging="360"/>
      </w:pPr>
      <w:rPr>
        <w:rFonts w:ascii="Wingdings" w:hAnsi="Wingdings" w:hint="default"/>
      </w:rPr>
    </w:lvl>
    <w:lvl w:ilvl="6" w:tplc="DCB491D4" w:tentative="1">
      <w:start w:val="1"/>
      <w:numFmt w:val="bullet"/>
      <w:lvlText w:val=""/>
      <w:lvlJc w:val="left"/>
      <w:pPr>
        <w:tabs>
          <w:tab w:val="num" w:pos="5040"/>
        </w:tabs>
        <w:ind w:left="5040" w:hanging="360"/>
      </w:pPr>
      <w:rPr>
        <w:rFonts w:ascii="Symbol" w:hAnsi="Symbol" w:hint="default"/>
      </w:rPr>
    </w:lvl>
    <w:lvl w:ilvl="7" w:tplc="00762622" w:tentative="1">
      <w:start w:val="1"/>
      <w:numFmt w:val="bullet"/>
      <w:lvlText w:val="o"/>
      <w:lvlJc w:val="left"/>
      <w:pPr>
        <w:tabs>
          <w:tab w:val="num" w:pos="5760"/>
        </w:tabs>
        <w:ind w:left="5760" w:hanging="360"/>
      </w:pPr>
      <w:rPr>
        <w:rFonts w:ascii="Courier New" w:hAnsi="Courier New" w:hint="default"/>
      </w:rPr>
    </w:lvl>
    <w:lvl w:ilvl="8" w:tplc="49DCE7E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5E70D5F"/>
    <w:multiLevelType w:val="multilevel"/>
    <w:tmpl w:val="FA74CB02"/>
    <w:lvl w:ilvl="0">
      <w:start w:val="3"/>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7F386A"/>
    <w:multiLevelType w:val="hybridMultilevel"/>
    <w:tmpl w:val="EC0C0FB2"/>
    <w:lvl w:ilvl="0" w:tplc="46582110">
      <w:numFmt w:val="bullet"/>
      <w:lvlText w:val="-"/>
      <w:lvlJc w:val="left"/>
      <w:pPr>
        <w:ind w:left="720" w:hanging="360"/>
      </w:pPr>
      <w:rPr>
        <w:rFonts w:ascii="Verdana" w:eastAsia="Arial"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710F59"/>
    <w:multiLevelType w:val="multilevel"/>
    <w:tmpl w:val="6348284C"/>
    <w:lvl w:ilvl="0">
      <w:start w:val="1"/>
      <w:numFmt w:val="decimal"/>
      <w:pStyle w:val="Baseparagraphnumbered"/>
      <w:lvlText w:val="%1."/>
      <w:lvlJc w:val="left"/>
      <w:pPr>
        <w:ind w:left="1637" w:hanging="360"/>
      </w:pPr>
      <w:rPr>
        <w:rFonts w:cs="Times New Roman" w:hint="default"/>
      </w:rPr>
    </w:lvl>
    <w:lvl w:ilvl="1">
      <w:start w:val="1"/>
      <w:numFmt w:val="lowerLetter"/>
      <w:lvlText w:val="%2."/>
      <w:lvlJc w:val="left"/>
      <w:pPr>
        <w:ind w:left="2007" w:hanging="360"/>
      </w:pPr>
      <w:rPr>
        <w:rFonts w:cs="Times New Roman" w:hint="default"/>
      </w:rPr>
    </w:lvl>
    <w:lvl w:ilvl="2">
      <w:start w:val="1"/>
      <w:numFmt w:val="lowerRoman"/>
      <w:lvlText w:val="%3."/>
      <w:lvlJc w:val="right"/>
      <w:pPr>
        <w:ind w:left="2727" w:hanging="180"/>
      </w:pPr>
      <w:rPr>
        <w:rFonts w:cs="Times New Roman" w:hint="default"/>
      </w:rPr>
    </w:lvl>
    <w:lvl w:ilvl="3">
      <w:start w:val="1"/>
      <w:numFmt w:val="decimal"/>
      <w:lvlText w:val="%4."/>
      <w:lvlJc w:val="left"/>
      <w:pPr>
        <w:ind w:left="3447" w:hanging="360"/>
      </w:pPr>
      <w:rPr>
        <w:rFonts w:cs="Times New Roman" w:hint="default"/>
      </w:rPr>
    </w:lvl>
    <w:lvl w:ilvl="4">
      <w:start w:val="1"/>
      <w:numFmt w:val="lowerLetter"/>
      <w:lvlText w:val="%5."/>
      <w:lvlJc w:val="left"/>
      <w:pPr>
        <w:ind w:left="4167" w:hanging="360"/>
      </w:pPr>
      <w:rPr>
        <w:rFonts w:cs="Times New Roman" w:hint="default"/>
      </w:rPr>
    </w:lvl>
    <w:lvl w:ilvl="5">
      <w:start w:val="1"/>
      <w:numFmt w:val="lowerRoman"/>
      <w:lvlText w:val="%6."/>
      <w:lvlJc w:val="right"/>
      <w:pPr>
        <w:ind w:left="4887" w:hanging="180"/>
      </w:pPr>
      <w:rPr>
        <w:rFonts w:cs="Times New Roman" w:hint="default"/>
      </w:rPr>
    </w:lvl>
    <w:lvl w:ilvl="6">
      <w:start w:val="1"/>
      <w:numFmt w:val="decimal"/>
      <w:lvlText w:val="%7."/>
      <w:lvlJc w:val="left"/>
      <w:pPr>
        <w:ind w:left="5607" w:hanging="360"/>
      </w:pPr>
      <w:rPr>
        <w:rFonts w:cs="Times New Roman" w:hint="default"/>
      </w:rPr>
    </w:lvl>
    <w:lvl w:ilvl="7">
      <w:start w:val="1"/>
      <w:numFmt w:val="lowerLetter"/>
      <w:lvlText w:val="%8."/>
      <w:lvlJc w:val="left"/>
      <w:pPr>
        <w:ind w:left="6327" w:hanging="360"/>
      </w:pPr>
      <w:rPr>
        <w:rFonts w:cs="Times New Roman" w:hint="default"/>
      </w:rPr>
    </w:lvl>
    <w:lvl w:ilvl="8">
      <w:start w:val="1"/>
      <w:numFmt w:val="lowerRoman"/>
      <w:lvlText w:val="%9."/>
      <w:lvlJc w:val="right"/>
      <w:pPr>
        <w:ind w:left="7047" w:hanging="180"/>
      </w:pPr>
      <w:rPr>
        <w:rFonts w:cs="Times New Roman" w:hint="default"/>
      </w:rPr>
    </w:lvl>
  </w:abstractNum>
  <w:abstractNum w:abstractNumId="7" w15:restartNumberingAfterBreak="0">
    <w:nsid w:val="13777390"/>
    <w:multiLevelType w:val="hybridMultilevel"/>
    <w:tmpl w:val="79926B24"/>
    <w:lvl w:ilvl="0" w:tplc="50CE3E94">
      <w:start w:val="1"/>
      <w:numFmt w:val="lowerRoman"/>
      <w:lvlText w:val="(%1)"/>
      <w:lvlJc w:val="left"/>
      <w:pPr>
        <w:ind w:left="753"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E26C87"/>
    <w:multiLevelType w:val="hybridMultilevel"/>
    <w:tmpl w:val="58C6074C"/>
    <w:lvl w:ilvl="0" w:tplc="CA244EBE">
      <w:start w:val="18"/>
      <w:numFmt w:val="bullet"/>
      <w:lvlText w:val="-"/>
      <w:lvlJc w:val="left"/>
      <w:pPr>
        <w:ind w:left="360" w:hanging="36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AF56781"/>
    <w:multiLevelType w:val="hybridMultilevel"/>
    <w:tmpl w:val="136C5D58"/>
    <w:lvl w:ilvl="0" w:tplc="8D14D124">
      <w:start w:val="1"/>
      <w:numFmt w:val="lowerRoman"/>
      <w:lvlText w:val="(%1)"/>
      <w:lvlJc w:val="left"/>
      <w:pPr>
        <w:ind w:left="753" w:hanging="720"/>
      </w:pPr>
      <w:rPr>
        <w:rFonts w:hint="default"/>
      </w:rPr>
    </w:lvl>
    <w:lvl w:ilvl="1" w:tplc="08090019" w:tentative="1">
      <w:start w:val="1"/>
      <w:numFmt w:val="lowerLetter"/>
      <w:lvlText w:val="%2."/>
      <w:lvlJc w:val="left"/>
      <w:pPr>
        <w:ind w:left="1113" w:hanging="360"/>
      </w:pPr>
    </w:lvl>
    <w:lvl w:ilvl="2" w:tplc="0809001B" w:tentative="1">
      <w:start w:val="1"/>
      <w:numFmt w:val="lowerRoman"/>
      <w:lvlText w:val="%3."/>
      <w:lvlJc w:val="right"/>
      <w:pPr>
        <w:ind w:left="1833" w:hanging="180"/>
      </w:pPr>
    </w:lvl>
    <w:lvl w:ilvl="3" w:tplc="0809000F" w:tentative="1">
      <w:start w:val="1"/>
      <w:numFmt w:val="decimal"/>
      <w:lvlText w:val="%4."/>
      <w:lvlJc w:val="left"/>
      <w:pPr>
        <w:ind w:left="2553" w:hanging="360"/>
      </w:pPr>
    </w:lvl>
    <w:lvl w:ilvl="4" w:tplc="08090019" w:tentative="1">
      <w:start w:val="1"/>
      <w:numFmt w:val="lowerLetter"/>
      <w:lvlText w:val="%5."/>
      <w:lvlJc w:val="left"/>
      <w:pPr>
        <w:ind w:left="3273" w:hanging="360"/>
      </w:pPr>
    </w:lvl>
    <w:lvl w:ilvl="5" w:tplc="0809001B" w:tentative="1">
      <w:start w:val="1"/>
      <w:numFmt w:val="lowerRoman"/>
      <w:lvlText w:val="%6."/>
      <w:lvlJc w:val="right"/>
      <w:pPr>
        <w:ind w:left="3993" w:hanging="180"/>
      </w:pPr>
    </w:lvl>
    <w:lvl w:ilvl="6" w:tplc="0809000F" w:tentative="1">
      <w:start w:val="1"/>
      <w:numFmt w:val="decimal"/>
      <w:lvlText w:val="%7."/>
      <w:lvlJc w:val="left"/>
      <w:pPr>
        <w:ind w:left="4713" w:hanging="360"/>
      </w:pPr>
    </w:lvl>
    <w:lvl w:ilvl="7" w:tplc="08090019" w:tentative="1">
      <w:start w:val="1"/>
      <w:numFmt w:val="lowerLetter"/>
      <w:lvlText w:val="%8."/>
      <w:lvlJc w:val="left"/>
      <w:pPr>
        <w:ind w:left="5433" w:hanging="360"/>
      </w:pPr>
    </w:lvl>
    <w:lvl w:ilvl="8" w:tplc="0809001B" w:tentative="1">
      <w:start w:val="1"/>
      <w:numFmt w:val="lowerRoman"/>
      <w:lvlText w:val="%9."/>
      <w:lvlJc w:val="right"/>
      <w:pPr>
        <w:ind w:left="6153" w:hanging="180"/>
      </w:pPr>
    </w:lvl>
  </w:abstractNum>
  <w:abstractNum w:abstractNumId="10" w15:restartNumberingAfterBreak="0">
    <w:nsid w:val="1BE549C5"/>
    <w:multiLevelType w:val="hybridMultilevel"/>
    <w:tmpl w:val="A8C62022"/>
    <w:lvl w:ilvl="0" w:tplc="F842C1E4">
      <w:start w:val="1"/>
      <w:numFmt w:val="lowerRoman"/>
      <w:lvlText w:val="(%1)"/>
      <w:lvlJc w:val="left"/>
      <w:pPr>
        <w:ind w:left="753" w:hanging="720"/>
      </w:pPr>
      <w:rPr>
        <w:rFonts w:ascii="Times New Roman" w:eastAsia="Times New Roman" w:hAnsi="Times New Roman" w:cs="Times New Roman"/>
      </w:rPr>
    </w:lvl>
    <w:lvl w:ilvl="1" w:tplc="08090019" w:tentative="1">
      <w:start w:val="1"/>
      <w:numFmt w:val="lowerLetter"/>
      <w:lvlText w:val="%2."/>
      <w:lvlJc w:val="left"/>
      <w:pPr>
        <w:ind w:left="1113" w:hanging="360"/>
      </w:pPr>
    </w:lvl>
    <w:lvl w:ilvl="2" w:tplc="0809001B" w:tentative="1">
      <w:start w:val="1"/>
      <w:numFmt w:val="lowerRoman"/>
      <w:lvlText w:val="%3."/>
      <w:lvlJc w:val="right"/>
      <w:pPr>
        <w:ind w:left="1833" w:hanging="180"/>
      </w:pPr>
    </w:lvl>
    <w:lvl w:ilvl="3" w:tplc="0809000F" w:tentative="1">
      <w:start w:val="1"/>
      <w:numFmt w:val="decimal"/>
      <w:lvlText w:val="%4."/>
      <w:lvlJc w:val="left"/>
      <w:pPr>
        <w:ind w:left="2553" w:hanging="360"/>
      </w:pPr>
    </w:lvl>
    <w:lvl w:ilvl="4" w:tplc="08090019" w:tentative="1">
      <w:start w:val="1"/>
      <w:numFmt w:val="lowerLetter"/>
      <w:lvlText w:val="%5."/>
      <w:lvlJc w:val="left"/>
      <w:pPr>
        <w:ind w:left="3273" w:hanging="360"/>
      </w:pPr>
    </w:lvl>
    <w:lvl w:ilvl="5" w:tplc="0809001B" w:tentative="1">
      <w:start w:val="1"/>
      <w:numFmt w:val="lowerRoman"/>
      <w:lvlText w:val="%6."/>
      <w:lvlJc w:val="right"/>
      <w:pPr>
        <w:ind w:left="3993" w:hanging="180"/>
      </w:pPr>
    </w:lvl>
    <w:lvl w:ilvl="6" w:tplc="0809000F" w:tentative="1">
      <w:start w:val="1"/>
      <w:numFmt w:val="decimal"/>
      <w:lvlText w:val="%7."/>
      <w:lvlJc w:val="left"/>
      <w:pPr>
        <w:ind w:left="4713" w:hanging="360"/>
      </w:pPr>
    </w:lvl>
    <w:lvl w:ilvl="7" w:tplc="08090019" w:tentative="1">
      <w:start w:val="1"/>
      <w:numFmt w:val="lowerLetter"/>
      <w:lvlText w:val="%8."/>
      <w:lvlJc w:val="left"/>
      <w:pPr>
        <w:ind w:left="5433" w:hanging="360"/>
      </w:pPr>
    </w:lvl>
    <w:lvl w:ilvl="8" w:tplc="0809001B" w:tentative="1">
      <w:start w:val="1"/>
      <w:numFmt w:val="lowerRoman"/>
      <w:lvlText w:val="%9."/>
      <w:lvlJc w:val="right"/>
      <w:pPr>
        <w:ind w:left="6153" w:hanging="180"/>
      </w:pPr>
    </w:lvl>
  </w:abstractNum>
  <w:abstractNum w:abstractNumId="11" w15:restartNumberingAfterBreak="0">
    <w:nsid w:val="1CED6282"/>
    <w:multiLevelType w:val="multilevel"/>
    <w:tmpl w:val="5D8418C4"/>
    <w:lvl w:ilvl="0">
      <w:start w:val="1"/>
      <w:numFmt w:val="decimal"/>
      <w:pStyle w:val="GliederungmitNummerierung"/>
      <w:lvlText w:val="%1"/>
      <w:lvlJc w:val="left"/>
      <w:pPr>
        <w:tabs>
          <w:tab w:val="num" w:pos="357"/>
        </w:tabs>
        <w:ind w:left="357" w:hanging="357"/>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361"/>
        </w:tabs>
        <w:ind w:left="1361" w:hanging="567"/>
      </w:pPr>
      <w:rPr>
        <w:rFonts w:cs="Times New Roman" w:hint="default"/>
      </w:rPr>
    </w:lvl>
    <w:lvl w:ilvl="3">
      <w:start w:val="1"/>
      <w:numFmt w:val="decimal"/>
      <w:lvlText w:val="%1.%2.%3.%4"/>
      <w:lvlJc w:val="left"/>
      <w:pPr>
        <w:tabs>
          <w:tab w:val="num" w:pos="2098"/>
        </w:tabs>
        <w:ind w:left="2098" w:hanging="737"/>
      </w:pPr>
      <w:rPr>
        <w:rFonts w:cs="Times New Roman" w:hint="default"/>
      </w:rPr>
    </w:lvl>
    <w:lvl w:ilvl="4">
      <w:start w:val="1"/>
      <w:numFmt w:val="decimal"/>
      <w:lvlText w:val="%1.%2.%3.%4.%5"/>
      <w:lvlJc w:val="left"/>
      <w:pPr>
        <w:tabs>
          <w:tab w:val="num" w:pos="3062"/>
        </w:tabs>
        <w:ind w:left="3062" w:hanging="964"/>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2" w15:restartNumberingAfterBreak="0">
    <w:nsid w:val="222179FB"/>
    <w:multiLevelType w:val="hybridMultilevel"/>
    <w:tmpl w:val="6B24D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C050D9"/>
    <w:multiLevelType w:val="hybridMultilevel"/>
    <w:tmpl w:val="F7E0F274"/>
    <w:lvl w:ilvl="0" w:tplc="9BAEF704">
      <w:start w:val="1"/>
      <w:numFmt w:val="lowerLetter"/>
      <w:pStyle w:val="Nummerierungsart4"/>
      <w:lvlText w:val="%1)"/>
      <w:lvlJc w:val="left"/>
      <w:pPr>
        <w:tabs>
          <w:tab w:val="num" w:pos="357"/>
        </w:tabs>
        <w:ind w:left="357" w:hanging="357"/>
      </w:pPr>
      <w:rPr>
        <w:rFonts w:cs="Times New Roman"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2B2B3A92"/>
    <w:multiLevelType w:val="singleLevel"/>
    <w:tmpl w:val="73D64A0E"/>
    <w:name w:val="Considérant__1"/>
    <w:lvl w:ilvl="0">
      <w:start w:val="1"/>
      <w:numFmt w:val="decimal"/>
      <w:lvlRestart w:val="0"/>
      <w:pStyle w:val="Considrant"/>
      <w:lvlText w:val="(%1)"/>
      <w:lvlJc w:val="left"/>
      <w:pPr>
        <w:tabs>
          <w:tab w:val="num" w:pos="709"/>
        </w:tabs>
        <w:ind w:left="709" w:hanging="709"/>
      </w:pPr>
    </w:lvl>
  </w:abstractNum>
  <w:abstractNum w:abstractNumId="15" w15:restartNumberingAfterBreak="0">
    <w:nsid w:val="2B9B1C50"/>
    <w:multiLevelType w:val="hybridMultilevel"/>
    <w:tmpl w:val="9EACCA0E"/>
    <w:lvl w:ilvl="0" w:tplc="0D0AB2D8">
      <w:start w:val="1"/>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F7D7F02"/>
    <w:multiLevelType w:val="multilevel"/>
    <w:tmpl w:val="0407001D"/>
    <w:numStyleLink w:val="Formatvorlage3"/>
  </w:abstractNum>
  <w:abstractNum w:abstractNumId="17" w15:restartNumberingAfterBreak="0">
    <w:nsid w:val="33057CB8"/>
    <w:multiLevelType w:val="hybridMultilevel"/>
    <w:tmpl w:val="760C1692"/>
    <w:lvl w:ilvl="0" w:tplc="236EA62C">
      <w:start w:val="1"/>
      <w:numFmt w:val="decimal"/>
      <w:pStyle w:val="InstructionsText2"/>
      <w:lvlText w:val="%1."/>
      <w:lvlJc w:val="left"/>
      <w:pPr>
        <w:ind w:left="1353" w:hanging="360"/>
      </w:pPr>
      <w:rPr>
        <w:rFonts w:cs="Times New Roman"/>
      </w:rPr>
    </w:lvl>
    <w:lvl w:ilvl="1" w:tplc="5F56F3B6">
      <w:start w:val="1"/>
      <w:numFmt w:val="lowerLetter"/>
      <w:lvlText w:val="(%2)"/>
      <w:lvlJc w:val="left"/>
      <w:pPr>
        <w:ind w:left="1440" w:hanging="360"/>
      </w:pPr>
      <w:rPr>
        <w:rFonts w:cs="Times New Roman" w:hint="default"/>
      </w:rPr>
    </w:lvl>
    <w:lvl w:ilvl="2" w:tplc="04070005">
      <w:start w:val="1"/>
      <w:numFmt w:val="lowerRoman"/>
      <w:lvlText w:val="%3."/>
      <w:lvlJc w:val="right"/>
      <w:pPr>
        <w:ind w:left="2160" w:hanging="180"/>
      </w:pPr>
      <w:rPr>
        <w:rFonts w:cs="Times New Roman"/>
      </w:rPr>
    </w:lvl>
    <w:lvl w:ilvl="3" w:tplc="04070001">
      <w:start w:val="1"/>
      <w:numFmt w:val="decimal"/>
      <w:lvlText w:val="%4."/>
      <w:lvlJc w:val="left"/>
      <w:pPr>
        <w:ind w:left="2880" w:hanging="360"/>
      </w:pPr>
      <w:rPr>
        <w:rFonts w:cs="Times New Roman"/>
      </w:rPr>
    </w:lvl>
    <w:lvl w:ilvl="4" w:tplc="04070003" w:tentative="1">
      <w:start w:val="1"/>
      <w:numFmt w:val="lowerLetter"/>
      <w:lvlText w:val="%5."/>
      <w:lvlJc w:val="left"/>
      <w:pPr>
        <w:ind w:left="3600" w:hanging="360"/>
      </w:pPr>
      <w:rPr>
        <w:rFonts w:cs="Times New Roman"/>
      </w:rPr>
    </w:lvl>
    <w:lvl w:ilvl="5" w:tplc="04070005" w:tentative="1">
      <w:start w:val="1"/>
      <w:numFmt w:val="lowerRoman"/>
      <w:lvlText w:val="%6."/>
      <w:lvlJc w:val="right"/>
      <w:pPr>
        <w:ind w:left="4320" w:hanging="180"/>
      </w:pPr>
      <w:rPr>
        <w:rFonts w:cs="Times New Roman"/>
      </w:rPr>
    </w:lvl>
    <w:lvl w:ilvl="6" w:tplc="04070001" w:tentative="1">
      <w:start w:val="1"/>
      <w:numFmt w:val="decimal"/>
      <w:lvlText w:val="%7."/>
      <w:lvlJc w:val="left"/>
      <w:pPr>
        <w:ind w:left="5040" w:hanging="360"/>
      </w:pPr>
      <w:rPr>
        <w:rFonts w:cs="Times New Roman"/>
      </w:rPr>
    </w:lvl>
    <w:lvl w:ilvl="7" w:tplc="04070003" w:tentative="1">
      <w:start w:val="1"/>
      <w:numFmt w:val="lowerLetter"/>
      <w:lvlText w:val="%8."/>
      <w:lvlJc w:val="left"/>
      <w:pPr>
        <w:ind w:left="5760" w:hanging="360"/>
      </w:pPr>
      <w:rPr>
        <w:rFonts w:cs="Times New Roman"/>
      </w:rPr>
    </w:lvl>
    <w:lvl w:ilvl="8" w:tplc="04070005" w:tentative="1">
      <w:start w:val="1"/>
      <w:numFmt w:val="lowerRoman"/>
      <w:lvlText w:val="%9."/>
      <w:lvlJc w:val="right"/>
      <w:pPr>
        <w:ind w:left="6480" w:hanging="180"/>
      </w:pPr>
      <w:rPr>
        <w:rFonts w:cs="Times New Roman"/>
      </w:rPr>
    </w:lvl>
  </w:abstractNum>
  <w:abstractNum w:abstractNumId="18" w15:restartNumberingAfterBreak="0">
    <w:nsid w:val="345433EA"/>
    <w:multiLevelType w:val="hybridMultilevel"/>
    <w:tmpl w:val="644E74F8"/>
    <w:lvl w:ilvl="0" w:tplc="BE927E64">
      <w:start w:val="1"/>
      <w:numFmt w:val="lowerRoman"/>
      <w:lvlText w:val="(%1)"/>
      <w:lvlJc w:val="left"/>
      <w:pPr>
        <w:ind w:left="753" w:hanging="720"/>
      </w:pPr>
      <w:rPr>
        <w:rFonts w:hint="default"/>
        <w:b w:val="0"/>
      </w:rPr>
    </w:lvl>
    <w:lvl w:ilvl="1" w:tplc="08090019" w:tentative="1">
      <w:start w:val="1"/>
      <w:numFmt w:val="lowerLetter"/>
      <w:lvlText w:val="%2."/>
      <w:lvlJc w:val="left"/>
      <w:pPr>
        <w:ind w:left="1113" w:hanging="360"/>
      </w:pPr>
    </w:lvl>
    <w:lvl w:ilvl="2" w:tplc="0809001B" w:tentative="1">
      <w:start w:val="1"/>
      <w:numFmt w:val="lowerRoman"/>
      <w:lvlText w:val="%3."/>
      <w:lvlJc w:val="right"/>
      <w:pPr>
        <w:ind w:left="1833" w:hanging="180"/>
      </w:pPr>
    </w:lvl>
    <w:lvl w:ilvl="3" w:tplc="0809000F" w:tentative="1">
      <w:start w:val="1"/>
      <w:numFmt w:val="decimal"/>
      <w:lvlText w:val="%4."/>
      <w:lvlJc w:val="left"/>
      <w:pPr>
        <w:ind w:left="2553" w:hanging="360"/>
      </w:pPr>
    </w:lvl>
    <w:lvl w:ilvl="4" w:tplc="08090019" w:tentative="1">
      <w:start w:val="1"/>
      <w:numFmt w:val="lowerLetter"/>
      <w:lvlText w:val="%5."/>
      <w:lvlJc w:val="left"/>
      <w:pPr>
        <w:ind w:left="3273" w:hanging="360"/>
      </w:pPr>
    </w:lvl>
    <w:lvl w:ilvl="5" w:tplc="0809001B" w:tentative="1">
      <w:start w:val="1"/>
      <w:numFmt w:val="lowerRoman"/>
      <w:lvlText w:val="%6."/>
      <w:lvlJc w:val="right"/>
      <w:pPr>
        <w:ind w:left="3993" w:hanging="180"/>
      </w:pPr>
    </w:lvl>
    <w:lvl w:ilvl="6" w:tplc="0809000F" w:tentative="1">
      <w:start w:val="1"/>
      <w:numFmt w:val="decimal"/>
      <w:lvlText w:val="%7."/>
      <w:lvlJc w:val="left"/>
      <w:pPr>
        <w:ind w:left="4713" w:hanging="360"/>
      </w:pPr>
    </w:lvl>
    <w:lvl w:ilvl="7" w:tplc="08090019" w:tentative="1">
      <w:start w:val="1"/>
      <w:numFmt w:val="lowerLetter"/>
      <w:lvlText w:val="%8."/>
      <w:lvlJc w:val="left"/>
      <w:pPr>
        <w:ind w:left="5433" w:hanging="360"/>
      </w:pPr>
    </w:lvl>
    <w:lvl w:ilvl="8" w:tplc="0809001B" w:tentative="1">
      <w:start w:val="1"/>
      <w:numFmt w:val="lowerRoman"/>
      <w:lvlText w:val="%9."/>
      <w:lvlJc w:val="right"/>
      <w:pPr>
        <w:ind w:left="6153" w:hanging="180"/>
      </w:pPr>
    </w:lvl>
  </w:abstractNum>
  <w:abstractNum w:abstractNumId="19" w15:restartNumberingAfterBreak="0">
    <w:nsid w:val="37226525"/>
    <w:multiLevelType w:val="hybridMultilevel"/>
    <w:tmpl w:val="9872E646"/>
    <w:lvl w:ilvl="0" w:tplc="0C0A0001">
      <w:start w:val="1"/>
      <w:numFmt w:val="decimal"/>
      <w:pStyle w:val="Nummerierungsart2"/>
      <w:lvlText w:val="%1)"/>
      <w:lvlJc w:val="left"/>
      <w:pPr>
        <w:tabs>
          <w:tab w:val="num" w:pos="360"/>
        </w:tabs>
        <w:ind w:left="360" w:hanging="360"/>
      </w:pPr>
      <w:rPr>
        <w:rFonts w:cs="Times New Roman" w:hint="default"/>
      </w:rPr>
    </w:lvl>
    <w:lvl w:ilvl="1" w:tplc="040A0003" w:tentative="1">
      <w:start w:val="1"/>
      <w:numFmt w:val="lowerLetter"/>
      <w:lvlText w:val="%2."/>
      <w:lvlJc w:val="left"/>
      <w:pPr>
        <w:tabs>
          <w:tab w:val="num" w:pos="1440"/>
        </w:tabs>
        <w:ind w:left="1440" w:hanging="360"/>
      </w:pPr>
      <w:rPr>
        <w:rFonts w:cs="Times New Roman"/>
      </w:rPr>
    </w:lvl>
    <w:lvl w:ilvl="2" w:tplc="040A0005" w:tentative="1">
      <w:start w:val="1"/>
      <w:numFmt w:val="lowerRoman"/>
      <w:lvlText w:val="%3."/>
      <w:lvlJc w:val="right"/>
      <w:pPr>
        <w:tabs>
          <w:tab w:val="num" w:pos="2160"/>
        </w:tabs>
        <w:ind w:left="2160" w:hanging="180"/>
      </w:pPr>
      <w:rPr>
        <w:rFonts w:cs="Times New Roman"/>
      </w:rPr>
    </w:lvl>
    <w:lvl w:ilvl="3" w:tplc="040A0001" w:tentative="1">
      <w:start w:val="1"/>
      <w:numFmt w:val="decimal"/>
      <w:lvlText w:val="%4."/>
      <w:lvlJc w:val="left"/>
      <w:pPr>
        <w:tabs>
          <w:tab w:val="num" w:pos="2880"/>
        </w:tabs>
        <w:ind w:left="2880" w:hanging="360"/>
      </w:pPr>
      <w:rPr>
        <w:rFonts w:cs="Times New Roman"/>
      </w:rPr>
    </w:lvl>
    <w:lvl w:ilvl="4" w:tplc="040A0003" w:tentative="1">
      <w:start w:val="1"/>
      <w:numFmt w:val="lowerLetter"/>
      <w:lvlText w:val="%5."/>
      <w:lvlJc w:val="left"/>
      <w:pPr>
        <w:tabs>
          <w:tab w:val="num" w:pos="3600"/>
        </w:tabs>
        <w:ind w:left="3600" w:hanging="360"/>
      </w:pPr>
      <w:rPr>
        <w:rFonts w:cs="Times New Roman"/>
      </w:rPr>
    </w:lvl>
    <w:lvl w:ilvl="5" w:tplc="040A0005" w:tentative="1">
      <w:start w:val="1"/>
      <w:numFmt w:val="lowerRoman"/>
      <w:lvlText w:val="%6."/>
      <w:lvlJc w:val="right"/>
      <w:pPr>
        <w:tabs>
          <w:tab w:val="num" w:pos="4320"/>
        </w:tabs>
        <w:ind w:left="4320" w:hanging="180"/>
      </w:pPr>
      <w:rPr>
        <w:rFonts w:cs="Times New Roman"/>
      </w:rPr>
    </w:lvl>
    <w:lvl w:ilvl="6" w:tplc="040A0001" w:tentative="1">
      <w:start w:val="1"/>
      <w:numFmt w:val="decimal"/>
      <w:lvlText w:val="%7."/>
      <w:lvlJc w:val="left"/>
      <w:pPr>
        <w:tabs>
          <w:tab w:val="num" w:pos="5040"/>
        </w:tabs>
        <w:ind w:left="5040" w:hanging="360"/>
      </w:pPr>
      <w:rPr>
        <w:rFonts w:cs="Times New Roman"/>
      </w:rPr>
    </w:lvl>
    <w:lvl w:ilvl="7" w:tplc="040A0003" w:tentative="1">
      <w:start w:val="1"/>
      <w:numFmt w:val="lowerLetter"/>
      <w:lvlText w:val="%8."/>
      <w:lvlJc w:val="left"/>
      <w:pPr>
        <w:tabs>
          <w:tab w:val="num" w:pos="5760"/>
        </w:tabs>
        <w:ind w:left="5760" w:hanging="360"/>
      </w:pPr>
      <w:rPr>
        <w:rFonts w:cs="Times New Roman"/>
      </w:rPr>
    </w:lvl>
    <w:lvl w:ilvl="8" w:tplc="040A0005" w:tentative="1">
      <w:start w:val="1"/>
      <w:numFmt w:val="lowerRoman"/>
      <w:lvlText w:val="%9."/>
      <w:lvlJc w:val="right"/>
      <w:pPr>
        <w:tabs>
          <w:tab w:val="num" w:pos="6480"/>
        </w:tabs>
        <w:ind w:left="6480" w:hanging="180"/>
      </w:pPr>
      <w:rPr>
        <w:rFonts w:cs="Times New Roman"/>
      </w:rPr>
    </w:lvl>
  </w:abstractNum>
  <w:abstractNum w:abstractNumId="20" w15:restartNumberingAfterBreak="0">
    <w:nsid w:val="3A0333F1"/>
    <w:multiLevelType w:val="hybridMultilevel"/>
    <w:tmpl w:val="8B967D4E"/>
    <w:lvl w:ilvl="0" w:tplc="963C153A">
      <w:start w:val="1"/>
      <w:numFmt w:val="lowerLetter"/>
      <w:pStyle w:val="Numberedtitlelevel4"/>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0D45D9"/>
    <w:multiLevelType w:val="hybridMultilevel"/>
    <w:tmpl w:val="C424388C"/>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2" w15:restartNumberingAfterBreak="0">
    <w:nsid w:val="3CD57312"/>
    <w:multiLevelType w:val="multilevel"/>
    <w:tmpl w:val="1864F90A"/>
    <w:styleLink w:val="Formatvorlage2"/>
    <w:lvl w:ilvl="0">
      <w:start w:val="1"/>
      <w:numFmt w:val="bullet"/>
      <w:lvlText w:val=""/>
      <w:lvlJc w:val="left"/>
      <w:pPr>
        <w:ind w:left="360" w:hanging="360"/>
      </w:pPr>
      <w:rPr>
        <w:rFonts w:ascii="Symbol" w:hAnsi="Symbol" w:hint="default"/>
        <w:sz w:val="28"/>
      </w:rPr>
    </w:lvl>
    <w:lvl w:ilvl="1">
      <w:start w:val="1"/>
      <w:numFmt w:val="bullet"/>
      <w:lvlText w:val=""/>
      <w:lvlJc w:val="left"/>
      <w:pPr>
        <w:tabs>
          <w:tab w:val="num" w:pos="720"/>
        </w:tabs>
        <w:ind w:left="720" w:hanging="360"/>
      </w:pPr>
      <w:rPr>
        <w:rFonts w:ascii="Symbol" w:hAnsi="Symbol" w:hint="default"/>
        <w:sz w:val="24"/>
      </w:rPr>
    </w:lvl>
    <w:lvl w:ilvl="2">
      <w:start w:val="1"/>
      <w:numFmt w:val="bullet"/>
      <w:lvlText w:val=""/>
      <w:lvlJc w:val="left"/>
      <w:pPr>
        <w:tabs>
          <w:tab w:val="num" w:pos="1072"/>
        </w:tabs>
        <w:ind w:left="1072" w:hanging="358"/>
      </w:pPr>
      <w:rPr>
        <w:rFonts w:ascii="Symbol" w:hAnsi="Symbol" w:hint="default"/>
        <w:sz w:val="22"/>
      </w:rPr>
    </w:lvl>
    <w:lvl w:ilvl="3">
      <w:start w:val="1"/>
      <w:numFmt w:val="bullet"/>
      <w:lvlText w:val=""/>
      <w:lvlJc w:val="left"/>
      <w:pPr>
        <w:tabs>
          <w:tab w:val="num" w:pos="1429"/>
        </w:tabs>
        <w:ind w:left="1429" w:hanging="357"/>
      </w:pPr>
      <w:rPr>
        <w:rFonts w:ascii="Symbol" w:hAnsi="Symbol" w:hint="default"/>
        <w:sz w:val="22"/>
      </w:rPr>
    </w:lvl>
    <w:lvl w:ilvl="4">
      <w:start w:val="1"/>
      <w:numFmt w:val="bullet"/>
      <w:lvlText w:val=""/>
      <w:lvlJc w:val="left"/>
      <w:pPr>
        <w:tabs>
          <w:tab w:val="num" w:pos="1786"/>
        </w:tabs>
        <w:ind w:left="1786" w:hanging="357"/>
      </w:pPr>
      <w:rPr>
        <w:rFonts w:ascii="Symbol" w:hAnsi="Symbol" w:hint="default"/>
        <w:sz w:val="22"/>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3" w15:restartNumberingAfterBreak="0">
    <w:nsid w:val="42957DBD"/>
    <w:multiLevelType w:val="hybridMultilevel"/>
    <w:tmpl w:val="42E26CDA"/>
    <w:lvl w:ilvl="0" w:tplc="7D5EEB9C">
      <w:start w:val="1"/>
      <w:numFmt w:val="lowerRoman"/>
      <w:lvlText w:val="(%1)"/>
      <w:lvlJc w:val="left"/>
      <w:pPr>
        <w:ind w:left="753" w:hanging="720"/>
      </w:pPr>
      <w:rPr>
        <w:rFonts w:hint="default"/>
      </w:rPr>
    </w:lvl>
    <w:lvl w:ilvl="1" w:tplc="08090019" w:tentative="1">
      <w:start w:val="1"/>
      <w:numFmt w:val="lowerLetter"/>
      <w:lvlText w:val="%2."/>
      <w:lvlJc w:val="left"/>
      <w:pPr>
        <w:ind w:left="1113" w:hanging="360"/>
      </w:pPr>
    </w:lvl>
    <w:lvl w:ilvl="2" w:tplc="0809001B" w:tentative="1">
      <w:start w:val="1"/>
      <w:numFmt w:val="lowerRoman"/>
      <w:lvlText w:val="%3."/>
      <w:lvlJc w:val="right"/>
      <w:pPr>
        <w:ind w:left="1833" w:hanging="180"/>
      </w:pPr>
    </w:lvl>
    <w:lvl w:ilvl="3" w:tplc="0809000F" w:tentative="1">
      <w:start w:val="1"/>
      <w:numFmt w:val="decimal"/>
      <w:lvlText w:val="%4."/>
      <w:lvlJc w:val="left"/>
      <w:pPr>
        <w:ind w:left="2553" w:hanging="360"/>
      </w:pPr>
    </w:lvl>
    <w:lvl w:ilvl="4" w:tplc="08090019" w:tentative="1">
      <w:start w:val="1"/>
      <w:numFmt w:val="lowerLetter"/>
      <w:lvlText w:val="%5."/>
      <w:lvlJc w:val="left"/>
      <w:pPr>
        <w:ind w:left="3273" w:hanging="360"/>
      </w:pPr>
    </w:lvl>
    <w:lvl w:ilvl="5" w:tplc="0809001B" w:tentative="1">
      <w:start w:val="1"/>
      <w:numFmt w:val="lowerRoman"/>
      <w:lvlText w:val="%6."/>
      <w:lvlJc w:val="right"/>
      <w:pPr>
        <w:ind w:left="3993" w:hanging="180"/>
      </w:pPr>
    </w:lvl>
    <w:lvl w:ilvl="6" w:tplc="0809000F" w:tentative="1">
      <w:start w:val="1"/>
      <w:numFmt w:val="decimal"/>
      <w:lvlText w:val="%7."/>
      <w:lvlJc w:val="left"/>
      <w:pPr>
        <w:ind w:left="4713" w:hanging="360"/>
      </w:pPr>
    </w:lvl>
    <w:lvl w:ilvl="7" w:tplc="08090019" w:tentative="1">
      <w:start w:val="1"/>
      <w:numFmt w:val="lowerLetter"/>
      <w:lvlText w:val="%8."/>
      <w:lvlJc w:val="left"/>
      <w:pPr>
        <w:ind w:left="5433" w:hanging="360"/>
      </w:pPr>
    </w:lvl>
    <w:lvl w:ilvl="8" w:tplc="0809001B" w:tentative="1">
      <w:start w:val="1"/>
      <w:numFmt w:val="lowerRoman"/>
      <w:lvlText w:val="%9."/>
      <w:lvlJc w:val="right"/>
      <w:pPr>
        <w:ind w:left="6153" w:hanging="180"/>
      </w:pPr>
    </w:lvl>
  </w:abstractNum>
  <w:abstractNum w:abstractNumId="24" w15:restartNumberingAfterBreak="0">
    <w:nsid w:val="44C27D48"/>
    <w:multiLevelType w:val="hybridMultilevel"/>
    <w:tmpl w:val="B15CC8FC"/>
    <w:lvl w:ilvl="0" w:tplc="090C4D3E">
      <w:start w:val="1"/>
      <w:numFmt w:val="bullet"/>
      <w:pStyle w:val="bullet2"/>
      <w:lvlText w:val=""/>
      <w:lvlJc w:val="left"/>
      <w:pPr>
        <w:tabs>
          <w:tab w:val="num" w:pos="680"/>
        </w:tabs>
        <w:ind w:left="680" w:hanging="34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5F3484C"/>
    <w:multiLevelType w:val="hybridMultilevel"/>
    <w:tmpl w:val="CDDC159E"/>
    <w:lvl w:ilvl="0" w:tplc="0972CC78">
      <w:start w:val="1"/>
      <w:numFmt w:val="lowerRoman"/>
      <w:lvlText w:val="(%1)"/>
      <w:lvlJc w:val="left"/>
      <w:pPr>
        <w:ind w:left="753" w:hanging="720"/>
      </w:pPr>
      <w:rPr>
        <w:rFonts w:hint="default"/>
      </w:rPr>
    </w:lvl>
    <w:lvl w:ilvl="1" w:tplc="08090019" w:tentative="1">
      <w:start w:val="1"/>
      <w:numFmt w:val="lowerLetter"/>
      <w:lvlText w:val="%2."/>
      <w:lvlJc w:val="left"/>
      <w:pPr>
        <w:ind w:left="1113" w:hanging="360"/>
      </w:pPr>
    </w:lvl>
    <w:lvl w:ilvl="2" w:tplc="0809001B" w:tentative="1">
      <w:start w:val="1"/>
      <w:numFmt w:val="lowerRoman"/>
      <w:lvlText w:val="%3."/>
      <w:lvlJc w:val="right"/>
      <w:pPr>
        <w:ind w:left="1833" w:hanging="180"/>
      </w:pPr>
    </w:lvl>
    <w:lvl w:ilvl="3" w:tplc="0809000F" w:tentative="1">
      <w:start w:val="1"/>
      <w:numFmt w:val="decimal"/>
      <w:lvlText w:val="%4."/>
      <w:lvlJc w:val="left"/>
      <w:pPr>
        <w:ind w:left="2553" w:hanging="360"/>
      </w:pPr>
    </w:lvl>
    <w:lvl w:ilvl="4" w:tplc="08090019" w:tentative="1">
      <w:start w:val="1"/>
      <w:numFmt w:val="lowerLetter"/>
      <w:lvlText w:val="%5."/>
      <w:lvlJc w:val="left"/>
      <w:pPr>
        <w:ind w:left="3273" w:hanging="360"/>
      </w:pPr>
    </w:lvl>
    <w:lvl w:ilvl="5" w:tplc="0809001B" w:tentative="1">
      <w:start w:val="1"/>
      <w:numFmt w:val="lowerRoman"/>
      <w:lvlText w:val="%6."/>
      <w:lvlJc w:val="right"/>
      <w:pPr>
        <w:ind w:left="3993" w:hanging="180"/>
      </w:pPr>
    </w:lvl>
    <w:lvl w:ilvl="6" w:tplc="0809000F" w:tentative="1">
      <w:start w:val="1"/>
      <w:numFmt w:val="decimal"/>
      <w:lvlText w:val="%7."/>
      <w:lvlJc w:val="left"/>
      <w:pPr>
        <w:ind w:left="4713" w:hanging="360"/>
      </w:pPr>
    </w:lvl>
    <w:lvl w:ilvl="7" w:tplc="08090019" w:tentative="1">
      <w:start w:val="1"/>
      <w:numFmt w:val="lowerLetter"/>
      <w:lvlText w:val="%8."/>
      <w:lvlJc w:val="left"/>
      <w:pPr>
        <w:ind w:left="5433" w:hanging="360"/>
      </w:pPr>
    </w:lvl>
    <w:lvl w:ilvl="8" w:tplc="0809001B" w:tentative="1">
      <w:start w:val="1"/>
      <w:numFmt w:val="lowerRoman"/>
      <w:lvlText w:val="%9."/>
      <w:lvlJc w:val="right"/>
      <w:pPr>
        <w:ind w:left="6153" w:hanging="180"/>
      </w:pPr>
    </w:lvl>
  </w:abstractNum>
  <w:abstractNum w:abstractNumId="26" w15:restartNumberingAfterBreak="0">
    <w:nsid w:val="487150C0"/>
    <w:multiLevelType w:val="multilevel"/>
    <w:tmpl w:val="83F27A4C"/>
    <w:lvl w:ilvl="0">
      <w:start w:val="3"/>
      <w:numFmt w:val="decimal"/>
      <w:lvlText w:val="%1."/>
      <w:lvlJc w:val="left"/>
      <w:pPr>
        <w:ind w:left="540" w:hanging="540"/>
      </w:pPr>
      <w:rPr>
        <w:rFonts w:hint="default"/>
      </w:rPr>
    </w:lvl>
    <w:lvl w:ilvl="1">
      <w:start w:val="9"/>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9772236"/>
    <w:multiLevelType w:val="hybridMultilevel"/>
    <w:tmpl w:val="E974A63C"/>
    <w:lvl w:ilvl="0" w:tplc="91F28F2A">
      <w:start w:val="1"/>
      <w:numFmt w:val="bullet"/>
      <w:pStyle w:val="Aufzhlungszeichen4"/>
      <w:lvlText w:val=""/>
      <w:lvlJc w:val="left"/>
      <w:pPr>
        <w:tabs>
          <w:tab w:val="num" w:pos="357"/>
        </w:tabs>
        <w:ind w:left="357" w:hanging="357"/>
      </w:pPr>
      <w:rPr>
        <w:rFonts w:ascii="Wingdings" w:hAnsi="Wingdings" w:hint="default"/>
        <w:sz w:val="28"/>
      </w:rPr>
    </w:lvl>
    <w:lvl w:ilvl="1" w:tplc="78D02204">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EB95802"/>
    <w:multiLevelType w:val="multilevel"/>
    <w:tmpl w:val="0407001D"/>
    <w:styleLink w:val="Formatvorlage3"/>
    <w:lvl w:ilvl="0">
      <w:start w:val="1"/>
      <w:numFmt w:val="none"/>
      <w:pStyle w:val="Heading4"/>
      <w:lvlText w:val="%1"/>
      <w:lvlJc w:val="left"/>
      <w:pPr>
        <w:ind w:left="360" w:hanging="360"/>
      </w:pPr>
      <w:rPr>
        <w:rFonts w:ascii="Verdana" w:hAnsi="Verdana" w:cs="Times New Roman" w:hint="default"/>
        <w:b/>
        <w:color w:val="auto"/>
        <w:sz w:val="20"/>
        <w:u w:val="single"/>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9" w15:restartNumberingAfterBreak="0">
    <w:nsid w:val="4EF30DF1"/>
    <w:multiLevelType w:val="hybridMultilevel"/>
    <w:tmpl w:val="95BE37A4"/>
    <w:lvl w:ilvl="0" w:tplc="B2366634">
      <w:start w:val="1"/>
      <w:numFmt w:val="upperRoman"/>
      <w:pStyle w:val="Nummerierungsart3"/>
      <w:lvlText w:val="%1."/>
      <w:lvlJc w:val="left"/>
      <w:pPr>
        <w:tabs>
          <w:tab w:val="num" w:pos="357"/>
        </w:tabs>
        <w:ind w:left="357" w:hanging="357"/>
      </w:pPr>
      <w:rPr>
        <w:rFonts w:cs="Times New Roman" w:hint="default"/>
      </w:rPr>
    </w:lvl>
    <w:lvl w:ilvl="1" w:tplc="04070003" w:tentative="1">
      <w:start w:val="1"/>
      <w:numFmt w:val="lowerLetter"/>
      <w:lvlText w:val="%2."/>
      <w:lvlJc w:val="left"/>
      <w:pPr>
        <w:tabs>
          <w:tab w:val="num" w:pos="1440"/>
        </w:tabs>
        <w:ind w:left="1440" w:hanging="360"/>
      </w:pPr>
      <w:rPr>
        <w:rFonts w:cs="Times New Roman"/>
      </w:rPr>
    </w:lvl>
    <w:lvl w:ilvl="2" w:tplc="04070005" w:tentative="1">
      <w:start w:val="1"/>
      <w:numFmt w:val="lowerRoman"/>
      <w:lvlText w:val="%3."/>
      <w:lvlJc w:val="right"/>
      <w:pPr>
        <w:tabs>
          <w:tab w:val="num" w:pos="2160"/>
        </w:tabs>
        <w:ind w:left="2160" w:hanging="180"/>
      </w:pPr>
      <w:rPr>
        <w:rFonts w:cs="Times New Roman"/>
      </w:rPr>
    </w:lvl>
    <w:lvl w:ilvl="3" w:tplc="04070001" w:tentative="1">
      <w:start w:val="1"/>
      <w:numFmt w:val="decimal"/>
      <w:lvlText w:val="%4."/>
      <w:lvlJc w:val="left"/>
      <w:pPr>
        <w:tabs>
          <w:tab w:val="num" w:pos="2880"/>
        </w:tabs>
        <w:ind w:left="2880" w:hanging="360"/>
      </w:pPr>
      <w:rPr>
        <w:rFonts w:cs="Times New Roman"/>
      </w:rPr>
    </w:lvl>
    <w:lvl w:ilvl="4" w:tplc="04070003" w:tentative="1">
      <w:start w:val="1"/>
      <w:numFmt w:val="lowerLetter"/>
      <w:lvlText w:val="%5."/>
      <w:lvlJc w:val="left"/>
      <w:pPr>
        <w:tabs>
          <w:tab w:val="num" w:pos="3600"/>
        </w:tabs>
        <w:ind w:left="3600" w:hanging="360"/>
      </w:pPr>
      <w:rPr>
        <w:rFonts w:cs="Times New Roman"/>
      </w:rPr>
    </w:lvl>
    <w:lvl w:ilvl="5" w:tplc="04070005" w:tentative="1">
      <w:start w:val="1"/>
      <w:numFmt w:val="lowerRoman"/>
      <w:lvlText w:val="%6."/>
      <w:lvlJc w:val="right"/>
      <w:pPr>
        <w:tabs>
          <w:tab w:val="num" w:pos="4320"/>
        </w:tabs>
        <w:ind w:left="4320" w:hanging="180"/>
      </w:pPr>
      <w:rPr>
        <w:rFonts w:cs="Times New Roman"/>
      </w:rPr>
    </w:lvl>
    <w:lvl w:ilvl="6" w:tplc="04070001" w:tentative="1">
      <w:start w:val="1"/>
      <w:numFmt w:val="decimal"/>
      <w:lvlText w:val="%7."/>
      <w:lvlJc w:val="left"/>
      <w:pPr>
        <w:tabs>
          <w:tab w:val="num" w:pos="5040"/>
        </w:tabs>
        <w:ind w:left="5040" w:hanging="360"/>
      </w:pPr>
      <w:rPr>
        <w:rFonts w:cs="Times New Roman"/>
      </w:rPr>
    </w:lvl>
    <w:lvl w:ilvl="7" w:tplc="04070003" w:tentative="1">
      <w:start w:val="1"/>
      <w:numFmt w:val="lowerLetter"/>
      <w:lvlText w:val="%8."/>
      <w:lvlJc w:val="left"/>
      <w:pPr>
        <w:tabs>
          <w:tab w:val="num" w:pos="5760"/>
        </w:tabs>
        <w:ind w:left="5760" w:hanging="360"/>
      </w:pPr>
      <w:rPr>
        <w:rFonts w:cs="Times New Roman"/>
      </w:rPr>
    </w:lvl>
    <w:lvl w:ilvl="8" w:tplc="04070005" w:tentative="1">
      <w:start w:val="1"/>
      <w:numFmt w:val="lowerRoman"/>
      <w:lvlText w:val="%9."/>
      <w:lvlJc w:val="right"/>
      <w:pPr>
        <w:tabs>
          <w:tab w:val="num" w:pos="6480"/>
        </w:tabs>
        <w:ind w:left="6480" w:hanging="180"/>
      </w:pPr>
      <w:rPr>
        <w:rFonts w:cs="Times New Roman"/>
      </w:rPr>
    </w:lvl>
  </w:abstractNum>
  <w:abstractNum w:abstractNumId="30" w15:restartNumberingAfterBreak="0">
    <w:nsid w:val="50227369"/>
    <w:multiLevelType w:val="hybridMultilevel"/>
    <w:tmpl w:val="C2D88122"/>
    <w:lvl w:ilvl="0" w:tplc="4A2A8390">
      <w:start w:val="1"/>
      <w:numFmt w:val="decimal"/>
      <w:pStyle w:val="numberedparagraph"/>
      <w:lvlText w:val="%1."/>
      <w:lvlJc w:val="left"/>
      <w:pPr>
        <w:tabs>
          <w:tab w:val="num" w:pos="284"/>
        </w:tabs>
        <w:ind w:left="28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422B26"/>
    <w:multiLevelType w:val="hybridMultilevel"/>
    <w:tmpl w:val="F20404C2"/>
    <w:lvl w:ilvl="0" w:tplc="7D5EEB9C">
      <w:start w:val="1"/>
      <w:numFmt w:val="lowerRoman"/>
      <w:lvlText w:val="(%1)"/>
      <w:lvlJc w:val="left"/>
      <w:pPr>
        <w:ind w:left="753" w:hanging="720"/>
      </w:pPr>
      <w:rPr>
        <w:rFonts w:hint="default"/>
      </w:rPr>
    </w:lvl>
    <w:lvl w:ilvl="1" w:tplc="08090019" w:tentative="1">
      <w:start w:val="1"/>
      <w:numFmt w:val="lowerLetter"/>
      <w:lvlText w:val="%2."/>
      <w:lvlJc w:val="left"/>
      <w:pPr>
        <w:ind w:left="1113" w:hanging="360"/>
      </w:pPr>
    </w:lvl>
    <w:lvl w:ilvl="2" w:tplc="0809001B" w:tentative="1">
      <w:start w:val="1"/>
      <w:numFmt w:val="lowerRoman"/>
      <w:lvlText w:val="%3."/>
      <w:lvlJc w:val="right"/>
      <w:pPr>
        <w:ind w:left="1833" w:hanging="180"/>
      </w:pPr>
    </w:lvl>
    <w:lvl w:ilvl="3" w:tplc="0809000F" w:tentative="1">
      <w:start w:val="1"/>
      <w:numFmt w:val="decimal"/>
      <w:lvlText w:val="%4."/>
      <w:lvlJc w:val="left"/>
      <w:pPr>
        <w:ind w:left="2553" w:hanging="360"/>
      </w:pPr>
    </w:lvl>
    <w:lvl w:ilvl="4" w:tplc="08090019" w:tentative="1">
      <w:start w:val="1"/>
      <w:numFmt w:val="lowerLetter"/>
      <w:lvlText w:val="%5."/>
      <w:lvlJc w:val="left"/>
      <w:pPr>
        <w:ind w:left="3273" w:hanging="360"/>
      </w:pPr>
    </w:lvl>
    <w:lvl w:ilvl="5" w:tplc="0809001B" w:tentative="1">
      <w:start w:val="1"/>
      <w:numFmt w:val="lowerRoman"/>
      <w:lvlText w:val="%6."/>
      <w:lvlJc w:val="right"/>
      <w:pPr>
        <w:ind w:left="3993" w:hanging="180"/>
      </w:pPr>
    </w:lvl>
    <w:lvl w:ilvl="6" w:tplc="0809000F" w:tentative="1">
      <w:start w:val="1"/>
      <w:numFmt w:val="decimal"/>
      <w:lvlText w:val="%7."/>
      <w:lvlJc w:val="left"/>
      <w:pPr>
        <w:ind w:left="4713" w:hanging="360"/>
      </w:pPr>
    </w:lvl>
    <w:lvl w:ilvl="7" w:tplc="08090019" w:tentative="1">
      <w:start w:val="1"/>
      <w:numFmt w:val="lowerLetter"/>
      <w:lvlText w:val="%8."/>
      <w:lvlJc w:val="left"/>
      <w:pPr>
        <w:ind w:left="5433" w:hanging="360"/>
      </w:pPr>
    </w:lvl>
    <w:lvl w:ilvl="8" w:tplc="0809001B" w:tentative="1">
      <w:start w:val="1"/>
      <w:numFmt w:val="lowerRoman"/>
      <w:lvlText w:val="%9."/>
      <w:lvlJc w:val="right"/>
      <w:pPr>
        <w:ind w:left="6153" w:hanging="180"/>
      </w:pPr>
    </w:lvl>
  </w:abstractNum>
  <w:abstractNum w:abstractNumId="32" w15:restartNumberingAfterBreak="0">
    <w:nsid w:val="5ADD1127"/>
    <w:multiLevelType w:val="hybridMultilevel"/>
    <w:tmpl w:val="44722EE6"/>
    <w:lvl w:ilvl="0" w:tplc="7D5EEB9C">
      <w:start w:val="1"/>
      <w:numFmt w:val="lowerRoman"/>
      <w:lvlText w:val="(%1)"/>
      <w:lvlJc w:val="left"/>
      <w:pPr>
        <w:ind w:left="753" w:hanging="720"/>
      </w:pPr>
      <w:rPr>
        <w:rFonts w:hint="default"/>
      </w:rPr>
    </w:lvl>
    <w:lvl w:ilvl="1" w:tplc="08090019" w:tentative="1">
      <w:start w:val="1"/>
      <w:numFmt w:val="lowerLetter"/>
      <w:lvlText w:val="%2."/>
      <w:lvlJc w:val="left"/>
      <w:pPr>
        <w:ind w:left="1113" w:hanging="360"/>
      </w:pPr>
    </w:lvl>
    <w:lvl w:ilvl="2" w:tplc="0809001B" w:tentative="1">
      <w:start w:val="1"/>
      <w:numFmt w:val="lowerRoman"/>
      <w:lvlText w:val="%3."/>
      <w:lvlJc w:val="right"/>
      <w:pPr>
        <w:ind w:left="1833" w:hanging="180"/>
      </w:pPr>
    </w:lvl>
    <w:lvl w:ilvl="3" w:tplc="0809000F" w:tentative="1">
      <w:start w:val="1"/>
      <w:numFmt w:val="decimal"/>
      <w:lvlText w:val="%4."/>
      <w:lvlJc w:val="left"/>
      <w:pPr>
        <w:ind w:left="2553" w:hanging="360"/>
      </w:pPr>
    </w:lvl>
    <w:lvl w:ilvl="4" w:tplc="08090019" w:tentative="1">
      <w:start w:val="1"/>
      <w:numFmt w:val="lowerLetter"/>
      <w:lvlText w:val="%5."/>
      <w:lvlJc w:val="left"/>
      <w:pPr>
        <w:ind w:left="3273" w:hanging="360"/>
      </w:pPr>
    </w:lvl>
    <w:lvl w:ilvl="5" w:tplc="0809001B" w:tentative="1">
      <w:start w:val="1"/>
      <w:numFmt w:val="lowerRoman"/>
      <w:lvlText w:val="%6."/>
      <w:lvlJc w:val="right"/>
      <w:pPr>
        <w:ind w:left="3993" w:hanging="180"/>
      </w:pPr>
    </w:lvl>
    <w:lvl w:ilvl="6" w:tplc="0809000F" w:tentative="1">
      <w:start w:val="1"/>
      <w:numFmt w:val="decimal"/>
      <w:lvlText w:val="%7."/>
      <w:lvlJc w:val="left"/>
      <w:pPr>
        <w:ind w:left="4713" w:hanging="360"/>
      </w:pPr>
    </w:lvl>
    <w:lvl w:ilvl="7" w:tplc="08090019" w:tentative="1">
      <w:start w:val="1"/>
      <w:numFmt w:val="lowerLetter"/>
      <w:lvlText w:val="%8."/>
      <w:lvlJc w:val="left"/>
      <w:pPr>
        <w:ind w:left="5433" w:hanging="360"/>
      </w:pPr>
    </w:lvl>
    <w:lvl w:ilvl="8" w:tplc="0809001B" w:tentative="1">
      <w:start w:val="1"/>
      <w:numFmt w:val="lowerRoman"/>
      <w:lvlText w:val="%9."/>
      <w:lvlJc w:val="right"/>
      <w:pPr>
        <w:ind w:left="6153" w:hanging="180"/>
      </w:pPr>
    </w:lvl>
  </w:abstractNum>
  <w:abstractNum w:abstractNumId="33" w15:restartNumberingAfterBreak="0">
    <w:nsid w:val="5BA1738F"/>
    <w:multiLevelType w:val="hybridMultilevel"/>
    <w:tmpl w:val="2FE2799E"/>
    <w:lvl w:ilvl="0" w:tplc="04090003">
      <w:start w:val="1"/>
      <w:numFmt w:val="decimal"/>
      <w:pStyle w:val="Instructionsberschrift3"/>
      <w:lvlText w:val="%1.1.1"/>
      <w:lvlJc w:val="left"/>
      <w:pPr>
        <w:ind w:left="720" w:hanging="360"/>
      </w:pPr>
      <w:rPr>
        <w:rFonts w:cs="Times New Roman" w:hint="default"/>
      </w:rPr>
    </w:lvl>
    <w:lvl w:ilvl="1" w:tplc="04090005" w:tentative="1">
      <w:start w:val="1"/>
      <w:numFmt w:val="lowerLetter"/>
      <w:lvlText w:val="%2."/>
      <w:lvlJc w:val="left"/>
      <w:pPr>
        <w:ind w:left="1440" w:hanging="360"/>
      </w:pPr>
      <w:rPr>
        <w:rFonts w:cs="Times New Roman"/>
      </w:rPr>
    </w:lvl>
    <w:lvl w:ilvl="2" w:tplc="04090005">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34" w15:restartNumberingAfterBreak="0">
    <w:nsid w:val="5C951B61"/>
    <w:multiLevelType w:val="hybridMultilevel"/>
    <w:tmpl w:val="121C0A42"/>
    <w:lvl w:ilvl="0" w:tplc="040A0017">
      <w:start w:val="1"/>
      <w:numFmt w:val="bullet"/>
      <w:pStyle w:val="Aufzhlungszeichen2"/>
      <w:lvlText w:val=""/>
      <w:lvlJc w:val="left"/>
      <w:pPr>
        <w:tabs>
          <w:tab w:val="num" w:pos="714"/>
        </w:tabs>
        <w:ind w:left="714" w:hanging="357"/>
      </w:pPr>
      <w:rPr>
        <w:rFonts w:ascii="Wingdings" w:hAnsi="Wingdings" w:hint="default"/>
        <w:sz w:val="32"/>
      </w:rPr>
    </w:lvl>
    <w:lvl w:ilvl="1" w:tplc="040A0019" w:tentative="1">
      <w:start w:val="1"/>
      <w:numFmt w:val="bullet"/>
      <w:lvlText w:val="o"/>
      <w:lvlJc w:val="left"/>
      <w:pPr>
        <w:tabs>
          <w:tab w:val="num" w:pos="1797"/>
        </w:tabs>
        <w:ind w:left="1797" w:hanging="360"/>
      </w:pPr>
      <w:rPr>
        <w:rFonts w:ascii="Courier New" w:hAnsi="Courier New" w:hint="default"/>
      </w:rPr>
    </w:lvl>
    <w:lvl w:ilvl="2" w:tplc="040A001B" w:tentative="1">
      <w:start w:val="1"/>
      <w:numFmt w:val="bullet"/>
      <w:lvlText w:val=""/>
      <w:lvlJc w:val="left"/>
      <w:pPr>
        <w:tabs>
          <w:tab w:val="num" w:pos="2517"/>
        </w:tabs>
        <w:ind w:left="2517" w:hanging="360"/>
      </w:pPr>
      <w:rPr>
        <w:rFonts w:ascii="Wingdings" w:hAnsi="Wingdings" w:hint="default"/>
      </w:rPr>
    </w:lvl>
    <w:lvl w:ilvl="3" w:tplc="040A000F" w:tentative="1">
      <w:start w:val="1"/>
      <w:numFmt w:val="bullet"/>
      <w:lvlText w:val=""/>
      <w:lvlJc w:val="left"/>
      <w:pPr>
        <w:tabs>
          <w:tab w:val="num" w:pos="3237"/>
        </w:tabs>
        <w:ind w:left="3237" w:hanging="360"/>
      </w:pPr>
      <w:rPr>
        <w:rFonts w:ascii="Symbol" w:hAnsi="Symbol" w:hint="default"/>
      </w:rPr>
    </w:lvl>
    <w:lvl w:ilvl="4" w:tplc="040A0019" w:tentative="1">
      <w:start w:val="1"/>
      <w:numFmt w:val="bullet"/>
      <w:lvlText w:val="o"/>
      <w:lvlJc w:val="left"/>
      <w:pPr>
        <w:tabs>
          <w:tab w:val="num" w:pos="3957"/>
        </w:tabs>
        <w:ind w:left="3957" w:hanging="360"/>
      </w:pPr>
      <w:rPr>
        <w:rFonts w:ascii="Courier New" w:hAnsi="Courier New" w:hint="default"/>
      </w:rPr>
    </w:lvl>
    <w:lvl w:ilvl="5" w:tplc="040A001B" w:tentative="1">
      <w:start w:val="1"/>
      <w:numFmt w:val="bullet"/>
      <w:lvlText w:val=""/>
      <w:lvlJc w:val="left"/>
      <w:pPr>
        <w:tabs>
          <w:tab w:val="num" w:pos="4677"/>
        </w:tabs>
        <w:ind w:left="4677" w:hanging="360"/>
      </w:pPr>
      <w:rPr>
        <w:rFonts w:ascii="Wingdings" w:hAnsi="Wingdings" w:hint="default"/>
      </w:rPr>
    </w:lvl>
    <w:lvl w:ilvl="6" w:tplc="040A000F" w:tentative="1">
      <w:start w:val="1"/>
      <w:numFmt w:val="bullet"/>
      <w:lvlText w:val=""/>
      <w:lvlJc w:val="left"/>
      <w:pPr>
        <w:tabs>
          <w:tab w:val="num" w:pos="5397"/>
        </w:tabs>
        <w:ind w:left="5397" w:hanging="360"/>
      </w:pPr>
      <w:rPr>
        <w:rFonts w:ascii="Symbol" w:hAnsi="Symbol" w:hint="default"/>
      </w:rPr>
    </w:lvl>
    <w:lvl w:ilvl="7" w:tplc="040A0019" w:tentative="1">
      <w:start w:val="1"/>
      <w:numFmt w:val="bullet"/>
      <w:lvlText w:val="o"/>
      <w:lvlJc w:val="left"/>
      <w:pPr>
        <w:tabs>
          <w:tab w:val="num" w:pos="6117"/>
        </w:tabs>
        <w:ind w:left="6117" w:hanging="360"/>
      </w:pPr>
      <w:rPr>
        <w:rFonts w:ascii="Courier New" w:hAnsi="Courier New" w:hint="default"/>
      </w:rPr>
    </w:lvl>
    <w:lvl w:ilvl="8" w:tplc="040A001B" w:tentative="1">
      <w:start w:val="1"/>
      <w:numFmt w:val="bullet"/>
      <w:lvlText w:val=""/>
      <w:lvlJc w:val="left"/>
      <w:pPr>
        <w:tabs>
          <w:tab w:val="num" w:pos="6837"/>
        </w:tabs>
        <w:ind w:left="6837" w:hanging="360"/>
      </w:pPr>
      <w:rPr>
        <w:rFonts w:ascii="Wingdings" w:hAnsi="Wingdings" w:hint="default"/>
      </w:rPr>
    </w:lvl>
  </w:abstractNum>
  <w:abstractNum w:abstractNumId="35" w15:restartNumberingAfterBreak="0">
    <w:nsid w:val="60642C4B"/>
    <w:multiLevelType w:val="hybridMultilevel"/>
    <w:tmpl w:val="65668BE4"/>
    <w:lvl w:ilvl="0" w:tplc="C8CE0B8C">
      <w:start w:val="1"/>
      <w:numFmt w:val="bullet"/>
      <w:lvlText w:val="-"/>
      <w:lvlJc w:val="left"/>
      <w:pPr>
        <w:ind w:left="360" w:hanging="36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62540E99"/>
    <w:multiLevelType w:val="multilevel"/>
    <w:tmpl w:val="4FB67B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647057A3"/>
    <w:multiLevelType w:val="hybridMultilevel"/>
    <w:tmpl w:val="13420D26"/>
    <w:lvl w:ilvl="0" w:tplc="91F28F2A">
      <w:start w:val="1"/>
      <w:numFmt w:val="decimal"/>
      <w:pStyle w:val="Nummerierungsart1"/>
      <w:lvlText w:val="%1."/>
      <w:lvlJc w:val="left"/>
      <w:pPr>
        <w:tabs>
          <w:tab w:val="num" w:pos="357"/>
        </w:tabs>
        <w:ind w:left="357" w:hanging="357"/>
      </w:pPr>
      <w:rPr>
        <w:rFonts w:cs="Times New Roman"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38" w15:restartNumberingAfterBreak="0">
    <w:nsid w:val="66CA2C8C"/>
    <w:multiLevelType w:val="hybridMultilevel"/>
    <w:tmpl w:val="5BF2CFE0"/>
    <w:lvl w:ilvl="0" w:tplc="4BB6D85C">
      <w:start w:val="1"/>
      <w:numFmt w:val="decimal"/>
      <w:pStyle w:val="Instructionsberschrift2"/>
      <w:lvlText w:val="%1.1"/>
      <w:lvlJc w:val="left"/>
      <w:pPr>
        <w:ind w:left="720" w:hanging="360"/>
      </w:pPr>
      <w:rPr>
        <w:rFonts w:cs="Times New Roman" w:hint="default"/>
      </w:rPr>
    </w:lvl>
    <w:lvl w:ilvl="1" w:tplc="E7565B6A">
      <w:start w:val="1"/>
      <w:numFmt w:val="lowerLetter"/>
      <w:lvlText w:val="%2."/>
      <w:lvlJc w:val="left"/>
      <w:pPr>
        <w:ind w:left="1440" w:hanging="360"/>
      </w:pPr>
      <w:rPr>
        <w:rFonts w:cs="Times New Roman"/>
      </w:rPr>
    </w:lvl>
    <w:lvl w:ilvl="2" w:tplc="67A6A44A" w:tentative="1">
      <w:start w:val="1"/>
      <w:numFmt w:val="lowerRoman"/>
      <w:lvlText w:val="%3."/>
      <w:lvlJc w:val="right"/>
      <w:pPr>
        <w:ind w:left="2160" w:hanging="180"/>
      </w:pPr>
      <w:rPr>
        <w:rFonts w:cs="Times New Roman"/>
      </w:rPr>
    </w:lvl>
    <w:lvl w:ilvl="3" w:tplc="21C6EF3C" w:tentative="1">
      <w:start w:val="1"/>
      <w:numFmt w:val="decimal"/>
      <w:lvlText w:val="%4."/>
      <w:lvlJc w:val="left"/>
      <w:pPr>
        <w:ind w:left="2880" w:hanging="360"/>
      </w:pPr>
      <w:rPr>
        <w:rFonts w:cs="Times New Roman"/>
      </w:rPr>
    </w:lvl>
    <w:lvl w:ilvl="4" w:tplc="6C185750" w:tentative="1">
      <w:start w:val="1"/>
      <w:numFmt w:val="lowerLetter"/>
      <w:lvlText w:val="%5."/>
      <w:lvlJc w:val="left"/>
      <w:pPr>
        <w:ind w:left="3600" w:hanging="360"/>
      </w:pPr>
      <w:rPr>
        <w:rFonts w:cs="Times New Roman"/>
      </w:rPr>
    </w:lvl>
    <w:lvl w:ilvl="5" w:tplc="FA46F0F4" w:tentative="1">
      <w:start w:val="1"/>
      <w:numFmt w:val="lowerRoman"/>
      <w:lvlText w:val="%6."/>
      <w:lvlJc w:val="right"/>
      <w:pPr>
        <w:ind w:left="4320" w:hanging="180"/>
      </w:pPr>
      <w:rPr>
        <w:rFonts w:cs="Times New Roman"/>
      </w:rPr>
    </w:lvl>
    <w:lvl w:ilvl="6" w:tplc="84CCF45A" w:tentative="1">
      <w:start w:val="1"/>
      <w:numFmt w:val="decimal"/>
      <w:lvlText w:val="%7."/>
      <w:lvlJc w:val="left"/>
      <w:pPr>
        <w:ind w:left="5040" w:hanging="360"/>
      </w:pPr>
      <w:rPr>
        <w:rFonts w:cs="Times New Roman"/>
      </w:rPr>
    </w:lvl>
    <w:lvl w:ilvl="7" w:tplc="E2FA2386" w:tentative="1">
      <w:start w:val="1"/>
      <w:numFmt w:val="lowerLetter"/>
      <w:lvlText w:val="%8."/>
      <w:lvlJc w:val="left"/>
      <w:pPr>
        <w:ind w:left="5760" w:hanging="360"/>
      </w:pPr>
      <w:rPr>
        <w:rFonts w:cs="Times New Roman"/>
      </w:rPr>
    </w:lvl>
    <w:lvl w:ilvl="8" w:tplc="1E3AE066" w:tentative="1">
      <w:start w:val="1"/>
      <w:numFmt w:val="lowerRoman"/>
      <w:lvlText w:val="%9."/>
      <w:lvlJc w:val="right"/>
      <w:pPr>
        <w:ind w:left="6480" w:hanging="180"/>
      </w:pPr>
      <w:rPr>
        <w:rFonts w:cs="Times New Roman"/>
      </w:rPr>
    </w:lvl>
  </w:abstractNum>
  <w:abstractNum w:abstractNumId="39" w15:restartNumberingAfterBreak="0">
    <w:nsid w:val="692F0EC0"/>
    <w:multiLevelType w:val="multilevel"/>
    <w:tmpl w:val="51EEA844"/>
    <w:styleLink w:val="Formatvorlage1"/>
    <w:lvl w:ilvl="0">
      <w:start w:val="1"/>
      <w:numFmt w:val="bullet"/>
      <w:lvlText w:val=""/>
      <w:lvlJc w:val="left"/>
      <w:pPr>
        <w:tabs>
          <w:tab w:val="num" w:pos="360"/>
        </w:tabs>
        <w:ind w:left="360" w:hanging="360"/>
      </w:pPr>
      <w:rPr>
        <w:rFonts w:ascii="Symbol" w:hAnsi="Symbol" w:hint="default"/>
        <w:sz w:val="28"/>
      </w:rPr>
    </w:lvl>
    <w:lvl w:ilvl="1">
      <w:start w:val="1"/>
      <w:numFmt w:val="bullet"/>
      <w:lvlText w:val=""/>
      <w:lvlJc w:val="left"/>
      <w:pPr>
        <w:tabs>
          <w:tab w:val="num" w:pos="720"/>
        </w:tabs>
        <w:ind w:left="720" w:hanging="360"/>
      </w:pPr>
      <w:rPr>
        <w:rFonts w:ascii="Symbol" w:hAnsi="Symbol" w:hint="default"/>
        <w:sz w:val="24"/>
      </w:rPr>
    </w:lvl>
    <w:lvl w:ilvl="2">
      <w:start w:val="1"/>
      <w:numFmt w:val="bullet"/>
      <w:lvlText w:val=""/>
      <w:lvlJc w:val="left"/>
      <w:pPr>
        <w:tabs>
          <w:tab w:val="num" w:pos="1072"/>
        </w:tabs>
        <w:ind w:left="1072" w:hanging="358"/>
      </w:pPr>
      <w:rPr>
        <w:rFonts w:ascii="Symbol" w:hAnsi="Symbol" w:hint="default"/>
        <w:sz w:val="22"/>
      </w:rPr>
    </w:lvl>
    <w:lvl w:ilvl="3">
      <w:start w:val="1"/>
      <w:numFmt w:val="bullet"/>
      <w:lvlText w:val=""/>
      <w:lvlJc w:val="left"/>
      <w:pPr>
        <w:tabs>
          <w:tab w:val="num" w:pos="1429"/>
        </w:tabs>
        <w:ind w:left="1429" w:hanging="357"/>
      </w:pPr>
      <w:rPr>
        <w:rFonts w:ascii="Symbol" w:hAnsi="Symbol" w:hint="default"/>
        <w:sz w:val="28"/>
      </w:rPr>
    </w:lvl>
    <w:lvl w:ilvl="4">
      <w:start w:val="1"/>
      <w:numFmt w:val="bullet"/>
      <w:lvlText w:val=""/>
      <w:lvlJc w:val="left"/>
      <w:pPr>
        <w:tabs>
          <w:tab w:val="num" w:pos="1786"/>
        </w:tabs>
        <w:ind w:left="1786" w:hanging="357"/>
      </w:pPr>
      <w:rPr>
        <w:rFonts w:ascii="Symbol" w:hAnsi="Symbol" w:hint="default"/>
        <w:sz w:val="28"/>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0" w15:restartNumberingAfterBreak="0">
    <w:nsid w:val="69FA5EA3"/>
    <w:multiLevelType w:val="multilevel"/>
    <w:tmpl w:val="D29C4EFC"/>
    <w:styleLink w:val="Formatvorlage4"/>
    <w:lvl w:ilvl="0">
      <w:start w:val="1"/>
      <w:numFmt w:val="decimal"/>
      <w:lvlText w:val="%1."/>
      <w:lvlJc w:val="left"/>
      <w:pPr>
        <w:ind w:left="357" w:hanging="357"/>
      </w:pPr>
      <w:rPr>
        <w:rFonts w:cs="Times New Roman" w:hint="default"/>
        <w:u w:val="single"/>
      </w:rPr>
    </w:lvl>
    <w:lvl w:ilvl="1">
      <w:start w:val="1"/>
      <w:numFmt w:val="decimal"/>
      <w:lvlText w:val="%1.%2."/>
      <w:lvlJc w:val="left"/>
      <w:pPr>
        <w:ind w:left="357" w:hanging="357"/>
      </w:pPr>
      <w:rPr>
        <w:rFonts w:cs="Times New Roman" w:hint="default"/>
      </w:rPr>
    </w:lvl>
    <w:lvl w:ilvl="2">
      <w:start w:val="1"/>
      <w:numFmt w:val="decimal"/>
      <w:lvlText w:val="%1.%2.%3."/>
      <w:lvlJc w:val="left"/>
      <w:pPr>
        <w:ind w:left="357" w:hanging="357"/>
      </w:pPr>
      <w:rPr>
        <w:rFonts w:cs="Times New Roman" w:hint="default"/>
      </w:rPr>
    </w:lvl>
    <w:lvl w:ilvl="3">
      <w:start w:val="1"/>
      <w:numFmt w:val="decimal"/>
      <w:lvlText w:val="%1.%2.%3.%4."/>
      <w:lvlJc w:val="left"/>
      <w:pPr>
        <w:ind w:left="357" w:hanging="357"/>
      </w:pPr>
      <w:rPr>
        <w:rFonts w:cs="Times New Roman" w:hint="default"/>
      </w:rPr>
    </w:lvl>
    <w:lvl w:ilvl="4">
      <w:start w:val="1"/>
      <w:numFmt w:val="decimal"/>
      <w:lvlText w:val="%1.%2.%3.%4.%5."/>
      <w:lvlJc w:val="left"/>
      <w:pPr>
        <w:ind w:left="357" w:hanging="357"/>
      </w:pPr>
      <w:rPr>
        <w:rFonts w:cs="Times New Roman" w:hint="default"/>
      </w:rPr>
    </w:lvl>
    <w:lvl w:ilvl="5">
      <w:start w:val="1"/>
      <w:numFmt w:val="decimal"/>
      <w:lvlText w:val="%1.%2.%3.%4.%5.%6."/>
      <w:lvlJc w:val="left"/>
      <w:pPr>
        <w:ind w:left="357" w:hanging="357"/>
      </w:pPr>
      <w:rPr>
        <w:rFonts w:cs="Times New Roman" w:hint="default"/>
      </w:rPr>
    </w:lvl>
    <w:lvl w:ilvl="6">
      <w:start w:val="1"/>
      <w:numFmt w:val="decimal"/>
      <w:lvlText w:val="%1.%2.%3.%4.%5.%6.%7."/>
      <w:lvlJc w:val="left"/>
      <w:pPr>
        <w:ind w:left="357" w:hanging="357"/>
      </w:pPr>
      <w:rPr>
        <w:rFonts w:cs="Times New Roman" w:hint="default"/>
      </w:rPr>
    </w:lvl>
    <w:lvl w:ilvl="7">
      <w:start w:val="1"/>
      <w:numFmt w:val="decimal"/>
      <w:lvlText w:val="%1.%2.%3.%4.%5.%6.%7.%8."/>
      <w:lvlJc w:val="left"/>
      <w:pPr>
        <w:ind w:left="357" w:hanging="357"/>
      </w:pPr>
      <w:rPr>
        <w:rFonts w:cs="Times New Roman" w:hint="default"/>
      </w:rPr>
    </w:lvl>
    <w:lvl w:ilvl="8">
      <w:start w:val="1"/>
      <w:numFmt w:val="decimal"/>
      <w:lvlText w:val="%1.%2.%3.%4.%5.%6.%7.%8.%9."/>
      <w:lvlJc w:val="left"/>
      <w:pPr>
        <w:ind w:left="357" w:hanging="357"/>
      </w:pPr>
      <w:rPr>
        <w:rFonts w:cs="Times New Roman" w:hint="default"/>
      </w:rPr>
    </w:lvl>
  </w:abstractNum>
  <w:abstractNum w:abstractNumId="41" w15:restartNumberingAfterBreak="0">
    <w:nsid w:val="6BC535BB"/>
    <w:multiLevelType w:val="hybridMultilevel"/>
    <w:tmpl w:val="DBF049AA"/>
    <w:lvl w:ilvl="0" w:tplc="7D5EEB9C">
      <w:start w:val="1"/>
      <w:numFmt w:val="lowerRoman"/>
      <w:lvlText w:val="(%1)"/>
      <w:lvlJc w:val="left"/>
      <w:pPr>
        <w:ind w:left="753" w:hanging="720"/>
      </w:pPr>
      <w:rPr>
        <w:rFonts w:hint="default"/>
      </w:rPr>
    </w:lvl>
    <w:lvl w:ilvl="1" w:tplc="08090019" w:tentative="1">
      <w:start w:val="1"/>
      <w:numFmt w:val="lowerLetter"/>
      <w:lvlText w:val="%2."/>
      <w:lvlJc w:val="left"/>
      <w:pPr>
        <w:ind w:left="1113" w:hanging="360"/>
      </w:pPr>
    </w:lvl>
    <w:lvl w:ilvl="2" w:tplc="0809001B" w:tentative="1">
      <w:start w:val="1"/>
      <w:numFmt w:val="lowerRoman"/>
      <w:lvlText w:val="%3."/>
      <w:lvlJc w:val="right"/>
      <w:pPr>
        <w:ind w:left="1833" w:hanging="180"/>
      </w:pPr>
    </w:lvl>
    <w:lvl w:ilvl="3" w:tplc="0809000F" w:tentative="1">
      <w:start w:val="1"/>
      <w:numFmt w:val="decimal"/>
      <w:lvlText w:val="%4."/>
      <w:lvlJc w:val="left"/>
      <w:pPr>
        <w:ind w:left="2553" w:hanging="360"/>
      </w:pPr>
    </w:lvl>
    <w:lvl w:ilvl="4" w:tplc="08090019" w:tentative="1">
      <w:start w:val="1"/>
      <w:numFmt w:val="lowerLetter"/>
      <w:lvlText w:val="%5."/>
      <w:lvlJc w:val="left"/>
      <w:pPr>
        <w:ind w:left="3273" w:hanging="360"/>
      </w:pPr>
    </w:lvl>
    <w:lvl w:ilvl="5" w:tplc="0809001B" w:tentative="1">
      <w:start w:val="1"/>
      <w:numFmt w:val="lowerRoman"/>
      <w:lvlText w:val="%6."/>
      <w:lvlJc w:val="right"/>
      <w:pPr>
        <w:ind w:left="3993" w:hanging="180"/>
      </w:pPr>
    </w:lvl>
    <w:lvl w:ilvl="6" w:tplc="0809000F" w:tentative="1">
      <w:start w:val="1"/>
      <w:numFmt w:val="decimal"/>
      <w:lvlText w:val="%7."/>
      <w:lvlJc w:val="left"/>
      <w:pPr>
        <w:ind w:left="4713" w:hanging="360"/>
      </w:pPr>
    </w:lvl>
    <w:lvl w:ilvl="7" w:tplc="08090019" w:tentative="1">
      <w:start w:val="1"/>
      <w:numFmt w:val="lowerLetter"/>
      <w:lvlText w:val="%8."/>
      <w:lvlJc w:val="left"/>
      <w:pPr>
        <w:ind w:left="5433" w:hanging="360"/>
      </w:pPr>
    </w:lvl>
    <w:lvl w:ilvl="8" w:tplc="0809001B" w:tentative="1">
      <w:start w:val="1"/>
      <w:numFmt w:val="lowerRoman"/>
      <w:lvlText w:val="%9."/>
      <w:lvlJc w:val="right"/>
      <w:pPr>
        <w:ind w:left="6153" w:hanging="180"/>
      </w:pPr>
    </w:lvl>
  </w:abstractNum>
  <w:abstractNum w:abstractNumId="42" w15:restartNumberingAfterBreak="0">
    <w:nsid w:val="6BCD57BB"/>
    <w:multiLevelType w:val="multilevel"/>
    <w:tmpl w:val="5AD2A3CC"/>
    <w:lvl w:ilvl="0">
      <w:start w:val="1"/>
      <w:numFmt w:val="decimal"/>
      <w:pStyle w:val="Numberedtilelevel1"/>
      <w:lvlText w:val="%1."/>
      <w:lvlJc w:val="left"/>
      <w:pPr>
        <w:ind w:left="0" w:firstLine="0"/>
      </w:pPr>
      <w:rPr>
        <w:rFonts w:hint="default"/>
      </w:rPr>
    </w:lvl>
    <w:lvl w:ilvl="1">
      <w:start w:val="1"/>
      <w:numFmt w:val="decimal"/>
      <w:pStyle w:val="Numberedtitlelevel2"/>
      <w:lvlText w:val="%1.%2"/>
      <w:lvlJc w:val="left"/>
      <w:pPr>
        <w:ind w:left="0" w:firstLine="0"/>
      </w:pPr>
      <w:rPr>
        <w:rFonts w:hint="default"/>
      </w:rPr>
    </w:lvl>
    <w:lvl w:ilvl="2">
      <w:start w:val="1"/>
      <w:numFmt w:val="decimal"/>
      <w:pStyle w:val="Numberedtitlelevel3"/>
      <w:lvlText w:val="%1.%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43" w15:restartNumberingAfterBreak="0">
    <w:nsid w:val="6F346567"/>
    <w:multiLevelType w:val="hybridMultilevel"/>
    <w:tmpl w:val="E17A8CF8"/>
    <w:lvl w:ilvl="0" w:tplc="08090017">
      <w:start w:val="1"/>
      <w:numFmt w:val="lowerLetter"/>
      <w:lvlText w:val="%1)"/>
      <w:lvlJc w:val="left"/>
      <w:pPr>
        <w:ind w:left="1794" w:hanging="360"/>
      </w:pPr>
    </w:lvl>
    <w:lvl w:ilvl="1" w:tplc="08090019" w:tentative="1">
      <w:start w:val="1"/>
      <w:numFmt w:val="lowerLetter"/>
      <w:lvlText w:val="%2."/>
      <w:lvlJc w:val="left"/>
      <w:pPr>
        <w:ind w:left="2514" w:hanging="360"/>
      </w:pPr>
    </w:lvl>
    <w:lvl w:ilvl="2" w:tplc="0809001B" w:tentative="1">
      <w:start w:val="1"/>
      <w:numFmt w:val="lowerRoman"/>
      <w:lvlText w:val="%3."/>
      <w:lvlJc w:val="right"/>
      <w:pPr>
        <w:ind w:left="3234" w:hanging="180"/>
      </w:pPr>
    </w:lvl>
    <w:lvl w:ilvl="3" w:tplc="0809000F" w:tentative="1">
      <w:start w:val="1"/>
      <w:numFmt w:val="decimal"/>
      <w:lvlText w:val="%4."/>
      <w:lvlJc w:val="left"/>
      <w:pPr>
        <w:ind w:left="3954" w:hanging="360"/>
      </w:pPr>
    </w:lvl>
    <w:lvl w:ilvl="4" w:tplc="08090019" w:tentative="1">
      <w:start w:val="1"/>
      <w:numFmt w:val="lowerLetter"/>
      <w:lvlText w:val="%5."/>
      <w:lvlJc w:val="left"/>
      <w:pPr>
        <w:ind w:left="4674" w:hanging="360"/>
      </w:pPr>
    </w:lvl>
    <w:lvl w:ilvl="5" w:tplc="0809001B" w:tentative="1">
      <w:start w:val="1"/>
      <w:numFmt w:val="lowerRoman"/>
      <w:lvlText w:val="%6."/>
      <w:lvlJc w:val="right"/>
      <w:pPr>
        <w:ind w:left="5394" w:hanging="180"/>
      </w:pPr>
    </w:lvl>
    <w:lvl w:ilvl="6" w:tplc="0809000F" w:tentative="1">
      <w:start w:val="1"/>
      <w:numFmt w:val="decimal"/>
      <w:lvlText w:val="%7."/>
      <w:lvlJc w:val="left"/>
      <w:pPr>
        <w:ind w:left="6114" w:hanging="360"/>
      </w:pPr>
    </w:lvl>
    <w:lvl w:ilvl="7" w:tplc="08090019" w:tentative="1">
      <w:start w:val="1"/>
      <w:numFmt w:val="lowerLetter"/>
      <w:lvlText w:val="%8."/>
      <w:lvlJc w:val="left"/>
      <w:pPr>
        <w:ind w:left="6834" w:hanging="360"/>
      </w:pPr>
    </w:lvl>
    <w:lvl w:ilvl="8" w:tplc="0809001B" w:tentative="1">
      <w:start w:val="1"/>
      <w:numFmt w:val="lowerRoman"/>
      <w:lvlText w:val="%9."/>
      <w:lvlJc w:val="right"/>
      <w:pPr>
        <w:ind w:left="7554" w:hanging="180"/>
      </w:pPr>
    </w:lvl>
  </w:abstractNum>
  <w:abstractNum w:abstractNumId="44" w15:restartNumberingAfterBreak="0">
    <w:nsid w:val="71064D88"/>
    <w:multiLevelType w:val="hybridMultilevel"/>
    <w:tmpl w:val="DACEA436"/>
    <w:lvl w:ilvl="0" w:tplc="3502039C">
      <w:start w:val="1"/>
      <w:numFmt w:val="bullet"/>
      <w:pStyle w:val="List1"/>
      <w:lvlText w:val=""/>
      <w:lvlJc w:val="left"/>
      <w:pPr>
        <w:ind w:left="720" w:hanging="72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242E3E"/>
    <w:multiLevelType w:val="multilevel"/>
    <w:tmpl w:val="51EEA844"/>
    <w:lvl w:ilvl="0">
      <w:start w:val="1"/>
      <w:numFmt w:val="bullet"/>
      <w:pStyle w:val="GliederungmitAufzhlung"/>
      <w:lvlText w:val=""/>
      <w:lvlJc w:val="left"/>
      <w:pPr>
        <w:tabs>
          <w:tab w:val="num" w:pos="360"/>
        </w:tabs>
        <w:ind w:left="360" w:hanging="360"/>
      </w:pPr>
      <w:rPr>
        <w:rFonts w:ascii="Symbol" w:hAnsi="Symbol" w:hint="default"/>
        <w:sz w:val="28"/>
      </w:rPr>
    </w:lvl>
    <w:lvl w:ilvl="1">
      <w:start w:val="1"/>
      <w:numFmt w:val="bullet"/>
      <w:lvlText w:val=""/>
      <w:lvlJc w:val="left"/>
      <w:pPr>
        <w:tabs>
          <w:tab w:val="num" w:pos="720"/>
        </w:tabs>
        <w:ind w:left="720" w:hanging="360"/>
      </w:pPr>
      <w:rPr>
        <w:rFonts w:ascii="Symbol" w:hAnsi="Symbol" w:hint="default"/>
        <w:sz w:val="24"/>
      </w:rPr>
    </w:lvl>
    <w:lvl w:ilvl="2">
      <w:start w:val="1"/>
      <w:numFmt w:val="bullet"/>
      <w:lvlText w:val=""/>
      <w:lvlJc w:val="left"/>
      <w:pPr>
        <w:tabs>
          <w:tab w:val="num" w:pos="1072"/>
        </w:tabs>
        <w:ind w:left="1072" w:hanging="358"/>
      </w:pPr>
      <w:rPr>
        <w:rFonts w:ascii="Symbol" w:hAnsi="Symbol" w:hint="default"/>
        <w:sz w:val="22"/>
      </w:rPr>
    </w:lvl>
    <w:lvl w:ilvl="3">
      <w:start w:val="1"/>
      <w:numFmt w:val="bullet"/>
      <w:lvlText w:val=""/>
      <w:lvlJc w:val="left"/>
      <w:pPr>
        <w:tabs>
          <w:tab w:val="num" w:pos="1429"/>
        </w:tabs>
        <w:ind w:left="1429" w:hanging="357"/>
      </w:pPr>
      <w:rPr>
        <w:rFonts w:ascii="Symbol" w:hAnsi="Symbol" w:hint="default"/>
        <w:sz w:val="18"/>
      </w:rPr>
    </w:lvl>
    <w:lvl w:ilvl="4">
      <w:start w:val="1"/>
      <w:numFmt w:val="bullet"/>
      <w:lvlText w:val=""/>
      <w:lvlJc w:val="left"/>
      <w:pPr>
        <w:tabs>
          <w:tab w:val="num" w:pos="1786"/>
        </w:tabs>
        <w:ind w:left="1786" w:hanging="357"/>
      </w:pPr>
      <w:rPr>
        <w:rFonts w:ascii="Symbol" w:hAnsi="Symbol" w:hint="default"/>
        <w:sz w:val="16"/>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6" w15:restartNumberingAfterBreak="0">
    <w:nsid w:val="72377034"/>
    <w:multiLevelType w:val="hybridMultilevel"/>
    <w:tmpl w:val="D348E89A"/>
    <w:lvl w:ilvl="0" w:tplc="F42CC6B2">
      <w:start w:val="1"/>
      <w:numFmt w:val="bullet"/>
      <w:pStyle w:val="Aufzhlungszeichen3"/>
      <w:lvlText w:val=""/>
      <w:lvlJc w:val="left"/>
      <w:pPr>
        <w:tabs>
          <w:tab w:val="num" w:pos="357"/>
        </w:tabs>
        <w:ind w:left="357" w:hanging="357"/>
      </w:pPr>
      <w:rPr>
        <w:rFonts w:ascii="Wingdings" w:hAnsi="Wingdings" w:hint="default"/>
        <w:sz w:val="22"/>
      </w:rPr>
    </w:lvl>
    <w:lvl w:ilvl="1" w:tplc="3FFC2FA6" w:tentative="1">
      <w:start w:val="1"/>
      <w:numFmt w:val="bullet"/>
      <w:lvlText w:val="o"/>
      <w:lvlJc w:val="left"/>
      <w:pPr>
        <w:tabs>
          <w:tab w:val="num" w:pos="1440"/>
        </w:tabs>
        <w:ind w:left="1440" w:hanging="360"/>
      </w:pPr>
      <w:rPr>
        <w:rFonts w:ascii="Courier New" w:hAnsi="Courier New" w:hint="default"/>
      </w:rPr>
    </w:lvl>
    <w:lvl w:ilvl="2" w:tplc="4DF4E19A" w:tentative="1">
      <w:start w:val="1"/>
      <w:numFmt w:val="bullet"/>
      <w:lvlText w:val=""/>
      <w:lvlJc w:val="left"/>
      <w:pPr>
        <w:tabs>
          <w:tab w:val="num" w:pos="2160"/>
        </w:tabs>
        <w:ind w:left="2160" w:hanging="360"/>
      </w:pPr>
      <w:rPr>
        <w:rFonts w:ascii="Wingdings" w:hAnsi="Wingdings" w:hint="default"/>
      </w:rPr>
    </w:lvl>
    <w:lvl w:ilvl="3" w:tplc="72105B96" w:tentative="1">
      <w:start w:val="1"/>
      <w:numFmt w:val="bullet"/>
      <w:lvlText w:val=""/>
      <w:lvlJc w:val="left"/>
      <w:pPr>
        <w:tabs>
          <w:tab w:val="num" w:pos="2880"/>
        </w:tabs>
        <w:ind w:left="2880" w:hanging="360"/>
      </w:pPr>
      <w:rPr>
        <w:rFonts w:ascii="Symbol" w:hAnsi="Symbol" w:hint="default"/>
      </w:rPr>
    </w:lvl>
    <w:lvl w:ilvl="4" w:tplc="E61A1B3C" w:tentative="1">
      <w:start w:val="1"/>
      <w:numFmt w:val="bullet"/>
      <w:lvlText w:val="o"/>
      <w:lvlJc w:val="left"/>
      <w:pPr>
        <w:tabs>
          <w:tab w:val="num" w:pos="3600"/>
        </w:tabs>
        <w:ind w:left="3600" w:hanging="360"/>
      </w:pPr>
      <w:rPr>
        <w:rFonts w:ascii="Courier New" w:hAnsi="Courier New" w:hint="default"/>
      </w:rPr>
    </w:lvl>
    <w:lvl w:ilvl="5" w:tplc="160AC6CE" w:tentative="1">
      <w:start w:val="1"/>
      <w:numFmt w:val="bullet"/>
      <w:lvlText w:val=""/>
      <w:lvlJc w:val="left"/>
      <w:pPr>
        <w:tabs>
          <w:tab w:val="num" w:pos="4320"/>
        </w:tabs>
        <w:ind w:left="4320" w:hanging="360"/>
      </w:pPr>
      <w:rPr>
        <w:rFonts w:ascii="Wingdings" w:hAnsi="Wingdings" w:hint="default"/>
      </w:rPr>
    </w:lvl>
    <w:lvl w:ilvl="6" w:tplc="88D27BC4" w:tentative="1">
      <w:start w:val="1"/>
      <w:numFmt w:val="bullet"/>
      <w:lvlText w:val=""/>
      <w:lvlJc w:val="left"/>
      <w:pPr>
        <w:tabs>
          <w:tab w:val="num" w:pos="5040"/>
        </w:tabs>
        <w:ind w:left="5040" w:hanging="360"/>
      </w:pPr>
      <w:rPr>
        <w:rFonts w:ascii="Symbol" w:hAnsi="Symbol" w:hint="default"/>
      </w:rPr>
    </w:lvl>
    <w:lvl w:ilvl="7" w:tplc="8D3A7330" w:tentative="1">
      <w:start w:val="1"/>
      <w:numFmt w:val="bullet"/>
      <w:lvlText w:val="o"/>
      <w:lvlJc w:val="left"/>
      <w:pPr>
        <w:tabs>
          <w:tab w:val="num" w:pos="5760"/>
        </w:tabs>
        <w:ind w:left="5760" w:hanging="360"/>
      </w:pPr>
      <w:rPr>
        <w:rFonts w:ascii="Courier New" w:hAnsi="Courier New" w:hint="default"/>
      </w:rPr>
    </w:lvl>
    <w:lvl w:ilvl="8" w:tplc="7F7ADA40"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499543B"/>
    <w:multiLevelType w:val="multilevel"/>
    <w:tmpl w:val="FA74CB02"/>
    <w:lvl w:ilvl="0">
      <w:start w:val="8"/>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74FC3CAD"/>
    <w:multiLevelType w:val="hybridMultilevel"/>
    <w:tmpl w:val="9508F1A0"/>
    <w:lvl w:ilvl="0" w:tplc="F96AEA86">
      <w:start w:val="1"/>
      <w:numFmt w:val="bullet"/>
      <w:lvlText w:val="-"/>
      <w:lvlJc w:val="left"/>
      <w:pPr>
        <w:ind w:left="360" w:hanging="360"/>
      </w:pPr>
      <w:rPr>
        <w:rFonts w:ascii="Verdana" w:eastAsia="Times New Roman" w:hAnsi="Verdana" w:cs="Times New Roman"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9" w15:restartNumberingAfterBreak="0">
    <w:nsid w:val="77FD6839"/>
    <w:multiLevelType w:val="hybridMultilevel"/>
    <w:tmpl w:val="4CE8BEBA"/>
    <w:lvl w:ilvl="0" w:tplc="E1168B16">
      <w:start w:val="5"/>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34"/>
  </w:num>
  <w:num w:numId="3">
    <w:abstractNumId w:val="46"/>
  </w:num>
  <w:num w:numId="4">
    <w:abstractNumId w:val="27"/>
  </w:num>
  <w:num w:numId="5">
    <w:abstractNumId w:val="39"/>
  </w:num>
  <w:num w:numId="6">
    <w:abstractNumId w:val="22"/>
  </w:num>
  <w:num w:numId="7">
    <w:abstractNumId w:val="45"/>
  </w:num>
  <w:num w:numId="8">
    <w:abstractNumId w:val="11"/>
  </w:num>
  <w:num w:numId="9">
    <w:abstractNumId w:val="37"/>
  </w:num>
  <w:num w:numId="10">
    <w:abstractNumId w:val="19"/>
  </w:num>
  <w:num w:numId="11">
    <w:abstractNumId w:val="29"/>
  </w:num>
  <w:num w:numId="12">
    <w:abstractNumId w:val="13"/>
  </w:num>
  <w:num w:numId="13">
    <w:abstractNumId w:val="38"/>
  </w:num>
  <w:num w:numId="14">
    <w:abstractNumId w:val="33"/>
  </w:num>
  <w:num w:numId="15">
    <w:abstractNumId w:val="17"/>
  </w:num>
  <w:num w:numId="16">
    <w:abstractNumId w:val="28"/>
  </w:num>
  <w:num w:numId="17">
    <w:abstractNumId w:val="16"/>
  </w:num>
  <w:num w:numId="18">
    <w:abstractNumId w:val="40"/>
  </w:num>
  <w:num w:numId="19">
    <w:abstractNumId w:val="6"/>
  </w:num>
  <w:num w:numId="20">
    <w:abstractNumId w:val="9"/>
  </w:num>
  <w:num w:numId="21">
    <w:abstractNumId w:val="18"/>
  </w:num>
  <w:num w:numId="22">
    <w:abstractNumId w:val="25"/>
  </w:num>
  <w:num w:numId="23">
    <w:abstractNumId w:val="32"/>
  </w:num>
  <w:num w:numId="24">
    <w:abstractNumId w:val="41"/>
  </w:num>
  <w:num w:numId="25">
    <w:abstractNumId w:val="10"/>
  </w:num>
  <w:num w:numId="26">
    <w:abstractNumId w:val="23"/>
  </w:num>
  <w:num w:numId="27">
    <w:abstractNumId w:val="31"/>
  </w:num>
  <w:num w:numId="28">
    <w:abstractNumId w:val="7"/>
  </w:num>
  <w:num w:numId="29">
    <w:abstractNumId w:val="8"/>
  </w:num>
  <w:num w:numId="30">
    <w:abstractNumId w:val="35"/>
  </w:num>
  <w:num w:numId="31">
    <w:abstractNumId w:val="48"/>
  </w:num>
  <w:num w:numId="32">
    <w:abstractNumId w:val="12"/>
  </w:num>
  <w:num w:numId="3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num>
  <w:num w:numId="35">
    <w:abstractNumId w:val="49"/>
  </w:num>
  <w:num w:numId="36">
    <w:abstractNumId w:val="4"/>
  </w:num>
  <w:num w:numId="37">
    <w:abstractNumId w:val="43"/>
  </w:num>
  <w:num w:numId="38">
    <w:abstractNumId w:val="47"/>
  </w:num>
  <w:num w:numId="39">
    <w:abstractNumId w:val="24"/>
  </w:num>
  <w:num w:numId="40">
    <w:abstractNumId w:val="2"/>
  </w:num>
  <w:num w:numId="41">
    <w:abstractNumId w:val="20"/>
  </w:num>
  <w:num w:numId="42">
    <w:abstractNumId w:val="44"/>
  </w:num>
  <w:num w:numId="43">
    <w:abstractNumId w:val="1"/>
  </w:num>
  <w:num w:numId="44">
    <w:abstractNumId w:val="42"/>
  </w:num>
  <w:num w:numId="45">
    <w:abstractNumId w:val="30"/>
  </w:num>
  <w:num w:numId="46">
    <w:abstractNumId w:val="0"/>
  </w:num>
  <w:num w:numId="47">
    <w:abstractNumId w:val="14"/>
  </w:num>
  <w:num w:numId="48">
    <w:abstractNumId w:val="26"/>
  </w:num>
  <w:num w:numId="49">
    <w:abstractNumId w:val="21"/>
  </w:num>
  <w:num w:numId="50">
    <w:abstractNumId w:val="38"/>
  </w:num>
  <w:num w:numId="51">
    <w:abstractNumId w:val="17"/>
  </w:num>
  <w:num w:numId="52">
    <w:abstractNumId w:val="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fr-FR" w:vendorID="64" w:dllVersion="131078" w:nlCheck="1" w:checkStyle="0"/>
  <w:activeWritingStyle w:appName="MSWord" w:lang="en-GB" w:vendorID="64" w:dllVersion="131078" w:nlCheck="1" w:checkStyle="0"/>
  <w:activeWritingStyle w:appName="MSWord" w:lang="en-US" w:vendorID="64" w:dllVersion="131078" w:nlCheck="1" w:checkStyle="1"/>
  <w:activeWritingStyle w:appName="MSWord" w:lang="fr-BE" w:vendorID="64" w:dllVersion="131078" w:nlCheck="1" w:checkStyle="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08"/>
  <w:autoHyphenation/>
  <w:hyphenationZone w:val="170"/>
  <w:drawingGridHorizontalSpacing w:val="100"/>
  <w:displayHorizontalDrawingGridEvery w:val="2"/>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FigNum" w:val="1"/>
    <w:docVar w:name="LW_DocType" w:val="NORMAL"/>
  </w:docVars>
  <w:rsids>
    <w:rsidRoot w:val="00884FEB"/>
    <w:rsid w:val="000001EC"/>
    <w:rsid w:val="00000255"/>
    <w:rsid w:val="00000F70"/>
    <w:rsid w:val="000017F3"/>
    <w:rsid w:val="00001AF1"/>
    <w:rsid w:val="000020E5"/>
    <w:rsid w:val="00002933"/>
    <w:rsid w:val="00002E14"/>
    <w:rsid w:val="00004478"/>
    <w:rsid w:val="000044B7"/>
    <w:rsid w:val="00004978"/>
    <w:rsid w:val="00004D21"/>
    <w:rsid w:val="00004FE8"/>
    <w:rsid w:val="00005078"/>
    <w:rsid w:val="00005765"/>
    <w:rsid w:val="00005FFC"/>
    <w:rsid w:val="00007605"/>
    <w:rsid w:val="00007D0D"/>
    <w:rsid w:val="00010124"/>
    <w:rsid w:val="00011AFA"/>
    <w:rsid w:val="00011BD0"/>
    <w:rsid w:val="000120EB"/>
    <w:rsid w:val="00014890"/>
    <w:rsid w:val="00014DC3"/>
    <w:rsid w:val="0001693F"/>
    <w:rsid w:val="00020200"/>
    <w:rsid w:val="00020516"/>
    <w:rsid w:val="00020857"/>
    <w:rsid w:val="00020AF9"/>
    <w:rsid w:val="000212B7"/>
    <w:rsid w:val="0002157C"/>
    <w:rsid w:val="00021A05"/>
    <w:rsid w:val="0002267E"/>
    <w:rsid w:val="00023102"/>
    <w:rsid w:val="000232E2"/>
    <w:rsid w:val="00023383"/>
    <w:rsid w:val="000242CC"/>
    <w:rsid w:val="000243CE"/>
    <w:rsid w:val="0002657F"/>
    <w:rsid w:val="00027235"/>
    <w:rsid w:val="000326C1"/>
    <w:rsid w:val="00033B7C"/>
    <w:rsid w:val="00033C55"/>
    <w:rsid w:val="00034431"/>
    <w:rsid w:val="00034834"/>
    <w:rsid w:val="000359E1"/>
    <w:rsid w:val="000364CE"/>
    <w:rsid w:val="00037093"/>
    <w:rsid w:val="000377CC"/>
    <w:rsid w:val="00037FCC"/>
    <w:rsid w:val="00041480"/>
    <w:rsid w:val="000433C4"/>
    <w:rsid w:val="00045036"/>
    <w:rsid w:val="0004590F"/>
    <w:rsid w:val="00052CAE"/>
    <w:rsid w:val="000530BC"/>
    <w:rsid w:val="0005400A"/>
    <w:rsid w:val="000548A2"/>
    <w:rsid w:val="0005609F"/>
    <w:rsid w:val="000565B6"/>
    <w:rsid w:val="00056C0F"/>
    <w:rsid w:val="00056C8D"/>
    <w:rsid w:val="00057154"/>
    <w:rsid w:val="00057362"/>
    <w:rsid w:val="0005746D"/>
    <w:rsid w:val="00061C24"/>
    <w:rsid w:val="00061E48"/>
    <w:rsid w:val="00062A1F"/>
    <w:rsid w:val="00063085"/>
    <w:rsid w:val="00063B3F"/>
    <w:rsid w:val="00064158"/>
    <w:rsid w:val="0006666B"/>
    <w:rsid w:val="00067DC1"/>
    <w:rsid w:val="00067EEA"/>
    <w:rsid w:val="00070AF9"/>
    <w:rsid w:val="00070E18"/>
    <w:rsid w:val="00071341"/>
    <w:rsid w:val="000716F4"/>
    <w:rsid w:val="00071D95"/>
    <w:rsid w:val="000758FE"/>
    <w:rsid w:val="00076091"/>
    <w:rsid w:val="00076880"/>
    <w:rsid w:val="00077C5F"/>
    <w:rsid w:val="0008111C"/>
    <w:rsid w:val="0008126E"/>
    <w:rsid w:val="00082265"/>
    <w:rsid w:val="000828C6"/>
    <w:rsid w:val="000843B3"/>
    <w:rsid w:val="00084A4D"/>
    <w:rsid w:val="000858A9"/>
    <w:rsid w:val="00086C6E"/>
    <w:rsid w:val="00087700"/>
    <w:rsid w:val="00087E1A"/>
    <w:rsid w:val="000903FA"/>
    <w:rsid w:val="000904F3"/>
    <w:rsid w:val="000911FE"/>
    <w:rsid w:val="0009195D"/>
    <w:rsid w:val="00092F67"/>
    <w:rsid w:val="00093686"/>
    <w:rsid w:val="00094D25"/>
    <w:rsid w:val="00095191"/>
    <w:rsid w:val="00096566"/>
    <w:rsid w:val="00096876"/>
    <w:rsid w:val="0009761E"/>
    <w:rsid w:val="00097A17"/>
    <w:rsid w:val="00097C81"/>
    <w:rsid w:val="00097E91"/>
    <w:rsid w:val="000A1955"/>
    <w:rsid w:val="000A3B1A"/>
    <w:rsid w:val="000A46E0"/>
    <w:rsid w:val="000A4B61"/>
    <w:rsid w:val="000A4C10"/>
    <w:rsid w:val="000A57BC"/>
    <w:rsid w:val="000A7D27"/>
    <w:rsid w:val="000B0B09"/>
    <w:rsid w:val="000B0E46"/>
    <w:rsid w:val="000B0EBE"/>
    <w:rsid w:val="000B13A1"/>
    <w:rsid w:val="000B3C33"/>
    <w:rsid w:val="000B3E00"/>
    <w:rsid w:val="000B6A14"/>
    <w:rsid w:val="000B70E1"/>
    <w:rsid w:val="000B73C4"/>
    <w:rsid w:val="000C0127"/>
    <w:rsid w:val="000C0A34"/>
    <w:rsid w:val="000C24B5"/>
    <w:rsid w:val="000C30A6"/>
    <w:rsid w:val="000C4A6C"/>
    <w:rsid w:val="000C5A1A"/>
    <w:rsid w:val="000C5EA7"/>
    <w:rsid w:val="000C6938"/>
    <w:rsid w:val="000C7632"/>
    <w:rsid w:val="000C7EAA"/>
    <w:rsid w:val="000D04B6"/>
    <w:rsid w:val="000D0A23"/>
    <w:rsid w:val="000D194E"/>
    <w:rsid w:val="000D220D"/>
    <w:rsid w:val="000D3CBC"/>
    <w:rsid w:val="000D4352"/>
    <w:rsid w:val="000D5292"/>
    <w:rsid w:val="000D5958"/>
    <w:rsid w:val="000D6B9B"/>
    <w:rsid w:val="000E093A"/>
    <w:rsid w:val="000E1572"/>
    <w:rsid w:val="000E197A"/>
    <w:rsid w:val="000E2774"/>
    <w:rsid w:val="000E29C9"/>
    <w:rsid w:val="000E3F99"/>
    <w:rsid w:val="000E40DD"/>
    <w:rsid w:val="000E6835"/>
    <w:rsid w:val="000E7BA8"/>
    <w:rsid w:val="000E7F08"/>
    <w:rsid w:val="000F11B2"/>
    <w:rsid w:val="000F13F9"/>
    <w:rsid w:val="000F1CEA"/>
    <w:rsid w:val="000F2EC8"/>
    <w:rsid w:val="000F2F09"/>
    <w:rsid w:val="000F33AF"/>
    <w:rsid w:val="000F46D5"/>
    <w:rsid w:val="000F4702"/>
    <w:rsid w:val="000F6A80"/>
    <w:rsid w:val="000F6B25"/>
    <w:rsid w:val="000F7045"/>
    <w:rsid w:val="000F70EC"/>
    <w:rsid w:val="0010177C"/>
    <w:rsid w:val="00102C6F"/>
    <w:rsid w:val="00104370"/>
    <w:rsid w:val="0010455D"/>
    <w:rsid w:val="00104A65"/>
    <w:rsid w:val="0010559F"/>
    <w:rsid w:val="00105A75"/>
    <w:rsid w:val="0010605A"/>
    <w:rsid w:val="00106FC5"/>
    <w:rsid w:val="00110F40"/>
    <w:rsid w:val="00113E45"/>
    <w:rsid w:val="00113EA5"/>
    <w:rsid w:val="001151C1"/>
    <w:rsid w:val="0011539B"/>
    <w:rsid w:val="00115685"/>
    <w:rsid w:val="0012049B"/>
    <w:rsid w:val="001219C2"/>
    <w:rsid w:val="00124A44"/>
    <w:rsid w:val="00124B85"/>
    <w:rsid w:val="001250CC"/>
    <w:rsid w:val="00125707"/>
    <w:rsid w:val="00125D44"/>
    <w:rsid w:val="00125DEE"/>
    <w:rsid w:val="00126395"/>
    <w:rsid w:val="001273B5"/>
    <w:rsid w:val="00127986"/>
    <w:rsid w:val="00127FEA"/>
    <w:rsid w:val="00130586"/>
    <w:rsid w:val="00130EEF"/>
    <w:rsid w:val="001323BF"/>
    <w:rsid w:val="00132778"/>
    <w:rsid w:val="00133107"/>
    <w:rsid w:val="001331F5"/>
    <w:rsid w:val="00133396"/>
    <w:rsid w:val="00133AC1"/>
    <w:rsid w:val="00136316"/>
    <w:rsid w:val="00137AC5"/>
    <w:rsid w:val="001402DB"/>
    <w:rsid w:val="001409D9"/>
    <w:rsid w:val="00140F6E"/>
    <w:rsid w:val="00141DD1"/>
    <w:rsid w:val="0014210E"/>
    <w:rsid w:val="00142917"/>
    <w:rsid w:val="001432EE"/>
    <w:rsid w:val="00144F03"/>
    <w:rsid w:val="001452FC"/>
    <w:rsid w:val="0014657C"/>
    <w:rsid w:val="00146D50"/>
    <w:rsid w:val="001474E0"/>
    <w:rsid w:val="0015008C"/>
    <w:rsid w:val="00151071"/>
    <w:rsid w:val="00151B44"/>
    <w:rsid w:val="00151D8A"/>
    <w:rsid w:val="0015288B"/>
    <w:rsid w:val="00152B33"/>
    <w:rsid w:val="00153BEC"/>
    <w:rsid w:val="00154859"/>
    <w:rsid w:val="001550FA"/>
    <w:rsid w:val="00155114"/>
    <w:rsid w:val="00156555"/>
    <w:rsid w:val="001570C4"/>
    <w:rsid w:val="00157B19"/>
    <w:rsid w:val="0016072E"/>
    <w:rsid w:val="0016282F"/>
    <w:rsid w:val="001628F4"/>
    <w:rsid w:val="00162CCF"/>
    <w:rsid w:val="00163DBA"/>
    <w:rsid w:val="00164970"/>
    <w:rsid w:val="00164B62"/>
    <w:rsid w:val="00167619"/>
    <w:rsid w:val="00167E59"/>
    <w:rsid w:val="001721BD"/>
    <w:rsid w:val="001734AB"/>
    <w:rsid w:val="0017440D"/>
    <w:rsid w:val="00175957"/>
    <w:rsid w:val="001771A4"/>
    <w:rsid w:val="00181174"/>
    <w:rsid w:val="00181888"/>
    <w:rsid w:val="00181AC7"/>
    <w:rsid w:val="001822DF"/>
    <w:rsid w:val="00183B7A"/>
    <w:rsid w:val="00184045"/>
    <w:rsid w:val="001840A5"/>
    <w:rsid w:val="001843F9"/>
    <w:rsid w:val="00184E8A"/>
    <w:rsid w:val="0018533B"/>
    <w:rsid w:val="001854F6"/>
    <w:rsid w:val="00185877"/>
    <w:rsid w:val="00187348"/>
    <w:rsid w:val="00187488"/>
    <w:rsid w:val="0019088A"/>
    <w:rsid w:val="00190FA3"/>
    <w:rsid w:val="001919E9"/>
    <w:rsid w:val="001924F4"/>
    <w:rsid w:val="00192744"/>
    <w:rsid w:val="0019394E"/>
    <w:rsid w:val="001959EF"/>
    <w:rsid w:val="0019727D"/>
    <w:rsid w:val="00197C28"/>
    <w:rsid w:val="001A0143"/>
    <w:rsid w:val="001A2115"/>
    <w:rsid w:val="001A217F"/>
    <w:rsid w:val="001A370B"/>
    <w:rsid w:val="001A3980"/>
    <w:rsid w:val="001A44B3"/>
    <w:rsid w:val="001A523B"/>
    <w:rsid w:val="001A531E"/>
    <w:rsid w:val="001A627D"/>
    <w:rsid w:val="001A741B"/>
    <w:rsid w:val="001A7742"/>
    <w:rsid w:val="001B023A"/>
    <w:rsid w:val="001B140A"/>
    <w:rsid w:val="001B1531"/>
    <w:rsid w:val="001B1F77"/>
    <w:rsid w:val="001B21AE"/>
    <w:rsid w:val="001B43BD"/>
    <w:rsid w:val="001B44EE"/>
    <w:rsid w:val="001B4EA5"/>
    <w:rsid w:val="001B5499"/>
    <w:rsid w:val="001B5725"/>
    <w:rsid w:val="001B6D4D"/>
    <w:rsid w:val="001B7D0F"/>
    <w:rsid w:val="001B7F1A"/>
    <w:rsid w:val="001C1392"/>
    <w:rsid w:val="001C1571"/>
    <w:rsid w:val="001C24B0"/>
    <w:rsid w:val="001C2A41"/>
    <w:rsid w:val="001C2BA5"/>
    <w:rsid w:val="001C3443"/>
    <w:rsid w:val="001C36B0"/>
    <w:rsid w:val="001C3D30"/>
    <w:rsid w:val="001C5557"/>
    <w:rsid w:val="001C5CA8"/>
    <w:rsid w:val="001C6166"/>
    <w:rsid w:val="001C6416"/>
    <w:rsid w:val="001C7897"/>
    <w:rsid w:val="001C79CB"/>
    <w:rsid w:val="001C7AB7"/>
    <w:rsid w:val="001C7F2A"/>
    <w:rsid w:val="001D1D37"/>
    <w:rsid w:val="001D1F64"/>
    <w:rsid w:val="001D2FE6"/>
    <w:rsid w:val="001D3409"/>
    <w:rsid w:val="001D4848"/>
    <w:rsid w:val="001D4B9D"/>
    <w:rsid w:val="001D5403"/>
    <w:rsid w:val="001D6D7C"/>
    <w:rsid w:val="001D7382"/>
    <w:rsid w:val="001E01BA"/>
    <w:rsid w:val="001E0C80"/>
    <w:rsid w:val="001E332C"/>
    <w:rsid w:val="001E38FD"/>
    <w:rsid w:val="001E39E5"/>
    <w:rsid w:val="001E3EF1"/>
    <w:rsid w:val="001E5A75"/>
    <w:rsid w:val="001E6127"/>
    <w:rsid w:val="001E6B9D"/>
    <w:rsid w:val="001E7AE4"/>
    <w:rsid w:val="001E7EA7"/>
    <w:rsid w:val="001F0111"/>
    <w:rsid w:val="001F0D60"/>
    <w:rsid w:val="001F1711"/>
    <w:rsid w:val="001F1B80"/>
    <w:rsid w:val="001F2830"/>
    <w:rsid w:val="001F2920"/>
    <w:rsid w:val="001F3BBE"/>
    <w:rsid w:val="001F3D6A"/>
    <w:rsid w:val="001F4225"/>
    <w:rsid w:val="001F5AC3"/>
    <w:rsid w:val="001F6487"/>
    <w:rsid w:val="001F73EA"/>
    <w:rsid w:val="00200D6E"/>
    <w:rsid w:val="00200E8E"/>
    <w:rsid w:val="00201704"/>
    <w:rsid w:val="00201F3E"/>
    <w:rsid w:val="00202198"/>
    <w:rsid w:val="00202742"/>
    <w:rsid w:val="0020282E"/>
    <w:rsid w:val="00206687"/>
    <w:rsid w:val="00206D7E"/>
    <w:rsid w:val="00211293"/>
    <w:rsid w:val="00213102"/>
    <w:rsid w:val="0021389C"/>
    <w:rsid w:val="00213DC3"/>
    <w:rsid w:val="00213E0E"/>
    <w:rsid w:val="00214FDA"/>
    <w:rsid w:val="00215548"/>
    <w:rsid w:val="00216D67"/>
    <w:rsid w:val="0021767A"/>
    <w:rsid w:val="00220265"/>
    <w:rsid w:val="00221103"/>
    <w:rsid w:val="00221C2F"/>
    <w:rsid w:val="00222596"/>
    <w:rsid w:val="002229FF"/>
    <w:rsid w:val="00222AC6"/>
    <w:rsid w:val="00222CD3"/>
    <w:rsid w:val="0022311E"/>
    <w:rsid w:val="0022315F"/>
    <w:rsid w:val="00224016"/>
    <w:rsid w:val="00224828"/>
    <w:rsid w:val="002249DB"/>
    <w:rsid w:val="00224FE5"/>
    <w:rsid w:val="0022597E"/>
    <w:rsid w:val="00225D42"/>
    <w:rsid w:val="002300C6"/>
    <w:rsid w:val="002301C6"/>
    <w:rsid w:val="00230536"/>
    <w:rsid w:val="002305D2"/>
    <w:rsid w:val="00230DA8"/>
    <w:rsid w:val="00232217"/>
    <w:rsid w:val="00232702"/>
    <w:rsid w:val="0023276A"/>
    <w:rsid w:val="002327CE"/>
    <w:rsid w:val="00233577"/>
    <w:rsid w:val="0023488F"/>
    <w:rsid w:val="00234E7D"/>
    <w:rsid w:val="0023571F"/>
    <w:rsid w:val="002357EA"/>
    <w:rsid w:val="00235897"/>
    <w:rsid w:val="002367E6"/>
    <w:rsid w:val="00236E33"/>
    <w:rsid w:val="0023700C"/>
    <w:rsid w:val="00237276"/>
    <w:rsid w:val="0023738B"/>
    <w:rsid w:val="0023769E"/>
    <w:rsid w:val="002376B2"/>
    <w:rsid w:val="002409C1"/>
    <w:rsid w:val="00240B06"/>
    <w:rsid w:val="00241190"/>
    <w:rsid w:val="00241845"/>
    <w:rsid w:val="00242134"/>
    <w:rsid w:val="002423CA"/>
    <w:rsid w:val="0024244E"/>
    <w:rsid w:val="0024258C"/>
    <w:rsid w:val="002446F1"/>
    <w:rsid w:val="002450B6"/>
    <w:rsid w:val="00245325"/>
    <w:rsid w:val="00245E37"/>
    <w:rsid w:val="00246BCA"/>
    <w:rsid w:val="00246F65"/>
    <w:rsid w:val="00250176"/>
    <w:rsid w:val="002506A3"/>
    <w:rsid w:val="00251CF4"/>
    <w:rsid w:val="00251F24"/>
    <w:rsid w:val="00252454"/>
    <w:rsid w:val="0025267A"/>
    <w:rsid w:val="0025290C"/>
    <w:rsid w:val="00253022"/>
    <w:rsid w:val="002530E8"/>
    <w:rsid w:val="002540B2"/>
    <w:rsid w:val="002547C1"/>
    <w:rsid w:val="00254DF6"/>
    <w:rsid w:val="00255BA9"/>
    <w:rsid w:val="0025607F"/>
    <w:rsid w:val="002562F9"/>
    <w:rsid w:val="00257BF5"/>
    <w:rsid w:val="00257FBC"/>
    <w:rsid w:val="00260AA2"/>
    <w:rsid w:val="002618F4"/>
    <w:rsid w:val="00261B63"/>
    <w:rsid w:val="002625C0"/>
    <w:rsid w:val="00262B22"/>
    <w:rsid w:val="00262B48"/>
    <w:rsid w:val="00262C1B"/>
    <w:rsid w:val="002630FB"/>
    <w:rsid w:val="0026352F"/>
    <w:rsid w:val="002647D2"/>
    <w:rsid w:val="0026485D"/>
    <w:rsid w:val="002648B0"/>
    <w:rsid w:val="00264C8C"/>
    <w:rsid w:val="002664C7"/>
    <w:rsid w:val="002669F8"/>
    <w:rsid w:val="002678CE"/>
    <w:rsid w:val="00267A21"/>
    <w:rsid w:val="0027034D"/>
    <w:rsid w:val="00271C8B"/>
    <w:rsid w:val="00272F65"/>
    <w:rsid w:val="00273432"/>
    <w:rsid w:val="002735FE"/>
    <w:rsid w:val="002754C0"/>
    <w:rsid w:val="00276720"/>
    <w:rsid w:val="00276B41"/>
    <w:rsid w:val="00277058"/>
    <w:rsid w:val="002771C5"/>
    <w:rsid w:val="002805FD"/>
    <w:rsid w:val="0028072E"/>
    <w:rsid w:val="00280B99"/>
    <w:rsid w:val="00283B5F"/>
    <w:rsid w:val="00283C5E"/>
    <w:rsid w:val="00284A6D"/>
    <w:rsid w:val="00285E2F"/>
    <w:rsid w:val="0028628A"/>
    <w:rsid w:val="00290CAD"/>
    <w:rsid w:val="002917CA"/>
    <w:rsid w:val="002920FF"/>
    <w:rsid w:val="00292409"/>
    <w:rsid w:val="00292A20"/>
    <w:rsid w:val="00294B07"/>
    <w:rsid w:val="0029520F"/>
    <w:rsid w:val="00295225"/>
    <w:rsid w:val="0029630E"/>
    <w:rsid w:val="00297074"/>
    <w:rsid w:val="0029716F"/>
    <w:rsid w:val="0029726F"/>
    <w:rsid w:val="002A04D3"/>
    <w:rsid w:val="002A09D5"/>
    <w:rsid w:val="002A1B49"/>
    <w:rsid w:val="002A36BB"/>
    <w:rsid w:val="002A4B85"/>
    <w:rsid w:val="002A5969"/>
    <w:rsid w:val="002A5BC5"/>
    <w:rsid w:val="002A6913"/>
    <w:rsid w:val="002A7C84"/>
    <w:rsid w:val="002B004B"/>
    <w:rsid w:val="002B15B5"/>
    <w:rsid w:val="002B1600"/>
    <w:rsid w:val="002B2BA3"/>
    <w:rsid w:val="002B3E36"/>
    <w:rsid w:val="002B5403"/>
    <w:rsid w:val="002B5492"/>
    <w:rsid w:val="002B5B50"/>
    <w:rsid w:val="002B5CD1"/>
    <w:rsid w:val="002B5F2D"/>
    <w:rsid w:val="002B66BD"/>
    <w:rsid w:val="002C0206"/>
    <w:rsid w:val="002C053E"/>
    <w:rsid w:val="002C06FD"/>
    <w:rsid w:val="002C1068"/>
    <w:rsid w:val="002C1251"/>
    <w:rsid w:val="002C1FEC"/>
    <w:rsid w:val="002C37D9"/>
    <w:rsid w:val="002C41F1"/>
    <w:rsid w:val="002C4D74"/>
    <w:rsid w:val="002C5671"/>
    <w:rsid w:val="002C6263"/>
    <w:rsid w:val="002C66A4"/>
    <w:rsid w:val="002C674A"/>
    <w:rsid w:val="002D2C75"/>
    <w:rsid w:val="002D31E5"/>
    <w:rsid w:val="002D3982"/>
    <w:rsid w:val="002D4561"/>
    <w:rsid w:val="002D4E10"/>
    <w:rsid w:val="002D4F6A"/>
    <w:rsid w:val="002D6B9E"/>
    <w:rsid w:val="002D7779"/>
    <w:rsid w:val="002E0148"/>
    <w:rsid w:val="002E0174"/>
    <w:rsid w:val="002E053A"/>
    <w:rsid w:val="002E0DDB"/>
    <w:rsid w:val="002E136A"/>
    <w:rsid w:val="002E2061"/>
    <w:rsid w:val="002E2164"/>
    <w:rsid w:val="002E3720"/>
    <w:rsid w:val="002E4EB7"/>
    <w:rsid w:val="002E5096"/>
    <w:rsid w:val="002E587F"/>
    <w:rsid w:val="002F07EA"/>
    <w:rsid w:val="002F0FB3"/>
    <w:rsid w:val="002F1163"/>
    <w:rsid w:val="002F170E"/>
    <w:rsid w:val="002F1920"/>
    <w:rsid w:val="002F19BB"/>
    <w:rsid w:val="002F1E8D"/>
    <w:rsid w:val="002F2663"/>
    <w:rsid w:val="002F29AF"/>
    <w:rsid w:val="002F39A7"/>
    <w:rsid w:val="002F4A67"/>
    <w:rsid w:val="002F4A87"/>
    <w:rsid w:val="002F5571"/>
    <w:rsid w:val="002F78EA"/>
    <w:rsid w:val="002F79EA"/>
    <w:rsid w:val="002F7E28"/>
    <w:rsid w:val="00300224"/>
    <w:rsid w:val="00302C3F"/>
    <w:rsid w:val="00303974"/>
    <w:rsid w:val="00304CA5"/>
    <w:rsid w:val="0030572F"/>
    <w:rsid w:val="00306163"/>
    <w:rsid w:val="00306AD1"/>
    <w:rsid w:val="00306F71"/>
    <w:rsid w:val="00306F8E"/>
    <w:rsid w:val="003073B2"/>
    <w:rsid w:val="0031001C"/>
    <w:rsid w:val="003105C6"/>
    <w:rsid w:val="00310F05"/>
    <w:rsid w:val="00310F96"/>
    <w:rsid w:val="00311119"/>
    <w:rsid w:val="00311B2D"/>
    <w:rsid w:val="00312BA3"/>
    <w:rsid w:val="003132E6"/>
    <w:rsid w:val="003137B9"/>
    <w:rsid w:val="00313D20"/>
    <w:rsid w:val="003141F6"/>
    <w:rsid w:val="003172C8"/>
    <w:rsid w:val="00320BB4"/>
    <w:rsid w:val="00321A3B"/>
    <w:rsid w:val="003220BD"/>
    <w:rsid w:val="00325654"/>
    <w:rsid w:val="003259DA"/>
    <w:rsid w:val="0032635E"/>
    <w:rsid w:val="0032755B"/>
    <w:rsid w:val="003300FF"/>
    <w:rsid w:val="00330199"/>
    <w:rsid w:val="00331FE6"/>
    <w:rsid w:val="00333A44"/>
    <w:rsid w:val="00334093"/>
    <w:rsid w:val="003374C1"/>
    <w:rsid w:val="00337849"/>
    <w:rsid w:val="00337BEA"/>
    <w:rsid w:val="00340094"/>
    <w:rsid w:val="003400BB"/>
    <w:rsid w:val="00342261"/>
    <w:rsid w:val="00342B6A"/>
    <w:rsid w:val="00342C4B"/>
    <w:rsid w:val="003438E8"/>
    <w:rsid w:val="003459F8"/>
    <w:rsid w:val="00345A82"/>
    <w:rsid w:val="00345E53"/>
    <w:rsid w:val="00346C65"/>
    <w:rsid w:val="0034786E"/>
    <w:rsid w:val="00347FF9"/>
    <w:rsid w:val="00350DDB"/>
    <w:rsid w:val="00352A45"/>
    <w:rsid w:val="00352C6E"/>
    <w:rsid w:val="00352FB3"/>
    <w:rsid w:val="00353D40"/>
    <w:rsid w:val="003556A3"/>
    <w:rsid w:val="00356773"/>
    <w:rsid w:val="00357CD1"/>
    <w:rsid w:val="00357F63"/>
    <w:rsid w:val="003616A1"/>
    <w:rsid w:val="00361D60"/>
    <w:rsid w:val="00363969"/>
    <w:rsid w:val="0036415F"/>
    <w:rsid w:val="00364EBB"/>
    <w:rsid w:val="00366794"/>
    <w:rsid w:val="00366CAF"/>
    <w:rsid w:val="00370576"/>
    <w:rsid w:val="00370D79"/>
    <w:rsid w:val="00371593"/>
    <w:rsid w:val="00371653"/>
    <w:rsid w:val="00373E3E"/>
    <w:rsid w:val="00375C47"/>
    <w:rsid w:val="00380D47"/>
    <w:rsid w:val="003812AC"/>
    <w:rsid w:val="003813DF"/>
    <w:rsid w:val="0038147E"/>
    <w:rsid w:val="00381685"/>
    <w:rsid w:val="003826D9"/>
    <w:rsid w:val="00383D4B"/>
    <w:rsid w:val="00383FF2"/>
    <w:rsid w:val="00386492"/>
    <w:rsid w:val="00387E40"/>
    <w:rsid w:val="003908C5"/>
    <w:rsid w:val="00390DDA"/>
    <w:rsid w:val="00391406"/>
    <w:rsid w:val="003927BE"/>
    <w:rsid w:val="00392C11"/>
    <w:rsid w:val="00392FFD"/>
    <w:rsid w:val="0039346B"/>
    <w:rsid w:val="00393539"/>
    <w:rsid w:val="00393FF2"/>
    <w:rsid w:val="00394410"/>
    <w:rsid w:val="00394FF1"/>
    <w:rsid w:val="003953E6"/>
    <w:rsid w:val="00397314"/>
    <w:rsid w:val="00397A77"/>
    <w:rsid w:val="003A07D6"/>
    <w:rsid w:val="003A0835"/>
    <w:rsid w:val="003A0C05"/>
    <w:rsid w:val="003A1469"/>
    <w:rsid w:val="003A1B96"/>
    <w:rsid w:val="003A200A"/>
    <w:rsid w:val="003A3877"/>
    <w:rsid w:val="003A449C"/>
    <w:rsid w:val="003A497B"/>
    <w:rsid w:val="003A4C8B"/>
    <w:rsid w:val="003A5743"/>
    <w:rsid w:val="003A5D8C"/>
    <w:rsid w:val="003A7214"/>
    <w:rsid w:val="003B00F4"/>
    <w:rsid w:val="003B05AE"/>
    <w:rsid w:val="003B06B9"/>
    <w:rsid w:val="003B20D7"/>
    <w:rsid w:val="003B25F0"/>
    <w:rsid w:val="003B2712"/>
    <w:rsid w:val="003B3112"/>
    <w:rsid w:val="003B3533"/>
    <w:rsid w:val="003B3DBB"/>
    <w:rsid w:val="003B7060"/>
    <w:rsid w:val="003C050A"/>
    <w:rsid w:val="003C0FB5"/>
    <w:rsid w:val="003C1BB1"/>
    <w:rsid w:val="003C2409"/>
    <w:rsid w:val="003C2566"/>
    <w:rsid w:val="003C3168"/>
    <w:rsid w:val="003C3AAB"/>
    <w:rsid w:val="003C3B79"/>
    <w:rsid w:val="003C3FD5"/>
    <w:rsid w:val="003C4307"/>
    <w:rsid w:val="003C60B9"/>
    <w:rsid w:val="003C7853"/>
    <w:rsid w:val="003D07E3"/>
    <w:rsid w:val="003D10E9"/>
    <w:rsid w:val="003D14AE"/>
    <w:rsid w:val="003D1657"/>
    <w:rsid w:val="003D17D0"/>
    <w:rsid w:val="003D199D"/>
    <w:rsid w:val="003D3CED"/>
    <w:rsid w:val="003D431C"/>
    <w:rsid w:val="003D485B"/>
    <w:rsid w:val="003D56DE"/>
    <w:rsid w:val="003D655D"/>
    <w:rsid w:val="003D69CB"/>
    <w:rsid w:val="003D725D"/>
    <w:rsid w:val="003D7822"/>
    <w:rsid w:val="003D7F50"/>
    <w:rsid w:val="003E098F"/>
    <w:rsid w:val="003E3102"/>
    <w:rsid w:val="003E47C5"/>
    <w:rsid w:val="003E4EF2"/>
    <w:rsid w:val="003E5145"/>
    <w:rsid w:val="003E52DA"/>
    <w:rsid w:val="003E7AEC"/>
    <w:rsid w:val="003F0298"/>
    <w:rsid w:val="003F05A0"/>
    <w:rsid w:val="003F1103"/>
    <w:rsid w:val="003F15BB"/>
    <w:rsid w:val="003F17BB"/>
    <w:rsid w:val="003F19BA"/>
    <w:rsid w:val="003F3523"/>
    <w:rsid w:val="00401111"/>
    <w:rsid w:val="0040156B"/>
    <w:rsid w:val="0040521E"/>
    <w:rsid w:val="00405C0A"/>
    <w:rsid w:val="00407110"/>
    <w:rsid w:val="00407505"/>
    <w:rsid w:val="00407936"/>
    <w:rsid w:val="00410796"/>
    <w:rsid w:val="004120DF"/>
    <w:rsid w:val="004129D0"/>
    <w:rsid w:val="00412D44"/>
    <w:rsid w:val="004133D9"/>
    <w:rsid w:val="004134E6"/>
    <w:rsid w:val="00415A1B"/>
    <w:rsid w:val="00417984"/>
    <w:rsid w:val="00422449"/>
    <w:rsid w:val="00423556"/>
    <w:rsid w:val="00423F7E"/>
    <w:rsid w:val="004255D6"/>
    <w:rsid w:val="0042594B"/>
    <w:rsid w:val="00425F4C"/>
    <w:rsid w:val="0042766A"/>
    <w:rsid w:val="0043001B"/>
    <w:rsid w:val="004304C0"/>
    <w:rsid w:val="00430F6F"/>
    <w:rsid w:val="0043168D"/>
    <w:rsid w:val="004317F7"/>
    <w:rsid w:val="004319EB"/>
    <w:rsid w:val="0043231D"/>
    <w:rsid w:val="004350F2"/>
    <w:rsid w:val="004357B9"/>
    <w:rsid w:val="00436204"/>
    <w:rsid w:val="00436490"/>
    <w:rsid w:val="00436A46"/>
    <w:rsid w:val="00436BBC"/>
    <w:rsid w:val="004377DA"/>
    <w:rsid w:val="004377E2"/>
    <w:rsid w:val="004408E7"/>
    <w:rsid w:val="00441F78"/>
    <w:rsid w:val="00443003"/>
    <w:rsid w:val="00443DD0"/>
    <w:rsid w:val="0044539D"/>
    <w:rsid w:val="00445E06"/>
    <w:rsid w:val="0044639C"/>
    <w:rsid w:val="0045099E"/>
    <w:rsid w:val="00450A2E"/>
    <w:rsid w:val="00451220"/>
    <w:rsid w:val="00451B63"/>
    <w:rsid w:val="00452FEF"/>
    <w:rsid w:val="00453999"/>
    <w:rsid w:val="00454026"/>
    <w:rsid w:val="00454082"/>
    <w:rsid w:val="00454139"/>
    <w:rsid w:val="00454CFC"/>
    <w:rsid w:val="00455364"/>
    <w:rsid w:val="00455B49"/>
    <w:rsid w:val="004600E4"/>
    <w:rsid w:val="004603C7"/>
    <w:rsid w:val="00460A9C"/>
    <w:rsid w:val="00461A5A"/>
    <w:rsid w:val="004629A2"/>
    <w:rsid w:val="00462BAB"/>
    <w:rsid w:val="00463F88"/>
    <w:rsid w:val="00464DCB"/>
    <w:rsid w:val="00464F34"/>
    <w:rsid w:val="00467F08"/>
    <w:rsid w:val="00471A96"/>
    <w:rsid w:val="00474C49"/>
    <w:rsid w:val="0047503C"/>
    <w:rsid w:val="0047563E"/>
    <w:rsid w:val="00475B6A"/>
    <w:rsid w:val="0047602E"/>
    <w:rsid w:val="00476209"/>
    <w:rsid w:val="00476566"/>
    <w:rsid w:val="004766D4"/>
    <w:rsid w:val="0047693D"/>
    <w:rsid w:val="004773AB"/>
    <w:rsid w:val="00477C45"/>
    <w:rsid w:val="00477CB6"/>
    <w:rsid w:val="00480A69"/>
    <w:rsid w:val="0048116C"/>
    <w:rsid w:val="0048143B"/>
    <w:rsid w:val="0048345E"/>
    <w:rsid w:val="00483FC9"/>
    <w:rsid w:val="00484DDA"/>
    <w:rsid w:val="004852B9"/>
    <w:rsid w:val="00486DA5"/>
    <w:rsid w:val="00487597"/>
    <w:rsid w:val="00487A02"/>
    <w:rsid w:val="004901BE"/>
    <w:rsid w:val="004913CE"/>
    <w:rsid w:val="00491F4D"/>
    <w:rsid w:val="00492D77"/>
    <w:rsid w:val="00493D5E"/>
    <w:rsid w:val="00496C53"/>
    <w:rsid w:val="00496F5D"/>
    <w:rsid w:val="004970FA"/>
    <w:rsid w:val="00497D60"/>
    <w:rsid w:val="004A01BF"/>
    <w:rsid w:val="004A0885"/>
    <w:rsid w:val="004A0D4A"/>
    <w:rsid w:val="004A11BD"/>
    <w:rsid w:val="004A1D97"/>
    <w:rsid w:val="004A3247"/>
    <w:rsid w:val="004A3A58"/>
    <w:rsid w:val="004A3B3D"/>
    <w:rsid w:val="004A47BA"/>
    <w:rsid w:val="004A5880"/>
    <w:rsid w:val="004A6C52"/>
    <w:rsid w:val="004A6FAC"/>
    <w:rsid w:val="004A705D"/>
    <w:rsid w:val="004A7B60"/>
    <w:rsid w:val="004B031B"/>
    <w:rsid w:val="004B135C"/>
    <w:rsid w:val="004B2A17"/>
    <w:rsid w:val="004B38D3"/>
    <w:rsid w:val="004B38D7"/>
    <w:rsid w:val="004B3B58"/>
    <w:rsid w:val="004B4DF9"/>
    <w:rsid w:val="004B572C"/>
    <w:rsid w:val="004B584D"/>
    <w:rsid w:val="004B5870"/>
    <w:rsid w:val="004B67ED"/>
    <w:rsid w:val="004B7F4A"/>
    <w:rsid w:val="004C03BC"/>
    <w:rsid w:val="004C0508"/>
    <w:rsid w:val="004C15A0"/>
    <w:rsid w:val="004C1ACF"/>
    <w:rsid w:val="004C4478"/>
    <w:rsid w:val="004C6E6F"/>
    <w:rsid w:val="004C74EC"/>
    <w:rsid w:val="004D0C15"/>
    <w:rsid w:val="004D2031"/>
    <w:rsid w:val="004D2753"/>
    <w:rsid w:val="004D36B6"/>
    <w:rsid w:val="004D4419"/>
    <w:rsid w:val="004D45AA"/>
    <w:rsid w:val="004D5161"/>
    <w:rsid w:val="004D6755"/>
    <w:rsid w:val="004D6C74"/>
    <w:rsid w:val="004D780C"/>
    <w:rsid w:val="004E0244"/>
    <w:rsid w:val="004E04BF"/>
    <w:rsid w:val="004E081B"/>
    <w:rsid w:val="004E0A91"/>
    <w:rsid w:val="004E2725"/>
    <w:rsid w:val="004E28B1"/>
    <w:rsid w:val="004E2BE7"/>
    <w:rsid w:val="004E5B02"/>
    <w:rsid w:val="004E6D5F"/>
    <w:rsid w:val="004E7936"/>
    <w:rsid w:val="004E7DF2"/>
    <w:rsid w:val="004F0068"/>
    <w:rsid w:val="004F0D16"/>
    <w:rsid w:val="004F0F3D"/>
    <w:rsid w:val="004F1DDB"/>
    <w:rsid w:val="004F2AB4"/>
    <w:rsid w:val="004F2B30"/>
    <w:rsid w:val="004F3766"/>
    <w:rsid w:val="004F458D"/>
    <w:rsid w:val="004F4775"/>
    <w:rsid w:val="004F4BB8"/>
    <w:rsid w:val="004F50AF"/>
    <w:rsid w:val="004F5C89"/>
    <w:rsid w:val="004F6B6B"/>
    <w:rsid w:val="00502363"/>
    <w:rsid w:val="00502FC6"/>
    <w:rsid w:val="0050394C"/>
    <w:rsid w:val="0050399F"/>
    <w:rsid w:val="00503F93"/>
    <w:rsid w:val="00504A16"/>
    <w:rsid w:val="005050CE"/>
    <w:rsid w:val="00505B5C"/>
    <w:rsid w:val="005067A1"/>
    <w:rsid w:val="005130D9"/>
    <w:rsid w:val="005135D6"/>
    <w:rsid w:val="00513822"/>
    <w:rsid w:val="00514158"/>
    <w:rsid w:val="00514783"/>
    <w:rsid w:val="00520B00"/>
    <w:rsid w:val="00521D56"/>
    <w:rsid w:val="00522F33"/>
    <w:rsid w:val="0052367C"/>
    <w:rsid w:val="00523DD6"/>
    <w:rsid w:val="0052490C"/>
    <w:rsid w:val="0053078D"/>
    <w:rsid w:val="00530BA1"/>
    <w:rsid w:val="00530FC7"/>
    <w:rsid w:val="00531FC9"/>
    <w:rsid w:val="00532026"/>
    <w:rsid w:val="0053327A"/>
    <w:rsid w:val="00533D6A"/>
    <w:rsid w:val="00533D84"/>
    <w:rsid w:val="00533E53"/>
    <w:rsid w:val="005342A5"/>
    <w:rsid w:val="00535350"/>
    <w:rsid w:val="00535792"/>
    <w:rsid w:val="00535A98"/>
    <w:rsid w:val="00536B6D"/>
    <w:rsid w:val="0053702D"/>
    <w:rsid w:val="0054122B"/>
    <w:rsid w:val="005429A0"/>
    <w:rsid w:val="00542C33"/>
    <w:rsid w:val="00542EAE"/>
    <w:rsid w:val="00543964"/>
    <w:rsid w:val="00543DBD"/>
    <w:rsid w:val="00544DA4"/>
    <w:rsid w:val="00544E37"/>
    <w:rsid w:val="00547047"/>
    <w:rsid w:val="005474CB"/>
    <w:rsid w:val="00550113"/>
    <w:rsid w:val="005511AD"/>
    <w:rsid w:val="00551271"/>
    <w:rsid w:val="0055245C"/>
    <w:rsid w:val="005528C1"/>
    <w:rsid w:val="00552A83"/>
    <w:rsid w:val="00552BF3"/>
    <w:rsid w:val="00552E3E"/>
    <w:rsid w:val="00554261"/>
    <w:rsid w:val="00554886"/>
    <w:rsid w:val="00554A32"/>
    <w:rsid w:val="005563DA"/>
    <w:rsid w:val="0055657F"/>
    <w:rsid w:val="0055791B"/>
    <w:rsid w:val="00557D09"/>
    <w:rsid w:val="0056002D"/>
    <w:rsid w:val="00560A14"/>
    <w:rsid w:val="005617F7"/>
    <w:rsid w:val="00562181"/>
    <w:rsid w:val="00563313"/>
    <w:rsid w:val="005643EA"/>
    <w:rsid w:val="00564A89"/>
    <w:rsid w:val="00565031"/>
    <w:rsid w:val="005666F4"/>
    <w:rsid w:val="00566A45"/>
    <w:rsid w:val="005723E9"/>
    <w:rsid w:val="00572C82"/>
    <w:rsid w:val="0057350E"/>
    <w:rsid w:val="00573DB4"/>
    <w:rsid w:val="00576215"/>
    <w:rsid w:val="0057632A"/>
    <w:rsid w:val="005808DE"/>
    <w:rsid w:val="00581FA5"/>
    <w:rsid w:val="00582923"/>
    <w:rsid w:val="00583884"/>
    <w:rsid w:val="00584165"/>
    <w:rsid w:val="00585466"/>
    <w:rsid w:val="0058617B"/>
    <w:rsid w:val="00590386"/>
    <w:rsid w:val="005911AC"/>
    <w:rsid w:val="0059138D"/>
    <w:rsid w:val="00593E1F"/>
    <w:rsid w:val="00595FAD"/>
    <w:rsid w:val="0059657D"/>
    <w:rsid w:val="005965CE"/>
    <w:rsid w:val="00597BBC"/>
    <w:rsid w:val="005A020C"/>
    <w:rsid w:val="005A18FB"/>
    <w:rsid w:val="005A2182"/>
    <w:rsid w:val="005A2363"/>
    <w:rsid w:val="005A2C21"/>
    <w:rsid w:val="005A43B1"/>
    <w:rsid w:val="005A6305"/>
    <w:rsid w:val="005A760D"/>
    <w:rsid w:val="005A7CA9"/>
    <w:rsid w:val="005B02DE"/>
    <w:rsid w:val="005B0463"/>
    <w:rsid w:val="005B04C9"/>
    <w:rsid w:val="005B0C8D"/>
    <w:rsid w:val="005B13A0"/>
    <w:rsid w:val="005B321D"/>
    <w:rsid w:val="005B3AEF"/>
    <w:rsid w:val="005B3B7C"/>
    <w:rsid w:val="005B54BB"/>
    <w:rsid w:val="005B5D85"/>
    <w:rsid w:val="005B76D3"/>
    <w:rsid w:val="005C14B0"/>
    <w:rsid w:val="005C1BC9"/>
    <w:rsid w:val="005C287F"/>
    <w:rsid w:val="005C29CD"/>
    <w:rsid w:val="005C2A1D"/>
    <w:rsid w:val="005C5136"/>
    <w:rsid w:val="005C517E"/>
    <w:rsid w:val="005C6CF7"/>
    <w:rsid w:val="005C6DEB"/>
    <w:rsid w:val="005C7A91"/>
    <w:rsid w:val="005D2F62"/>
    <w:rsid w:val="005D3318"/>
    <w:rsid w:val="005D35A0"/>
    <w:rsid w:val="005D3DD9"/>
    <w:rsid w:val="005D3E00"/>
    <w:rsid w:val="005D40D9"/>
    <w:rsid w:val="005D5914"/>
    <w:rsid w:val="005E0301"/>
    <w:rsid w:val="005E03B8"/>
    <w:rsid w:val="005E0917"/>
    <w:rsid w:val="005E1B10"/>
    <w:rsid w:val="005E3471"/>
    <w:rsid w:val="005E4BEC"/>
    <w:rsid w:val="005E5070"/>
    <w:rsid w:val="005E59EB"/>
    <w:rsid w:val="005E7377"/>
    <w:rsid w:val="005E7DF2"/>
    <w:rsid w:val="005E7FAD"/>
    <w:rsid w:val="005F05ED"/>
    <w:rsid w:val="005F1095"/>
    <w:rsid w:val="005F12F9"/>
    <w:rsid w:val="005F1957"/>
    <w:rsid w:val="005F1EB8"/>
    <w:rsid w:val="005F3409"/>
    <w:rsid w:val="005F3BBE"/>
    <w:rsid w:val="005F5B6B"/>
    <w:rsid w:val="005F5DF8"/>
    <w:rsid w:val="005F6354"/>
    <w:rsid w:val="005F6603"/>
    <w:rsid w:val="005F6FDF"/>
    <w:rsid w:val="0060043C"/>
    <w:rsid w:val="00600733"/>
    <w:rsid w:val="00601450"/>
    <w:rsid w:val="006015FF"/>
    <w:rsid w:val="0060179C"/>
    <w:rsid w:val="006022CB"/>
    <w:rsid w:val="00602FA5"/>
    <w:rsid w:val="0060500C"/>
    <w:rsid w:val="00605A9A"/>
    <w:rsid w:val="00605F23"/>
    <w:rsid w:val="00606735"/>
    <w:rsid w:val="0060673F"/>
    <w:rsid w:val="00606885"/>
    <w:rsid w:val="0060723F"/>
    <w:rsid w:val="00607523"/>
    <w:rsid w:val="006108B8"/>
    <w:rsid w:val="00610920"/>
    <w:rsid w:val="00610B56"/>
    <w:rsid w:val="00611073"/>
    <w:rsid w:val="0061222C"/>
    <w:rsid w:val="0061248F"/>
    <w:rsid w:val="00612780"/>
    <w:rsid w:val="006128D7"/>
    <w:rsid w:val="0061382B"/>
    <w:rsid w:val="00614509"/>
    <w:rsid w:val="0061482E"/>
    <w:rsid w:val="0061552A"/>
    <w:rsid w:val="00616264"/>
    <w:rsid w:val="00616690"/>
    <w:rsid w:val="00616E90"/>
    <w:rsid w:val="00620AB3"/>
    <w:rsid w:val="00622B37"/>
    <w:rsid w:val="00622DF8"/>
    <w:rsid w:val="00623BD2"/>
    <w:rsid w:val="00623EAD"/>
    <w:rsid w:val="00624624"/>
    <w:rsid w:val="0062558D"/>
    <w:rsid w:val="006259C7"/>
    <w:rsid w:val="006269F7"/>
    <w:rsid w:val="00626A88"/>
    <w:rsid w:val="00627143"/>
    <w:rsid w:val="00630711"/>
    <w:rsid w:val="00631405"/>
    <w:rsid w:val="006317A9"/>
    <w:rsid w:val="0063337F"/>
    <w:rsid w:val="00633D3C"/>
    <w:rsid w:val="00633DEB"/>
    <w:rsid w:val="0063493E"/>
    <w:rsid w:val="006364E5"/>
    <w:rsid w:val="0063773C"/>
    <w:rsid w:val="00640475"/>
    <w:rsid w:val="006418A0"/>
    <w:rsid w:val="00643011"/>
    <w:rsid w:val="00643362"/>
    <w:rsid w:val="0064497A"/>
    <w:rsid w:val="006452A4"/>
    <w:rsid w:val="00645573"/>
    <w:rsid w:val="006455B0"/>
    <w:rsid w:val="00646287"/>
    <w:rsid w:val="00646D1B"/>
    <w:rsid w:val="006477B8"/>
    <w:rsid w:val="00647F9C"/>
    <w:rsid w:val="00650529"/>
    <w:rsid w:val="00650B6C"/>
    <w:rsid w:val="00650D5A"/>
    <w:rsid w:val="00650DB8"/>
    <w:rsid w:val="00651C18"/>
    <w:rsid w:val="00652460"/>
    <w:rsid w:val="00652DF7"/>
    <w:rsid w:val="00652F11"/>
    <w:rsid w:val="00652FA2"/>
    <w:rsid w:val="00654A02"/>
    <w:rsid w:val="00656BF0"/>
    <w:rsid w:val="00661595"/>
    <w:rsid w:val="0066173C"/>
    <w:rsid w:val="0066186C"/>
    <w:rsid w:val="00662545"/>
    <w:rsid w:val="00664361"/>
    <w:rsid w:val="006646B6"/>
    <w:rsid w:val="00664874"/>
    <w:rsid w:val="006660B9"/>
    <w:rsid w:val="00666996"/>
    <w:rsid w:val="00672D2A"/>
    <w:rsid w:val="006746DB"/>
    <w:rsid w:val="00674BF5"/>
    <w:rsid w:val="006750B8"/>
    <w:rsid w:val="00676B42"/>
    <w:rsid w:val="00676B98"/>
    <w:rsid w:val="006771CE"/>
    <w:rsid w:val="006778A2"/>
    <w:rsid w:val="00677A91"/>
    <w:rsid w:val="00680478"/>
    <w:rsid w:val="00681382"/>
    <w:rsid w:val="00685182"/>
    <w:rsid w:val="0068594D"/>
    <w:rsid w:val="00690B40"/>
    <w:rsid w:val="00690D01"/>
    <w:rsid w:val="006916DC"/>
    <w:rsid w:val="00691F49"/>
    <w:rsid w:val="00691F9C"/>
    <w:rsid w:val="00692A55"/>
    <w:rsid w:val="00692B10"/>
    <w:rsid w:val="0069572F"/>
    <w:rsid w:val="00695A63"/>
    <w:rsid w:val="00696434"/>
    <w:rsid w:val="006966FF"/>
    <w:rsid w:val="00696F12"/>
    <w:rsid w:val="006972E8"/>
    <w:rsid w:val="006A01F5"/>
    <w:rsid w:val="006A14F6"/>
    <w:rsid w:val="006A20A0"/>
    <w:rsid w:val="006A3201"/>
    <w:rsid w:val="006A3A82"/>
    <w:rsid w:val="006A4B1B"/>
    <w:rsid w:val="006A6049"/>
    <w:rsid w:val="006A66C9"/>
    <w:rsid w:val="006A6822"/>
    <w:rsid w:val="006A6CCF"/>
    <w:rsid w:val="006A7AEE"/>
    <w:rsid w:val="006B08A5"/>
    <w:rsid w:val="006B19A0"/>
    <w:rsid w:val="006B1A77"/>
    <w:rsid w:val="006B2333"/>
    <w:rsid w:val="006B2A31"/>
    <w:rsid w:val="006B2C9D"/>
    <w:rsid w:val="006B36C2"/>
    <w:rsid w:val="006B3BAE"/>
    <w:rsid w:val="006B42A7"/>
    <w:rsid w:val="006B4AC8"/>
    <w:rsid w:val="006B4E35"/>
    <w:rsid w:val="006B5308"/>
    <w:rsid w:val="006B55D6"/>
    <w:rsid w:val="006B5A2B"/>
    <w:rsid w:val="006B5BA8"/>
    <w:rsid w:val="006B7228"/>
    <w:rsid w:val="006B72F3"/>
    <w:rsid w:val="006C0691"/>
    <w:rsid w:val="006C0915"/>
    <w:rsid w:val="006C0EF3"/>
    <w:rsid w:val="006C11BB"/>
    <w:rsid w:val="006C163A"/>
    <w:rsid w:val="006C1FB5"/>
    <w:rsid w:val="006C2F61"/>
    <w:rsid w:val="006C35BA"/>
    <w:rsid w:val="006C3FF9"/>
    <w:rsid w:val="006C4136"/>
    <w:rsid w:val="006C4174"/>
    <w:rsid w:val="006C45C6"/>
    <w:rsid w:val="006C4A8F"/>
    <w:rsid w:val="006C4D76"/>
    <w:rsid w:val="006C52E6"/>
    <w:rsid w:val="006C5A49"/>
    <w:rsid w:val="006C66DB"/>
    <w:rsid w:val="006C6D3F"/>
    <w:rsid w:val="006C6EE0"/>
    <w:rsid w:val="006C7201"/>
    <w:rsid w:val="006D35FC"/>
    <w:rsid w:val="006D3B1A"/>
    <w:rsid w:val="006D49F3"/>
    <w:rsid w:val="006D665A"/>
    <w:rsid w:val="006D6AE0"/>
    <w:rsid w:val="006D7512"/>
    <w:rsid w:val="006E01DA"/>
    <w:rsid w:val="006E0809"/>
    <w:rsid w:val="006E0E76"/>
    <w:rsid w:val="006E3440"/>
    <w:rsid w:val="006E52E7"/>
    <w:rsid w:val="006E5D07"/>
    <w:rsid w:val="006E6778"/>
    <w:rsid w:val="006E6AEF"/>
    <w:rsid w:val="006F0968"/>
    <w:rsid w:val="006F20A4"/>
    <w:rsid w:val="006F2637"/>
    <w:rsid w:val="006F2989"/>
    <w:rsid w:val="006F3626"/>
    <w:rsid w:val="006F503D"/>
    <w:rsid w:val="006F53D7"/>
    <w:rsid w:val="00700DE8"/>
    <w:rsid w:val="00700DFD"/>
    <w:rsid w:val="00703C87"/>
    <w:rsid w:val="00705025"/>
    <w:rsid w:val="007063EE"/>
    <w:rsid w:val="007065FE"/>
    <w:rsid w:val="00706D25"/>
    <w:rsid w:val="0070781A"/>
    <w:rsid w:val="007106FB"/>
    <w:rsid w:val="007111B3"/>
    <w:rsid w:val="00711F3A"/>
    <w:rsid w:val="007121C9"/>
    <w:rsid w:val="00712B6C"/>
    <w:rsid w:val="00712C8C"/>
    <w:rsid w:val="00712DE1"/>
    <w:rsid w:val="00712F56"/>
    <w:rsid w:val="0071377A"/>
    <w:rsid w:val="00713E91"/>
    <w:rsid w:val="007158B2"/>
    <w:rsid w:val="00720ADC"/>
    <w:rsid w:val="00721A22"/>
    <w:rsid w:val="00721CEA"/>
    <w:rsid w:val="0072265E"/>
    <w:rsid w:val="00722A10"/>
    <w:rsid w:val="007233B1"/>
    <w:rsid w:val="007241D3"/>
    <w:rsid w:val="007247ED"/>
    <w:rsid w:val="007248BD"/>
    <w:rsid w:val="007260DA"/>
    <w:rsid w:val="00727756"/>
    <w:rsid w:val="00730040"/>
    <w:rsid w:val="0073242B"/>
    <w:rsid w:val="00732D6D"/>
    <w:rsid w:val="00733B77"/>
    <w:rsid w:val="007345D3"/>
    <w:rsid w:val="0073473E"/>
    <w:rsid w:val="0073527C"/>
    <w:rsid w:val="0073581C"/>
    <w:rsid w:val="00735F76"/>
    <w:rsid w:val="00736AD5"/>
    <w:rsid w:val="00736D27"/>
    <w:rsid w:val="00736F34"/>
    <w:rsid w:val="00741BA6"/>
    <w:rsid w:val="007420C6"/>
    <w:rsid w:val="007434D0"/>
    <w:rsid w:val="007445C4"/>
    <w:rsid w:val="00745142"/>
    <w:rsid w:val="00745369"/>
    <w:rsid w:val="007463E2"/>
    <w:rsid w:val="007466A4"/>
    <w:rsid w:val="00747FFA"/>
    <w:rsid w:val="007503D4"/>
    <w:rsid w:val="0075112B"/>
    <w:rsid w:val="00751FBE"/>
    <w:rsid w:val="00752B94"/>
    <w:rsid w:val="0075303E"/>
    <w:rsid w:val="00754ADC"/>
    <w:rsid w:val="0075517F"/>
    <w:rsid w:val="007574C3"/>
    <w:rsid w:val="00757C76"/>
    <w:rsid w:val="007608E4"/>
    <w:rsid w:val="007615A8"/>
    <w:rsid w:val="00761856"/>
    <w:rsid w:val="00761891"/>
    <w:rsid w:val="0076257F"/>
    <w:rsid w:val="00763A4B"/>
    <w:rsid w:val="00763B4B"/>
    <w:rsid w:val="00764BC5"/>
    <w:rsid w:val="00764E61"/>
    <w:rsid w:val="00765008"/>
    <w:rsid w:val="007676ED"/>
    <w:rsid w:val="007679BF"/>
    <w:rsid w:val="00770830"/>
    <w:rsid w:val="00770D40"/>
    <w:rsid w:val="00770EAF"/>
    <w:rsid w:val="00770F0C"/>
    <w:rsid w:val="00771068"/>
    <w:rsid w:val="007711E7"/>
    <w:rsid w:val="007715D6"/>
    <w:rsid w:val="00771E97"/>
    <w:rsid w:val="0077276E"/>
    <w:rsid w:val="007745EB"/>
    <w:rsid w:val="0077559A"/>
    <w:rsid w:val="0078015D"/>
    <w:rsid w:val="00781160"/>
    <w:rsid w:val="007827A3"/>
    <w:rsid w:val="00783881"/>
    <w:rsid w:val="00783DA7"/>
    <w:rsid w:val="00784477"/>
    <w:rsid w:val="00784A19"/>
    <w:rsid w:val="0078506A"/>
    <w:rsid w:val="00785E60"/>
    <w:rsid w:val="00785F3E"/>
    <w:rsid w:val="007864CA"/>
    <w:rsid w:val="00787028"/>
    <w:rsid w:val="00787733"/>
    <w:rsid w:val="00787CDE"/>
    <w:rsid w:val="00790738"/>
    <w:rsid w:val="00791DA9"/>
    <w:rsid w:val="0079311D"/>
    <w:rsid w:val="00795EC6"/>
    <w:rsid w:val="007969A4"/>
    <w:rsid w:val="00797715"/>
    <w:rsid w:val="00797C89"/>
    <w:rsid w:val="007A00D6"/>
    <w:rsid w:val="007A1067"/>
    <w:rsid w:val="007A1D61"/>
    <w:rsid w:val="007A1E2E"/>
    <w:rsid w:val="007A212A"/>
    <w:rsid w:val="007A3184"/>
    <w:rsid w:val="007A40CB"/>
    <w:rsid w:val="007A49AC"/>
    <w:rsid w:val="007A4CFD"/>
    <w:rsid w:val="007B0068"/>
    <w:rsid w:val="007B025E"/>
    <w:rsid w:val="007B0AC3"/>
    <w:rsid w:val="007B16A3"/>
    <w:rsid w:val="007B2F85"/>
    <w:rsid w:val="007B4F0B"/>
    <w:rsid w:val="007B4FD3"/>
    <w:rsid w:val="007B5523"/>
    <w:rsid w:val="007C099C"/>
    <w:rsid w:val="007C2334"/>
    <w:rsid w:val="007C3B71"/>
    <w:rsid w:val="007C4C33"/>
    <w:rsid w:val="007C5DF2"/>
    <w:rsid w:val="007C64F7"/>
    <w:rsid w:val="007C6E13"/>
    <w:rsid w:val="007C6E66"/>
    <w:rsid w:val="007C795D"/>
    <w:rsid w:val="007C7C9C"/>
    <w:rsid w:val="007D1696"/>
    <w:rsid w:val="007D183F"/>
    <w:rsid w:val="007D1F12"/>
    <w:rsid w:val="007D2AEF"/>
    <w:rsid w:val="007D2CE6"/>
    <w:rsid w:val="007D4FF8"/>
    <w:rsid w:val="007D633B"/>
    <w:rsid w:val="007D63B3"/>
    <w:rsid w:val="007D7D73"/>
    <w:rsid w:val="007E16E5"/>
    <w:rsid w:val="007E18BB"/>
    <w:rsid w:val="007E33D4"/>
    <w:rsid w:val="007E39E6"/>
    <w:rsid w:val="007E3DCF"/>
    <w:rsid w:val="007E475F"/>
    <w:rsid w:val="007E5285"/>
    <w:rsid w:val="007E6F35"/>
    <w:rsid w:val="007E7340"/>
    <w:rsid w:val="007F0343"/>
    <w:rsid w:val="007F0442"/>
    <w:rsid w:val="007F1856"/>
    <w:rsid w:val="007F1970"/>
    <w:rsid w:val="007F3089"/>
    <w:rsid w:val="007F360A"/>
    <w:rsid w:val="007F5225"/>
    <w:rsid w:val="007F5488"/>
    <w:rsid w:val="007F6D99"/>
    <w:rsid w:val="007F7831"/>
    <w:rsid w:val="007F7A60"/>
    <w:rsid w:val="008004DF"/>
    <w:rsid w:val="008015A0"/>
    <w:rsid w:val="00802421"/>
    <w:rsid w:val="008024B2"/>
    <w:rsid w:val="00802958"/>
    <w:rsid w:val="00804D12"/>
    <w:rsid w:val="00804D43"/>
    <w:rsid w:val="00805255"/>
    <w:rsid w:val="00810D73"/>
    <w:rsid w:val="00810F87"/>
    <w:rsid w:val="0081176B"/>
    <w:rsid w:val="00812582"/>
    <w:rsid w:val="008125D7"/>
    <w:rsid w:val="008136B4"/>
    <w:rsid w:val="008145C0"/>
    <w:rsid w:val="008151A6"/>
    <w:rsid w:val="00815EE9"/>
    <w:rsid w:val="00816B32"/>
    <w:rsid w:val="00816F2D"/>
    <w:rsid w:val="00820E23"/>
    <w:rsid w:val="0082105B"/>
    <w:rsid w:val="008221EB"/>
    <w:rsid w:val="00822727"/>
    <w:rsid w:val="008241B9"/>
    <w:rsid w:val="008248E0"/>
    <w:rsid w:val="00827C9A"/>
    <w:rsid w:val="008304E8"/>
    <w:rsid w:val="00830F86"/>
    <w:rsid w:val="0083278B"/>
    <w:rsid w:val="0083285E"/>
    <w:rsid w:val="00833EC0"/>
    <w:rsid w:val="008343BD"/>
    <w:rsid w:val="0083444D"/>
    <w:rsid w:val="00834E93"/>
    <w:rsid w:val="00836845"/>
    <w:rsid w:val="00837612"/>
    <w:rsid w:val="00840A22"/>
    <w:rsid w:val="00841322"/>
    <w:rsid w:val="00841645"/>
    <w:rsid w:val="008420D9"/>
    <w:rsid w:val="008427C5"/>
    <w:rsid w:val="00842A5C"/>
    <w:rsid w:val="00844689"/>
    <w:rsid w:val="00845545"/>
    <w:rsid w:val="00845551"/>
    <w:rsid w:val="008469DF"/>
    <w:rsid w:val="008503E1"/>
    <w:rsid w:val="00850C75"/>
    <w:rsid w:val="00851278"/>
    <w:rsid w:val="00852CAD"/>
    <w:rsid w:val="00854146"/>
    <w:rsid w:val="00854E5A"/>
    <w:rsid w:val="0085520E"/>
    <w:rsid w:val="00855D5F"/>
    <w:rsid w:val="008564FF"/>
    <w:rsid w:val="00856854"/>
    <w:rsid w:val="0085692D"/>
    <w:rsid w:val="00856E42"/>
    <w:rsid w:val="0086119A"/>
    <w:rsid w:val="0086634C"/>
    <w:rsid w:val="00866C27"/>
    <w:rsid w:val="00867EDC"/>
    <w:rsid w:val="00870531"/>
    <w:rsid w:val="00871877"/>
    <w:rsid w:val="00871CAF"/>
    <w:rsid w:val="008726CA"/>
    <w:rsid w:val="008737EA"/>
    <w:rsid w:val="00873855"/>
    <w:rsid w:val="00873BC6"/>
    <w:rsid w:val="0087411F"/>
    <w:rsid w:val="008744A5"/>
    <w:rsid w:val="008745D3"/>
    <w:rsid w:val="0087489F"/>
    <w:rsid w:val="00874F0C"/>
    <w:rsid w:val="00875044"/>
    <w:rsid w:val="00875C7F"/>
    <w:rsid w:val="008815DE"/>
    <w:rsid w:val="0088172D"/>
    <w:rsid w:val="00882103"/>
    <w:rsid w:val="008824B3"/>
    <w:rsid w:val="00883142"/>
    <w:rsid w:val="00884B2C"/>
    <w:rsid w:val="00884FEB"/>
    <w:rsid w:val="00885185"/>
    <w:rsid w:val="00885309"/>
    <w:rsid w:val="0088587E"/>
    <w:rsid w:val="0088630E"/>
    <w:rsid w:val="00887637"/>
    <w:rsid w:val="00887A83"/>
    <w:rsid w:val="0089010B"/>
    <w:rsid w:val="00893133"/>
    <w:rsid w:val="008932B5"/>
    <w:rsid w:val="00894221"/>
    <w:rsid w:val="008968A4"/>
    <w:rsid w:val="00897812"/>
    <w:rsid w:val="008A05EC"/>
    <w:rsid w:val="008A0983"/>
    <w:rsid w:val="008A1A1E"/>
    <w:rsid w:val="008A1C51"/>
    <w:rsid w:val="008A301C"/>
    <w:rsid w:val="008A3152"/>
    <w:rsid w:val="008A3D96"/>
    <w:rsid w:val="008A49E8"/>
    <w:rsid w:val="008A509C"/>
    <w:rsid w:val="008A5DBC"/>
    <w:rsid w:val="008A61B3"/>
    <w:rsid w:val="008A7A5D"/>
    <w:rsid w:val="008B1A0F"/>
    <w:rsid w:val="008B2119"/>
    <w:rsid w:val="008B2F5E"/>
    <w:rsid w:val="008B37B1"/>
    <w:rsid w:val="008B3E8F"/>
    <w:rsid w:val="008B6066"/>
    <w:rsid w:val="008B695F"/>
    <w:rsid w:val="008B6B86"/>
    <w:rsid w:val="008B7267"/>
    <w:rsid w:val="008B73EE"/>
    <w:rsid w:val="008C017D"/>
    <w:rsid w:val="008C09FE"/>
    <w:rsid w:val="008C122C"/>
    <w:rsid w:val="008C2330"/>
    <w:rsid w:val="008C26F8"/>
    <w:rsid w:val="008C2DC4"/>
    <w:rsid w:val="008C5233"/>
    <w:rsid w:val="008C5886"/>
    <w:rsid w:val="008C624D"/>
    <w:rsid w:val="008C6A9B"/>
    <w:rsid w:val="008C6E0B"/>
    <w:rsid w:val="008D0D6A"/>
    <w:rsid w:val="008D1D6C"/>
    <w:rsid w:val="008D2210"/>
    <w:rsid w:val="008D230A"/>
    <w:rsid w:val="008D24A6"/>
    <w:rsid w:val="008D274F"/>
    <w:rsid w:val="008D30F0"/>
    <w:rsid w:val="008D4535"/>
    <w:rsid w:val="008D53B8"/>
    <w:rsid w:val="008D5CDE"/>
    <w:rsid w:val="008D6256"/>
    <w:rsid w:val="008D6581"/>
    <w:rsid w:val="008D7D83"/>
    <w:rsid w:val="008E0688"/>
    <w:rsid w:val="008E0E86"/>
    <w:rsid w:val="008E0F08"/>
    <w:rsid w:val="008E10EF"/>
    <w:rsid w:val="008E20BD"/>
    <w:rsid w:val="008E3CA9"/>
    <w:rsid w:val="008E47D2"/>
    <w:rsid w:val="008E5ADB"/>
    <w:rsid w:val="008F0BB5"/>
    <w:rsid w:val="008F1D51"/>
    <w:rsid w:val="008F2C6B"/>
    <w:rsid w:val="008F2D4E"/>
    <w:rsid w:val="008F42E6"/>
    <w:rsid w:val="008F50DF"/>
    <w:rsid w:val="008F54B0"/>
    <w:rsid w:val="008F5BFE"/>
    <w:rsid w:val="008F7C56"/>
    <w:rsid w:val="0090036A"/>
    <w:rsid w:val="00900C1D"/>
    <w:rsid w:val="00901501"/>
    <w:rsid w:val="00902EFC"/>
    <w:rsid w:val="00905EA9"/>
    <w:rsid w:val="009068C9"/>
    <w:rsid w:val="00907115"/>
    <w:rsid w:val="00907513"/>
    <w:rsid w:val="00910210"/>
    <w:rsid w:val="009109C8"/>
    <w:rsid w:val="009118EE"/>
    <w:rsid w:val="00912DF5"/>
    <w:rsid w:val="00914623"/>
    <w:rsid w:val="00916197"/>
    <w:rsid w:val="00920491"/>
    <w:rsid w:val="00921700"/>
    <w:rsid w:val="00922F04"/>
    <w:rsid w:val="009247A0"/>
    <w:rsid w:val="00924EEF"/>
    <w:rsid w:val="00924FE7"/>
    <w:rsid w:val="009258A2"/>
    <w:rsid w:val="009265F9"/>
    <w:rsid w:val="009270FE"/>
    <w:rsid w:val="00927A7A"/>
    <w:rsid w:val="00927A8B"/>
    <w:rsid w:val="00927B49"/>
    <w:rsid w:val="00927F02"/>
    <w:rsid w:val="0093055F"/>
    <w:rsid w:val="00930817"/>
    <w:rsid w:val="009308DB"/>
    <w:rsid w:val="00931528"/>
    <w:rsid w:val="009317AA"/>
    <w:rsid w:val="0093202C"/>
    <w:rsid w:val="00932E47"/>
    <w:rsid w:val="009339C1"/>
    <w:rsid w:val="00934BDB"/>
    <w:rsid w:val="00934F04"/>
    <w:rsid w:val="00936395"/>
    <w:rsid w:val="00936BB3"/>
    <w:rsid w:val="00936DD1"/>
    <w:rsid w:val="009371BA"/>
    <w:rsid w:val="0094162B"/>
    <w:rsid w:val="00941843"/>
    <w:rsid w:val="00942368"/>
    <w:rsid w:val="009433BC"/>
    <w:rsid w:val="0094380A"/>
    <w:rsid w:val="00944530"/>
    <w:rsid w:val="00947028"/>
    <w:rsid w:val="00947A01"/>
    <w:rsid w:val="00950950"/>
    <w:rsid w:val="00954485"/>
    <w:rsid w:val="00954A0C"/>
    <w:rsid w:val="00955AA6"/>
    <w:rsid w:val="00955C81"/>
    <w:rsid w:val="00955F25"/>
    <w:rsid w:val="00960B47"/>
    <w:rsid w:val="00962BBD"/>
    <w:rsid w:val="0096378F"/>
    <w:rsid w:val="00964E1D"/>
    <w:rsid w:val="00965272"/>
    <w:rsid w:val="00965D27"/>
    <w:rsid w:val="00966663"/>
    <w:rsid w:val="00967868"/>
    <w:rsid w:val="00967FAE"/>
    <w:rsid w:val="00971A2C"/>
    <w:rsid w:val="009720F9"/>
    <w:rsid w:val="009721E6"/>
    <w:rsid w:val="00972A1C"/>
    <w:rsid w:val="00973707"/>
    <w:rsid w:val="00973973"/>
    <w:rsid w:val="00973B8E"/>
    <w:rsid w:val="00974150"/>
    <w:rsid w:val="00974E3F"/>
    <w:rsid w:val="00974F0C"/>
    <w:rsid w:val="00975CA2"/>
    <w:rsid w:val="00975F7F"/>
    <w:rsid w:val="009769DE"/>
    <w:rsid w:val="009807C6"/>
    <w:rsid w:val="00981540"/>
    <w:rsid w:val="0098182F"/>
    <w:rsid w:val="0098245F"/>
    <w:rsid w:val="00984A5C"/>
    <w:rsid w:val="00985397"/>
    <w:rsid w:val="00986FA9"/>
    <w:rsid w:val="0098757C"/>
    <w:rsid w:val="0098778D"/>
    <w:rsid w:val="00991C37"/>
    <w:rsid w:val="00991D59"/>
    <w:rsid w:val="009921F0"/>
    <w:rsid w:val="0099270E"/>
    <w:rsid w:val="00995A7F"/>
    <w:rsid w:val="00995B12"/>
    <w:rsid w:val="0099694B"/>
    <w:rsid w:val="009A1317"/>
    <w:rsid w:val="009A1A9B"/>
    <w:rsid w:val="009A2864"/>
    <w:rsid w:val="009A2E43"/>
    <w:rsid w:val="009A3874"/>
    <w:rsid w:val="009A4399"/>
    <w:rsid w:val="009A455A"/>
    <w:rsid w:val="009A47E2"/>
    <w:rsid w:val="009A4B3E"/>
    <w:rsid w:val="009A6E08"/>
    <w:rsid w:val="009A7A38"/>
    <w:rsid w:val="009B09F5"/>
    <w:rsid w:val="009B0E38"/>
    <w:rsid w:val="009B25C7"/>
    <w:rsid w:val="009B355E"/>
    <w:rsid w:val="009B511B"/>
    <w:rsid w:val="009B526D"/>
    <w:rsid w:val="009B591B"/>
    <w:rsid w:val="009B5985"/>
    <w:rsid w:val="009B627A"/>
    <w:rsid w:val="009B688D"/>
    <w:rsid w:val="009B6CE4"/>
    <w:rsid w:val="009C001E"/>
    <w:rsid w:val="009C083D"/>
    <w:rsid w:val="009C2C58"/>
    <w:rsid w:val="009C3801"/>
    <w:rsid w:val="009C3D16"/>
    <w:rsid w:val="009C3DD6"/>
    <w:rsid w:val="009C4291"/>
    <w:rsid w:val="009C44E7"/>
    <w:rsid w:val="009C4702"/>
    <w:rsid w:val="009C5582"/>
    <w:rsid w:val="009C68BF"/>
    <w:rsid w:val="009C7899"/>
    <w:rsid w:val="009C7D6A"/>
    <w:rsid w:val="009D30AF"/>
    <w:rsid w:val="009D3244"/>
    <w:rsid w:val="009D50E7"/>
    <w:rsid w:val="009D5501"/>
    <w:rsid w:val="009D5D1A"/>
    <w:rsid w:val="009D6EDB"/>
    <w:rsid w:val="009D7A90"/>
    <w:rsid w:val="009E283E"/>
    <w:rsid w:val="009E2BBD"/>
    <w:rsid w:val="009E42EE"/>
    <w:rsid w:val="009E4FA0"/>
    <w:rsid w:val="009E563E"/>
    <w:rsid w:val="009E5DCC"/>
    <w:rsid w:val="009E655E"/>
    <w:rsid w:val="009E718A"/>
    <w:rsid w:val="009E7D4D"/>
    <w:rsid w:val="009E7DDE"/>
    <w:rsid w:val="009F0653"/>
    <w:rsid w:val="009F1084"/>
    <w:rsid w:val="009F1550"/>
    <w:rsid w:val="009F19E9"/>
    <w:rsid w:val="009F1F3F"/>
    <w:rsid w:val="009F2B54"/>
    <w:rsid w:val="009F362C"/>
    <w:rsid w:val="009F3AD0"/>
    <w:rsid w:val="009F45B7"/>
    <w:rsid w:val="009F5262"/>
    <w:rsid w:val="009F78B4"/>
    <w:rsid w:val="009F7C08"/>
    <w:rsid w:val="00A01C72"/>
    <w:rsid w:val="00A0239C"/>
    <w:rsid w:val="00A02850"/>
    <w:rsid w:val="00A03C89"/>
    <w:rsid w:val="00A03DC9"/>
    <w:rsid w:val="00A045D1"/>
    <w:rsid w:val="00A0483F"/>
    <w:rsid w:val="00A04CFA"/>
    <w:rsid w:val="00A10C90"/>
    <w:rsid w:val="00A11C6E"/>
    <w:rsid w:val="00A12B66"/>
    <w:rsid w:val="00A136CD"/>
    <w:rsid w:val="00A14679"/>
    <w:rsid w:val="00A159E2"/>
    <w:rsid w:val="00A16FFF"/>
    <w:rsid w:val="00A201CF"/>
    <w:rsid w:val="00A20B73"/>
    <w:rsid w:val="00A2220F"/>
    <w:rsid w:val="00A232F8"/>
    <w:rsid w:val="00A24751"/>
    <w:rsid w:val="00A248E2"/>
    <w:rsid w:val="00A26662"/>
    <w:rsid w:val="00A2674E"/>
    <w:rsid w:val="00A2757B"/>
    <w:rsid w:val="00A30C4C"/>
    <w:rsid w:val="00A31125"/>
    <w:rsid w:val="00A320B1"/>
    <w:rsid w:val="00A325F5"/>
    <w:rsid w:val="00A33695"/>
    <w:rsid w:val="00A33C55"/>
    <w:rsid w:val="00A34026"/>
    <w:rsid w:val="00A369B8"/>
    <w:rsid w:val="00A369C3"/>
    <w:rsid w:val="00A37988"/>
    <w:rsid w:val="00A37A04"/>
    <w:rsid w:val="00A402A8"/>
    <w:rsid w:val="00A41661"/>
    <w:rsid w:val="00A4281F"/>
    <w:rsid w:val="00A4309F"/>
    <w:rsid w:val="00A4319E"/>
    <w:rsid w:val="00A44410"/>
    <w:rsid w:val="00A50EB7"/>
    <w:rsid w:val="00A51AA9"/>
    <w:rsid w:val="00A5221E"/>
    <w:rsid w:val="00A53185"/>
    <w:rsid w:val="00A532F5"/>
    <w:rsid w:val="00A53C11"/>
    <w:rsid w:val="00A5427A"/>
    <w:rsid w:val="00A56F0F"/>
    <w:rsid w:val="00A60195"/>
    <w:rsid w:val="00A6394C"/>
    <w:rsid w:val="00A64421"/>
    <w:rsid w:val="00A648C2"/>
    <w:rsid w:val="00A6683C"/>
    <w:rsid w:val="00A66EC6"/>
    <w:rsid w:val="00A6706B"/>
    <w:rsid w:val="00A675D9"/>
    <w:rsid w:val="00A700A3"/>
    <w:rsid w:val="00A70159"/>
    <w:rsid w:val="00A70245"/>
    <w:rsid w:val="00A707F3"/>
    <w:rsid w:val="00A72DF3"/>
    <w:rsid w:val="00A73282"/>
    <w:rsid w:val="00A7376F"/>
    <w:rsid w:val="00A74B40"/>
    <w:rsid w:val="00A74D8D"/>
    <w:rsid w:val="00A76381"/>
    <w:rsid w:val="00A772B4"/>
    <w:rsid w:val="00A774C1"/>
    <w:rsid w:val="00A779E9"/>
    <w:rsid w:val="00A801A9"/>
    <w:rsid w:val="00A80A02"/>
    <w:rsid w:val="00A80C2E"/>
    <w:rsid w:val="00A82F95"/>
    <w:rsid w:val="00A8318E"/>
    <w:rsid w:val="00A840BE"/>
    <w:rsid w:val="00A840D5"/>
    <w:rsid w:val="00A85CE0"/>
    <w:rsid w:val="00A85E91"/>
    <w:rsid w:val="00A86139"/>
    <w:rsid w:val="00A86EB4"/>
    <w:rsid w:val="00A90BDF"/>
    <w:rsid w:val="00A92CFF"/>
    <w:rsid w:val="00A92F0D"/>
    <w:rsid w:val="00A94F5F"/>
    <w:rsid w:val="00A94FBC"/>
    <w:rsid w:val="00A9559C"/>
    <w:rsid w:val="00A95FD0"/>
    <w:rsid w:val="00AA02BE"/>
    <w:rsid w:val="00AA1B66"/>
    <w:rsid w:val="00AA3189"/>
    <w:rsid w:val="00AA629F"/>
    <w:rsid w:val="00AA6A66"/>
    <w:rsid w:val="00AA72D7"/>
    <w:rsid w:val="00AA7658"/>
    <w:rsid w:val="00AB01A1"/>
    <w:rsid w:val="00AB0412"/>
    <w:rsid w:val="00AB1C4B"/>
    <w:rsid w:val="00AB2389"/>
    <w:rsid w:val="00AB2C97"/>
    <w:rsid w:val="00AB2F46"/>
    <w:rsid w:val="00AB393F"/>
    <w:rsid w:val="00AB3FE1"/>
    <w:rsid w:val="00AB4E51"/>
    <w:rsid w:val="00AB5C94"/>
    <w:rsid w:val="00AB63E5"/>
    <w:rsid w:val="00AB6610"/>
    <w:rsid w:val="00AB67AA"/>
    <w:rsid w:val="00AB7B8D"/>
    <w:rsid w:val="00AB7EF6"/>
    <w:rsid w:val="00AC06B8"/>
    <w:rsid w:val="00AC0C9F"/>
    <w:rsid w:val="00AC0F2C"/>
    <w:rsid w:val="00AC14E2"/>
    <w:rsid w:val="00AC3054"/>
    <w:rsid w:val="00AC4299"/>
    <w:rsid w:val="00AC4E3A"/>
    <w:rsid w:val="00AC5975"/>
    <w:rsid w:val="00AC5D72"/>
    <w:rsid w:val="00AC5F45"/>
    <w:rsid w:val="00AC6255"/>
    <w:rsid w:val="00AC654C"/>
    <w:rsid w:val="00AC6570"/>
    <w:rsid w:val="00AC6619"/>
    <w:rsid w:val="00AC7107"/>
    <w:rsid w:val="00AD061B"/>
    <w:rsid w:val="00AD0C6F"/>
    <w:rsid w:val="00AD1A08"/>
    <w:rsid w:val="00AD4571"/>
    <w:rsid w:val="00AD70F1"/>
    <w:rsid w:val="00AE0C1B"/>
    <w:rsid w:val="00AE1CD7"/>
    <w:rsid w:val="00AE3D79"/>
    <w:rsid w:val="00AE7CD3"/>
    <w:rsid w:val="00AF003B"/>
    <w:rsid w:val="00AF07E2"/>
    <w:rsid w:val="00AF1037"/>
    <w:rsid w:val="00AF1E50"/>
    <w:rsid w:val="00AF1F57"/>
    <w:rsid w:val="00AF3C10"/>
    <w:rsid w:val="00AF3C69"/>
    <w:rsid w:val="00AF3D7A"/>
    <w:rsid w:val="00AF4ED2"/>
    <w:rsid w:val="00AF6219"/>
    <w:rsid w:val="00AF62BC"/>
    <w:rsid w:val="00AF672F"/>
    <w:rsid w:val="00AF6F2C"/>
    <w:rsid w:val="00AF7FA5"/>
    <w:rsid w:val="00B006E9"/>
    <w:rsid w:val="00B01163"/>
    <w:rsid w:val="00B024AD"/>
    <w:rsid w:val="00B024D7"/>
    <w:rsid w:val="00B048F1"/>
    <w:rsid w:val="00B049B4"/>
    <w:rsid w:val="00B04D23"/>
    <w:rsid w:val="00B057CA"/>
    <w:rsid w:val="00B11505"/>
    <w:rsid w:val="00B11D0D"/>
    <w:rsid w:val="00B12EA6"/>
    <w:rsid w:val="00B13F06"/>
    <w:rsid w:val="00B14253"/>
    <w:rsid w:val="00B145A2"/>
    <w:rsid w:val="00B15280"/>
    <w:rsid w:val="00B15761"/>
    <w:rsid w:val="00B15DB6"/>
    <w:rsid w:val="00B17100"/>
    <w:rsid w:val="00B171C0"/>
    <w:rsid w:val="00B17999"/>
    <w:rsid w:val="00B20317"/>
    <w:rsid w:val="00B20E5D"/>
    <w:rsid w:val="00B212C5"/>
    <w:rsid w:val="00B21DE2"/>
    <w:rsid w:val="00B21E50"/>
    <w:rsid w:val="00B22110"/>
    <w:rsid w:val="00B22E27"/>
    <w:rsid w:val="00B23005"/>
    <w:rsid w:val="00B267A1"/>
    <w:rsid w:val="00B26927"/>
    <w:rsid w:val="00B30046"/>
    <w:rsid w:val="00B31D8A"/>
    <w:rsid w:val="00B32AFB"/>
    <w:rsid w:val="00B34001"/>
    <w:rsid w:val="00B34B0B"/>
    <w:rsid w:val="00B34B77"/>
    <w:rsid w:val="00B34DD6"/>
    <w:rsid w:val="00B35F80"/>
    <w:rsid w:val="00B3602B"/>
    <w:rsid w:val="00B36BA6"/>
    <w:rsid w:val="00B36EAA"/>
    <w:rsid w:val="00B4177D"/>
    <w:rsid w:val="00B431BD"/>
    <w:rsid w:val="00B439B1"/>
    <w:rsid w:val="00B43C2A"/>
    <w:rsid w:val="00B43F29"/>
    <w:rsid w:val="00B4423C"/>
    <w:rsid w:val="00B442BD"/>
    <w:rsid w:val="00B4512A"/>
    <w:rsid w:val="00B45BCF"/>
    <w:rsid w:val="00B47F0C"/>
    <w:rsid w:val="00B50194"/>
    <w:rsid w:val="00B50D11"/>
    <w:rsid w:val="00B51CC6"/>
    <w:rsid w:val="00B51F42"/>
    <w:rsid w:val="00B522A4"/>
    <w:rsid w:val="00B52872"/>
    <w:rsid w:val="00B53030"/>
    <w:rsid w:val="00B53847"/>
    <w:rsid w:val="00B53939"/>
    <w:rsid w:val="00B542AB"/>
    <w:rsid w:val="00B62635"/>
    <w:rsid w:val="00B71CD5"/>
    <w:rsid w:val="00B71DAC"/>
    <w:rsid w:val="00B72E87"/>
    <w:rsid w:val="00B730C7"/>
    <w:rsid w:val="00B7350E"/>
    <w:rsid w:val="00B74792"/>
    <w:rsid w:val="00B74827"/>
    <w:rsid w:val="00B7583B"/>
    <w:rsid w:val="00B759BA"/>
    <w:rsid w:val="00B811B0"/>
    <w:rsid w:val="00B816A3"/>
    <w:rsid w:val="00B822A4"/>
    <w:rsid w:val="00B828CC"/>
    <w:rsid w:val="00B83834"/>
    <w:rsid w:val="00B846EC"/>
    <w:rsid w:val="00B8560C"/>
    <w:rsid w:val="00B8575F"/>
    <w:rsid w:val="00B85B8C"/>
    <w:rsid w:val="00B85F75"/>
    <w:rsid w:val="00B86114"/>
    <w:rsid w:val="00B86CA9"/>
    <w:rsid w:val="00B91440"/>
    <w:rsid w:val="00B918B1"/>
    <w:rsid w:val="00B93FA1"/>
    <w:rsid w:val="00B96FBD"/>
    <w:rsid w:val="00B976CF"/>
    <w:rsid w:val="00B97F1B"/>
    <w:rsid w:val="00BA05FE"/>
    <w:rsid w:val="00BA1BF6"/>
    <w:rsid w:val="00BA1C6C"/>
    <w:rsid w:val="00BA2863"/>
    <w:rsid w:val="00BA325A"/>
    <w:rsid w:val="00BA58FE"/>
    <w:rsid w:val="00BA5C1F"/>
    <w:rsid w:val="00BA6384"/>
    <w:rsid w:val="00BA6E03"/>
    <w:rsid w:val="00BA7CE0"/>
    <w:rsid w:val="00BB169C"/>
    <w:rsid w:val="00BB22D4"/>
    <w:rsid w:val="00BB3CBE"/>
    <w:rsid w:val="00BB50BB"/>
    <w:rsid w:val="00BB5B5D"/>
    <w:rsid w:val="00BB6397"/>
    <w:rsid w:val="00BB6B9C"/>
    <w:rsid w:val="00BB73C8"/>
    <w:rsid w:val="00BB7E19"/>
    <w:rsid w:val="00BC068F"/>
    <w:rsid w:val="00BC0A7F"/>
    <w:rsid w:val="00BC1220"/>
    <w:rsid w:val="00BC2C58"/>
    <w:rsid w:val="00BC3A29"/>
    <w:rsid w:val="00BC3F13"/>
    <w:rsid w:val="00BC40B5"/>
    <w:rsid w:val="00BC43FD"/>
    <w:rsid w:val="00BC47BF"/>
    <w:rsid w:val="00BC4F1C"/>
    <w:rsid w:val="00BC51F5"/>
    <w:rsid w:val="00BC61CD"/>
    <w:rsid w:val="00BC61F2"/>
    <w:rsid w:val="00BC67C0"/>
    <w:rsid w:val="00BC6F41"/>
    <w:rsid w:val="00BC793E"/>
    <w:rsid w:val="00BD1270"/>
    <w:rsid w:val="00BD1379"/>
    <w:rsid w:val="00BD2FE7"/>
    <w:rsid w:val="00BD36DE"/>
    <w:rsid w:val="00BD4E13"/>
    <w:rsid w:val="00BD52C3"/>
    <w:rsid w:val="00BD5485"/>
    <w:rsid w:val="00BD5F43"/>
    <w:rsid w:val="00BD661B"/>
    <w:rsid w:val="00BD687C"/>
    <w:rsid w:val="00BD6DB9"/>
    <w:rsid w:val="00BD75D1"/>
    <w:rsid w:val="00BE0363"/>
    <w:rsid w:val="00BE0A45"/>
    <w:rsid w:val="00BE1233"/>
    <w:rsid w:val="00BE1311"/>
    <w:rsid w:val="00BE19C2"/>
    <w:rsid w:val="00BE358B"/>
    <w:rsid w:val="00BE4109"/>
    <w:rsid w:val="00BE447B"/>
    <w:rsid w:val="00BE4782"/>
    <w:rsid w:val="00BE47D8"/>
    <w:rsid w:val="00BE4FD9"/>
    <w:rsid w:val="00BE5D73"/>
    <w:rsid w:val="00BE6DFE"/>
    <w:rsid w:val="00BF0637"/>
    <w:rsid w:val="00BF124A"/>
    <w:rsid w:val="00BF37A9"/>
    <w:rsid w:val="00BF3C23"/>
    <w:rsid w:val="00BF4770"/>
    <w:rsid w:val="00BF540A"/>
    <w:rsid w:val="00BF67D7"/>
    <w:rsid w:val="00BF6EC1"/>
    <w:rsid w:val="00BF7257"/>
    <w:rsid w:val="00C017D1"/>
    <w:rsid w:val="00C029BC"/>
    <w:rsid w:val="00C04D37"/>
    <w:rsid w:val="00C05941"/>
    <w:rsid w:val="00C0657C"/>
    <w:rsid w:val="00C074C4"/>
    <w:rsid w:val="00C10CD4"/>
    <w:rsid w:val="00C11B8D"/>
    <w:rsid w:val="00C12AE0"/>
    <w:rsid w:val="00C12FEB"/>
    <w:rsid w:val="00C1357C"/>
    <w:rsid w:val="00C140C6"/>
    <w:rsid w:val="00C144EF"/>
    <w:rsid w:val="00C1534E"/>
    <w:rsid w:val="00C211DC"/>
    <w:rsid w:val="00C2135F"/>
    <w:rsid w:val="00C233C6"/>
    <w:rsid w:val="00C23D4E"/>
    <w:rsid w:val="00C24ED2"/>
    <w:rsid w:val="00C25670"/>
    <w:rsid w:val="00C259E2"/>
    <w:rsid w:val="00C2636B"/>
    <w:rsid w:val="00C26C3A"/>
    <w:rsid w:val="00C277FB"/>
    <w:rsid w:val="00C27CEA"/>
    <w:rsid w:val="00C30639"/>
    <w:rsid w:val="00C306B3"/>
    <w:rsid w:val="00C306F6"/>
    <w:rsid w:val="00C3194E"/>
    <w:rsid w:val="00C31BBB"/>
    <w:rsid w:val="00C3220C"/>
    <w:rsid w:val="00C345ED"/>
    <w:rsid w:val="00C34837"/>
    <w:rsid w:val="00C348B3"/>
    <w:rsid w:val="00C34F38"/>
    <w:rsid w:val="00C3548F"/>
    <w:rsid w:val="00C356C8"/>
    <w:rsid w:val="00C367B4"/>
    <w:rsid w:val="00C36B2D"/>
    <w:rsid w:val="00C37615"/>
    <w:rsid w:val="00C37B29"/>
    <w:rsid w:val="00C40D60"/>
    <w:rsid w:val="00C43A7D"/>
    <w:rsid w:val="00C4425F"/>
    <w:rsid w:val="00C44421"/>
    <w:rsid w:val="00C44A04"/>
    <w:rsid w:val="00C44C83"/>
    <w:rsid w:val="00C4623C"/>
    <w:rsid w:val="00C46DB1"/>
    <w:rsid w:val="00C4706F"/>
    <w:rsid w:val="00C47BD3"/>
    <w:rsid w:val="00C47E57"/>
    <w:rsid w:val="00C504D3"/>
    <w:rsid w:val="00C536B3"/>
    <w:rsid w:val="00C53B22"/>
    <w:rsid w:val="00C542A9"/>
    <w:rsid w:val="00C54763"/>
    <w:rsid w:val="00C55547"/>
    <w:rsid w:val="00C55649"/>
    <w:rsid w:val="00C563A1"/>
    <w:rsid w:val="00C576F8"/>
    <w:rsid w:val="00C57F07"/>
    <w:rsid w:val="00C604F5"/>
    <w:rsid w:val="00C61FF5"/>
    <w:rsid w:val="00C62CD3"/>
    <w:rsid w:val="00C635CF"/>
    <w:rsid w:val="00C635FD"/>
    <w:rsid w:val="00C64027"/>
    <w:rsid w:val="00C66473"/>
    <w:rsid w:val="00C67004"/>
    <w:rsid w:val="00C679E4"/>
    <w:rsid w:val="00C7073E"/>
    <w:rsid w:val="00C707EE"/>
    <w:rsid w:val="00C7103D"/>
    <w:rsid w:val="00C717C8"/>
    <w:rsid w:val="00C7187C"/>
    <w:rsid w:val="00C71AF2"/>
    <w:rsid w:val="00C71B86"/>
    <w:rsid w:val="00C71D62"/>
    <w:rsid w:val="00C723EA"/>
    <w:rsid w:val="00C731CE"/>
    <w:rsid w:val="00C76804"/>
    <w:rsid w:val="00C76E4A"/>
    <w:rsid w:val="00C80731"/>
    <w:rsid w:val="00C80811"/>
    <w:rsid w:val="00C84BAF"/>
    <w:rsid w:val="00C84C64"/>
    <w:rsid w:val="00C8571F"/>
    <w:rsid w:val="00C85EAB"/>
    <w:rsid w:val="00C87CEE"/>
    <w:rsid w:val="00C9009E"/>
    <w:rsid w:val="00C917B0"/>
    <w:rsid w:val="00C91DC9"/>
    <w:rsid w:val="00C93697"/>
    <w:rsid w:val="00C93FC2"/>
    <w:rsid w:val="00C941FF"/>
    <w:rsid w:val="00C94812"/>
    <w:rsid w:val="00C94AFD"/>
    <w:rsid w:val="00C95414"/>
    <w:rsid w:val="00C95E48"/>
    <w:rsid w:val="00C960CE"/>
    <w:rsid w:val="00C9673B"/>
    <w:rsid w:val="00C973FB"/>
    <w:rsid w:val="00CA0C40"/>
    <w:rsid w:val="00CA126C"/>
    <w:rsid w:val="00CA13B9"/>
    <w:rsid w:val="00CA21CA"/>
    <w:rsid w:val="00CA236C"/>
    <w:rsid w:val="00CA270D"/>
    <w:rsid w:val="00CA2E80"/>
    <w:rsid w:val="00CA2E92"/>
    <w:rsid w:val="00CA4EB2"/>
    <w:rsid w:val="00CA61EE"/>
    <w:rsid w:val="00CA6F54"/>
    <w:rsid w:val="00CB1F27"/>
    <w:rsid w:val="00CB256D"/>
    <w:rsid w:val="00CB3146"/>
    <w:rsid w:val="00CB3C8D"/>
    <w:rsid w:val="00CB484B"/>
    <w:rsid w:val="00CB4E0C"/>
    <w:rsid w:val="00CB5059"/>
    <w:rsid w:val="00CB6C8D"/>
    <w:rsid w:val="00CB7F46"/>
    <w:rsid w:val="00CC2508"/>
    <w:rsid w:val="00CC26A6"/>
    <w:rsid w:val="00CC2B5B"/>
    <w:rsid w:val="00CC2F2F"/>
    <w:rsid w:val="00CC47A1"/>
    <w:rsid w:val="00CC4F4F"/>
    <w:rsid w:val="00CC4F94"/>
    <w:rsid w:val="00CC6811"/>
    <w:rsid w:val="00CC6A7B"/>
    <w:rsid w:val="00CC7195"/>
    <w:rsid w:val="00CD1420"/>
    <w:rsid w:val="00CD1B30"/>
    <w:rsid w:val="00CD35F2"/>
    <w:rsid w:val="00CD385E"/>
    <w:rsid w:val="00CD3F0E"/>
    <w:rsid w:val="00CD4356"/>
    <w:rsid w:val="00CD7D5B"/>
    <w:rsid w:val="00CD7ED8"/>
    <w:rsid w:val="00CE1093"/>
    <w:rsid w:val="00CE2B78"/>
    <w:rsid w:val="00CE31F7"/>
    <w:rsid w:val="00CE47AF"/>
    <w:rsid w:val="00CE4BEB"/>
    <w:rsid w:val="00CE4C49"/>
    <w:rsid w:val="00CE51FF"/>
    <w:rsid w:val="00CE5ACF"/>
    <w:rsid w:val="00CE7F91"/>
    <w:rsid w:val="00CF0568"/>
    <w:rsid w:val="00CF1093"/>
    <w:rsid w:val="00CF206F"/>
    <w:rsid w:val="00CF2D64"/>
    <w:rsid w:val="00CF4C30"/>
    <w:rsid w:val="00CF5466"/>
    <w:rsid w:val="00CF6D85"/>
    <w:rsid w:val="00CF6F63"/>
    <w:rsid w:val="00D021AF"/>
    <w:rsid w:val="00D024BD"/>
    <w:rsid w:val="00D02770"/>
    <w:rsid w:val="00D02E89"/>
    <w:rsid w:val="00D054C0"/>
    <w:rsid w:val="00D057A6"/>
    <w:rsid w:val="00D05A94"/>
    <w:rsid w:val="00D06F70"/>
    <w:rsid w:val="00D10700"/>
    <w:rsid w:val="00D11D41"/>
    <w:rsid w:val="00D11E4C"/>
    <w:rsid w:val="00D1223C"/>
    <w:rsid w:val="00D14A32"/>
    <w:rsid w:val="00D14EE0"/>
    <w:rsid w:val="00D15808"/>
    <w:rsid w:val="00D16380"/>
    <w:rsid w:val="00D1690D"/>
    <w:rsid w:val="00D16FBF"/>
    <w:rsid w:val="00D1786A"/>
    <w:rsid w:val="00D2018B"/>
    <w:rsid w:val="00D20799"/>
    <w:rsid w:val="00D209AF"/>
    <w:rsid w:val="00D20C67"/>
    <w:rsid w:val="00D212FE"/>
    <w:rsid w:val="00D21B29"/>
    <w:rsid w:val="00D2428D"/>
    <w:rsid w:val="00D2506C"/>
    <w:rsid w:val="00D27F99"/>
    <w:rsid w:val="00D300D9"/>
    <w:rsid w:val="00D30A68"/>
    <w:rsid w:val="00D30BE6"/>
    <w:rsid w:val="00D30C04"/>
    <w:rsid w:val="00D314D5"/>
    <w:rsid w:val="00D31C7A"/>
    <w:rsid w:val="00D32447"/>
    <w:rsid w:val="00D33AA1"/>
    <w:rsid w:val="00D34F75"/>
    <w:rsid w:val="00D35BD5"/>
    <w:rsid w:val="00D35C30"/>
    <w:rsid w:val="00D36501"/>
    <w:rsid w:val="00D3686E"/>
    <w:rsid w:val="00D412C0"/>
    <w:rsid w:val="00D4194D"/>
    <w:rsid w:val="00D424CA"/>
    <w:rsid w:val="00D42EDE"/>
    <w:rsid w:val="00D4457C"/>
    <w:rsid w:val="00D44F8B"/>
    <w:rsid w:val="00D459F5"/>
    <w:rsid w:val="00D45B15"/>
    <w:rsid w:val="00D47551"/>
    <w:rsid w:val="00D47CD7"/>
    <w:rsid w:val="00D51A17"/>
    <w:rsid w:val="00D52387"/>
    <w:rsid w:val="00D5285D"/>
    <w:rsid w:val="00D52A03"/>
    <w:rsid w:val="00D52FC3"/>
    <w:rsid w:val="00D52FEA"/>
    <w:rsid w:val="00D533DD"/>
    <w:rsid w:val="00D53774"/>
    <w:rsid w:val="00D5433B"/>
    <w:rsid w:val="00D54C42"/>
    <w:rsid w:val="00D5689B"/>
    <w:rsid w:val="00D56AF5"/>
    <w:rsid w:val="00D60795"/>
    <w:rsid w:val="00D60F96"/>
    <w:rsid w:val="00D61651"/>
    <w:rsid w:val="00D618CD"/>
    <w:rsid w:val="00D634CB"/>
    <w:rsid w:val="00D6494A"/>
    <w:rsid w:val="00D64ADE"/>
    <w:rsid w:val="00D64B66"/>
    <w:rsid w:val="00D6607A"/>
    <w:rsid w:val="00D66CAA"/>
    <w:rsid w:val="00D66F87"/>
    <w:rsid w:val="00D67483"/>
    <w:rsid w:val="00D70AD1"/>
    <w:rsid w:val="00D70F07"/>
    <w:rsid w:val="00D7242F"/>
    <w:rsid w:val="00D731E3"/>
    <w:rsid w:val="00D742A8"/>
    <w:rsid w:val="00D74308"/>
    <w:rsid w:val="00D75438"/>
    <w:rsid w:val="00D77799"/>
    <w:rsid w:val="00D8096D"/>
    <w:rsid w:val="00D81422"/>
    <w:rsid w:val="00D81C35"/>
    <w:rsid w:val="00D8254C"/>
    <w:rsid w:val="00D826AC"/>
    <w:rsid w:val="00D82913"/>
    <w:rsid w:val="00D82B60"/>
    <w:rsid w:val="00D8369E"/>
    <w:rsid w:val="00D8416E"/>
    <w:rsid w:val="00D84EB7"/>
    <w:rsid w:val="00D8545A"/>
    <w:rsid w:val="00D85AC7"/>
    <w:rsid w:val="00D8617F"/>
    <w:rsid w:val="00D87BAB"/>
    <w:rsid w:val="00D90713"/>
    <w:rsid w:val="00D90BFF"/>
    <w:rsid w:val="00D92396"/>
    <w:rsid w:val="00D946DB"/>
    <w:rsid w:val="00D95045"/>
    <w:rsid w:val="00D956C2"/>
    <w:rsid w:val="00D96E61"/>
    <w:rsid w:val="00DA040A"/>
    <w:rsid w:val="00DA0B84"/>
    <w:rsid w:val="00DA0BDB"/>
    <w:rsid w:val="00DA0DB4"/>
    <w:rsid w:val="00DA1253"/>
    <w:rsid w:val="00DA1525"/>
    <w:rsid w:val="00DA3B36"/>
    <w:rsid w:val="00DA3E72"/>
    <w:rsid w:val="00DA3FEB"/>
    <w:rsid w:val="00DA4727"/>
    <w:rsid w:val="00DA4A2F"/>
    <w:rsid w:val="00DA4AAA"/>
    <w:rsid w:val="00DA4AAE"/>
    <w:rsid w:val="00DA4D9D"/>
    <w:rsid w:val="00DA6CB8"/>
    <w:rsid w:val="00DA77E1"/>
    <w:rsid w:val="00DA7F01"/>
    <w:rsid w:val="00DB0274"/>
    <w:rsid w:val="00DB0F07"/>
    <w:rsid w:val="00DB2DD0"/>
    <w:rsid w:val="00DB3B68"/>
    <w:rsid w:val="00DB3EEA"/>
    <w:rsid w:val="00DB40CA"/>
    <w:rsid w:val="00DB5503"/>
    <w:rsid w:val="00DB61BB"/>
    <w:rsid w:val="00DC03E0"/>
    <w:rsid w:val="00DC0817"/>
    <w:rsid w:val="00DC09EA"/>
    <w:rsid w:val="00DC0A81"/>
    <w:rsid w:val="00DC1FD1"/>
    <w:rsid w:val="00DC2D05"/>
    <w:rsid w:val="00DC3A83"/>
    <w:rsid w:val="00DC3B38"/>
    <w:rsid w:val="00DC40DA"/>
    <w:rsid w:val="00DC4CE4"/>
    <w:rsid w:val="00DD00B4"/>
    <w:rsid w:val="00DD07FF"/>
    <w:rsid w:val="00DD092D"/>
    <w:rsid w:val="00DD156E"/>
    <w:rsid w:val="00DD1906"/>
    <w:rsid w:val="00DD2C1E"/>
    <w:rsid w:val="00DD41BE"/>
    <w:rsid w:val="00DD4CFC"/>
    <w:rsid w:val="00DD5F87"/>
    <w:rsid w:val="00DD60DF"/>
    <w:rsid w:val="00DD6D54"/>
    <w:rsid w:val="00DD6F35"/>
    <w:rsid w:val="00DD72AA"/>
    <w:rsid w:val="00DD791B"/>
    <w:rsid w:val="00DE0157"/>
    <w:rsid w:val="00DE08E6"/>
    <w:rsid w:val="00DE0962"/>
    <w:rsid w:val="00DE21B5"/>
    <w:rsid w:val="00DE223B"/>
    <w:rsid w:val="00DE230A"/>
    <w:rsid w:val="00DE26F2"/>
    <w:rsid w:val="00DE3389"/>
    <w:rsid w:val="00DE4001"/>
    <w:rsid w:val="00DE489B"/>
    <w:rsid w:val="00DE48EF"/>
    <w:rsid w:val="00DE4EF2"/>
    <w:rsid w:val="00DE5A31"/>
    <w:rsid w:val="00DE73B4"/>
    <w:rsid w:val="00DE7B41"/>
    <w:rsid w:val="00DE7C81"/>
    <w:rsid w:val="00DF0BF5"/>
    <w:rsid w:val="00DF0EF2"/>
    <w:rsid w:val="00DF30EB"/>
    <w:rsid w:val="00DF65DF"/>
    <w:rsid w:val="00DF70AE"/>
    <w:rsid w:val="00DF7382"/>
    <w:rsid w:val="00E0175F"/>
    <w:rsid w:val="00E01F9D"/>
    <w:rsid w:val="00E026FB"/>
    <w:rsid w:val="00E02F76"/>
    <w:rsid w:val="00E03E51"/>
    <w:rsid w:val="00E03E93"/>
    <w:rsid w:val="00E050F3"/>
    <w:rsid w:val="00E052A9"/>
    <w:rsid w:val="00E0639C"/>
    <w:rsid w:val="00E06628"/>
    <w:rsid w:val="00E06E19"/>
    <w:rsid w:val="00E07C8E"/>
    <w:rsid w:val="00E10726"/>
    <w:rsid w:val="00E10B85"/>
    <w:rsid w:val="00E11F7B"/>
    <w:rsid w:val="00E120F4"/>
    <w:rsid w:val="00E1421C"/>
    <w:rsid w:val="00E143FD"/>
    <w:rsid w:val="00E14C4D"/>
    <w:rsid w:val="00E16498"/>
    <w:rsid w:val="00E1696D"/>
    <w:rsid w:val="00E1750A"/>
    <w:rsid w:val="00E20FAC"/>
    <w:rsid w:val="00E2178E"/>
    <w:rsid w:val="00E2447E"/>
    <w:rsid w:val="00E249EF"/>
    <w:rsid w:val="00E25862"/>
    <w:rsid w:val="00E26CB6"/>
    <w:rsid w:val="00E27969"/>
    <w:rsid w:val="00E3279F"/>
    <w:rsid w:val="00E32BAE"/>
    <w:rsid w:val="00E32DA2"/>
    <w:rsid w:val="00E33BF7"/>
    <w:rsid w:val="00E340D7"/>
    <w:rsid w:val="00E41A58"/>
    <w:rsid w:val="00E41E4F"/>
    <w:rsid w:val="00E42A4D"/>
    <w:rsid w:val="00E43CD2"/>
    <w:rsid w:val="00E440D2"/>
    <w:rsid w:val="00E45F52"/>
    <w:rsid w:val="00E46936"/>
    <w:rsid w:val="00E46AC0"/>
    <w:rsid w:val="00E473B0"/>
    <w:rsid w:val="00E47B54"/>
    <w:rsid w:val="00E47CCD"/>
    <w:rsid w:val="00E50750"/>
    <w:rsid w:val="00E509EA"/>
    <w:rsid w:val="00E50E79"/>
    <w:rsid w:val="00E50FA0"/>
    <w:rsid w:val="00E52782"/>
    <w:rsid w:val="00E53E55"/>
    <w:rsid w:val="00E543B2"/>
    <w:rsid w:val="00E54B05"/>
    <w:rsid w:val="00E60B53"/>
    <w:rsid w:val="00E60C82"/>
    <w:rsid w:val="00E61840"/>
    <w:rsid w:val="00E6373B"/>
    <w:rsid w:val="00E63DC8"/>
    <w:rsid w:val="00E64990"/>
    <w:rsid w:val="00E64BFE"/>
    <w:rsid w:val="00E66040"/>
    <w:rsid w:val="00E6616A"/>
    <w:rsid w:val="00E67F16"/>
    <w:rsid w:val="00E70AB0"/>
    <w:rsid w:val="00E71171"/>
    <w:rsid w:val="00E721D9"/>
    <w:rsid w:val="00E72404"/>
    <w:rsid w:val="00E73F4B"/>
    <w:rsid w:val="00E74C2C"/>
    <w:rsid w:val="00E75993"/>
    <w:rsid w:val="00E764E7"/>
    <w:rsid w:val="00E80172"/>
    <w:rsid w:val="00E804CC"/>
    <w:rsid w:val="00E81DB9"/>
    <w:rsid w:val="00E81F69"/>
    <w:rsid w:val="00E822F7"/>
    <w:rsid w:val="00E8231C"/>
    <w:rsid w:val="00E8262F"/>
    <w:rsid w:val="00E84C8E"/>
    <w:rsid w:val="00E85358"/>
    <w:rsid w:val="00E863C1"/>
    <w:rsid w:val="00E86638"/>
    <w:rsid w:val="00E86B98"/>
    <w:rsid w:val="00E871FE"/>
    <w:rsid w:val="00E87B6C"/>
    <w:rsid w:val="00E921F1"/>
    <w:rsid w:val="00E92C04"/>
    <w:rsid w:val="00E92EE4"/>
    <w:rsid w:val="00E93AB5"/>
    <w:rsid w:val="00E96A85"/>
    <w:rsid w:val="00E9758A"/>
    <w:rsid w:val="00E979E9"/>
    <w:rsid w:val="00E97CD2"/>
    <w:rsid w:val="00EA050A"/>
    <w:rsid w:val="00EA0754"/>
    <w:rsid w:val="00EA0BAB"/>
    <w:rsid w:val="00EA0F2F"/>
    <w:rsid w:val="00EA11F0"/>
    <w:rsid w:val="00EA1F5A"/>
    <w:rsid w:val="00EA2AFF"/>
    <w:rsid w:val="00EA3FEF"/>
    <w:rsid w:val="00EA4108"/>
    <w:rsid w:val="00EA419C"/>
    <w:rsid w:val="00EA45F4"/>
    <w:rsid w:val="00EA4F4F"/>
    <w:rsid w:val="00EA56D1"/>
    <w:rsid w:val="00EB154B"/>
    <w:rsid w:val="00EB1DBE"/>
    <w:rsid w:val="00EB5013"/>
    <w:rsid w:val="00EB53AD"/>
    <w:rsid w:val="00EB5804"/>
    <w:rsid w:val="00EB5C9A"/>
    <w:rsid w:val="00EB6224"/>
    <w:rsid w:val="00EB62C2"/>
    <w:rsid w:val="00EB6DEA"/>
    <w:rsid w:val="00EB6E04"/>
    <w:rsid w:val="00EB6FC2"/>
    <w:rsid w:val="00EC0B74"/>
    <w:rsid w:val="00EC19AE"/>
    <w:rsid w:val="00EC2E9B"/>
    <w:rsid w:val="00EC4E70"/>
    <w:rsid w:val="00EC5046"/>
    <w:rsid w:val="00EC53E0"/>
    <w:rsid w:val="00EC57C6"/>
    <w:rsid w:val="00EC5FA2"/>
    <w:rsid w:val="00EC7AB4"/>
    <w:rsid w:val="00ED048B"/>
    <w:rsid w:val="00ED1379"/>
    <w:rsid w:val="00ED1956"/>
    <w:rsid w:val="00ED20CB"/>
    <w:rsid w:val="00ED4629"/>
    <w:rsid w:val="00ED52BC"/>
    <w:rsid w:val="00ED55F7"/>
    <w:rsid w:val="00ED66A4"/>
    <w:rsid w:val="00ED6D84"/>
    <w:rsid w:val="00ED78AD"/>
    <w:rsid w:val="00ED7C8E"/>
    <w:rsid w:val="00EE079A"/>
    <w:rsid w:val="00EE0B9D"/>
    <w:rsid w:val="00EE2205"/>
    <w:rsid w:val="00EE2BDA"/>
    <w:rsid w:val="00EE2BEA"/>
    <w:rsid w:val="00EE2CD5"/>
    <w:rsid w:val="00EE34F2"/>
    <w:rsid w:val="00EE5691"/>
    <w:rsid w:val="00EE63B4"/>
    <w:rsid w:val="00EE690D"/>
    <w:rsid w:val="00EE6F6C"/>
    <w:rsid w:val="00EF03E6"/>
    <w:rsid w:val="00EF0C0C"/>
    <w:rsid w:val="00EF0DA4"/>
    <w:rsid w:val="00EF36D2"/>
    <w:rsid w:val="00EF3F40"/>
    <w:rsid w:val="00EF6FD5"/>
    <w:rsid w:val="00F004BA"/>
    <w:rsid w:val="00F006CF"/>
    <w:rsid w:val="00F00A38"/>
    <w:rsid w:val="00F015E6"/>
    <w:rsid w:val="00F0322C"/>
    <w:rsid w:val="00F04C31"/>
    <w:rsid w:val="00F052D1"/>
    <w:rsid w:val="00F1041F"/>
    <w:rsid w:val="00F1062E"/>
    <w:rsid w:val="00F11185"/>
    <w:rsid w:val="00F114E6"/>
    <w:rsid w:val="00F117D1"/>
    <w:rsid w:val="00F12EA3"/>
    <w:rsid w:val="00F1455C"/>
    <w:rsid w:val="00F14A91"/>
    <w:rsid w:val="00F14B07"/>
    <w:rsid w:val="00F163FF"/>
    <w:rsid w:val="00F176BA"/>
    <w:rsid w:val="00F177C6"/>
    <w:rsid w:val="00F17B2E"/>
    <w:rsid w:val="00F20C33"/>
    <w:rsid w:val="00F215C7"/>
    <w:rsid w:val="00F2228C"/>
    <w:rsid w:val="00F22648"/>
    <w:rsid w:val="00F23247"/>
    <w:rsid w:val="00F249CD"/>
    <w:rsid w:val="00F2521E"/>
    <w:rsid w:val="00F26B14"/>
    <w:rsid w:val="00F271B3"/>
    <w:rsid w:val="00F30076"/>
    <w:rsid w:val="00F315FD"/>
    <w:rsid w:val="00F325B9"/>
    <w:rsid w:val="00F32D09"/>
    <w:rsid w:val="00F33ABB"/>
    <w:rsid w:val="00F356CE"/>
    <w:rsid w:val="00F358AF"/>
    <w:rsid w:val="00F36287"/>
    <w:rsid w:val="00F41508"/>
    <w:rsid w:val="00F423F0"/>
    <w:rsid w:val="00F4393C"/>
    <w:rsid w:val="00F45359"/>
    <w:rsid w:val="00F45413"/>
    <w:rsid w:val="00F46113"/>
    <w:rsid w:val="00F463F5"/>
    <w:rsid w:val="00F47628"/>
    <w:rsid w:val="00F47A9F"/>
    <w:rsid w:val="00F50709"/>
    <w:rsid w:val="00F5132F"/>
    <w:rsid w:val="00F519A4"/>
    <w:rsid w:val="00F52DF6"/>
    <w:rsid w:val="00F52FC6"/>
    <w:rsid w:val="00F535E7"/>
    <w:rsid w:val="00F5381F"/>
    <w:rsid w:val="00F5524C"/>
    <w:rsid w:val="00F56546"/>
    <w:rsid w:val="00F56641"/>
    <w:rsid w:val="00F56956"/>
    <w:rsid w:val="00F57838"/>
    <w:rsid w:val="00F57A08"/>
    <w:rsid w:val="00F57ED1"/>
    <w:rsid w:val="00F60315"/>
    <w:rsid w:val="00F60F37"/>
    <w:rsid w:val="00F61095"/>
    <w:rsid w:val="00F61AC4"/>
    <w:rsid w:val="00F620A2"/>
    <w:rsid w:val="00F63080"/>
    <w:rsid w:val="00F63BA7"/>
    <w:rsid w:val="00F65282"/>
    <w:rsid w:val="00F66294"/>
    <w:rsid w:val="00F66371"/>
    <w:rsid w:val="00F66830"/>
    <w:rsid w:val="00F66DFB"/>
    <w:rsid w:val="00F67634"/>
    <w:rsid w:val="00F71DF2"/>
    <w:rsid w:val="00F75FD2"/>
    <w:rsid w:val="00F777C7"/>
    <w:rsid w:val="00F800B6"/>
    <w:rsid w:val="00F8071F"/>
    <w:rsid w:val="00F811C6"/>
    <w:rsid w:val="00F811F8"/>
    <w:rsid w:val="00F834C3"/>
    <w:rsid w:val="00F8411E"/>
    <w:rsid w:val="00F84B2D"/>
    <w:rsid w:val="00F84BC7"/>
    <w:rsid w:val="00F855D5"/>
    <w:rsid w:val="00F85D06"/>
    <w:rsid w:val="00F87E46"/>
    <w:rsid w:val="00F913DC"/>
    <w:rsid w:val="00F9145F"/>
    <w:rsid w:val="00F91E30"/>
    <w:rsid w:val="00F93400"/>
    <w:rsid w:val="00F93B5F"/>
    <w:rsid w:val="00F9591C"/>
    <w:rsid w:val="00FA3858"/>
    <w:rsid w:val="00FA3865"/>
    <w:rsid w:val="00FA46C8"/>
    <w:rsid w:val="00FA4E19"/>
    <w:rsid w:val="00FA610E"/>
    <w:rsid w:val="00FA641C"/>
    <w:rsid w:val="00FA67D6"/>
    <w:rsid w:val="00FA6E69"/>
    <w:rsid w:val="00FA77E4"/>
    <w:rsid w:val="00FB1578"/>
    <w:rsid w:val="00FB199D"/>
    <w:rsid w:val="00FB1C26"/>
    <w:rsid w:val="00FB1D44"/>
    <w:rsid w:val="00FB25EE"/>
    <w:rsid w:val="00FB2CD7"/>
    <w:rsid w:val="00FB2E7B"/>
    <w:rsid w:val="00FB4960"/>
    <w:rsid w:val="00FB5258"/>
    <w:rsid w:val="00FB5985"/>
    <w:rsid w:val="00FC019F"/>
    <w:rsid w:val="00FC04E6"/>
    <w:rsid w:val="00FC0624"/>
    <w:rsid w:val="00FC0B81"/>
    <w:rsid w:val="00FC1030"/>
    <w:rsid w:val="00FC1715"/>
    <w:rsid w:val="00FC20DD"/>
    <w:rsid w:val="00FC223C"/>
    <w:rsid w:val="00FC371D"/>
    <w:rsid w:val="00FC41EC"/>
    <w:rsid w:val="00FC4D06"/>
    <w:rsid w:val="00FC5515"/>
    <w:rsid w:val="00FC6275"/>
    <w:rsid w:val="00FC6D7A"/>
    <w:rsid w:val="00FD0193"/>
    <w:rsid w:val="00FD0FAA"/>
    <w:rsid w:val="00FD16F5"/>
    <w:rsid w:val="00FD239F"/>
    <w:rsid w:val="00FD380B"/>
    <w:rsid w:val="00FD3883"/>
    <w:rsid w:val="00FD38B8"/>
    <w:rsid w:val="00FD457C"/>
    <w:rsid w:val="00FD54FC"/>
    <w:rsid w:val="00FD5ABD"/>
    <w:rsid w:val="00FD6675"/>
    <w:rsid w:val="00FD6CCB"/>
    <w:rsid w:val="00FD6D27"/>
    <w:rsid w:val="00FD7524"/>
    <w:rsid w:val="00FD7960"/>
    <w:rsid w:val="00FD7E66"/>
    <w:rsid w:val="00FD7FB3"/>
    <w:rsid w:val="00FE052A"/>
    <w:rsid w:val="00FE219F"/>
    <w:rsid w:val="00FE21F5"/>
    <w:rsid w:val="00FE30C1"/>
    <w:rsid w:val="00FE3BD8"/>
    <w:rsid w:val="00FE43D5"/>
    <w:rsid w:val="00FE4AE0"/>
    <w:rsid w:val="00FE4D22"/>
    <w:rsid w:val="00FE6995"/>
    <w:rsid w:val="00FE69AC"/>
    <w:rsid w:val="00FE6CFB"/>
    <w:rsid w:val="00FF0040"/>
    <w:rsid w:val="00FF1422"/>
    <w:rsid w:val="00FF15C6"/>
    <w:rsid w:val="00FF208F"/>
    <w:rsid w:val="00FF2658"/>
    <w:rsid w:val="00FF2818"/>
    <w:rsid w:val="00FF2D0E"/>
    <w:rsid w:val="00FF36A5"/>
    <w:rsid w:val="00FF3B3B"/>
    <w:rsid w:val="00FF75CC"/>
  </w:rsids>
  <m:mathPr>
    <m:mathFont m:val="Cambria Math"/>
    <m:brkBin m:val="before"/>
    <m:brkBinSub m:val="--"/>
    <m:smallFrac m:val="0"/>
    <m:dispDef/>
    <m:lMargin m:val="0"/>
    <m:rMargin m:val="0"/>
    <m:defJc m:val="centerGroup"/>
    <m:wrapIndent m:val="1440"/>
    <m:intLim m:val="subSup"/>
    <m:naryLim m:val="undOvr"/>
  </m:mathPr>
  <w:themeFontLang w:val="en-GB" w:eastAsia="zh-CN"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4D65CD"/>
  <w15:docId w15:val="{0D001453-127C-4EC6-AD50-9F9302CB2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GB" w:eastAsia="en-GB" w:bidi="ne-NP"/>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qFormat="1"/>
    <w:lsdException w:name="heading 3" w:locked="1" w:qFormat="1"/>
    <w:lsdException w:name="heading 4" w:locked="1" w:qFormat="1"/>
    <w:lsdException w:name="heading 5" w:locked="1" w:uiPriority="1"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iPriority="0" w:unhideWhenUsed="1" w:qFormat="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iPriority="0" w:unhideWhenUsed="1" w:qFormat="1"/>
    <w:lsdException w:name="envelope address" w:locked="1" w:semiHidden="1" w:unhideWhenUsed="1"/>
    <w:lsdException w:name="envelope return" w:locked="1" w:semiHidden="1" w:unhideWhenUsed="1"/>
    <w:lsdException w:name="footnote reference" w:locked="1" w:semiHidden="1" w:uiPriority="0" w:unhideWhenUsed="1" w:qFormat="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iPriority="1" w:unhideWhenUsed="1"/>
    <w:lsdException w:name="endnote text" w:locked="1" w:semiHidden="1" w:uiPriority="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qFormat="1"/>
    <w:lsdException w:name="List Bullet" w:locked="1" w:semiHidden="1" w:uiPriority="0" w:unhideWhenUsed="1" w:qFormat="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FEB"/>
    <w:pPr>
      <w:spacing w:before="120" w:after="120"/>
      <w:jc w:val="both"/>
    </w:pPr>
    <w:rPr>
      <w:rFonts w:ascii="Verdana" w:eastAsia="Times New Roman" w:hAnsi="Verdana"/>
      <w:szCs w:val="24"/>
      <w:lang w:eastAsia="en-US" w:bidi="ar-SA"/>
    </w:rPr>
  </w:style>
  <w:style w:type="paragraph" w:styleId="Heading1">
    <w:name w:val="heading 1"/>
    <w:aliases w:val="Cover title white"/>
    <w:basedOn w:val="Normal"/>
    <w:next w:val="Normal"/>
    <w:link w:val="Heading1Char"/>
    <w:autoRedefine/>
    <w:qFormat/>
    <w:rsid w:val="005A6305"/>
    <w:pPr>
      <w:keepNext/>
      <w:autoSpaceDE w:val="0"/>
      <w:autoSpaceDN w:val="0"/>
      <w:adjustRightInd w:val="0"/>
      <w:spacing w:before="0" w:after="0"/>
      <w:jc w:val="left"/>
      <w:outlineLvl w:val="0"/>
    </w:pPr>
    <w:rPr>
      <w:rFonts w:eastAsia="Arial"/>
      <w:b/>
      <w:szCs w:val="20"/>
      <w:u w:val="single"/>
      <w:lang w:eastAsia="x-none"/>
    </w:rPr>
  </w:style>
  <w:style w:type="paragraph" w:styleId="Heading2">
    <w:name w:val="heading 2"/>
    <w:basedOn w:val="Normal"/>
    <w:next w:val="Normal"/>
    <w:link w:val="Heading2Char"/>
    <w:autoRedefine/>
    <w:uiPriority w:val="99"/>
    <w:qFormat/>
    <w:rsid w:val="001E5A75"/>
    <w:pPr>
      <w:keepNext/>
      <w:spacing w:before="240"/>
      <w:outlineLvl w:val="1"/>
    </w:pPr>
    <w:rPr>
      <w:rFonts w:eastAsia="Arial"/>
      <w:b/>
      <w:sz w:val="24"/>
      <w:u w:val="single"/>
      <w:lang w:val="en-US" w:eastAsia="x-none"/>
    </w:rPr>
  </w:style>
  <w:style w:type="paragraph" w:styleId="Heading3">
    <w:name w:val="heading 3"/>
    <w:aliases w:val="Title 2"/>
    <w:basedOn w:val="Normal"/>
    <w:next w:val="Normal"/>
    <w:link w:val="Heading3Char1"/>
    <w:autoRedefine/>
    <w:uiPriority w:val="99"/>
    <w:qFormat/>
    <w:rsid w:val="001E5A75"/>
    <w:pPr>
      <w:keepNext/>
      <w:spacing w:before="180"/>
      <w:outlineLvl w:val="2"/>
    </w:pPr>
    <w:rPr>
      <w:rFonts w:ascii="Arial" w:eastAsia="Arial" w:hAnsi="Arial"/>
      <w:b/>
      <w:szCs w:val="20"/>
      <w:lang w:val="x-none" w:eastAsia="de-DE"/>
    </w:rPr>
  </w:style>
  <w:style w:type="paragraph" w:styleId="Heading4">
    <w:name w:val="heading 4"/>
    <w:basedOn w:val="Normal"/>
    <w:next w:val="Normal"/>
    <w:link w:val="Heading4Char"/>
    <w:autoRedefine/>
    <w:uiPriority w:val="99"/>
    <w:qFormat/>
    <w:rsid w:val="00DE0962"/>
    <w:pPr>
      <w:keepNext/>
      <w:numPr>
        <w:numId w:val="17"/>
      </w:numPr>
      <w:spacing w:before="160"/>
      <w:outlineLvl w:val="3"/>
    </w:pPr>
    <w:rPr>
      <w:b/>
      <w:u w:val="single"/>
    </w:rPr>
  </w:style>
  <w:style w:type="paragraph" w:styleId="Heading5">
    <w:name w:val="heading 5"/>
    <w:aliases w:val="Cover subtitle white"/>
    <w:basedOn w:val="Normal"/>
    <w:next w:val="Normal"/>
    <w:link w:val="Heading5Char"/>
    <w:autoRedefine/>
    <w:uiPriority w:val="1"/>
    <w:qFormat/>
    <w:rsid w:val="001E5A75"/>
    <w:pPr>
      <w:keepNext/>
      <w:spacing w:before="140"/>
      <w:outlineLvl w:val="4"/>
    </w:pPr>
    <w:rPr>
      <w:rFonts w:ascii="Arial" w:eastAsia="Arial" w:hAnsi="Arial"/>
      <w:b/>
      <w:i/>
      <w:szCs w:val="20"/>
      <w:lang w:val="x-none" w:eastAsia="de-DE"/>
    </w:rPr>
  </w:style>
  <w:style w:type="paragraph" w:styleId="Heading6">
    <w:name w:val="heading 6"/>
    <w:basedOn w:val="Normal"/>
    <w:next w:val="Normal"/>
    <w:link w:val="Heading6Char"/>
    <w:qFormat/>
    <w:rsid w:val="001E5A75"/>
    <w:pPr>
      <w:spacing w:before="240" w:after="60"/>
      <w:outlineLvl w:val="5"/>
    </w:pPr>
    <w:rPr>
      <w:rFonts w:ascii="Times New Roman" w:eastAsia="Arial" w:hAnsi="Times New Roman"/>
      <w:b/>
      <w:bCs/>
      <w:szCs w:val="20"/>
      <w:lang w:val="x-none" w:eastAsia="de-DE"/>
    </w:rPr>
  </w:style>
  <w:style w:type="paragraph" w:styleId="Heading7">
    <w:name w:val="heading 7"/>
    <w:basedOn w:val="Normal"/>
    <w:next w:val="Normal"/>
    <w:link w:val="Heading7Char"/>
    <w:qFormat/>
    <w:rsid w:val="001E5A75"/>
    <w:pPr>
      <w:spacing w:before="240" w:after="60"/>
      <w:outlineLvl w:val="6"/>
    </w:pPr>
    <w:rPr>
      <w:rFonts w:ascii="Times New Roman" w:eastAsia="Arial" w:hAnsi="Times New Roman"/>
      <w:szCs w:val="20"/>
      <w:lang w:val="x-none" w:eastAsia="de-DE"/>
    </w:rPr>
  </w:style>
  <w:style w:type="paragraph" w:styleId="Heading8">
    <w:name w:val="heading 8"/>
    <w:basedOn w:val="Normal"/>
    <w:next w:val="Normal"/>
    <w:link w:val="Heading8Char"/>
    <w:qFormat/>
    <w:rsid w:val="001E5A75"/>
    <w:pPr>
      <w:spacing w:before="240" w:after="60"/>
      <w:outlineLvl w:val="7"/>
    </w:pPr>
    <w:rPr>
      <w:rFonts w:ascii="Times New Roman" w:eastAsia="Arial" w:hAnsi="Times New Roman"/>
      <w:i/>
      <w:iCs/>
      <w:szCs w:val="20"/>
      <w:lang w:val="x-none" w:eastAsia="de-DE"/>
    </w:rPr>
  </w:style>
  <w:style w:type="paragraph" w:styleId="Heading9">
    <w:name w:val="heading 9"/>
    <w:basedOn w:val="Normal"/>
    <w:next w:val="Normal"/>
    <w:link w:val="Heading9Char"/>
    <w:qFormat/>
    <w:rsid w:val="001E5A75"/>
    <w:pPr>
      <w:spacing w:before="240" w:after="60"/>
      <w:outlineLvl w:val="8"/>
    </w:pPr>
    <w:rPr>
      <w:rFonts w:ascii="Arial" w:eastAsia="Arial" w:hAnsi="Arial"/>
      <w:szCs w:val="20"/>
      <w:lang w:val="x-non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over title white Char"/>
    <w:link w:val="Heading1"/>
    <w:locked/>
    <w:rsid w:val="005A6305"/>
    <w:rPr>
      <w:rFonts w:ascii="Verdana" w:hAnsi="Verdana" w:cs="Times New Roman"/>
      <w:b/>
      <w:sz w:val="20"/>
      <w:szCs w:val="20"/>
      <w:u w:val="single"/>
      <w:lang w:val="en-GB"/>
    </w:rPr>
  </w:style>
  <w:style w:type="character" w:customStyle="1" w:styleId="Heading2Char">
    <w:name w:val="Heading 2 Char"/>
    <w:link w:val="Heading2"/>
    <w:uiPriority w:val="99"/>
    <w:locked/>
    <w:rsid w:val="00EC5046"/>
    <w:rPr>
      <w:rFonts w:ascii="Verdana" w:hAnsi="Verdana" w:cs="Times New Roman"/>
      <w:b/>
      <w:sz w:val="24"/>
      <w:szCs w:val="24"/>
      <w:u w:val="single"/>
      <w:lang w:val="en-US"/>
    </w:rPr>
  </w:style>
  <w:style w:type="character" w:customStyle="1" w:styleId="Heading3Char">
    <w:name w:val="Heading 3 Char"/>
    <w:aliases w:val="Title 2 Char"/>
    <w:uiPriority w:val="99"/>
    <w:locked/>
    <w:rsid w:val="00884FEB"/>
    <w:rPr>
      <w:rFonts w:cs="Times New Roman"/>
      <w:sz w:val="24"/>
      <w:szCs w:val="24"/>
      <w:lang w:val="en-US" w:eastAsia="en-US"/>
    </w:rPr>
  </w:style>
  <w:style w:type="character" w:customStyle="1" w:styleId="Heading4Char">
    <w:name w:val="Heading 4 Char"/>
    <w:link w:val="Heading4"/>
    <w:uiPriority w:val="99"/>
    <w:locked/>
    <w:rsid w:val="00DE0962"/>
    <w:rPr>
      <w:rFonts w:ascii="Verdana" w:eastAsia="Times New Roman" w:hAnsi="Verdana"/>
      <w:b/>
      <w:szCs w:val="24"/>
      <w:u w:val="single"/>
      <w:lang w:eastAsia="en-US" w:bidi="ar-SA"/>
    </w:rPr>
  </w:style>
  <w:style w:type="character" w:customStyle="1" w:styleId="Heading5Char">
    <w:name w:val="Heading 5 Char"/>
    <w:aliases w:val="Cover subtitle white Char"/>
    <w:link w:val="Heading5"/>
    <w:uiPriority w:val="1"/>
    <w:locked/>
    <w:rsid w:val="001E5A75"/>
    <w:rPr>
      <w:rFonts w:ascii="Arial" w:hAnsi="Arial" w:cs="Times New Roman"/>
      <w:b/>
      <w:i/>
      <w:sz w:val="20"/>
      <w:szCs w:val="20"/>
      <w:lang w:eastAsia="de-DE"/>
    </w:rPr>
  </w:style>
  <w:style w:type="character" w:customStyle="1" w:styleId="Heading6Char">
    <w:name w:val="Heading 6 Char"/>
    <w:link w:val="Heading6"/>
    <w:semiHidden/>
    <w:locked/>
    <w:rsid w:val="001E5A75"/>
    <w:rPr>
      <w:rFonts w:ascii="Times New Roman" w:hAnsi="Times New Roman" w:cs="Times New Roman"/>
      <w:b/>
      <w:bCs/>
      <w:lang w:eastAsia="de-DE"/>
    </w:rPr>
  </w:style>
  <w:style w:type="character" w:customStyle="1" w:styleId="Heading7Char">
    <w:name w:val="Heading 7 Char"/>
    <w:link w:val="Heading7"/>
    <w:semiHidden/>
    <w:locked/>
    <w:rsid w:val="001E5A75"/>
    <w:rPr>
      <w:rFonts w:ascii="Times New Roman" w:hAnsi="Times New Roman" w:cs="Times New Roman"/>
      <w:sz w:val="20"/>
      <w:szCs w:val="20"/>
      <w:lang w:eastAsia="de-DE"/>
    </w:rPr>
  </w:style>
  <w:style w:type="character" w:customStyle="1" w:styleId="Heading8Char">
    <w:name w:val="Heading 8 Char"/>
    <w:link w:val="Heading8"/>
    <w:semiHidden/>
    <w:locked/>
    <w:rsid w:val="001E5A75"/>
    <w:rPr>
      <w:rFonts w:ascii="Times New Roman" w:hAnsi="Times New Roman" w:cs="Times New Roman"/>
      <w:i/>
      <w:iCs/>
      <w:sz w:val="20"/>
      <w:szCs w:val="20"/>
      <w:lang w:eastAsia="de-DE"/>
    </w:rPr>
  </w:style>
  <w:style w:type="character" w:customStyle="1" w:styleId="Heading9Char">
    <w:name w:val="Heading 9 Char"/>
    <w:link w:val="Heading9"/>
    <w:semiHidden/>
    <w:locked/>
    <w:rsid w:val="001E5A75"/>
    <w:rPr>
      <w:rFonts w:ascii="Arial" w:hAnsi="Arial" w:cs="Arial"/>
      <w:lang w:eastAsia="de-DE"/>
    </w:rPr>
  </w:style>
  <w:style w:type="paragraph" w:styleId="TableofFigures">
    <w:name w:val="table of figures"/>
    <w:basedOn w:val="Normal"/>
    <w:next w:val="Normal"/>
    <w:qFormat/>
    <w:rsid w:val="001E5A75"/>
    <w:pPr>
      <w:ind w:left="440" w:hanging="440"/>
    </w:pPr>
  </w:style>
  <w:style w:type="paragraph" w:customStyle="1" w:styleId="Aufzhlungszeichen1">
    <w:name w:val="Aufzählungszeichen1"/>
    <w:basedOn w:val="Normal"/>
    <w:uiPriority w:val="1"/>
    <w:qFormat/>
    <w:rsid w:val="001E5A75"/>
    <w:pPr>
      <w:numPr>
        <w:numId w:val="1"/>
      </w:numPr>
      <w:spacing w:line="240" w:lineRule="exact"/>
    </w:pPr>
  </w:style>
  <w:style w:type="paragraph" w:customStyle="1" w:styleId="Aufzhlungszeichen2">
    <w:name w:val="Aufzählungszeichen2"/>
    <w:basedOn w:val="Normal"/>
    <w:uiPriority w:val="1"/>
    <w:qFormat/>
    <w:rsid w:val="001E5A75"/>
    <w:pPr>
      <w:numPr>
        <w:numId w:val="2"/>
      </w:numPr>
      <w:spacing w:line="240" w:lineRule="exact"/>
    </w:pPr>
  </w:style>
  <w:style w:type="paragraph" w:customStyle="1" w:styleId="Aufzhlungszeichen3">
    <w:name w:val="Aufzählungszeichen3"/>
    <w:basedOn w:val="Normal"/>
    <w:uiPriority w:val="1"/>
    <w:qFormat/>
    <w:rsid w:val="001E5A75"/>
    <w:pPr>
      <w:numPr>
        <w:numId w:val="3"/>
      </w:numPr>
      <w:spacing w:line="240" w:lineRule="exact"/>
    </w:pPr>
  </w:style>
  <w:style w:type="paragraph" w:customStyle="1" w:styleId="Aufzhlungszeichen4">
    <w:name w:val="Aufzählungszeichen4"/>
    <w:basedOn w:val="Normal"/>
    <w:uiPriority w:val="1"/>
    <w:qFormat/>
    <w:rsid w:val="001E5A75"/>
    <w:pPr>
      <w:numPr>
        <w:numId w:val="4"/>
      </w:numPr>
      <w:spacing w:line="240" w:lineRule="exact"/>
    </w:pPr>
  </w:style>
  <w:style w:type="paragraph" w:styleId="FootnoteText">
    <w:name w:val="footnote text"/>
    <w:basedOn w:val="Normal"/>
    <w:link w:val="FootnoteTextChar"/>
    <w:qFormat/>
    <w:rsid w:val="00C2636B"/>
    <w:pPr>
      <w:spacing w:line="180" w:lineRule="exact"/>
      <w:ind w:left="142" w:hanging="142"/>
    </w:pPr>
    <w:rPr>
      <w:rFonts w:ascii="Arial" w:eastAsia="Arial" w:hAnsi="Arial"/>
      <w:sz w:val="16"/>
      <w:szCs w:val="16"/>
      <w:lang w:val="x-none" w:eastAsia="de-DE"/>
    </w:rPr>
  </w:style>
  <w:style w:type="character" w:customStyle="1" w:styleId="FootnoteTextChar">
    <w:name w:val="Footnote Text Char"/>
    <w:link w:val="FootnoteText"/>
    <w:locked/>
    <w:rsid w:val="00C2636B"/>
    <w:rPr>
      <w:rFonts w:ascii="Arial" w:hAnsi="Arial" w:cs="Times New Roman"/>
      <w:sz w:val="16"/>
      <w:szCs w:val="16"/>
      <w:lang w:eastAsia="de-DE"/>
    </w:rPr>
  </w:style>
  <w:style w:type="character" w:styleId="FootnoteReference">
    <w:name w:val="footnote reference"/>
    <w:aliases w:val="Footnote Reference Number,Footnote Reference_LVL6,Footnote Reference_LVL61,Footnote Reference_LVL62,Footnote Reference_LVL63,Footnote Reference_LVL64,Footnote symbol,Footnote reference number,Fußnotenzeichen3,Char1"/>
    <w:qFormat/>
    <w:rsid w:val="001E5A75"/>
    <w:rPr>
      <w:rFonts w:ascii="Arial" w:hAnsi="Arial" w:cs="Times New Roman"/>
      <w:kern w:val="0"/>
      <w:position w:val="4"/>
      <w:sz w:val="12"/>
      <w:szCs w:val="12"/>
      <w:vertAlign w:val="baseline"/>
    </w:rPr>
  </w:style>
  <w:style w:type="paragraph" w:styleId="Footer">
    <w:name w:val="footer"/>
    <w:basedOn w:val="Normal"/>
    <w:link w:val="FooterChar"/>
    <w:uiPriority w:val="99"/>
    <w:rsid w:val="001E5A75"/>
    <w:pPr>
      <w:tabs>
        <w:tab w:val="center" w:pos="4536"/>
        <w:tab w:val="right" w:pos="9072"/>
      </w:tabs>
    </w:pPr>
    <w:rPr>
      <w:rFonts w:ascii="Arial" w:eastAsia="Arial" w:hAnsi="Arial"/>
      <w:sz w:val="14"/>
      <w:szCs w:val="14"/>
      <w:lang w:val="x-none" w:eastAsia="de-DE"/>
    </w:rPr>
  </w:style>
  <w:style w:type="character" w:customStyle="1" w:styleId="FooterChar">
    <w:name w:val="Footer Char"/>
    <w:link w:val="Footer"/>
    <w:uiPriority w:val="99"/>
    <w:locked/>
    <w:rsid w:val="001E5A75"/>
    <w:rPr>
      <w:rFonts w:ascii="Arial" w:hAnsi="Arial" w:cs="Times New Roman"/>
      <w:sz w:val="14"/>
      <w:szCs w:val="14"/>
      <w:lang w:eastAsia="de-DE"/>
    </w:rPr>
  </w:style>
  <w:style w:type="paragraph" w:customStyle="1" w:styleId="GliederungmitAufzhlung">
    <w:name w:val="Gliederung mit Aufzählung"/>
    <w:basedOn w:val="Normal"/>
    <w:uiPriority w:val="1"/>
    <w:qFormat/>
    <w:rsid w:val="001E5A75"/>
    <w:pPr>
      <w:numPr>
        <w:numId w:val="7"/>
      </w:numPr>
      <w:spacing w:line="312" w:lineRule="auto"/>
    </w:pPr>
  </w:style>
  <w:style w:type="paragraph" w:customStyle="1" w:styleId="GliederungmitNummerierung">
    <w:name w:val="Gliederung mit Nummerierung"/>
    <w:basedOn w:val="Normal"/>
    <w:uiPriority w:val="1"/>
    <w:qFormat/>
    <w:rsid w:val="001E5A75"/>
    <w:pPr>
      <w:numPr>
        <w:numId w:val="8"/>
      </w:numPr>
      <w:spacing w:line="312" w:lineRule="auto"/>
    </w:pPr>
  </w:style>
  <w:style w:type="paragraph" w:customStyle="1" w:styleId="HngEinrckung1">
    <w:name w:val="Häng. Einrückung1"/>
    <w:basedOn w:val="Normal"/>
    <w:uiPriority w:val="1"/>
    <w:qFormat/>
    <w:rsid w:val="001E5A75"/>
    <w:pPr>
      <w:spacing w:line="312" w:lineRule="auto"/>
      <w:ind w:left="567" w:hanging="567"/>
    </w:pPr>
  </w:style>
  <w:style w:type="paragraph" w:customStyle="1" w:styleId="HngEinrckung2">
    <w:name w:val="Häng. Einrückung2"/>
    <w:basedOn w:val="Normal"/>
    <w:uiPriority w:val="1"/>
    <w:qFormat/>
    <w:rsid w:val="001E5A75"/>
    <w:pPr>
      <w:spacing w:line="312" w:lineRule="auto"/>
      <w:ind w:left="1134" w:hanging="567"/>
    </w:pPr>
  </w:style>
  <w:style w:type="paragraph" w:customStyle="1" w:styleId="HngEinrckung3">
    <w:name w:val="Häng. Einrückung3"/>
    <w:basedOn w:val="Normal"/>
    <w:uiPriority w:val="1"/>
    <w:qFormat/>
    <w:rsid w:val="001E5A75"/>
    <w:pPr>
      <w:spacing w:line="312" w:lineRule="auto"/>
      <w:ind w:left="1701" w:hanging="567"/>
    </w:pPr>
  </w:style>
  <w:style w:type="character" w:styleId="Hyperlink">
    <w:name w:val="Hyperlink"/>
    <w:uiPriority w:val="99"/>
    <w:rsid w:val="001E5A75"/>
    <w:rPr>
      <w:rFonts w:cs="Times New Roman"/>
      <w:color w:val="0000FF"/>
      <w:u w:val="single"/>
    </w:rPr>
  </w:style>
  <w:style w:type="paragraph" w:styleId="Header">
    <w:name w:val="header"/>
    <w:basedOn w:val="Normal"/>
    <w:link w:val="HeaderChar"/>
    <w:uiPriority w:val="99"/>
    <w:rsid w:val="001E5A75"/>
    <w:pPr>
      <w:tabs>
        <w:tab w:val="center" w:pos="4536"/>
        <w:tab w:val="right" w:pos="9072"/>
      </w:tabs>
    </w:pPr>
    <w:rPr>
      <w:rFonts w:ascii="Arial" w:eastAsia="Arial" w:hAnsi="Arial"/>
      <w:szCs w:val="20"/>
      <w:lang w:val="x-none" w:eastAsia="de-DE"/>
    </w:rPr>
  </w:style>
  <w:style w:type="character" w:customStyle="1" w:styleId="HeaderChar">
    <w:name w:val="Header Char"/>
    <w:link w:val="Header"/>
    <w:uiPriority w:val="99"/>
    <w:locked/>
    <w:rsid w:val="001E5A75"/>
    <w:rPr>
      <w:rFonts w:ascii="Arial" w:hAnsi="Arial" w:cs="Times New Roman"/>
      <w:sz w:val="20"/>
      <w:szCs w:val="20"/>
      <w:lang w:eastAsia="de-DE"/>
    </w:rPr>
  </w:style>
  <w:style w:type="paragraph" w:customStyle="1" w:styleId="Marginalspalte">
    <w:name w:val="Marginalspalte"/>
    <w:basedOn w:val="Normal"/>
    <w:uiPriority w:val="1"/>
    <w:qFormat/>
    <w:rsid w:val="001E5A75"/>
    <w:pPr>
      <w:framePr w:w="851" w:h="851" w:hSpace="284" w:wrap="around" w:vAnchor="text" w:hAnchor="page" w:y="1"/>
    </w:pPr>
    <w:rPr>
      <w:i/>
      <w:szCs w:val="22"/>
    </w:rPr>
  </w:style>
  <w:style w:type="paragraph" w:customStyle="1" w:styleId="Nummerierungsart1">
    <w:name w:val="Nummerierungsart1"/>
    <w:basedOn w:val="Normal"/>
    <w:uiPriority w:val="1"/>
    <w:qFormat/>
    <w:rsid w:val="001E5A75"/>
    <w:pPr>
      <w:numPr>
        <w:numId w:val="9"/>
      </w:numPr>
    </w:pPr>
  </w:style>
  <w:style w:type="paragraph" w:customStyle="1" w:styleId="Nummerierungsart2">
    <w:name w:val="Nummerierungsart2"/>
    <w:basedOn w:val="Normal"/>
    <w:uiPriority w:val="1"/>
    <w:qFormat/>
    <w:rsid w:val="001E5A75"/>
    <w:pPr>
      <w:numPr>
        <w:numId w:val="10"/>
      </w:numPr>
    </w:pPr>
  </w:style>
  <w:style w:type="paragraph" w:customStyle="1" w:styleId="Nummerierungsart3">
    <w:name w:val="Nummerierungsart3"/>
    <w:basedOn w:val="Normal"/>
    <w:uiPriority w:val="1"/>
    <w:qFormat/>
    <w:rsid w:val="001E5A75"/>
    <w:pPr>
      <w:numPr>
        <w:numId w:val="11"/>
      </w:numPr>
    </w:pPr>
  </w:style>
  <w:style w:type="paragraph" w:customStyle="1" w:styleId="Nummerierungsart4">
    <w:name w:val="Nummerierungsart4"/>
    <w:basedOn w:val="Normal"/>
    <w:uiPriority w:val="1"/>
    <w:qFormat/>
    <w:rsid w:val="001E5A75"/>
    <w:pPr>
      <w:numPr>
        <w:numId w:val="12"/>
      </w:numPr>
    </w:pPr>
  </w:style>
  <w:style w:type="character" w:styleId="PageNumber">
    <w:name w:val="page number"/>
    <w:uiPriority w:val="99"/>
    <w:rsid w:val="001E5A75"/>
    <w:rPr>
      <w:rFonts w:ascii="Arial" w:hAnsi="Arial" w:cs="Times New Roman"/>
      <w:sz w:val="22"/>
    </w:rPr>
  </w:style>
  <w:style w:type="character" w:customStyle="1" w:styleId="Heading3Char1">
    <w:name w:val="Heading 3 Char1"/>
    <w:aliases w:val="Title 2 Char1"/>
    <w:link w:val="Heading3"/>
    <w:uiPriority w:val="99"/>
    <w:locked/>
    <w:rsid w:val="001E5A75"/>
    <w:rPr>
      <w:rFonts w:ascii="Arial" w:hAnsi="Arial" w:cs="Times New Roman"/>
      <w:b/>
      <w:sz w:val="20"/>
      <w:szCs w:val="20"/>
      <w:lang w:eastAsia="de-DE"/>
    </w:rPr>
  </w:style>
  <w:style w:type="paragraph" w:styleId="TOC1">
    <w:name w:val="toc 1"/>
    <w:basedOn w:val="Normal"/>
    <w:next w:val="Normal"/>
    <w:autoRedefine/>
    <w:uiPriority w:val="39"/>
    <w:qFormat/>
    <w:rsid w:val="001E5A75"/>
    <w:pPr>
      <w:tabs>
        <w:tab w:val="left" w:pos="794"/>
        <w:tab w:val="right" w:leader="dot" w:pos="9071"/>
      </w:tabs>
      <w:ind w:left="794" w:hanging="794"/>
    </w:pPr>
    <w:rPr>
      <w:b/>
      <w:smallCaps/>
      <w:noProof/>
      <w:sz w:val="24"/>
    </w:rPr>
  </w:style>
  <w:style w:type="paragraph" w:styleId="TOC2">
    <w:name w:val="toc 2"/>
    <w:basedOn w:val="Normal"/>
    <w:next w:val="Normal"/>
    <w:autoRedefine/>
    <w:uiPriority w:val="39"/>
    <w:qFormat/>
    <w:rsid w:val="001E5A75"/>
    <w:pPr>
      <w:tabs>
        <w:tab w:val="left" w:pos="794"/>
        <w:tab w:val="right" w:leader="dot" w:pos="9071"/>
      </w:tabs>
      <w:spacing w:after="60"/>
      <w:ind w:left="794" w:hanging="794"/>
    </w:pPr>
    <w:rPr>
      <w:b/>
      <w:smallCaps/>
      <w:noProof/>
      <w:szCs w:val="22"/>
    </w:rPr>
  </w:style>
  <w:style w:type="paragraph" w:styleId="TOC3">
    <w:name w:val="toc 3"/>
    <w:basedOn w:val="Normal"/>
    <w:next w:val="Normal"/>
    <w:autoRedefine/>
    <w:uiPriority w:val="39"/>
    <w:qFormat/>
    <w:rsid w:val="001E5A75"/>
    <w:pPr>
      <w:tabs>
        <w:tab w:val="left" w:pos="794"/>
        <w:tab w:val="right" w:leader="dot" w:pos="9072"/>
      </w:tabs>
      <w:spacing w:after="60"/>
      <w:ind w:left="794" w:hanging="794"/>
    </w:pPr>
    <w:rPr>
      <w:smallCaps/>
      <w:noProof/>
    </w:rPr>
  </w:style>
  <w:style w:type="paragraph" w:styleId="TOC4">
    <w:name w:val="toc 4"/>
    <w:basedOn w:val="Normal"/>
    <w:next w:val="Normal"/>
    <w:autoRedefine/>
    <w:uiPriority w:val="39"/>
    <w:rsid w:val="001E5A75"/>
    <w:pPr>
      <w:tabs>
        <w:tab w:val="left" w:pos="794"/>
        <w:tab w:val="right" w:leader="dot" w:pos="9071"/>
      </w:tabs>
      <w:spacing w:after="40"/>
      <w:ind w:left="794" w:hanging="794"/>
    </w:pPr>
    <w:rPr>
      <w:smallCaps/>
      <w:noProof/>
      <w:sz w:val="18"/>
      <w:szCs w:val="18"/>
    </w:rPr>
  </w:style>
  <w:style w:type="paragraph" w:styleId="TOC5">
    <w:name w:val="toc 5"/>
    <w:basedOn w:val="Normal"/>
    <w:next w:val="Normal"/>
    <w:autoRedefine/>
    <w:uiPriority w:val="39"/>
    <w:rsid w:val="001E5A75"/>
    <w:pPr>
      <w:tabs>
        <w:tab w:val="left" w:pos="794"/>
        <w:tab w:val="right" w:leader="dot" w:pos="9071"/>
      </w:tabs>
      <w:spacing w:after="40"/>
      <w:ind w:left="794" w:hanging="794"/>
    </w:pPr>
    <w:rPr>
      <w:smallCaps/>
      <w:noProof/>
      <w:sz w:val="18"/>
      <w:szCs w:val="18"/>
    </w:rPr>
  </w:style>
  <w:style w:type="paragraph" w:styleId="TOC6">
    <w:name w:val="toc 6"/>
    <w:basedOn w:val="Normal"/>
    <w:next w:val="Normal"/>
    <w:autoRedefine/>
    <w:uiPriority w:val="39"/>
    <w:rsid w:val="001E5A75"/>
    <w:pPr>
      <w:tabs>
        <w:tab w:val="left" w:pos="2058"/>
        <w:tab w:val="right" w:leader="dot" w:pos="9071"/>
      </w:tabs>
      <w:ind w:left="1134" w:hanging="1134"/>
    </w:pPr>
    <w:rPr>
      <w:noProof/>
      <w:sz w:val="16"/>
    </w:rPr>
  </w:style>
  <w:style w:type="paragraph" w:styleId="TOC7">
    <w:name w:val="toc 7"/>
    <w:basedOn w:val="Normal"/>
    <w:next w:val="Normal"/>
    <w:autoRedefine/>
    <w:uiPriority w:val="39"/>
    <w:rsid w:val="001E5A75"/>
    <w:pPr>
      <w:tabs>
        <w:tab w:val="right" w:leader="dot" w:pos="9071"/>
      </w:tabs>
      <w:ind w:left="1134" w:hanging="1134"/>
    </w:pPr>
    <w:rPr>
      <w:sz w:val="16"/>
    </w:rPr>
  </w:style>
  <w:style w:type="paragraph" w:styleId="TOC8">
    <w:name w:val="toc 8"/>
    <w:basedOn w:val="Normal"/>
    <w:next w:val="Normal"/>
    <w:autoRedefine/>
    <w:uiPriority w:val="39"/>
    <w:rsid w:val="001E5A75"/>
    <w:pPr>
      <w:tabs>
        <w:tab w:val="left" w:pos="2758"/>
        <w:tab w:val="right" w:leader="dot" w:pos="9071"/>
      </w:tabs>
      <w:ind w:left="1361" w:hanging="1361"/>
    </w:pPr>
    <w:rPr>
      <w:noProof/>
      <w:sz w:val="16"/>
    </w:rPr>
  </w:style>
  <w:style w:type="paragraph" w:styleId="TOC9">
    <w:name w:val="toc 9"/>
    <w:basedOn w:val="Normal"/>
    <w:next w:val="Normal"/>
    <w:autoRedefine/>
    <w:uiPriority w:val="39"/>
    <w:rsid w:val="001E5A75"/>
    <w:pPr>
      <w:tabs>
        <w:tab w:val="right" w:leader="dot" w:pos="9071"/>
      </w:tabs>
      <w:ind w:left="1361" w:hanging="1361"/>
    </w:pPr>
    <w:rPr>
      <w:sz w:val="16"/>
    </w:rPr>
  </w:style>
  <w:style w:type="paragraph" w:styleId="Quote">
    <w:name w:val="Quote"/>
    <w:basedOn w:val="Normal"/>
    <w:next w:val="Normal"/>
    <w:link w:val="QuoteChar"/>
    <w:uiPriority w:val="29"/>
    <w:qFormat/>
    <w:rsid w:val="001E5A75"/>
    <w:rPr>
      <w:rFonts w:ascii="Arial" w:eastAsia="Arial" w:hAnsi="Arial"/>
      <w:i/>
      <w:iCs/>
      <w:color w:val="000000"/>
      <w:szCs w:val="20"/>
      <w:lang w:val="x-none" w:eastAsia="de-DE"/>
    </w:rPr>
  </w:style>
  <w:style w:type="character" w:customStyle="1" w:styleId="QuoteChar">
    <w:name w:val="Quote Char"/>
    <w:link w:val="Quote"/>
    <w:uiPriority w:val="29"/>
    <w:semiHidden/>
    <w:locked/>
    <w:rsid w:val="001E5A75"/>
    <w:rPr>
      <w:rFonts w:ascii="Arial" w:hAnsi="Arial" w:cs="Times New Roman"/>
      <w:i/>
      <w:iCs/>
      <w:color w:val="000000"/>
      <w:sz w:val="20"/>
      <w:szCs w:val="20"/>
      <w:lang w:eastAsia="de-DE"/>
    </w:rPr>
  </w:style>
  <w:style w:type="paragraph" w:styleId="TOCHeading">
    <w:name w:val="TOC Heading"/>
    <w:basedOn w:val="Heading1"/>
    <w:next w:val="Normal"/>
    <w:uiPriority w:val="39"/>
    <w:qFormat/>
    <w:rsid w:val="001E5A75"/>
    <w:pPr>
      <w:keepLines/>
      <w:spacing w:before="480" w:line="311" w:lineRule="auto"/>
      <w:outlineLvl w:val="9"/>
    </w:pPr>
    <w:rPr>
      <w:rFonts w:ascii="Arial" w:hAnsi="Arial"/>
      <w:bCs/>
      <w:color w:val="4B67A3"/>
      <w:szCs w:val="28"/>
    </w:rPr>
  </w:style>
  <w:style w:type="paragraph" w:styleId="EndnoteText">
    <w:name w:val="endnote text"/>
    <w:basedOn w:val="Normal"/>
    <w:link w:val="EndnoteTextChar"/>
    <w:uiPriority w:val="1"/>
    <w:rsid w:val="001E5A75"/>
    <w:pPr>
      <w:spacing w:line="180" w:lineRule="exact"/>
      <w:ind w:left="142" w:hanging="142"/>
    </w:pPr>
    <w:rPr>
      <w:rFonts w:ascii="Arial" w:eastAsia="Arial" w:hAnsi="Arial"/>
      <w:szCs w:val="20"/>
      <w:lang w:val="x-none" w:eastAsia="de-DE"/>
    </w:rPr>
  </w:style>
  <w:style w:type="character" w:customStyle="1" w:styleId="EndnoteTextChar">
    <w:name w:val="Endnote Text Char"/>
    <w:link w:val="EndnoteText"/>
    <w:uiPriority w:val="1"/>
    <w:locked/>
    <w:rsid w:val="001E5A75"/>
    <w:rPr>
      <w:rFonts w:ascii="Arial" w:hAnsi="Arial" w:cs="Times New Roman"/>
      <w:sz w:val="20"/>
      <w:szCs w:val="20"/>
      <w:lang w:eastAsia="de-DE"/>
    </w:rPr>
  </w:style>
  <w:style w:type="character" w:styleId="EndnoteReference">
    <w:name w:val="endnote reference"/>
    <w:uiPriority w:val="1"/>
    <w:rsid w:val="001E5A75"/>
    <w:rPr>
      <w:rFonts w:ascii="Arial" w:hAnsi="Arial" w:cs="Times New Roman"/>
      <w:color w:val="auto"/>
      <w:position w:val="4"/>
      <w:sz w:val="12"/>
      <w:vertAlign w:val="baseline"/>
    </w:rPr>
  </w:style>
  <w:style w:type="paragraph" w:customStyle="1" w:styleId="Ballontekst">
    <w:name w:val="Ballontekst"/>
    <w:basedOn w:val="Normal"/>
    <w:uiPriority w:val="99"/>
    <w:semiHidden/>
    <w:rsid w:val="00884FEB"/>
    <w:rPr>
      <w:rFonts w:ascii="Tahoma" w:hAnsi="Tahoma" w:cs="Tahoma"/>
      <w:sz w:val="16"/>
      <w:szCs w:val="16"/>
    </w:rPr>
  </w:style>
  <w:style w:type="character" w:styleId="CommentReference">
    <w:name w:val="annotation reference"/>
    <w:uiPriority w:val="99"/>
    <w:rsid w:val="00884FEB"/>
    <w:rPr>
      <w:rFonts w:cs="Times New Roman"/>
      <w:sz w:val="16"/>
      <w:szCs w:val="16"/>
    </w:rPr>
  </w:style>
  <w:style w:type="paragraph" w:styleId="CommentText">
    <w:name w:val="annotation text"/>
    <w:basedOn w:val="Normal"/>
    <w:link w:val="CommentTextChar"/>
    <w:uiPriority w:val="99"/>
    <w:rsid w:val="00884FEB"/>
    <w:rPr>
      <w:rFonts w:eastAsia="Arial"/>
      <w:szCs w:val="20"/>
      <w:lang w:val="en-US" w:eastAsia="x-none"/>
    </w:rPr>
  </w:style>
  <w:style w:type="character" w:customStyle="1" w:styleId="CommentTextChar">
    <w:name w:val="Comment Text Char"/>
    <w:link w:val="CommentText"/>
    <w:uiPriority w:val="99"/>
    <w:locked/>
    <w:rsid w:val="00884FEB"/>
    <w:rPr>
      <w:rFonts w:ascii="Verdana" w:hAnsi="Verdana" w:cs="Times New Roman"/>
      <w:sz w:val="20"/>
      <w:szCs w:val="20"/>
      <w:lang w:val="en-US"/>
    </w:rPr>
  </w:style>
  <w:style w:type="paragraph" w:customStyle="1" w:styleId="Onderwerpvanopmerking">
    <w:name w:val="Onderwerp van opmerking"/>
    <w:basedOn w:val="CommentText"/>
    <w:next w:val="CommentText"/>
    <w:uiPriority w:val="99"/>
    <w:semiHidden/>
    <w:rsid w:val="00884FEB"/>
    <w:rPr>
      <w:b/>
      <w:bCs/>
    </w:rPr>
  </w:style>
  <w:style w:type="character" w:styleId="FollowedHyperlink">
    <w:name w:val="FollowedHyperlink"/>
    <w:uiPriority w:val="99"/>
    <w:rsid w:val="00884FEB"/>
    <w:rPr>
      <w:rFonts w:cs="Times New Roman"/>
      <w:color w:val="606420"/>
      <w:u w:val="single"/>
    </w:rPr>
  </w:style>
  <w:style w:type="paragraph" w:styleId="BalloonText">
    <w:name w:val="Balloon Text"/>
    <w:basedOn w:val="Normal"/>
    <w:link w:val="BalloonTextChar"/>
    <w:uiPriority w:val="99"/>
    <w:rsid w:val="00884FEB"/>
    <w:rPr>
      <w:rFonts w:ascii="Tahoma" w:eastAsia="Arial" w:hAnsi="Tahoma"/>
      <w:sz w:val="16"/>
      <w:szCs w:val="16"/>
      <w:lang w:val="en-US" w:eastAsia="x-none"/>
    </w:rPr>
  </w:style>
  <w:style w:type="character" w:customStyle="1" w:styleId="BalloonTextChar">
    <w:name w:val="Balloon Text Char"/>
    <w:link w:val="BalloonText"/>
    <w:uiPriority w:val="99"/>
    <w:locked/>
    <w:rsid w:val="00884FEB"/>
    <w:rPr>
      <w:rFonts w:ascii="Tahoma" w:hAnsi="Tahoma" w:cs="Tahoma"/>
      <w:sz w:val="16"/>
      <w:szCs w:val="16"/>
      <w:lang w:val="en-US"/>
    </w:rPr>
  </w:style>
  <w:style w:type="paragraph" w:styleId="CommentSubject">
    <w:name w:val="annotation subject"/>
    <w:basedOn w:val="CommentText"/>
    <w:next w:val="CommentText"/>
    <w:link w:val="CommentSubjectChar"/>
    <w:uiPriority w:val="99"/>
    <w:rsid w:val="00884FEB"/>
    <w:rPr>
      <w:b/>
      <w:bCs/>
    </w:rPr>
  </w:style>
  <w:style w:type="character" w:customStyle="1" w:styleId="CommentSubjectChar">
    <w:name w:val="Comment Subject Char"/>
    <w:link w:val="CommentSubject"/>
    <w:uiPriority w:val="99"/>
    <w:locked/>
    <w:rsid w:val="00884FEB"/>
    <w:rPr>
      <w:rFonts w:ascii="Verdana" w:hAnsi="Verdana" w:cs="Times New Roman"/>
      <w:b/>
      <w:bCs/>
      <w:sz w:val="20"/>
      <w:szCs w:val="20"/>
      <w:lang w:val="en-US"/>
    </w:rPr>
  </w:style>
  <w:style w:type="table" w:styleId="TableGrid">
    <w:name w:val="Table Grid"/>
    <w:aliases w:val="Tabla CUADROS"/>
    <w:basedOn w:val="TableNormal"/>
    <w:uiPriority w:val="59"/>
    <w:rsid w:val="00884FEB"/>
    <w:rPr>
      <w:rFonts w:ascii="Times New Roman" w:eastAsia="Times New Roman" w:hAnsi="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4">
    <w:name w:val="Formatvorlage Überschrift 4"/>
    <w:basedOn w:val="Heading4"/>
    <w:link w:val="Formatvorlageberschrift4Char"/>
    <w:uiPriority w:val="99"/>
    <w:rsid w:val="00884FEB"/>
    <w:pPr>
      <w:spacing w:before="240" w:after="60"/>
    </w:pPr>
    <w:rPr>
      <w:iCs/>
      <w:szCs w:val="28"/>
    </w:rPr>
  </w:style>
  <w:style w:type="character" w:customStyle="1" w:styleId="Formatvorlageberschrift4Char">
    <w:name w:val="Formatvorlage Überschrift 4 Char"/>
    <w:link w:val="Formatvorlageberschrift4"/>
    <w:uiPriority w:val="99"/>
    <w:locked/>
    <w:rsid w:val="00884FEB"/>
    <w:rPr>
      <w:rFonts w:ascii="Verdana" w:eastAsia="Times New Roman" w:hAnsi="Verdana"/>
      <w:b/>
      <w:iCs/>
      <w:szCs w:val="28"/>
      <w:u w:val="single"/>
      <w:lang w:eastAsia="en-US" w:bidi="ar-SA"/>
    </w:rPr>
  </w:style>
  <w:style w:type="paragraph" w:customStyle="1" w:styleId="Instructionsberschrift1">
    <w:name w:val="Instructions Überschrift 1"/>
    <w:basedOn w:val="Heading1"/>
    <w:rsid w:val="00884FEB"/>
    <w:pPr>
      <w:tabs>
        <w:tab w:val="num" w:pos="540"/>
      </w:tabs>
      <w:spacing w:before="240"/>
      <w:ind w:left="540" w:hanging="540"/>
    </w:pPr>
    <w:rPr>
      <w:b w:val="0"/>
      <w:kern w:val="32"/>
    </w:rPr>
  </w:style>
  <w:style w:type="paragraph" w:customStyle="1" w:styleId="Instructionsberschrift2">
    <w:name w:val="Instructions Überschrift 2"/>
    <w:basedOn w:val="Heading2"/>
    <w:rsid w:val="008C122C"/>
    <w:pPr>
      <w:numPr>
        <w:numId w:val="13"/>
      </w:numPr>
      <w:spacing w:after="240"/>
    </w:pPr>
    <w:rPr>
      <w:rFonts w:cs="Arial"/>
      <w:b w:val="0"/>
      <w:sz w:val="20"/>
    </w:rPr>
  </w:style>
  <w:style w:type="paragraph" w:customStyle="1" w:styleId="Instructionsberschrift3">
    <w:name w:val="Instructions Überschrift 3"/>
    <w:basedOn w:val="Heading3"/>
    <w:link w:val="Instructionsberschrift3Zchn"/>
    <w:rsid w:val="006746DB"/>
    <w:pPr>
      <w:numPr>
        <w:numId w:val="14"/>
      </w:numPr>
      <w:spacing w:before="240" w:after="60" w:line="360" w:lineRule="auto"/>
    </w:pPr>
    <w:rPr>
      <w:rFonts w:ascii="Verdana" w:eastAsia="Times New Roman" w:hAnsi="Verdana"/>
      <w:szCs w:val="26"/>
      <w:u w:val="single"/>
      <w:lang w:val="en-GB" w:eastAsia="en-US"/>
    </w:rPr>
  </w:style>
  <w:style w:type="character" w:customStyle="1" w:styleId="Instructionsberschrift3Zchn">
    <w:name w:val="Instructions Überschrift 3 Zchn"/>
    <w:link w:val="Instructionsberschrift3"/>
    <w:locked/>
    <w:rsid w:val="006746DB"/>
    <w:rPr>
      <w:rFonts w:ascii="Verdana" w:eastAsia="Times New Roman" w:hAnsi="Verdana"/>
      <w:b/>
      <w:szCs w:val="26"/>
      <w:u w:val="single"/>
      <w:lang w:eastAsia="en-US" w:bidi="ar-SA"/>
    </w:rPr>
  </w:style>
  <w:style w:type="paragraph" w:customStyle="1" w:styleId="Instructionsberschrift4">
    <w:name w:val="Instructions Überschrift 4"/>
    <w:basedOn w:val="Heading4"/>
    <w:next w:val="InstructionsText"/>
    <w:link w:val="Instructionsberschrift4Char"/>
    <w:uiPriority w:val="99"/>
    <w:rsid w:val="00884FEB"/>
    <w:pPr>
      <w:tabs>
        <w:tab w:val="left" w:pos="1520"/>
      </w:tabs>
      <w:autoSpaceDE w:val="0"/>
      <w:autoSpaceDN w:val="0"/>
      <w:adjustRightInd w:val="0"/>
      <w:spacing w:before="240" w:after="240"/>
      <w:ind w:left="970" w:hanging="970"/>
    </w:pPr>
    <w:rPr>
      <w:bCs/>
    </w:rPr>
  </w:style>
  <w:style w:type="paragraph" w:customStyle="1" w:styleId="InstructionsText">
    <w:name w:val="Instructions Text"/>
    <w:basedOn w:val="Normal"/>
    <w:link w:val="InstructionsTextChar"/>
    <w:autoRedefine/>
    <w:rsid w:val="00B212C5"/>
    <w:pPr>
      <w:spacing w:before="0"/>
    </w:pPr>
    <w:rPr>
      <w:rFonts w:ascii="Times New Roman" w:hAnsi="Times New Roman"/>
      <w:sz w:val="24"/>
      <w:lang w:eastAsia="de-DE"/>
    </w:rPr>
  </w:style>
  <w:style w:type="character" w:customStyle="1" w:styleId="Instructionsberschrift4Char">
    <w:name w:val="Instructions Überschrift 4 Char"/>
    <w:link w:val="Instructionsberschrift4"/>
    <w:uiPriority w:val="99"/>
    <w:locked/>
    <w:rsid w:val="00884FEB"/>
    <w:rPr>
      <w:rFonts w:ascii="Verdana" w:eastAsia="Times New Roman" w:hAnsi="Verdana"/>
      <w:b/>
      <w:bCs/>
      <w:szCs w:val="24"/>
      <w:u w:val="single"/>
      <w:lang w:eastAsia="en-US" w:bidi="ar-SA"/>
    </w:rPr>
  </w:style>
  <w:style w:type="character" w:customStyle="1" w:styleId="InstructionsTabelleberschrift">
    <w:name w:val="Instructions Tabelle Überschrift"/>
    <w:qFormat/>
    <w:rsid w:val="00884FEB"/>
    <w:rPr>
      <w:rFonts w:ascii="Verdana" w:hAnsi="Verdana" w:cs="Times New Roman"/>
      <w:b/>
      <w:bCs/>
      <w:sz w:val="20"/>
      <w:u w:val="single"/>
    </w:rPr>
  </w:style>
  <w:style w:type="character" w:customStyle="1" w:styleId="InstructionsTabelleText">
    <w:name w:val="Instructions Tabelle Text"/>
    <w:rsid w:val="00884FEB"/>
    <w:rPr>
      <w:rFonts w:ascii="Verdana" w:hAnsi="Verdana" w:cs="Times New Roman"/>
      <w:sz w:val="20"/>
    </w:rPr>
  </w:style>
  <w:style w:type="character" w:customStyle="1" w:styleId="FormatvorlageInstructionsTabelleText">
    <w:name w:val="Formatvorlage Instructions Tabelle Text"/>
    <w:uiPriority w:val="99"/>
    <w:qFormat/>
    <w:rsid w:val="00412D44"/>
    <w:rPr>
      <w:rFonts w:ascii="Verdana" w:hAnsi="Verdana" w:cs="Times New Roman"/>
      <w:bCs/>
      <w:sz w:val="20"/>
      <w:u w:val="none"/>
    </w:rPr>
  </w:style>
  <w:style w:type="paragraph" w:customStyle="1" w:styleId="FormatvorlageInstructionsberschrift3Links0cmErsteZeile0cm">
    <w:name w:val="Formatvorlage Instructions Überschrift 3 + Links:  0 cm Erste Zeile:  0 cm"/>
    <w:basedOn w:val="Instructionsberschrift3"/>
    <w:next w:val="Instructionsberschrift3"/>
    <w:uiPriority w:val="99"/>
    <w:rsid w:val="00884FEB"/>
    <w:pPr>
      <w:ind w:left="0" w:firstLine="0"/>
    </w:pPr>
    <w:rPr>
      <w:szCs w:val="20"/>
    </w:rPr>
  </w:style>
  <w:style w:type="paragraph" w:customStyle="1" w:styleId="Texte2">
    <w:name w:val="Texte 2"/>
    <w:basedOn w:val="Normal"/>
    <w:uiPriority w:val="99"/>
    <w:rsid w:val="00884FEB"/>
    <w:pPr>
      <w:spacing w:after="0"/>
      <w:ind w:left="567"/>
    </w:pPr>
    <w:rPr>
      <w:sz w:val="22"/>
      <w:szCs w:val="20"/>
      <w:lang w:eastAsia="fr-FR"/>
    </w:rPr>
  </w:style>
  <w:style w:type="paragraph" w:customStyle="1" w:styleId="Prrafodelista1">
    <w:name w:val="Párrafo de lista1"/>
    <w:basedOn w:val="Normal"/>
    <w:uiPriority w:val="99"/>
    <w:rsid w:val="00884FEB"/>
    <w:pPr>
      <w:ind w:left="720"/>
    </w:pPr>
  </w:style>
  <w:style w:type="paragraph" w:customStyle="1" w:styleId="Prrafodelista2">
    <w:name w:val="Párrafo de lista2"/>
    <w:basedOn w:val="Normal"/>
    <w:uiPriority w:val="99"/>
    <w:rsid w:val="00884FEB"/>
    <w:pPr>
      <w:ind w:left="708"/>
    </w:pPr>
  </w:style>
  <w:style w:type="paragraph" w:styleId="PlainText">
    <w:name w:val="Plain Text"/>
    <w:basedOn w:val="Normal"/>
    <w:link w:val="PlainTextChar"/>
    <w:uiPriority w:val="99"/>
    <w:rsid w:val="00884FEB"/>
    <w:pPr>
      <w:spacing w:before="0" w:after="0"/>
      <w:jc w:val="left"/>
    </w:pPr>
    <w:rPr>
      <w:rFonts w:eastAsia="Arial"/>
      <w:szCs w:val="20"/>
      <w:lang w:val="es-ES_tradnl" w:eastAsia="es-ES_tradnl"/>
    </w:rPr>
  </w:style>
  <w:style w:type="character" w:customStyle="1" w:styleId="PlainTextChar">
    <w:name w:val="Plain Text Char"/>
    <w:link w:val="PlainText"/>
    <w:uiPriority w:val="99"/>
    <w:locked/>
    <w:rsid w:val="00884FEB"/>
    <w:rPr>
      <w:rFonts w:ascii="Verdana" w:hAnsi="Verdana" w:cs="Times New Roman"/>
      <w:sz w:val="20"/>
      <w:szCs w:val="20"/>
      <w:lang w:val="es-ES_tradnl" w:eastAsia="es-ES_tradnl"/>
    </w:rPr>
  </w:style>
  <w:style w:type="paragraph" w:customStyle="1" w:styleId="Listenabsatz1">
    <w:name w:val="Listenabsatz1"/>
    <w:basedOn w:val="Normal"/>
    <w:uiPriority w:val="99"/>
    <w:rsid w:val="00884FEB"/>
    <w:pPr>
      <w:ind w:left="708"/>
    </w:pPr>
  </w:style>
  <w:style w:type="character" w:customStyle="1" w:styleId="InstructionsTextChar">
    <w:name w:val="Instructions Text Char"/>
    <w:link w:val="InstructionsText"/>
    <w:locked/>
    <w:rsid w:val="00B212C5"/>
    <w:rPr>
      <w:rFonts w:ascii="Times New Roman" w:eastAsia="Times New Roman" w:hAnsi="Times New Roman"/>
      <w:sz w:val="24"/>
      <w:szCs w:val="24"/>
      <w:lang w:eastAsia="de-DE" w:bidi="ar-SA"/>
    </w:rPr>
  </w:style>
  <w:style w:type="paragraph" w:styleId="Revision">
    <w:name w:val="Revision"/>
    <w:hidden/>
    <w:uiPriority w:val="99"/>
    <w:semiHidden/>
    <w:rsid w:val="00884FEB"/>
    <w:rPr>
      <w:rFonts w:ascii="Verdana" w:eastAsia="Times New Roman" w:hAnsi="Verdana"/>
      <w:szCs w:val="24"/>
      <w:lang w:val="en-US" w:eastAsia="en-US" w:bidi="ar-SA"/>
    </w:rPr>
  </w:style>
  <w:style w:type="paragraph" w:styleId="ListParagraph">
    <w:name w:val="List Paragraph"/>
    <w:basedOn w:val="Normal"/>
    <w:uiPriority w:val="34"/>
    <w:qFormat/>
    <w:rsid w:val="00884FEB"/>
    <w:pPr>
      <w:ind w:left="708"/>
    </w:pPr>
  </w:style>
  <w:style w:type="character" w:styleId="PlaceholderText">
    <w:name w:val="Placeholder Text"/>
    <w:uiPriority w:val="99"/>
    <w:semiHidden/>
    <w:rsid w:val="00D946DB"/>
    <w:rPr>
      <w:rFonts w:cs="Times New Roman"/>
      <w:color w:val="808080"/>
    </w:rPr>
  </w:style>
  <w:style w:type="paragraph" w:customStyle="1" w:styleId="InstructionsText2">
    <w:name w:val="Instructions Text 2"/>
    <w:basedOn w:val="InstructionsText"/>
    <w:qFormat/>
    <w:rsid w:val="008F50DF"/>
    <w:pPr>
      <w:numPr>
        <w:numId w:val="15"/>
      </w:numPr>
      <w:spacing w:after="240"/>
    </w:pPr>
  </w:style>
  <w:style w:type="character" w:customStyle="1" w:styleId="Instructionsberschrift3Char">
    <w:name w:val="Instructions Überschrift 3 Char"/>
    <w:locked/>
    <w:rsid w:val="003B3DBB"/>
    <w:rPr>
      <w:rFonts w:ascii="Verdana" w:hAnsi="Verdana" w:cs="Arial"/>
      <w:b/>
      <w:bCs/>
      <w:sz w:val="26"/>
      <w:szCs w:val="26"/>
      <w:u w:val="single"/>
      <w:lang w:val="en-US" w:eastAsia="en-US" w:bidi="ar-SA"/>
    </w:rPr>
  </w:style>
  <w:style w:type="paragraph" w:customStyle="1" w:styleId="CM4">
    <w:name w:val="CM4"/>
    <w:basedOn w:val="Normal"/>
    <w:next w:val="Normal"/>
    <w:uiPriority w:val="99"/>
    <w:rsid w:val="008815DE"/>
    <w:pPr>
      <w:autoSpaceDE w:val="0"/>
      <w:autoSpaceDN w:val="0"/>
      <w:adjustRightInd w:val="0"/>
      <w:spacing w:before="0" w:after="0"/>
      <w:jc w:val="left"/>
    </w:pPr>
    <w:rPr>
      <w:rFonts w:ascii="Times New Roman" w:eastAsia="Arial" w:hAnsi="Times New Roman"/>
      <w:sz w:val="24"/>
      <w:lang w:val="de-DE"/>
    </w:rPr>
  </w:style>
  <w:style w:type="paragraph" w:styleId="DocumentMap">
    <w:name w:val="Document Map"/>
    <w:basedOn w:val="Normal"/>
    <w:link w:val="DocumentMapChar"/>
    <w:uiPriority w:val="99"/>
    <w:semiHidden/>
    <w:rsid w:val="0088630E"/>
    <w:pPr>
      <w:spacing w:before="0" w:after="0"/>
    </w:pPr>
    <w:rPr>
      <w:rFonts w:ascii="Tahoma" w:eastAsia="Arial" w:hAnsi="Tahoma"/>
      <w:sz w:val="16"/>
      <w:szCs w:val="16"/>
      <w:lang w:val="en-US" w:eastAsia="x-none"/>
    </w:rPr>
  </w:style>
  <w:style w:type="character" w:customStyle="1" w:styleId="DocumentMapChar">
    <w:name w:val="Document Map Char"/>
    <w:link w:val="DocumentMap"/>
    <w:uiPriority w:val="99"/>
    <w:semiHidden/>
    <w:locked/>
    <w:rsid w:val="0088630E"/>
    <w:rPr>
      <w:rFonts w:ascii="Tahoma" w:hAnsi="Tahoma" w:cs="Tahoma"/>
      <w:sz w:val="16"/>
      <w:szCs w:val="16"/>
      <w:lang w:val="en-US"/>
    </w:rPr>
  </w:style>
  <w:style w:type="paragraph" w:customStyle="1" w:styleId="Titrearticle">
    <w:name w:val="Titre article"/>
    <w:basedOn w:val="Normal"/>
    <w:next w:val="Normal"/>
    <w:rsid w:val="00C87CEE"/>
    <w:pPr>
      <w:keepNext/>
      <w:spacing w:before="360"/>
      <w:jc w:val="center"/>
    </w:pPr>
    <w:rPr>
      <w:rFonts w:ascii="Times New Roman" w:hAnsi="Times New Roman"/>
      <w:i/>
      <w:sz w:val="24"/>
      <w:lang w:eastAsia="de-DE"/>
    </w:rPr>
  </w:style>
  <w:style w:type="paragraph" w:customStyle="1" w:styleId="Baseparagraphnumbered">
    <w:name w:val="Base paragraph numbered"/>
    <w:basedOn w:val="Normal"/>
    <w:link w:val="BaseparagraphnumberedChar"/>
    <w:qFormat/>
    <w:rsid w:val="00C87CEE"/>
    <w:pPr>
      <w:numPr>
        <w:numId w:val="19"/>
      </w:numPr>
      <w:spacing w:before="0" w:after="240"/>
    </w:pPr>
    <w:rPr>
      <w:rFonts w:ascii="Times New Roman" w:eastAsia="Arial" w:hAnsi="Times New Roman"/>
      <w:sz w:val="24"/>
      <w:szCs w:val="20"/>
      <w:lang w:eastAsia="en-GB"/>
    </w:rPr>
  </w:style>
  <w:style w:type="character" w:customStyle="1" w:styleId="BaseparagraphnumberedChar">
    <w:name w:val="Base paragraph numbered Char"/>
    <w:link w:val="Baseparagraphnumbered"/>
    <w:locked/>
    <w:rsid w:val="00C87CEE"/>
    <w:rPr>
      <w:rFonts w:ascii="Times New Roman" w:hAnsi="Times New Roman"/>
      <w:sz w:val="24"/>
      <w:lang w:bidi="ar-SA"/>
    </w:rPr>
  </w:style>
  <w:style w:type="character" w:customStyle="1" w:styleId="NumPar1Char">
    <w:name w:val="NumPar 1 Char"/>
    <w:link w:val="NumPar1"/>
    <w:uiPriority w:val="99"/>
    <w:locked/>
    <w:rsid w:val="00D34F75"/>
    <w:rPr>
      <w:rFonts w:cs="Times New Roman"/>
      <w:sz w:val="24"/>
      <w:szCs w:val="24"/>
      <w:lang w:val="en-GB" w:eastAsia="de-DE"/>
    </w:rPr>
  </w:style>
  <w:style w:type="paragraph" w:customStyle="1" w:styleId="NumPar1">
    <w:name w:val="NumPar 1"/>
    <w:basedOn w:val="Normal"/>
    <w:next w:val="Normal"/>
    <w:link w:val="NumPar1Char"/>
    <w:uiPriority w:val="99"/>
    <w:rsid w:val="00D34F75"/>
    <w:pPr>
      <w:tabs>
        <w:tab w:val="num" w:pos="850"/>
      </w:tabs>
      <w:ind w:left="850" w:hanging="850"/>
    </w:pPr>
    <w:rPr>
      <w:rFonts w:ascii="Arial" w:eastAsia="Arial" w:hAnsi="Arial"/>
      <w:sz w:val="24"/>
      <w:lang w:eastAsia="de-DE"/>
    </w:rPr>
  </w:style>
  <w:style w:type="character" w:customStyle="1" w:styleId="Point1letterChar">
    <w:name w:val="Point 1 (letter) Char"/>
    <w:link w:val="Point1letter"/>
    <w:uiPriority w:val="99"/>
    <w:locked/>
    <w:rsid w:val="00D34F75"/>
    <w:rPr>
      <w:rFonts w:cs="Times New Roman"/>
      <w:sz w:val="24"/>
      <w:szCs w:val="24"/>
      <w:lang w:val="en-GB" w:eastAsia="en-US"/>
    </w:rPr>
  </w:style>
  <w:style w:type="paragraph" w:customStyle="1" w:styleId="Point1letter">
    <w:name w:val="Point 1 (letter)"/>
    <w:basedOn w:val="Normal"/>
    <w:link w:val="Point1letterChar"/>
    <w:uiPriority w:val="99"/>
    <w:rsid w:val="00D34F75"/>
    <w:pPr>
      <w:tabs>
        <w:tab w:val="num" w:pos="360"/>
      </w:tabs>
      <w:ind w:left="1417" w:hanging="567"/>
    </w:pPr>
    <w:rPr>
      <w:rFonts w:ascii="Arial" w:eastAsia="Arial" w:hAnsi="Arial"/>
      <w:sz w:val="24"/>
    </w:rPr>
  </w:style>
  <w:style w:type="numbering" w:customStyle="1" w:styleId="Formatvorlage2">
    <w:name w:val="Formatvorlage2"/>
    <w:uiPriority w:val="99"/>
    <w:rsid w:val="00BF60F7"/>
    <w:pPr>
      <w:numPr>
        <w:numId w:val="6"/>
      </w:numPr>
    </w:pPr>
  </w:style>
  <w:style w:type="numbering" w:customStyle="1" w:styleId="Formatvorlage3">
    <w:name w:val="Formatvorlage3"/>
    <w:uiPriority w:val="99"/>
    <w:rsid w:val="00BF60F7"/>
    <w:pPr>
      <w:numPr>
        <w:numId w:val="16"/>
      </w:numPr>
    </w:pPr>
  </w:style>
  <w:style w:type="numbering" w:customStyle="1" w:styleId="Formatvorlage1">
    <w:name w:val="Formatvorlage1"/>
    <w:uiPriority w:val="99"/>
    <w:rsid w:val="00BF60F7"/>
    <w:pPr>
      <w:numPr>
        <w:numId w:val="5"/>
      </w:numPr>
    </w:pPr>
  </w:style>
  <w:style w:type="numbering" w:customStyle="1" w:styleId="Formatvorlage4">
    <w:name w:val="Formatvorlage4"/>
    <w:uiPriority w:val="99"/>
    <w:rsid w:val="00BF60F7"/>
    <w:pPr>
      <w:numPr>
        <w:numId w:val="18"/>
      </w:numPr>
    </w:pPr>
  </w:style>
  <w:style w:type="paragraph" w:customStyle="1" w:styleId="ListParagraph1">
    <w:name w:val="List Paragraph1"/>
    <w:basedOn w:val="Normal"/>
    <w:uiPriority w:val="99"/>
    <w:qFormat/>
    <w:rsid w:val="001C7AB7"/>
    <w:pPr>
      <w:ind w:left="708"/>
    </w:pPr>
  </w:style>
  <w:style w:type="paragraph" w:customStyle="1" w:styleId="Anfhrungszeichen1">
    <w:name w:val="Anführungszeichen1"/>
    <w:basedOn w:val="Normal"/>
    <w:next w:val="Normal"/>
    <w:link w:val="AnfhrungszeichenZchn"/>
    <w:uiPriority w:val="29"/>
    <w:semiHidden/>
    <w:rsid w:val="000B0B09"/>
    <w:rPr>
      <w:i/>
      <w:iCs/>
      <w:color w:val="000000"/>
    </w:rPr>
  </w:style>
  <w:style w:type="character" w:customStyle="1" w:styleId="AnfhrungszeichenZchn">
    <w:name w:val="Anführungszeichen Zchn"/>
    <w:link w:val="Anfhrungszeichen1"/>
    <w:uiPriority w:val="29"/>
    <w:semiHidden/>
    <w:rsid w:val="000B0B09"/>
    <w:rPr>
      <w:rFonts w:ascii="Verdana" w:eastAsia="Times New Roman" w:hAnsi="Verdana"/>
      <w:i/>
      <w:iCs/>
      <w:color w:val="000000"/>
      <w:sz w:val="20"/>
      <w:szCs w:val="24"/>
      <w:lang w:val="en-GB" w:eastAsia="en-US"/>
    </w:rPr>
  </w:style>
  <w:style w:type="paragraph" w:customStyle="1" w:styleId="Inhaltsverzeichnisberschrift1">
    <w:name w:val="Inhaltsverzeichnisüberschrift1"/>
    <w:basedOn w:val="Heading1"/>
    <w:next w:val="Normal"/>
    <w:uiPriority w:val="39"/>
    <w:semiHidden/>
    <w:unhideWhenUsed/>
    <w:qFormat/>
    <w:rsid w:val="000B0B09"/>
    <w:pPr>
      <w:keepLines/>
      <w:spacing w:before="480" w:line="311" w:lineRule="auto"/>
      <w:outlineLvl w:val="9"/>
    </w:pPr>
    <w:rPr>
      <w:rFonts w:ascii="Arial" w:hAnsi="Arial"/>
      <w:bCs/>
      <w:color w:val="4B67A3"/>
      <w:szCs w:val="28"/>
    </w:rPr>
  </w:style>
  <w:style w:type="paragraph" w:customStyle="1" w:styleId="berarbeitung1">
    <w:name w:val="Überarbeitung1"/>
    <w:hidden/>
    <w:uiPriority w:val="99"/>
    <w:semiHidden/>
    <w:rsid w:val="000B0B09"/>
    <w:rPr>
      <w:rFonts w:ascii="Verdana" w:eastAsia="Times New Roman" w:hAnsi="Verdana"/>
      <w:szCs w:val="24"/>
      <w:lang w:val="en-US" w:eastAsia="en-US" w:bidi="ar-SA"/>
    </w:rPr>
  </w:style>
  <w:style w:type="paragraph" w:customStyle="1" w:styleId="Listenabsatz2">
    <w:name w:val="Listenabsatz2"/>
    <w:basedOn w:val="Normal"/>
    <w:uiPriority w:val="99"/>
    <w:qFormat/>
    <w:rsid w:val="000B0B09"/>
    <w:pPr>
      <w:ind w:left="708"/>
    </w:pPr>
  </w:style>
  <w:style w:type="character" w:customStyle="1" w:styleId="Platzhaltertext1">
    <w:name w:val="Platzhaltertext1"/>
    <w:uiPriority w:val="99"/>
    <w:semiHidden/>
    <w:rsid w:val="000B0B09"/>
    <w:rPr>
      <w:color w:val="808080"/>
    </w:rPr>
  </w:style>
  <w:style w:type="paragraph" w:customStyle="1" w:styleId="Default">
    <w:name w:val="Default"/>
    <w:rsid w:val="00283B5F"/>
    <w:pPr>
      <w:autoSpaceDE w:val="0"/>
      <w:autoSpaceDN w:val="0"/>
      <w:adjustRightInd w:val="0"/>
    </w:pPr>
    <w:rPr>
      <w:rFonts w:cs="Arial"/>
      <w:color w:val="000000"/>
      <w:sz w:val="24"/>
      <w:szCs w:val="24"/>
      <w:lang w:bidi="ar-SA"/>
    </w:rPr>
  </w:style>
  <w:style w:type="paragraph" w:customStyle="1" w:styleId="CM1">
    <w:name w:val="CM1"/>
    <w:basedOn w:val="Default"/>
    <w:next w:val="Default"/>
    <w:uiPriority w:val="99"/>
    <w:rsid w:val="003D7822"/>
    <w:rPr>
      <w:rFonts w:ascii="EU Albertina" w:hAnsi="EU Albertina" w:cs="Times New Roman"/>
      <w:color w:val="auto"/>
    </w:rPr>
  </w:style>
  <w:style w:type="paragraph" w:customStyle="1" w:styleId="CM3">
    <w:name w:val="CM3"/>
    <w:basedOn w:val="Default"/>
    <w:next w:val="Default"/>
    <w:uiPriority w:val="99"/>
    <w:rsid w:val="003D7822"/>
    <w:rPr>
      <w:rFonts w:ascii="EU Albertina" w:hAnsi="EU Albertina" w:cs="Times New Roman"/>
      <w:color w:val="auto"/>
    </w:rPr>
  </w:style>
  <w:style w:type="paragraph" w:styleId="NormalWeb">
    <w:name w:val="Normal (Web)"/>
    <w:basedOn w:val="Normal"/>
    <w:uiPriority w:val="99"/>
    <w:unhideWhenUsed/>
    <w:locked/>
    <w:rsid w:val="00C7103D"/>
    <w:pPr>
      <w:spacing w:before="100" w:beforeAutospacing="1" w:after="100" w:afterAutospacing="1"/>
      <w:jc w:val="left"/>
    </w:pPr>
    <w:rPr>
      <w:rFonts w:ascii="Times New Roman" w:hAnsi="Times New Roman"/>
      <w:sz w:val="24"/>
      <w:lang w:eastAsia="en-GB"/>
    </w:rPr>
  </w:style>
  <w:style w:type="character" w:styleId="Emphasis">
    <w:name w:val="Emphasis"/>
    <w:basedOn w:val="DefaultParagraphFont"/>
    <w:uiPriority w:val="20"/>
    <w:qFormat/>
    <w:locked/>
    <w:rsid w:val="00C7103D"/>
    <w:rPr>
      <w:i/>
      <w:iCs/>
    </w:rPr>
  </w:style>
  <w:style w:type="paragraph" w:customStyle="1" w:styleId="TableMainHeading">
    <w:name w:val="TableMainHeading"/>
    <w:basedOn w:val="Normal"/>
    <w:next w:val="Normal"/>
    <w:uiPriority w:val="99"/>
    <w:rsid w:val="007C64F7"/>
    <w:pPr>
      <w:jc w:val="left"/>
    </w:pPr>
    <w:rPr>
      <w:rFonts w:ascii="Segoe UI" w:hAnsi="Segoe UI"/>
      <w:sz w:val="22"/>
      <w:szCs w:val="20"/>
    </w:rPr>
  </w:style>
  <w:style w:type="paragraph" w:customStyle="1" w:styleId="body">
    <w:name w:val="body"/>
    <w:qFormat/>
    <w:rsid w:val="008151A6"/>
    <w:pPr>
      <w:spacing w:before="240" w:after="120" w:line="276" w:lineRule="auto"/>
      <w:jc w:val="both"/>
    </w:pPr>
    <w:rPr>
      <w:rFonts w:asciiTheme="minorHAnsi" w:eastAsiaTheme="minorEastAsia" w:hAnsiTheme="minorHAnsi" w:cstheme="minorBidi"/>
      <w:sz w:val="22"/>
      <w:szCs w:val="24"/>
      <w:lang w:val="en-US" w:eastAsia="en-US" w:bidi="ar-SA"/>
    </w:rPr>
  </w:style>
  <w:style w:type="paragraph" w:customStyle="1" w:styleId="Applicationdirecte">
    <w:name w:val="Application directe"/>
    <w:basedOn w:val="Normal"/>
    <w:next w:val="Fait"/>
    <w:rsid w:val="00595FAD"/>
    <w:pPr>
      <w:spacing w:before="480"/>
    </w:pPr>
    <w:rPr>
      <w:rFonts w:ascii="Times New Roman" w:hAnsi="Times New Roman"/>
      <w:sz w:val="24"/>
    </w:rPr>
  </w:style>
  <w:style w:type="paragraph" w:customStyle="1" w:styleId="Fait">
    <w:name w:val="Fait à"/>
    <w:basedOn w:val="Normal"/>
    <w:next w:val="Normal"/>
    <w:rsid w:val="00595FAD"/>
    <w:pPr>
      <w:keepNext/>
      <w:spacing w:after="0"/>
    </w:pPr>
    <w:rPr>
      <w:rFonts w:ascii="Times New Roman" w:hAnsi="Times New Roman"/>
      <w:sz w:val="24"/>
    </w:rPr>
  </w:style>
  <w:style w:type="paragraph" w:customStyle="1" w:styleId="Numberedtilelevel1">
    <w:name w:val="Numbered tile level 1"/>
    <w:basedOn w:val="Titlelevel1"/>
    <w:qFormat/>
    <w:rsid w:val="00595FAD"/>
    <w:pPr>
      <w:numPr>
        <w:numId w:val="44"/>
      </w:numPr>
    </w:pPr>
  </w:style>
  <w:style w:type="paragraph" w:customStyle="1" w:styleId="Numberedtitlelevel2">
    <w:name w:val="Numbered title level 2"/>
    <w:basedOn w:val="Titlelevel2"/>
    <w:next w:val="body"/>
    <w:qFormat/>
    <w:rsid w:val="00595FAD"/>
    <w:pPr>
      <w:numPr>
        <w:ilvl w:val="1"/>
        <w:numId w:val="44"/>
      </w:numPr>
    </w:pPr>
  </w:style>
  <w:style w:type="paragraph" w:customStyle="1" w:styleId="Titlelevel2">
    <w:name w:val="Title level 2"/>
    <w:qFormat/>
    <w:rsid w:val="00595FAD"/>
    <w:pPr>
      <w:spacing w:before="240" w:after="240"/>
    </w:pPr>
    <w:rPr>
      <w:rFonts w:asciiTheme="majorHAnsi" w:eastAsiaTheme="majorEastAsia" w:hAnsiTheme="majorHAnsi" w:cstheme="majorBidi"/>
      <w:bCs/>
      <w:color w:val="1F497D" w:themeColor="text2"/>
      <w:sz w:val="32"/>
      <w:szCs w:val="24"/>
      <w:lang w:val="en-US" w:eastAsia="en-US" w:bidi="ar-SA"/>
    </w:rPr>
  </w:style>
  <w:style w:type="paragraph" w:customStyle="1" w:styleId="Tableheader">
    <w:name w:val="Table header"/>
    <w:next w:val="Tabledata"/>
    <w:qFormat/>
    <w:rsid w:val="00595FAD"/>
    <w:pPr>
      <w:spacing w:after="80"/>
    </w:pPr>
    <w:rPr>
      <w:rFonts w:ascii="Calibri" w:eastAsia="Times New Roman" w:hAnsi="Calibri"/>
      <w:b/>
      <w:color w:val="000000"/>
      <w:sz w:val="22"/>
      <w:szCs w:val="22"/>
      <w:lang w:val="en-US" w:eastAsia="en-US" w:bidi="ar-SA"/>
    </w:rPr>
  </w:style>
  <w:style w:type="paragraph" w:customStyle="1" w:styleId="Tabledata">
    <w:name w:val="Table data"/>
    <w:basedOn w:val="body"/>
    <w:qFormat/>
    <w:rsid w:val="00595FAD"/>
    <w:pPr>
      <w:spacing w:before="120" w:line="240" w:lineRule="auto"/>
    </w:pPr>
    <w:rPr>
      <w:rFonts w:eastAsia="Times New Roman" w:cstheme="minorHAnsi"/>
      <w:bCs/>
      <w:color w:val="000000"/>
      <w:sz w:val="20"/>
      <w:szCs w:val="22"/>
      <w:lang w:val="en-GB" w:eastAsia="en-GB"/>
    </w:rPr>
  </w:style>
  <w:style w:type="paragraph" w:customStyle="1" w:styleId="List1">
    <w:name w:val="List1"/>
    <w:autoRedefine/>
    <w:qFormat/>
    <w:rsid w:val="00595FAD"/>
    <w:pPr>
      <w:numPr>
        <w:numId w:val="42"/>
      </w:numPr>
    </w:pPr>
    <w:rPr>
      <w:rFonts w:asciiTheme="minorHAnsi" w:eastAsiaTheme="minorEastAsia" w:hAnsiTheme="minorHAnsi" w:cstheme="minorBidi"/>
      <w:sz w:val="22"/>
      <w:szCs w:val="22"/>
      <w:lang w:val="en-US" w:eastAsia="en-US" w:bidi="ar-SA"/>
    </w:rPr>
  </w:style>
  <w:style w:type="table" w:styleId="TableProfessional">
    <w:name w:val="Table Professional"/>
    <w:basedOn w:val="TableNormal"/>
    <w:uiPriority w:val="99"/>
    <w:semiHidden/>
    <w:unhideWhenUsed/>
    <w:locked/>
    <w:rsid w:val="00595FAD"/>
    <w:rPr>
      <w:rFonts w:asciiTheme="minorHAnsi" w:eastAsiaTheme="minorEastAsia" w:hAnsiTheme="minorHAnsi" w:cstheme="minorBidi"/>
      <w:sz w:val="24"/>
      <w:szCs w:val="24"/>
      <w:lang w:val="en-US" w:eastAsia="en-US" w:bidi="ar-S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List">
    <w:name w:val="List"/>
    <w:autoRedefine/>
    <w:uiPriority w:val="99"/>
    <w:semiHidden/>
    <w:qFormat/>
    <w:locked/>
    <w:rsid w:val="00595FAD"/>
    <w:pPr>
      <w:numPr>
        <w:numId w:val="43"/>
      </w:numPr>
      <w:spacing w:before="240" w:after="120"/>
      <w:contextualSpacing/>
    </w:pPr>
    <w:rPr>
      <w:rFonts w:asciiTheme="minorHAnsi" w:eastAsiaTheme="minorEastAsia" w:hAnsiTheme="minorHAnsi" w:cstheme="minorBidi"/>
      <w:sz w:val="22"/>
      <w:szCs w:val="24"/>
      <w:lang w:val="en-US" w:eastAsia="en-US" w:bidi="ar-SA"/>
    </w:rPr>
  </w:style>
  <w:style w:type="paragraph" w:customStyle="1" w:styleId="Titlelevel1">
    <w:name w:val="Title level 1"/>
    <w:autoRedefine/>
    <w:qFormat/>
    <w:rsid w:val="00595FAD"/>
    <w:pPr>
      <w:pBdr>
        <w:bottom w:val="single" w:sz="8" w:space="1" w:color="1F497D" w:themeColor="text2"/>
      </w:pBdr>
      <w:spacing w:before="360" w:after="600" w:line="560" w:lineRule="exact"/>
    </w:pPr>
    <w:rPr>
      <w:rFonts w:asciiTheme="majorHAnsi" w:eastAsiaTheme="majorEastAsia" w:hAnsiTheme="majorHAnsi" w:cstheme="majorBidi"/>
      <w:color w:val="1F497D" w:themeColor="text2"/>
      <w:spacing w:val="5"/>
      <w:kern w:val="28"/>
      <w:sz w:val="52"/>
      <w:szCs w:val="52"/>
      <w:lang w:val="en-US" w:eastAsia="en-US" w:bidi="ar-SA"/>
    </w:rPr>
  </w:style>
  <w:style w:type="paragraph" w:customStyle="1" w:styleId="Titlelevel3">
    <w:name w:val="Title level 3"/>
    <w:qFormat/>
    <w:rsid w:val="00595FAD"/>
    <w:pPr>
      <w:spacing w:before="240" w:after="240"/>
    </w:pPr>
    <w:rPr>
      <w:rFonts w:asciiTheme="minorHAnsi" w:eastAsiaTheme="minorEastAsia" w:hAnsiTheme="minorHAnsi" w:cstheme="minorBidi"/>
      <w:b/>
      <w:color w:val="1F497D" w:themeColor="text2"/>
      <w:sz w:val="24"/>
      <w:szCs w:val="24"/>
      <w:lang w:val="en-US" w:eastAsia="en-US" w:bidi="ar-SA"/>
    </w:rPr>
  </w:style>
  <w:style w:type="paragraph" w:customStyle="1" w:styleId="Titlelevel4">
    <w:name w:val="Title level 4"/>
    <w:next w:val="body"/>
    <w:qFormat/>
    <w:rsid w:val="00595FAD"/>
    <w:pPr>
      <w:spacing w:before="240" w:after="240"/>
    </w:pPr>
    <w:rPr>
      <w:rFonts w:asciiTheme="minorHAnsi" w:eastAsiaTheme="minorEastAsia" w:hAnsiTheme="minorHAnsi" w:cstheme="minorBidi"/>
      <w:color w:val="EEECE1" w:themeColor="background2"/>
      <w:sz w:val="24"/>
      <w:szCs w:val="24"/>
      <w:lang w:val="en-US" w:eastAsia="en-US" w:bidi="ar-SA"/>
    </w:rPr>
  </w:style>
  <w:style w:type="paragraph" w:customStyle="1" w:styleId="Figuretitle">
    <w:name w:val="Figure title"/>
    <w:basedOn w:val="body"/>
    <w:next w:val="Normal"/>
    <w:autoRedefine/>
    <w:qFormat/>
    <w:rsid w:val="00595FAD"/>
    <w:pPr>
      <w:keepNext/>
      <w:spacing w:before="360" w:after="360"/>
    </w:pPr>
    <w:rPr>
      <w:rFonts w:eastAsia="Times New Roman" w:cs="Times New Roman"/>
      <w:bCs/>
      <w:noProof/>
      <w:color w:val="1F497D" w:themeColor="text2"/>
      <w:szCs w:val="20"/>
      <w:lang w:val="en-GB" w:eastAsia="en-GB"/>
    </w:rPr>
  </w:style>
  <w:style w:type="table" w:customStyle="1" w:styleId="EBAtable">
    <w:name w:val="EBA table"/>
    <w:basedOn w:val="TableNormal"/>
    <w:uiPriority w:val="99"/>
    <w:rsid w:val="00595FAD"/>
    <w:rPr>
      <w:rFonts w:asciiTheme="minorHAnsi" w:eastAsiaTheme="minorEastAsia" w:hAnsiTheme="minorHAnsi" w:cstheme="minorBidi"/>
      <w:sz w:val="24"/>
      <w:szCs w:val="24"/>
      <w:lang w:val="en-US" w:eastAsia="en-US" w:bidi="ar-SA"/>
    </w:rPr>
    <w:tblPr>
      <w:tblBorders>
        <w:bottom w:val="single" w:sz="2" w:space="0" w:color="000000" w:themeColor="text1"/>
        <w:insideH w:val="single" w:sz="2" w:space="0" w:color="000000" w:themeColor="text1"/>
      </w:tblBorders>
    </w:tblPr>
    <w:tcPr>
      <w:vAlign w:val="center"/>
    </w:tcPr>
    <w:tblStylePr w:type="firstRow">
      <w:pPr>
        <w:jc w:val="left"/>
      </w:pPr>
      <w:tblPr/>
      <w:trPr>
        <w:tblHeader/>
      </w:trPr>
      <w:tcPr>
        <w:tcBorders>
          <w:top w:val="nil"/>
          <w:left w:val="nil"/>
          <w:bottom w:val="single" w:sz="18" w:space="0" w:color="EEECE1" w:themeColor="background2"/>
          <w:right w:val="nil"/>
          <w:insideH w:val="nil"/>
          <w:insideV w:val="nil"/>
          <w:tl2br w:val="nil"/>
          <w:tr2bl w:val="nil"/>
        </w:tcBorders>
      </w:tcPr>
    </w:tblStylePr>
    <w:tblStylePr w:type="lastRow">
      <w:tblPr/>
      <w:tcPr>
        <w:tcBorders>
          <w:top w:val="nil"/>
          <w:left w:val="nil"/>
          <w:bottom w:val="single" w:sz="4" w:space="0" w:color="EEECE1" w:themeColor="background2"/>
          <w:right w:val="nil"/>
          <w:insideH w:val="nil"/>
          <w:insideV w:val="nil"/>
          <w:tl2br w:val="nil"/>
          <w:tr2bl w:val="nil"/>
        </w:tcBorders>
      </w:tcPr>
    </w:tblStylePr>
  </w:style>
  <w:style w:type="paragraph" w:customStyle="1" w:styleId="Runningtitle">
    <w:name w:val="Running title"/>
    <w:qFormat/>
    <w:rsid w:val="00595FAD"/>
    <w:rPr>
      <w:rFonts w:asciiTheme="minorHAnsi" w:eastAsiaTheme="minorEastAsia" w:hAnsiTheme="minorHAnsi" w:cstheme="minorBidi"/>
      <w:caps/>
      <w:sz w:val="16"/>
      <w:szCs w:val="18"/>
      <w:lang w:val="en-US" w:eastAsia="en-US" w:bidi="ar-SA"/>
    </w:rPr>
  </w:style>
  <w:style w:type="paragraph" w:customStyle="1" w:styleId="bullet1">
    <w:name w:val="bullet 1"/>
    <w:basedOn w:val="body"/>
    <w:next w:val="body"/>
    <w:qFormat/>
    <w:rsid w:val="00595FAD"/>
    <w:pPr>
      <w:numPr>
        <w:numId w:val="40"/>
      </w:numPr>
    </w:pPr>
    <w:rPr>
      <w:szCs w:val="22"/>
    </w:rPr>
  </w:style>
  <w:style w:type="paragraph" w:customStyle="1" w:styleId="bullet2">
    <w:name w:val="bullet 2"/>
    <w:basedOn w:val="body"/>
    <w:qFormat/>
    <w:rsid w:val="00595FAD"/>
    <w:pPr>
      <w:numPr>
        <w:numId w:val="39"/>
      </w:numPr>
    </w:pPr>
    <w:rPr>
      <w:szCs w:val="22"/>
    </w:rPr>
  </w:style>
  <w:style w:type="paragraph" w:customStyle="1" w:styleId="Numberedtitlelevel3">
    <w:name w:val="Numbered title level 3"/>
    <w:basedOn w:val="Titlelevel3"/>
    <w:next w:val="body"/>
    <w:qFormat/>
    <w:rsid w:val="00595FAD"/>
    <w:pPr>
      <w:numPr>
        <w:ilvl w:val="2"/>
        <w:numId w:val="44"/>
      </w:numPr>
    </w:pPr>
  </w:style>
  <w:style w:type="table" w:styleId="LightShading">
    <w:name w:val="Light Shading"/>
    <w:basedOn w:val="TableNormal"/>
    <w:uiPriority w:val="60"/>
    <w:rsid w:val="00595FAD"/>
    <w:rPr>
      <w:rFonts w:asciiTheme="minorHAnsi" w:eastAsiaTheme="minorEastAsia" w:hAnsiTheme="minorHAnsi" w:cstheme="minorBidi"/>
      <w:color w:val="000000" w:themeColor="text1" w:themeShade="BF"/>
      <w:sz w:val="24"/>
      <w:szCs w:val="24"/>
      <w:lang w:val="en-US"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95FAD"/>
    <w:rPr>
      <w:rFonts w:asciiTheme="minorHAnsi" w:eastAsiaTheme="minorEastAsia" w:hAnsiTheme="minorHAnsi" w:cstheme="minorBidi"/>
      <w:color w:val="365F91" w:themeColor="accent1" w:themeShade="BF"/>
      <w:sz w:val="24"/>
      <w:szCs w:val="24"/>
      <w:lang w:val="en-US"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ontenttitle">
    <w:name w:val="Content title"/>
    <w:basedOn w:val="Titlelevel1"/>
    <w:qFormat/>
    <w:rsid w:val="00595FAD"/>
  </w:style>
  <w:style w:type="paragraph" w:customStyle="1" w:styleId="Numberedtitlelevel4">
    <w:name w:val="Numbered title level 4"/>
    <w:basedOn w:val="Titlelevel4"/>
    <w:qFormat/>
    <w:rsid w:val="00595FAD"/>
    <w:pPr>
      <w:numPr>
        <w:numId w:val="41"/>
      </w:numPr>
    </w:pPr>
  </w:style>
  <w:style w:type="paragraph" w:styleId="Title">
    <w:name w:val="Title"/>
    <w:basedOn w:val="Normal"/>
    <w:next w:val="Normal"/>
    <w:link w:val="TitleChar"/>
    <w:qFormat/>
    <w:locked/>
    <w:rsid w:val="00595FAD"/>
    <w:pPr>
      <w:pBdr>
        <w:bottom w:val="single" w:sz="8" w:space="4" w:color="4F81BD" w:themeColor="accent1"/>
      </w:pBdr>
      <w:spacing w:before="0" w:after="300"/>
      <w:contextualSpacing/>
      <w:jc w:val="left"/>
    </w:pPr>
    <w:rPr>
      <w:rFonts w:asciiTheme="majorHAnsi" w:eastAsiaTheme="majorEastAsia" w:hAnsiTheme="majorHAnsi" w:cstheme="majorBidi"/>
      <w:color w:val="1F497D" w:themeColor="text2"/>
      <w:spacing w:val="5"/>
      <w:kern w:val="28"/>
      <w:sz w:val="52"/>
      <w:szCs w:val="52"/>
      <w:lang w:val="en-US"/>
    </w:rPr>
  </w:style>
  <w:style w:type="character" w:customStyle="1" w:styleId="TitleChar">
    <w:name w:val="Title Char"/>
    <w:basedOn w:val="DefaultParagraphFont"/>
    <w:link w:val="Title"/>
    <w:rsid w:val="00595FAD"/>
    <w:rPr>
      <w:rFonts w:asciiTheme="majorHAnsi" w:eastAsiaTheme="majorEastAsia" w:hAnsiTheme="majorHAnsi" w:cstheme="majorBidi"/>
      <w:color w:val="1F497D" w:themeColor="text2"/>
      <w:spacing w:val="5"/>
      <w:kern w:val="28"/>
      <w:sz w:val="52"/>
      <w:szCs w:val="52"/>
      <w:lang w:val="en-US" w:eastAsia="en-US" w:bidi="ar-SA"/>
    </w:rPr>
  </w:style>
  <w:style w:type="paragraph" w:styleId="Subtitle">
    <w:name w:val="Subtitle"/>
    <w:next w:val="Normal"/>
    <w:link w:val="SubtitleChar"/>
    <w:autoRedefine/>
    <w:uiPriority w:val="11"/>
    <w:qFormat/>
    <w:locked/>
    <w:rsid w:val="00595FAD"/>
    <w:pPr>
      <w:numPr>
        <w:ilvl w:val="1"/>
      </w:numPr>
      <w:spacing w:before="240" w:after="120"/>
    </w:pPr>
    <w:rPr>
      <w:rFonts w:asciiTheme="majorHAnsi" w:eastAsiaTheme="majorEastAsia" w:hAnsiTheme="majorHAnsi" w:cstheme="majorBidi"/>
      <w:color w:val="4F81BD" w:themeColor="accent1"/>
      <w:sz w:val="32"/>
      <w:szCs w:val="32"/>
      <w:lang w:eastAsia="en-US" w:bidi="ar-SA"/>
    </w:rPr>
  </w:style>
  <w:style w:type="character" w:customStyle="1" w:styleId="SubtitleChar">
    <w:name w:val="Subtitle Char"/>
    <w:basedOn w:val="DefaultParagraphFont"/>
    <w:link w:val="Subtitle"/>
    <w:uiPriority w:val="11"/>
    <w:rsid w:val="00595FAD"/>
    <w:rPr>
      <w:rFonts w:asciiTheme="majorHAnsi" w:eastAsiaTheme="majorEastAsia" w:hAnsiTheme="majorHAnsi" w:cstheme="majorBidi"/>
      <w:color w:val="4F81BD" w:themeColor="accent1"/>
      <w:sz w:val="32"/>
      <w:szCs w:val="32"/>
      <w:lang w:eastAsia="en-US" w:bidi="ar-SA"/>
    </w:rPr>
  </w:style>
  <w:style w:type="character" w:styleId="BookTitle">
    <w:name w:val="Book Title"/>
    <w:basedOn w:val="DefaultParagraphFont"/>
    <w:uiPriority w:val="33"/>
    <w:qFormat/>
    <w:rsid w:val="00595FAD"/>
    <w:rPr>
      <w:b/>
      <w:bCs/>
      <w:smallCaps/>
      <w:spacing w:val="5"/>
    </w:rPr>
  </w:style>
  <w:style w:type="character" w:customStyle="1" w:styleId="Highlighttext">
    <w:name w:val="Highlight text"/>
    <w:basedOn w:val="DefaultParagraphFont"/>
    <w:uiPriority w:val="1"/>
    <w:semiHidden/>
    <w:qFormat/>
    <w:rsid w:val="00595FAD"/>
    <w:rPr>
      <w:rFonts w:asciiTheme="minorHAnsi" w:hAnsiTheme="minorHAnsi"/>
      <w:b/>
      <w:bCs/>
      <w:caps w:val="0"/>
      <w:smallCaps w:val="0"/>
      <w:color w:val="EEECE1" w:themeColor="background2"/>
      <w:sz w:val="22"/>
      <w:szCs w:val="22"/>
    </w:rPr>
  </w:style>
  <w:style w:type="paragraph" w:customStyle="1" w:styleId="abbreviation">
    <w:name w:val="abbreviation"/>
    <w:basedOn w:val="Tableheader"/>
    <w:qFormat/>
    <w:rsid w:val="00595FAD"/>
    <w:rPr>
      <w:bCs/>
      <w:lang w:val="en-GB" w:eastAsia="en-GB"/>
    </w:rPr>
  </w:style>
  <w:style w:type="paragraph" w:styleId="ListBullet">
    <w:name w:val="List Bullet"/>
    <w:basedOn w:val="Normal"/>
    <w:semiHidden/>
    <w:qFormat/>
    <w:locked/>
    <w:rsid w:val="00595FAD"/>
    <w:pPr>
      <w:numPr>
        <w:numId w:val="46"/>
      </w:numPr>
      <w:spacing w:before="0" w:after="0"/>
      <w:contextualSpacing/>
      <w:jc w:val="left"/>
    </w:pPr>
    <w:rPr>
      <w:rFonts w:asciiTheme="minorHAnsi" w:eastAsiaTheme="minorEastAsia" w:hAnsiTheme="minorHAnsi" w:cstheme="minorBidi"/>
      <w:sz w:val="22"/>
      <w:lang w:val="en-US"/>
    </w:rPr>
  </w:style>
  <w:style w:type="paragraph" w:customStyle="1" w:styleId="numberedparagraph">
    <w:name w:val="numbered paragraph"/>
    <w:basedOn w:val="body"/>
    <w:qFormat/>
    <w:rsid w:val="00595FAD"/>
    <w:pPr>
      <w:numPr>
        <w:numId w:val="45"/>
      </w:numPr>
    </w:pPr>
  </w:style>
  <w:style w:type="character" w:customStyle="1" w:styleId="Marker">
    <w:name w:val="Marker"/>
    <w:rsid w:val="00595FAD"/>
    <w:rPr>
      <w:color w:val="0000FF"/>
      <w:shd w:val="clear" w:color="auto" w:fill="auto"/>
    </w:rPr>
  </w:style>
  <w:style w:type="character" w:customStyle="1" w:styleId="Marker2">
    <w:name w:val="Marker2"/>
    <w:rsid w:val="00595FAD"/>
    <w:rPr>
      <w:color w:val="FF0000"/>
      <w:shd w:val="clear" w:color="auto" w:fill="auto"/>
    </w:rPr>
  </w:style>
  <w:style w:type="paragraph" w:customStyle="1" w:styleId="Annexetitre">
    <w:name w:val="Annexe titre"/>
    <w:basedOn w:val="Normal"/>
    <w:next w:val="Normal"/>
    <w:rsid w:val="00595FAD"/>
    <w:pPr>
      <w:jc w:val="center"/>
    </w:pPr>
    <w:rPr>
      <w:rFonts w:ascii="Times New Roman" w:hAnsi="Times New Roman"/>
      <w:b/>
      <w:sz w:val="24"/>
      <w:u w:val="single"/>
    </w:rPr>
  </w:style>
  <w:style w:type="paragraph" w:customStyle="1" w:styleId="Considrant">
    <w:name w:val="Considérant"/>
    <w:basedOn w:val="Normal"/>
    <w:rsid w:val="00595FAD"/>
    <w:pPr>
      <w:numPr>
        <w:numId w:val="47"/>
      </w:numPr>
    </w:pPr>
    <w:rPr>
      <w:rFonts w:ascii="Times New Roman" w:hAnsi="Times New Roman"/>
      <w:sz w:val="24"/>
    </w:rPr>
  </w:style>
  <w:style w:type="paragraph" w:customStyle="1" w:styleId="Datedadoption">
    <w:name w:val="Date d'adoption"/>
    <w:basedOn w:val="Normal"/>
    <w:next w:val="Titreobjet"/>
    <w:rsid w:val="00595FAD"/>
    <w:pPr>
      <w:spacing w:before="360" w:after="0"/>
      <w:jc w:val="center"/>
    </w:pPr>
    <w:rPr>
      <w:rFonts w:ascii="Times New Roman" w:hAnsi="Times New Roman"/>
      <w:b/>
      <w:sz w:val="24"/>
    </w:rPr>
  </w:style>
  <w:style w:type="paragraph" w:customStyle="1" w:styleId="Formuledadoption">
    <w:name w:val="Formule d'adoption"/>
    <w:basedOn w:val="Normal"/>
    <w:next w:val="Titrearticle"/>
    <w:rsid w:val="00595FAD"/>
    <w:pPr>
      <w:keepNext/>
    </w:pPr>
    <w:rPr>
      <w:rFonts w:ascii="Times New Roman" w:hAnsi="Times New Roman"/>
      <w:sz w:val="24"/>
    </w:rPr>
  </w:style>
  <w:style w:type="paragraph" w:customStyle="1" w:styleId="Institutionquisigne">
    <w:name w:val="Institution qui signe"/>
    <w:basedOn w:val="Normal"/>
    <w:next w:val="Personnequisigne"/>
    <w:rsid w:val="00595FAD"/>
    <w:pPr>
      <w:keepNext/>
      <w:tabs>
        <w:tab w:val="left" w:pos="4252"/>
      </w:tabs>
      <w:spacing w:before="720" w:after="0"/>
    </w:pPr>
    <w:rPr>
      <w:rFonts w:ascii="Times New Roman" w:hAnsi="Times New Roman"/>
      <w:i/>
      <w:sz w:val="24"/>
    </w:rPr>
  </w:style>
  <w:style w:type="paragraph" w:customStyle="1" w:styleId="Personnequisigne">
    <w:name w:val="Personne qui signe"/>
    <w:basedOn w:val="Normal"/>
    <w:next w:val="Institutionquisigne"/>
    <w:rsid w:val="00595FAD"/>
    <w:pPr>
      <w:tabs>
        <w:tab w:val="left" w:pos="4252"/>
      </w:tabs>
      <w:spacing w:before="0" w:after="0"/>
      <w:jc w:val="left"/>
    </w:pPr>
    <w:rPr>
      <w:rFonts w:ascii="Times New Roman" w:hAnsi="Times New Roman"/>
      <w:i/>
      <w:sz w:val="24"/>
    </w:rPr>
  </w:style>
  <w:style w:type="paragraph" w:customStyle="1" w:styleId="Titreobjet">
    <w:name w:val="Titre objet"/>
    <w:basedOn w:val="Normal"/>
    <w:next w:val="Normal"/>
    <w:rsid w:val="00595FAD"/>
    <w:pPr>
      <w:spacing w:before="360" w:after="360"/>
      <w:jc w:val="center"/>
    </w:pPr>
    <w:rPr>
      <w:rFonts w:ascii="Times New Roman" w:hAnsi="Times New Roman"/>
      <w:b/>
      <w:sz w:val="24"/>
    </w:rPr>
  </w:style>
  <w:style w:type="paragraph" w:customStyle="1" w:styleId="Typedudocument">
    <w:name w:val="Type du document"/>
    <w:basedOn w:val="Normal"/>
    <w:next w:val="Titreobjet"/>
    <w:rsid w:val="00595FAD"/>
    <w:pPr>
      <w:spacing w:before="360" w:after="0"/>
      <w:jc w:val="center"/>
    </w:pPr>
    <w:rPr>
      <w:rFonts w:ascii="Times New Roman" w:hAnsi="Times New Roman"/>
      <w:b/>
      <w:sz w:val="24"/>
    </w:rPr>
  </w:style>
  <w:style w:type="paragraph" w:customStyle="1" w:styleId="Pagedecouverture">
    <w:name w:val="Page de couverture"/>
    <w:basedOn w:val="Normal"/>
    <w:next w:val="Normal"/>
    <w:rsid w:val="00595FAD"/>
    <w:rPr>
      <w:rFonts w:ascii="Times New Roman" w:hAnsi="Times New Roman"/>
      <w:sz w:val="24"/>
    </w:rPr>
  </w:style>
  <w:style w:type="paragraph" w:customStyle="1" w:styleId="Institutionquiagit">
    <w:name w:val="Institution qui agit"/>
    <w:basedOn w:val="Normal"/>
    <w:next w:val="Normal"/>
    <w:rsid w:val="00595FAD"/>
    <w:pPr>
      <w:keepNext/>
      <w:spacing w:before="600"/>
    </w:pPr>
    <w:rPr>
      <w:rFonts w:ascii="Times New Roman" w:hAnsi="Times New Roman"/>
      <w:sz w:val="24"/>
    </w:rPr>
  </w:style>
  <w:style w:type="paragraph" w:styleId="Caption">
    <w:name w:val="caption"/>
    <w:basedOn w:val="Normal"/>
    <w:next w:val="Normal"/>
    <w:uiPriority w:val="35"/>
    <w:unhideWhenUsed/>
    <w:qFormat/>
    <w:locked/>
    <w:rsid w:val="00595FAD"/>
    <w:pPr>
      <w:spacing w:before="0" w:after="200"/>
      <w:jc w:val="left"/>
    </w:pPr>
    <w:rPr>
      <w:rFonts w:asciiTheme="minorHAnsi" w:eastAsiaTheme="minorEastAsia" w:hAnsiTheme="minorHAnsi" w:cstheme="minorBidi"/>
      <w:b/>
      <w:bCs/>
      <w:color w:val="4F81BD" w:themeColor="accent1"/>
      <w:sz w:val="18"/>
      <w:szCs w:val="18"/>
      <w:lang w:val="en-US"/>
    </w:rPr>
  </w:style>
  <w:style w:type="paragraph" w:customStyle="1" w:styleId="TableNote">
    <w:name w:val="TableNote"/>
    <w:basedOn w:val="Normal"/>
    <w:rsid w:val="00595FAD"/>
    <w:pPr>
      <w:spacing w:before="60"/>
    </w:pPr>
    <w:rPr>
      <w:rFonts w:ascii="Segoe UI" w:hAnsi="Segoe UI"/>
      <w:sz w:val="15"/>
      <w:szCs w:val="20"/>
    </w:rPr>
  </w:style>
  <w:style w:type="paragraph" w:customStyle="1" w:styleId="CM11">
    <w:name w:val="CM1+1"/>
    <w:basedOn w:val="Default"/>
    <w:next w:val="Default"/>
    <w:uiPriority w:val="99"/>
    <w:rsid w:val="00595FAD"/>
    <w:rPr>
      <w:rFonts w:ascii="EUAlbertina" w:eastAsiaTheme="minorEastAsia" w:hAnsi="EUAlbertina" w:cstheme="minorBidi"/>
      <w:color w:val="auto"/>
      <w:lang w:val="fr-FR" w:eastAsia="en-US"/>
    </w:rPr>
  </w:style>
  <w:style w:type="paragraph" w:customStyle="1" w:styleId="CM31">
    <w:name w:val="CM3+1"/>
    <w:basedOn w:val="Default"/>
    <w:next w:val="Default"/>
    <w:uiPriority w:val="99"/>
    <w:rsid w:val="00595FAD"/>
    <w:rPr>
      <w:rFonts w:ascii="EUAlbertina" w:eastAsiaTheme="minorEastAsia" w:hAnsi="EUAlbertina" w:cstheme="minorBidi"/>
      <w:color w:val="auto"/>
      <w:lang w:val="fr-FR" w:eastAsia="en-US"/>
    </w:rPr>
  </w:style>
  <w:style w:type="paragraph" w:customStyle="1" w:styleId="CM13">
    <w:name w:val="CM1+3"/>
    <w:basedOn w:val="Default"/>
    <w:next w:val="Default"/>
    <w:uiPriority w:val="99"/>
    <w:rsid w:val="00595FAD"/>
    <w:rPr>
      <w:rFonts w:ascii="EUAlbertina" w:eastAsiaTheme="minorEastAsia" w:hAnsi="EUAlbertina" w:cstheme="minorBidi"/>
      <w:color w:val="auto"/>
      <w:lang w:val="fr-FR" w:eastAsia="en-US"/>
    </w:rPr>
  </w:style>
  <w:style w:type="paragraph" w:customStyle="1" w:styleId="CM33">
    <w:name w:val="CM3+3"/>
    <w:basedOn w:val="Default"/>
    <w:next w:val="Default"/>
    <w:uiPriority w:val="99"/>
    <w:rsid w:val="00595FAD"/>
    <w:rPr>
      <w:rFonts w:ascii="EUAlbertina" w:eastAsiaTheme="minorEastAsia" w:hAnsi="EUAlbertina" w:cstheme="minorBidi"/>
      <w:color w:val="auto"/>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05551">
      <w:bodyDiv w:val="1"/>
      <w:marLeft w:val="0"/>
      <w:marRight w:val="0"/>
      <w:marTop w:val="0"/>
      <w:marBottom w:val="0"/>
      <w:divBdr>
        <w:top w:val="none" w:sz="0" w:space="0" w:color="auto"/>
        <w:left w:val="none" w:sz="0" w:space="0" w:color="auto"/>
        <w:bottom w:val="none" w:sz="0" w:space="0" w:color="auto"/>
        <w:right w:val="none" w:sz="0" w:space="0" w:color="auto"/>
      </w:divBdr>
    </w:div>
    <w:div w:id="186606750">
      <w:bodyDiv w:val="1"/>
      <w:marLeft w:val="0"/>
      <w:marRight w:val="0"/>
      <w:marTop w:val="0"/>
      <w:marBottom w:val="0"/>
      <w:divBdr>
        <w:top w:val="none" w:sz="0" w:space="0" w:color="auto"/>
        <w:left w:val="none" w:sz="0" w:space="0" w:color="auto"/>
        <w:bottom w:val="none" w:sz="0" w:space="0" w:color="auto"/>
        <w:right w:val="none" w:sz="0" w:space="0" w:color="auto"/>
      </w:divBdr>
    </w:div>
    <w:div w:id="189728779">
      <w:bodyDiv w:val="1"/>
      <w:marLeft w:val="0"/>
      <w:marRight w:val="0"/>
      <w:marTop w:val="0"/>
      <w:marBottom w:val="0"/>
      <w:divBdr>
        <w:top w:val="none" w:sz="0" w:space="0" w:color="auto"/>
        <w:left w:val="none" w:sz="0" w:space="0" w:color="auto"/>
        <w:bottom w:val="none" w:sz="0" w:space="0" w:color="auto"/>
        <w:right w:val="none" w:sz="0" w:space="0" w:color="auto"/>
      </w:divBdr>
    </w:div>
    <w:div w:id="299265773">
      <w:bodyDiv w:val="1"/>
      <w:marLeft w:val="0"/>
      <w:marRight w:val="0"/>
      <w:marTop w:val="0"/>
      <w:marBottom w:val="0"/>
      <w:divBdr>
        <w:top w:val="none" w:sz="0" w:space="0" w:color="auto"/>
        <w:left w:val="none" w:sz="0" w:space="0" w:color="auto"/>
        <w:bottom w:val="none" w:sz="0" w:space="0" w:color="auto"/>
        <w:right w:val="none" w:sz="0" w:space="0" w:color="auto"/>
      </w:divBdr>
    </w:div>
    <w:div w:id="538904984">
      <w:bodyDiv w:val="1"/>
      <w:marLeft w:val="0"/>
      <w:marRight w:val="0"/>
      <w:marTop w:val="0"/>
      <w:marBottom w:val="0"/>
      <w:divBdr>
        <w:top w:val="none" w:sz="0" w:space="0" w:color="auto"/>
        <w:left w:val="none" w:sz="0" w:space="0" w:color="auto"/>
        <w:bottom w:val="none" w:sz="0" w:space="0" w:color="auto"/>
        <w:right w:val="none" w:sz="0" w:space="0" w:color="auto"/>
      </w:divBdr>
    </w:div>
    <w:div w:id="718362389">
      <w:bodyDiv w:val="1"/>
      <w:marLeft w:val="0"/>
      <w:marRight w:val="0"/>
      <w:marTop w:val="0"/>
      <w:marBottom w:val="0"/>
      <w:divBdr>
        <w:top w:val="none" w:sz="0" w:space="0" w:color="auto"/>
        <w:left w:val="none" w:sz="0" w:space="0" w:color="auto"/>
        <w:bottom w:val="none" w:sz="0" w:space="0" w:color="auto"/>
        <w:right w:val="none" w:sz="0" w:space="0" w:color="auto"/>
      </w:divBdr>
    </w:div>
    <w:div w:id="792601634">
      <w:marLeft w:val="0"/>
      <w:marRight w:val="0"/>
      <w:marTop w:val="0"/>
      <w:marBottom w:val="0"/>
      <w:divBdr>
        <w:top w:val="none" w:sz="0" w:space="0" w:color="auto"/>
        <w:left w:val="none" w:sz="0" w:space="0" w:color="auto"/>
        <w:bottom w:val="none" w:sz="0" w:space="0" w:color="auto"/>
        <w:right w:val="none" w:sz="0" w:space="0" w:color="auto"/>
      </w:divBdr>
    </w:div>
    <w:div w:id="792601635">
      <w:marLeft w:val="0"/>
      <w:marRight w:val="0"/>
      <w:marTop w:val="0"/>
      <w:marBottom w:val="0"/>
      <w:divBdr>
        <w:top w:val="none" w:sz="0" w:space="0" w:color="auto"/>
        <w:left w:val="none" w:sz="0" w:space="0" w:color="auto"/>
        <w:bottom w:val="none" w:sz="0" w:space="0" w:color="auto"/>
        <w:right w:val="none" w:sz="0" w:space="0" w:color="auto"/>
      </w:divBdr>
    </w:div>
    <w:div w:id="792601636">
      <w:marLeft w:val="0"/>
      <w:marRight w:val="0"/>
      <w:marTop w:val="0"/>
      <w:marBottom w:val="0"/>
      <w:divBdr>
        <w:top w:val="none" w:sz="0" w:space="0" w:color="auto"/>
        <w:left w:val="none" w:sz="0" w:space="0" w:color="auto"/>
        <w:bottom w:val="none" w:sz="0" w:space="0" w:color="auto"/>
        <w:right w:val="none" w:sz="0" w:space="0" w:color="auto"/>
      </w:divBdr>
    </w:div>
    <w:div w:id="792601637">
      <w:marLeft w:val="0"/>
      <w:marRight w:val="0"/>
      <w:marTop w:val="0"/>
      <w:marBottom w:val="0"/>
      <w:divBdr>
        <w:top w:val="none" w:sz="0" w:space="0" w:color="auto"/>
        <w:left w:val="none" w:sz="0" w:space="0" w:color="auto"/>
        <w:bottom w:val="none" w:sz="0" w:space="0" w:color="auto"/>
        <w:right w:val="none" w:sz="0" w:space="0" w:color="auto"/>
      </w:divBdr>
    </w:div>
    <w:div w:id="792601638">
      <w:marLeft w:val="0"/>
      <w:marRight w:val="0"/>
      <w:marTop w:val="0"/>
      <w:marBottom w:val="0"/>
      <w:divBdr>
        <w:top w:val="none" w:sz="0" w:space="0" w:color="auto"/>
        <w:left w:val="none" w:sz="0" w:space="0" w:color="auto"/>
        <w:bottom w:val="none" w:sz="0" w:space="0" w:color="auto"/>
        <w:right w:val="none" w:sz="0" w:space="0" w:color="auto"/>
      </w:divBdr>
    </w:div>
    <w:div w:id="820199939">
      <w:bodyDiv w:val="1"/>
      <w:marLeft w:val="0"/>
      <w:marRight w:val="0"/>
      <w:marTop w:val="0"/>
      <w:marBottom w:val="0"/>
      <w:divBdr>
        <w:top w:val="none" w:sz="0" w:space="0" w:color="auto"/>
        <w:left w:val="none" w:sz="0" w:space="0" w:color="auto"/>
        <w:bottom w:val="none" w:sz="0" w:space="0" w:color="auto"/>
        <w:right w:val="none" w:sz="0" w:space="0" w:color="auto"/>
      </w:divBdr>
    </w:div>
    <w:div w:id="1071536696">
      <w:bodyDiv w:val="1"/>
      <w:marLeft w:val="0"/>
      <w:marRight w:val="0"/>
      <w:marTop w:val="0"/>
      <w:marBottom w:val="0"/>
      <w:divBdr>
        <w:top w:val="none" w:sz="0" w:space="0" w:color="auto"/>
        <w:left w:val="none" w:sz="0" w:space="0" w:color="auto"/>
        <w:bottom w:val="none" w:sz="0" w:space="0" w:color="auto"/>
        <w:right w:val="none" w:sz="0" w:space="0" w:color="auto"/>
      </w:divBdr>
    </w:div>
    <w:div w:id="1127431200">
      <w:bodyDiv w:val="1"/>
      <w:marLeft w:val="0"/>
      <w:marRight w:val="0"/>
      <w:marTop w:val="0"/>
      <w:marBottom w:val="0"/>
      <w:divBdr>
        <w:top w:val="none" w:sz="0" w:space="0" w:color="auto"/>
        <w:left w:val="none" w:sz="0" w:space="0" w:color="auto"/>
        <w:bottom w:val="none" w:sz="0" w:space="0" w:color="auto"/>
        <w:right w:val="none" w:sz="0" w:space="0" w:color="auto"/>
      </w:divBdr>
    </w:div>
    <w:div w:id="1192721008">
      <w:bodyDiv w:val="1"/>
      <w:marLeft w:val="0"/>
      <w:marRight w:val="0"/>
      <w:marTop w:val="0"/>
      <w:marBottom w:val="0"/>
      <w:divBdr>
        <w:top w:val="none" w:sz="0" w:space="0" w:color="auto"/>
        <w:left w:val="none" w:sz="0" w:space="0" w:color="auto"/>
        <w:bottom w:val="none" w:sz="0" w:space="0" w:color="auto"/>
        <w:right w:val="none" w:sz="0" w:space="0" w:color="auto"/>
      </w:divBdr>
    </w:div>
    <w:div w:id="177517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iso.org/iso-4217-currency-codes.html" TargetMode="External"/><Relationship Id="rId2" Type="http://schemas.openxmlformats.org/officeDocument/2006/relationships/numbering" Target="numbering.xml"/><Relationship Id="rId16" Type="http://schemas.openxmlformats.org/officeDocument/2006/relationships/hyperlink" Target="https://www.iso.org/iso-4217-currency-codes.html"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060CAA-F30B-447B-815C-16F948AD7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90061</Words>
  <Characters>467422</Characters>
  <Application>Microsoft Office Word</Application>
  <DocSecurity>0</DocSecurity>
  <Lines>29213</Lines>
  <Paragraphs>9448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548035</CharactersWithSpaces>
  <SharedDoc>false</SharedDoc>
  <HLinks>
    <vt:vector size="606" baseType="variant">
      <vt:variant>
        <vt:i4>1441854</vt:i4>
      </vt:variant>
      <vt:variant>
        <vt:i4>602</vt:i4>
      </vt:variant>
      <vt:variant>
        <vt:i4>0</vt:i4>
      </vt:variant>
      <vt:variant>
        <vt:i4>5</vt:i4>
      </vt:variant>
      <vt:variant>
        <vt:lpwstr/>
      </vt:variant>
      <vt:variant>
        <vt:lpwstr>_Toc429746721</vt:lpwstr>
      </vt:variant>
      <vt:variant>
        <vt:i4>1441854</vt:i4>
      </vt:variant>
      <vt:variant>
        <vt:i4>596</vt:i4>
      </vt:variant>
      <vt:variant>
        <vt:i4>0</vt:i4>
      </vt:variant>
      <vt:variant>
        <vt:i4>5</vt:i4>
      </vt:variant>
      <vt:variant>
        <vt:lpwstr/>
      </vt:variant>
      <vt:variant>
        <vt:lpwstr>_Toc429746720</vt:lpwstr>
      </vt:variant>
      <vt:variant>
        <vt:i4>1376318</vt:i4>
      </vt:variant>
      <vt:variant>
        <vt:i4>590</vt:i4>
      </vt:variant>
      <vt:variant>
        <vt:i4>0</vt:i4>
      </vt:variant>
      <vt:variant>
        <vt:i4>5</vt:i4>
      </vt:variant>
      <vt:variant>
        <vt:lpwstr/>
      </vt:variant>
      <vt:variant>
        <vt:lpwstr>_Toc429746719</vt:lpwstr>
      </vt:variant>
      <vt:variant>
        <vt:i4>1376318</vt:i4>
      </vt:variant>
      <vt:variant>
        <vt:i4>584</vt:i4>
      </vt:variant>
      <vt:variant>
        <vt:i4>0</vt:i4>
      </vt:variant>
      <vt:variant>
        <vt:i4>5</vt:i4>
      </vt:variant>
      <vt:variant>
        <vt:lpwstr/>
      </vt:variant>
      <vt:variant>
        <vt:lpwstr>_Toc429746718</vt:lpwstr>
      </vt:variant>
      <vt:variant>
        <vt:i4>1376318</vt:i4>
      </vt:variant>
      <vt:variant>
        <vt:i4>578</vt:i4>
      </vt:variant>
      <vt:variant>
        <vt:i4>0</vt:i4>
      </vt:variant>
      <vt:variant>
        <vt:i4>5</vt:i4>
      </vt:variant>
      <vt:variant>
        <vt:lpwstr/>
      </vt:variant>
      <vt:variant>
        <vt:lpwstr>_Toc429746717</vt:lpwstr>
      </vt:variant>
      <vt:variant>
        <vt:i4>1376318</vt:i4>
      </vt:variant>
      <vt:variant>
        <vt:i4>572</vt:i4>
      </vt:variant>
      <vt:variant>
        <vt:i4>0</vt:i4>
      </vt:variant>
      <vt:variant>
        <vt:i4>5</vt:i4>
      </vt:variant>
      <vt:variant>
        <vt:lpwstr/>
      </vt:variant>
      <vt:variant>
        <vt:lpwstr>_Toc429746716</vt:lpwstr>
      </vt:variant>
      <vt:variant>
        <vt:i4>1376318</vt:i4>
      </vt:variant>
      <vt:variant>
        <vt:i4>566</vt:i4>
      </vt:variant>
      <vt:variant>
        <vt:i4>0</vt:i4>
      </vt:variant>
      <vt:variant>
        <vt:i4>5</vt:i4>
      </vt:variant>
      <vt:variant>
        <vt:lpwstr/>
      </vt:variant>
      <vt:variant>
        <vt:lpwstr>_Toc429746715</vt:lpwstr>
      </vt:variant>
      <vt:variant>
        <vt:i4>1376318</vt:i4>
      </vt:variant>
      <vt:variant>
        <vt:i4>560</vt:i4>
      </vt:variant>
      <vt:variant>
        <vt:i4>0</vt:i4>
      </vt:variant>
      <vt:variant>
        <vt:i4>5</vt:i4>
      </vt:variant>
      <vt:variant>
        <vt:lpwstr/>
      </vt:variant>
      <vt:variant>
        <vt:lpwstr>_Toc429746714</vt:lpwstr>
      </vt:variant>
      <vt:variant>
        <vt:i4>1376318</vt:i4>
      </vt:variant>
      <vt:variant>
        <vt:i4>554</vt:i4>
      </vt:variant>
      <vt:variant>
        <vt:i4>0</vt:i4>
      </vt:variant>
      <vt:variant>
        <vt:i4>5</vt:i4>
      </vt:variant>
      <vt:variant>
        <vt:lpwstr/>
      </vt:variant>
      <vt:variant>
        <vt:lpwstr>_Toc429746713</vt:lpwstr>
      </vt:variant>
      <vt:variant>
        <vt:i4>1376318</vt:i4>
      </vt:variant>
      <vt:variant>
        <vt:i4>548</vt:i4>
      </vt:variant>
      <vt:variant>
        <vt:i4>0</vt:i4>
      </vt:variant>
      <vt:variant>
        <vt:i4>5</vt:i4>
      </vt:variant>
      <vt:variant>
        <vt:lpwstr/>
      </vt:variant>
      <vt:variant>
        <vt:lpwstr>_Toc429746712</vt:lpwstr>
      </vt:variant>
      <vt:variant>
        <vt:i4>1376318</vt:i4>
      </vt:variant>
      <vt:variant>
        <vt:i4>542</vt:i4>
      </vt:variant>
      <vt:variant>
        <vt:i4>0</vt:i4>
      </vt:variant>
      <vt:variant>
        <vt:i4>5</vt:i4>
      </vt:variant>
      <vt:variant>
        <vt:lpwstr/>
      </vt:variant>
      <vt:variant>
        <vt:lpwstr>_Toc429746711</vt:lpwstr>
      </vt:variant>
      <vt:variant>
        <vt:i4>1376318</vt:i4>
      </vt:variant>
      <vt:variant>
        <vt:i4>536</vt:i4>
      </vt:variant>
      <vt:variant>
        <vt:i4>0</vt:i4>
      </vt:variant>
      <vt:variant>
        <vt:i4>5</vt:i4>
      </vt:variant>
      <vt:variant>
        <vt:lpwstr/>
      </vt:variant>
      <vt:variant>
        <vt:lpwstr>_Toc429746710</vt:lpwstr>
      </vt:variant>
      <vt:variant>
        <vt:i4>1310782</vt:i4>
      </vt:variant>
      <vt:variant>
        <vt:i4>530</vt:i4>
      </vt:variant>
      <vt:variant>
        <vt:i4>0</vt:i4>
      </vt:variant>
      <vt:variant>
        <vt:i4>5</vt:i4>
      </vt:variant>
      <vt:variant>
        <vt:lpwstr/>
      </vt:variant>
      <vt:variant>
        <vt:lpwstr>_Toc429746709</vt:lpwstr>
      </vt:variant>
      <vt:variant>
        <vt:i4>1310782</vt:i4>
      </vt:variant>
      <vt:variant>
        <vt:i4>524</vt:i4>
      </vt:variant>
      <vt:variant>
        <vt:i4>0</vt:i4>
      </vt:variant>
      <vt:variant>
        <vt:i4>5</vt:i4>
      </vt:variant>
      <vt:variant>
        <vt:lpwstr/>
      </vt:variant>
      <vt:variant>
        <vt:lpwstr>_Toc429746708</vt:lpwstr>
      </vt:variant>
      <vt:variant>
        <vt:i4>1310782</vt:i4>
      </vt:variant>
      <vt:variant>
        <vt:i4>518</vt:i4>
      </vt:variant>
      <vt:variant>
        <vt:i4>0</vt:i4>
      </vt:variant>
      <vt:variant>
        <vt:i4>5</vt:i4>
      </vt:variant>
      <vt:variant>
        <vt:lpwstr/>
      </vt:variant>
      <vt:variant>
        <vt:lpwstr>_Toc429746707</vt:lpwstr>
      </vt:variant>
      <vt:variant>
        <vt:i4>1310782</vt:i4>
      </vt:variant>
      <vt:variant>
        <vt:i4>512</vt:i4>
      </vt:variant>
      <vt:variant>
        <vt:i4>0</vt:i4>
      </vt:variant>
      <vt:variant>
        <vt:i4>5</vt:i4>
      </vt:variant>
      <vt:variant>
        <vt:lpwstr/>
      </vt:variant>
      <vt:variant>
        <vt:lpwstr>_Toc429746706</vt:lpwstr>
      </vt:variant>
      <vt:variant>
        <vt:i4>1310782</vt:i4>
      </vt:variant>
      <vt:variant>
        <vt:i4>506</vt:i4>
      </vt:variant>
      <vt:variant>
        <vt:i4>0</vt:i4>
      </vt:variant>
      <vt:variant>
        <vt:i4>5</vt:i4>
      </vt:variant>
      <vt:variant>
        <vt:lpwstr/>
      </vt:variant>
      <vt:variant>
        <vt:lpwstr>_Toc429746705</vt:lpwstr>
      </vt:variant>
      <vt:variant>
        <vt:i4>1310782</vt:i4>
      </vt:variant>
      <vt:variant>
        <vt:i4>500</vt:i4>
      </vt:variant>
      <vt:variant>
        <vt:i4>0</vt:i4>
      </vt:variant>
      <vt:variant>
        <vt:i4>5</vt:i4>
      </vt:variant>
      <vt:variant>
        <vt:lpwstr/>
      </vt:variant>
      <vt:variant>
        <vt:lpwstr>_Toc429746704</vt:lpwstr>
      </vt:variant>
      <vt:variant>
        <vt:i4>1310782</vt:i4>
      </vt:variant>
      <vt:variant>
        <vt:i4>494</vt:i4>
      </vt:variant>
      <vt:variant>
        <vt:i4>0</vt:i4>
      </vt:variant>
      <vt:variant>
        <vt:i4>5</vt:i4>
      </vt:variant>
      <vt:variant>
        <vt:lpwstr/>
      </vt:variant>
      <vt:variant>
        <vt:lpwstr>_Toc429746703</vt:lpwstr>
      </vt:variant>
      <vt:variant>
        <vt:i4>1310782</vt:i4>
      </vt:variant>
      <vt:variant>
        <vt:i4>488</vt:i4>
      </vt:variant>
      <vt:variant>
        <vt:i4>0</vt:i4>
      </vt:variant>
      <vt:variant>
        <vt:i4>5</vt:i4>
      </vt:variant>
      <vt:variant>
        <vt:lpwstr/>
      </vt:variant>
      <vt:variant>
        <vt:lpwstr>_Toc429746702</vt:lpwstr>
      </vt:variant>
      <vt:variant>
        <vt:i4>1310782</vt:i4>
      </vt:variant>
      <vt:variant>
        <vt:i4>482</vt:i4>
      </vt:variant>
      <vt:variant>
        <vt:i4>0</vt:i4>
      </vt:variant>
      <vt:variant>
        <vt:i4>5</vt:i4>
      </vt:variant>
      <vt:variant>
        <vt:lpwstr/>
      </vt:variant>
      <vt:variant>
        <vt:lpwstr>_Toc429746701</vt:lpwstr>
      </vt:variant>
      <vt:variant>
        <vt:i4>1310782</vt:i4>
      </vt:variant>
      <vt:variant>
        <vt:i4>476</vt:i4>
      </vt:variant>
      <vt:variant>
        <vt:i4>0</vt:i4>
      </vt:variant>
      <vt:variant>
        <vt:i4>5</vt:i4>
      </vt:variant>
      <vt:variant>
        <vt:lpwstr/>
      </vt:variant>
      <vt:variant>
        <vt:lpwstr>_Toc429746700</vt:lpwstr>
      </vt:variant>
      <vt:variant>
        <vt:i4>1900607</vt:i4>
      </vt:variant>
      <vt:variant>
        <vt:i4>470</vt:i4>
      </vt:variant>
      <vt:variant>
        <vt:i4>0</vt:i4>
      </vt:variant>
      <vt:variant>
        <vt:i4>5</vt:i4>
      </vt:variant>
      <vt:variant>
        <vt:lpwstr/>
      </vt:variant>
      <vt:variant>
        <vt:lpwstr>_Toc429746699</vt:lpwstr>
      </vt:variant>
      <vt:variant>
        <vt:i4>1900607</vt:i4>
      </vt:variant>
      <vt:variant>
        <vt:i4>464</vt:i4>
      </vt:variant>
      <vt:variant>
        <vt:i4>0</vt:i4>
      </vt:variant>
      <vt:variant>
        <vt:i4>5</vt:i4>
      </vt:variant>
      <vt:variant>
        <vt:lpwstr/>
      </vt:variant>
      <vt:variant>
        <vt:lpwstr>_Toc429746698</vt:lpwstr>
      </vt:variant>
      <vt:variant>
        <vt:i4>1900607</vt:i4>
      </vt:variant>
      <vt:variant>
        <vt:i4>458</vt:i4>
      </vt:variant>
      <vt:variant>
        <vt:i4>0</vt:i4>
      </vt:variant>
      <vt:variant>
        <vt:i4>5</vt:i4>
      </vt:variant>
      <vt:variant>
        <vt:lpwstr/>
      </vt:variant>
      <vt:variant>
        <vt:lpwstr>_Toc429746697</vt:lpwstr>
      </vt:variant>
      <vt:variant>
        <vt:i4>1900607</vt:i4>
      </vt:variant>
      <vt:variant>
        <vt:i4>452</vt:i4>
      </vt:variant>
      <vt:variant>
        <vt:i4>0</vt:i4>
      </vt:variant>
      <vt:variant>
        <vt:i4>5</vt:i4>
      </vt:variant>
      <vt:variant>
        <vt:lpwstr/>
      </vt:variant>
      <vt:variant>
        <vt:lpwstr>_Toc429746696</vt:lpwstr>
      </vt:variant>
      <vt:variant>
        <vt:i4>1900607</vt:i4>
      </vt:variant>
      <vt:variant>
        <vt:i4>446</vt:i4>
      </vt:variant>
      <vt:variant>
        <vt:i4>0</vt:i4>
      </vt:variant>
      <vt:variant>
        <vt:i4>5</vt:i4>
      </vt:variant>
      <vt:variant>
        <vt:lpwstr/>
      </vt:variant>
      <vt:variant>
        <vt:lpwstr>_Toc429746695</vt:lpwstr>
      </vt:variant>
      <vt:variant>
        <vt:i4>1900607</vt:i4>
      </vt:variant>
      <vt:variant>
        <vt:i4>440</vt:i4>
      </vt:variant>
      <vt:variant>
        <vt:i4>0</vt:i4>
      </vt:variant>
      <vt:variant>
        <vt:i4>5</vt:i4>
      </vt:variant>
      <vt:variant>
        <vt:lpwstr/>
      </vt:variant>
      <vt:variant>
        <vt:lpwstr>_Toc429746694</vt:lpwstr>
      </vt:variant>
      <vt:variant>
        <vt:i4>1900607</vt:i4>
      </vt:variant>
      <vt:variant>
        <vt:i4>434</vt:i4>
      </vt:variant>
      <vt:variant>
        <vt:i4>0</vt:i4>
      </vt:variant>
      <vt:variant>
        <vt:i4>5</vt:i4>
      </vt:variant>
      <vt:variant>
        <vt:lpwstr/>
      </vt:variant>
      <vt:variant>
        <vt:lpwstr>_Toc429746693</vt:lpwstr>
      </vt:variant>
      <vt:variant>
        <vt:i4>1900607</vt:i4>
      </vt:variant>
      <vt:variant>
        <vt:i4>428</vt:i4>
      </vt:variant>
      <vt:variant>
        <vt:i4>0</vt:i4>
      </vt:variant>
      <vt:variant>
        <vt:i4>5</vt:i4>
      </vt:variant>
      <vt:variant>
        <vt:lpwstr/>
      </vt:variant>
      <vt:variant>
        <vt:lpwstr>_Toc429746692</vt:lpwstr>
      </vt:variant>
      <vt:variant>
        <vt:i4>1900607</vt:i4>
      </vt:variant>
      <vt:variant>
        <vt:i4>422</vt:i4>
      </vt:variant>
      <vt:variant>
        <vt:i4>0</vt:i4>
      </vt:variant>
      <vt:variant>
        <vt:i4>5</vt:i4>
      </vt:variant>
      <vt:variant>
        <vt:lpwstr/>
      </vt:variant>
      <vt:variant>
        <vt:lpwstr>_Toc429746691</vt:lpwstr>
      </vt:variant>
      <vt:variant>
        <vt:i4>1900607</vt:i4>
      </vt:variant>
      <vt:variant>
        <vt:i4>416</vt:i4>
      </vt:variant>
      <vt:variant>
        <vt:i4>0</vt:i4>
      </vt:variant>
      <vt:variant>
        <vt:i4>5</vt:i4>
      </vt:variant>
      <vt:variant>
        <vt:lpwstr/>
      </vt:variant>
      <vt:variant>
        <vt:lpwstr>_Toc429746690</vt:lpwstr>
      </vt:variant>
      <vt:variant>
        <vt:i4>1835071</vt:i4>
      </vt:variant>
      <vt:variant>
        <vt:i4>410</vt:i4>
      </vt:variant>
      <vt:variant>
        <vt:i4>0</vt:i4>
      </vt:variant>
      <vt:variant>
        <vt:i4>5</vt:i4>
      </vt:variant>
      <vt:variant>
        <vt:lpwstr/>
      </vt:variant>
      <vt:variant>
        <vt:lpwstr>_Toc429746689</vt:lpwstr>
      </vt:variant>
      <vt:variant>
        <vt:i4>1835071</vt:i4>
      </vt:variant>
      <vt:variant>
        <vt:i4>404</vt:i4>
      </vt:variant>
      <vt:variant>
        <vt:i4>0</vt:i4>
      </vt:variant>
      <vt:variant>
        <vt:i4>5</vt:i4>
      </vt:variant>
      <vt:variant>
        <vt:lpwstr/>
      </vt:variant>
      <vt:variant>
        <vt:lpwstr>_Toc429746688</vt:lpwstr>
      </vt:variant>
      <vt:variant>
        <vt:i4>1835071</vt:i4>
      </vt:variant>
      <vt:variant>
        <vt:i4>398</vt:i4>
      </vt:variant>
      <vt:variant>
        <vt:i4>0</vt:i4>
      </vt:variant>
      <vt:variant>
        <vt:i4>5</vt:i4>
      </vt:variant>
      <vt:variant>
        <vt:lpwstr/>
      </vt:variant>
      <vt:variant>
        <vt:lpwstr>_Toc429746687</vt:lpwstr>
      </vt:variant>
      <vt:variant>
        <vt:i4>1835071</vt:i4>
      </vt:variant>
      <vt:variant>
        <vt:i4>392</vt:i4>
      </vt:variant>
      <vt:variant>
        <vt:i4>0</vt:i4>
      </vt:variant>
      <vt:variant>
        <vt:i4>5</vt:i4>
      </vt:variant>
      <vt:variant>
        <vt:lpwstr/>
      </vt:variant>
      <vt:variant>
        <vt:lpwstr>_Toc429746686</vt:lpwstr>
      </vt:variant>
      <vt:variant>
        <vt:i4>1835071</vt:i4>
      </vt:variant>
      <vt:variant>
        <vt:i4>386</vt:i4>
      </vt:variant>
      <vt:variant>
        <vt:i4>0</vt:i4>
      </vt:variant>
      <vt:variant>
        <vt:i4>5</vt:i4>
      </vt:variant>
      <vt:variant>
        <vt:lpwstr/>
      </vt:variant>
      <vt:variant>
        <vt:lpwstr>_Toc429746685</vt:lpwstr>
      </vt:variant>
      <vt:variant>
        <vt:i4>1835071</vt:i4>
      </vt:variant>
      <vt:variant>
        <vt:i4>380</vt:i4>
      </vt:variant>
      <vt:variant>
        <vt:i4>0</vt:i4>
      </vt:variant>
      <vt:variant>
        <vt:i4>5</vt:i4>
      </vt:variant>
      <vt:variant>
        <vt:lpwstr/>
      </vt:variant>
      <vt:variant>
        <vt:lpwstr>_Toc429746684</vt:lpwstr>
      </vt:variant>
      <vt:variant>
        <vt:i4>1835071</vt:i4>
      </vt:variant>
      <vt:variant>
        <vt:i4>374</vt:i4>
      </vt:variant>
      <vt:variant>
        <vt:i4>0</vt:i4>
      </vt:variant>
      <vt:variant>
        <vt:i4>5</vt:i4>
      </vt:variant>
      <vt:variant>
        <vt:lpwstr/>
      </vt:variant>
      <vt:variant>
        <vt:lpwstr>_Toc429746683</vt:lpwstr>
      </vt:variant>
      <vt:variant>
        <vt:i4>1835071</vt:i4>
      </vt:variant>
      <vt:variant>
        <vt:i4>368</vt:i4>
      </vt:variant>
      <vt:variant>
        <vt:i4>0</vt:i4>
      </vt:variant>
      <vt:variant>
        <vt:i4>5</vt:i4>
      </vt:variant>
      <vt:variant>
        <vt:lpwstr/>
      </vt:variant>
      <vt:variant>
        <vt:lpwstr>_Toc429746682</vt:lpwstr>
      </vt:variant>
      <vt:variant>
        <vt:i4>1835071</vt:i4>
      </vt:variant>
      <vt:variant>
        <vt:i4>362</vt:i4>
      </vt:variant>
      <vt:variant>
        <vt:i4>0</vt:i4>
      </vt:variant>
      <vt:variant>
        <vt:i4>5</vt:i4>
      </vt:variant>
      <vt:variant>
        <vt:lpwstr/>
      </vt:variant>
      <vt:variant>
        <vt:lpwstr>_Toc429746681</vt:lpwstr>
      </vt:variant>
      <vt:variant>
        <vt:i4>1835071</vt:i4>
      </vt:variant>
      <vt:variant>
        <vt:i4>356</vt:i4>
      </vt:variant>
      <vt:variant>
        <vt:i4>0</vt:i4>
      </vt:variant>
      <vt:variant>
        <vt:i4>5</vt:i4>
      </vt:variant>
      <vt:variant>
        <vt:lpwstr/>
      </vt:variant>
      <vt:variant>
        <vt:lpwstr>_Toc429746680</vt:lpwstr>
      </vt:variant>
      <vt:variant>
        <vt:i4>1245247</vt:i4>
      </vt:variant>
      <vt:variant>
        <vt:i4>350</vt:i4>
      </vt:variant>
      <vt:variant>
        <vt:i4>0</vt:i4>
      </vt:variant>
      <vt:variant>
        <vt:i4>5</vt:i4>
      </vt:variant>
      <vt:variant>
        <vt:lpwstr/>
      </vt:variant>
      <vt:variant>
        <vt:lpwstr>_Toc429746679</vt:lpwstr>
      </vt:variant>
      <vt:variant>
        <vt:i4>1245247</vt:i4>
      </vt:variant>
      <vt:variant>
        <vt:i4>344</vt:i4>
      </vt:variant>
      <vt:variant>
        <vt:i4>0</vt:i4>
      </vt:variant>
      <vt:variant>
        <vt:i4>5</vt:i4>
      </vt:variant>
      <vt:variant>
        <vt:lpwstr/>
      </vt:variant>
      <vt:variant>
        <vt:lpwstr>_Toc429746678</vt:lpwstr>
      </vt:variant>
      <vt:variant>
        <vt:i4>1245247</vt:i4>
      </vt:variant>
      <vt:variant>
        <vt:i4>338</vt:i4>
      </vt:variant>
      <vt:variant>
        <vt:i4>0</vt:i4>
      </vt:variant>
      <vt:variant>
        <vt:i4>5</vt:i4>
      </vt:variant>
      <vt:variant>
        <vt:lpwstr/>
      </vt:variant>
      <vt:variant>
        <vt:lpwstr>_Toc429746677</vt:lpwstr>
      </vt:variant>
      <vt:variant>
        <vt:i4>1245247</vt:i4>
      </vt:variant>
      <vt:variant>
        <vt:i4>332</vt:i4>
      </vt:variant>
      <vt:variant>
        <vt:i4>0</vt:i4>
      </vt:variant>
      <vt:variant>
        <vt:i4>5</vt:i4>
      </vt:variant>
      <vt:variant>
        <vt:lpwstr/>
      </vt:variant>
      <vt:variant>
        <vt:lpwstr>_Toc429746676</vt:lpwstr>
      </vt:variant>
      <vt:variant>
        <vt:i4>1245247</vt:i4>
      </vt:variant>
      <vt:variant>
        <vt:i4>326</vt:i4>
      </vt:variant>
      <vt:variant>
        <vt:i4>0</vt:i4>
      </vt:variant>
      <vt:variant>
        <vt:i4>5</vt:i4>
      </vt:variant>
      <vt:variant>
        <vt:lpwstr/>
      </vt:variant>
      <vt:variant>
        <vt:lpwstr>_Toc429746675</vt:lpwstr>
      </vt:variant>
      <vt:variant>
        <vt:i4>1245247</vt:i4>
      </vt:variant>
      <vt:variant>
        <vt:i4>320</vt:i4>
      </vt:variant>
      <vt:variant>
        <vt:i4>0</vt:i4>
      </vt:variant>
      <vt:variant>
        <vt:i4>5</vt:i4>
      </vt:variant>
      <vt:variant>
        <vt:lpwstr/>
      </vt:variant>
      <vt:variant>
        <vt:lpwstr>_Toc429746674</vt:lpwstr>
      </vt:variant>
      <vt:variant>
        <vt:i4>1245247</vt:i4>
      </vt:variant>
      <vt:variant>
        <vt:i4>314</vt:i4>
      </vt:variant>
      <vt:variant>
        <vt:i4>0</vt:i4>
      </vt:variant>
      <vt:variant>
        <vt:i4>5</vt:i4>
      </vt:variant>
      <vt:variant>
        <vt:lpwstr/>
      </vt:variant>
      <vt:variant>
        <vt:lpwstr>_Toc429746673</vt:lpwstr>
      </vt:variant>
      <vt:variant>
        <vt:i4>1245247</vt:i4>
      </vt:variant>
      <vt:variant>
        <vt:i4>308</vt:i4>
      </vt:variant>
      <vt:variant>
        <vt:i4>0</vt:i4>
      </vt:variant>
      <vt:variant>
        <vt:i4>5</vt:i4>
      </vt:variant>
      <vt:variant>
        <vt:lpwstr/>
      </vt:variant>
      <vt:variant>
        <vt:lpwstr>_Toc429746672</vt:lpwstr>
      </vt:variant>
      <vt:variant>
        <vt:i4>1245247</vt:i4>
      </vt:variant>
      <vt:variant>
        <vt:i4>302</vt:i4>
      </vt:variant>
      <vt:variant>
        <vt:i4>0</vt:i4>
      </vt:variant>
      <vt:variant>
        <vt:i4>5</vt:i4>
      </vt:variant>
      <vt:variant>
        <vt:lpwstr/>
      </vt:variant>
      <vt:variant>
        <vt:lpwstr>_Toc429746671</vt:lpwstr>
      </vt:variant>
      <vt:variant>
        <vt:i4>1245247</vt:i4>
      </vt:variant>
      <vt:variant>
        <vt:i4>296</vt:i4>
      </vt:variant>
      <vt:variant>
        <vt:i4>0</vt:i4>
      </vt:variant>
      <vt:variant>
        <vt:i4>5</vt:i4>
      </vt:variant>
      <vt:variant>
        <vt:lpwstr/>
      </vt:variant>
      <vt:variant>
        <vt:lpwstr>_Toc429746670</vt:lpwstr>
      </vt:variant>
      <vt:variant>
        <vt:i4>1179711</vt:i4>
      </vt:variant>
      <vt:variant>
        <vt:i4>290</vt:i4>
      </vt:variant>
      <vt:variant>
        <vt:i4>0</vt:i4>
      </vt:variant>
      <vt:variant>
        <vt:i4>5</vt:i4>
      </vt:variant>
      <vt:variant>
        <vt:lpwstr/>
      </vt:variant>
      <vt:variant>
        <vt:lpwstr>_Toc429746669</vt:lpwstr>
      </vt:variant>
      <vt:variant>
        <vt:i4>1179711</vt:i4>
      </vt:variant>
      <vt:variant>
        <vt:i4>284</vt:i4>
      </vt:variant>
      <vt:variant>
        <vt:i4>0</vt:i4>
      </vt:variant>
      <vt:variant>
        <vt:i4>5</vt:i4>
      </vt:variant>
      <vt:variant>
        <vt:lpwstr/>
      </vt:variant>
      <vt:variant>
        <vt:lpwstr>_Toc429746668</vt:lpwstr>
      </vt:variant>
      <vt:variant>
        <vt:i4>1179711</vt:i4>
      </vt:variant>
      <vt:variant>
        <vt:i4>278</vt:i4>
      </vt:variant>
      <vt:variant>
        <vt:i4>0</vt:i4>
      </vt:variant>
      <vt:variant>
        <vt:i4>5</vt:i4>
      </vt:variant>
      <vt:variant>
        <vt:lpwstr/>
      </vt:variant>
      <vt:variant>
        <vt:lpwstr>_Toc429746667</vt:lpwstr>
      </vt:variant>
      <vt:variant>
        <vt:i4>1179711</vt:i4>
      </vt:variant>
      <vt:variant>
        <vt:i4>272</vt:i4>
      </vt:variant>
      <vt:variant>
        <vt:i4>0</vt:i4>
      </vt:variant>
      <vt:variant>
        <vt:i4>5</vt:i4>
      </vt:variant>
      <vt:variant>
        <vt:lpwstr/>
      </vt:variant>
      <vt:variant>
        <vt:lpwstr>_Toc429746666</vt:lpwstr>
      </vt:variant>
      <vt:variant>
        <vt:i4>1179711</vt:i4>
      </vt:variant>
      <vt:variant>
        <vt:i4>266</vt:i4>
      </vt:variant>
      <vt:variant>
        <vt:i4>0</vt:i4>
      </vt:variant>
      <vt:variant>
        <vt:i4>5</vt:i4>
      </vt:variant>
      <vt:variant>
        <vt:lpwstr/>
      </vt:variant>
      <vt:variant>
        <vt:lpwstr>_Toc429746665</vt:lpwstr>
      </vt:variant>
      <vt:variant>
        <vt:i4>1179711</vt:i4>
      </vt:variant>
      <vt:variant>
        <vt:i4>260</vt:i4>
      </vt:variant>
      <vt:variant>
        <vt:i4>0</vt:i4>
      </vt:variant>
      <vt:variant>
        <vt:i4>5</vt:i4>
      </vt:variant>
      <vt:variant>
        <vt:lpwstr/>
      </vt:variant>
      <vt:variant>
        <vt:lpwstr>_Toc429746664</vt:lpwstr>
      </vt:variant>
      <vt:variant>
        <vt:i4>1179711</vt:i4>
      </vt:variant>
      <vt:variant>
        <vt:i4>254</vt:i4>
      </vt:variant>
      <vt:variant>
        <vt:i4>0</vt:i4>
      </vt:variant>
      <vt:variant>
        <vt:i4>5</vt:i4>
      </vt:variant>
      <vt:variant>
        <vt:lpwstr/>
      </vt:variant>
      <vt:variant>
        <vt:lpwstr>_Toc429746663</vt:lpwstr>
      </vt:variant>
      <vt:variant>
        <vt:i4>1179711</vt:i4>
      </vt:variant>
      <vt:variant>
        <vt:i4>248</vt:i4>
      </vt:variant>
      <vt:variant>
        <vt:i4>0</vt:i4>
      </vt:variant>
      <vt:variant>
        <vt:i4>5</vt:i4>
      </vt:variant>
      <vt:variant>
        <vt:lpwstr/>
      </vt:variant>
      <vt:variant>
        <vt:lpwstr>_Toc429746662</vt:lpwstr>
      </vt:variant>
      <vt:variant>
        <vt:i4>1179711</vt:i4>
      </vt:variant>
      <vt:variant>
        <vt:i4>242</vt:i4>
      </vt:variant>
      <vt:variant>
        <vt:i4>0</vt:i4>
      </vt:variant>
      <vt:variant>
        <vt:i4>5</vt:i4>
      </vt:variant>
      <vt:variant>
        <vt:lpwstr/>
      </vt:variant>
      <vt:variant>
        <vt:lpwstr>_Toc429746661</vt:lpwstr>
      </vt:variant>
      <vt:variant>
        <vt:i4>1179711</vt:i4>
      </vt:variant>
      <vt:variant>
        <vt:i4>236</vt:i4>
      </vt:variant>
      <vt:variant>
        <vt:i4>0</vt:i4>
      </vt:variant>
      <vt:variant>
        <vt:i4>5</vt:i4>
      </vt:variant>
      <vt:variant>
        <vt:lpwstr/>
      </vt:variant>
      <vt:variant>
        <vt:lpwstr>_Toc429746660</vt:lpwstr>
      </vt:variant>
      <vt:variant>
        <vt:i4>1114175</vt:i4>
      </vt:variant>
      <vt:variant>
        <vt:i4>230</vt:i4>
      </vt:variant>
      <vt:variant>
        <vt:i4>0</vt:i4>
      </vt:variant>
      <vt:variant>
        <vt:i4>5</vt:i4>
      </vt:variant>
      <vt:variant>
        <vt:lpwstr/>
      </vt:variant>
      <vt:variant>
        <vt:lpwstr>_Toc429746659</vt:lpwstr>
      </vt:variant>
      <vt:variant>
        <vt:i4>1114175</vt:i4>
      </vt:variant>
      <vt:variant>
        <vt:i4>224</vt:i4>
      </vt:variant>
      <vt:variant>
        <vt:i4>0</vt:i4>
      </vt:variant>
      <vt:variant>
        <vt:i4>5</vt:i4>
      </vt:variant>
      <vt:variant>
        <vt:lpwstr/>
      </vt:variant>
      <vt:variant>
        <vt:lpwstr>_Toc429746658</vt:lpwstr>
      </vt:variant>
      <vt:variant>
        <vt:i4>1114175</vt:i4>
      </vt:variant>
      <vt:variant>
        <vt:i4>218</vt:i4>
      </vt:variant>
      <vt:variant>
        <vt:i4>0</vt:i4>
      </vt:variant>
      <vt:variant>
        <vt:i4>5</vt:i4>
      </vt:variant>
      <vt:variant>
        <vt:lpwstr/>
      </vt:variant>
      <vt:variant>
        <vt:lpwstr>_Toc429746657</vt:lpwstr>
      </vt:variant>
      <vt:variant>
        <vt:i4>1114175</vt:i4>
      </vt:variant>
      <vt:variant>
        <vt:i4>212</vt:i4>
      </vt:variant>
      <vt:variant>
        <vt:i4>0</vt:i4>
      </vt:variant>
      <vt:variant>
        <vt:i4>5</vt:i4>
      </vt:variant>
      <vt:variant>
        <vt:lpwstr/>
      </vt:variant>
      <vt:variant>
        <vt:lpwstr>_Toc429746656</vt:lpwstr>
      </vt:variant>
      <vt:variant>
        <vt:i4>1114175</vt:i4>
      </vt:variant>
      <vt:variant>
        <vt:i4>206</vt:i4>
      </vt:variant>
      <vt:variant>
        <vt:i4>0</vt:i4>
      </vt:variant>
      <vt:variant>
        <vt:i4>5</vt:i4>
      </vt:variant>
      <vt:variant>
        <vt:lpwstr/>
      </vt:variant>
      <vt:variant>
        <vt:lpwstr>_Toc429746655</vt:lpwstr>
      </vt:variant>
      <vt:variant>
        <vt:i4>1114175</vt:i4>
      </vt:variant>
      <vt:variant>
        <vt:i4>200</vt:i4>
      </vt:variant>
      <vt:variant>
        <vt:i4>0</vt:i4>
      </vt:variant>
      <vt:variant>
        <vt:i4>5</vt:i4>
      </vt:variant>
      <vt:variant>
        <vt:lpwstr/>
      </vt:variant>
      <vt:variant>
        <vt:lpwstr>_Toc429746654</vt:lpwstr>
      </vt:variant>
      <vt:variant>
        <vt:i4>1114175</vt:i4>
      </vt:variant>
      <vt:variant>
        <vt:i4>194</vt:i4>
      </vt:variant>
      <vt:variant>
        <vt:i4>0</vt:i4>
      </vt:variant>
      <vt:variant>
        <vt:i4>5</vt:i4>
      </vt:variant>
      <vt:variant>
        <vt:lpwstr/>
      </vt:variant>
      <vt:variant>
        <vt:lpwstr>_Toc429746653</vt:lpwstr>
      </vt:variant>
      <vt:variant>
        <vt:i4>1114175</vt:i4>
      </vt:variant>
      <vt:variant>
        <vt:i4>188</vt:i4>
      </vt:variant>
      <vt:variant>
        <vt:i4>0</vt:i4>
      </vt:variant>
      <vt:variant>
        <vt:i4>5</vt:i4>
      </vt:variant>
      <vt:variant>
        <vt:lpwstr/>
      </vt:variant>
      <vt:variant>
        <vt:lpwstr>_Toc429746652</vt:lpwstr>
      </vt:variant>
      <vt:variant>
        <vt:i4>1114175</vt:i4>
      </vt:variant>
      <vt:variant>
        <vt:i4>182</vt:i4>
      </vt:variant>
      <vt:variant>
        <vt:i4>0</vt:i4>
      </vt:variant>
      <vt:variant>
        <vt:i4>5</vt:i4>
      </vt:variant>
      <vt:variant>
        <vt:lpwstr/>
      </vt:variant>
      <vt:variant>
        <vt:lpwstr>_Toc429746651</vt:lpwstr>
      </vt:variant>
      <vt:variant>
        <vt:i4>1114175</vt:i4>
      </vt:variant>
      <vt:variant>
        <vt:i4>176</vt:i4>
      </vt:variant>
      <vt:variant>
        <vt:i4>0</vt:i4>
      </vt:variant>
      <vt:variant>
        <vt:i4>5</vt:i4>
      </vt:variant>
      <vt:variant>
        <vt:lpwstr/>
      </vt:variant>
      <vt:variant>
        <vt:lpwstr>_Toc429746650</vt:lpwstr>
      </vt:variant>
      <vt:variant>
        <vt:i4>1048639</vt:i4>
      </vt:variant>
      <vt:variant>
        <vt:i4>170</vt:i4>
      </vt:variant>
      <vt:variant>
        <vt:i4>0</vt:i4>
      </vt:variant>
      <vt:variant>
        <vt:i4>5</vt:i4>
      </vt:variant>
      <vt:variant>
        <vt:lpwstr/>
      </vt:variant>
      <vt:variant>
        <vt:lpwstr>_Toc429746649</vt:lpwstr>
      </vt:variant>
      <vt:variant>
        <vt:i4>1048639</vt:i4>
      </vt:variant>
      <vt:variant>
        <vt:i4>164</vt:i4>
      </vt:variant>
      <vt:variant>
        <vt:i4>0</vt:i4>
      </vt:variant>
      <vt:variant>
        <vt:i4>5</vt:i4>
      </vt:variant>
      <vt:variant>
        <vt:lpwstr/>
      </vt:variant>
      <vt:variant>
        <vt:lpwstr>_Toc429746648</vt:lpwstr>
      </vt:variant>
      <vt:variant>
        <vt:i4>1048639</vt:i4>
      </vt:variant>
      <vt:variant>
        <vt:i4>158</vt:i4>
      </vt:variant>
      <vt:variant>
        <vt:i4>0</vt:i4>
      </vt:variant>
      <vt:variant>
        <vt:i4>5</vt:i4>
      </vt:variant>
      <vt:variant>
        <vt:lpwstr/>
      </vt:variant>
      <vt:variant>
        <vt:lpwstr>_Toc429746647</vt:lpwstr>
      </vt:variant>
      <vt:variant>
        <vt:i4>1048639</vt:i4>
      </vt:variant>
      <vt:variant>
        <vt:i4>152</vt:i4>
      </vt:variant>
      <vt:variant>
        <vt:i4>0</vt:i4>
      </vt:variant>
      <vt:variant>
        <vt:i4>5</vt:i4>
      </vt:variant>
      <vt:variant>
        <vt:lpwstr/>
      </vt:variant>
      <vt:variant>
        <vt:lpwstr>_Toc429746646</vt:lpwstr>
      </vt:variant>
      <vt:variant>
        <vt:i4>1048639</vt:i4>
      </vt:variant>
      <vt:variant>
        <vt:i4>146</vt:i4>
      </vt:variant>
      <vt:variant>
        <vt:i4>0</vt:i4>
      </vt:variant>
      <vt:variant>
        <vt:i4>5</vt:i4>
      </vt:variant>
      <vt:variant>
        <vt:lpwstr/>
      </vt:variant>
      <vt:variant>
        <vt:lpwstr>_Toc429746645</vt:lpwstr>
      </vt:variant>
      <vt:variant>
        <vt:i4>1048639</vt:i4>
      </vt:variant>
      <vt:variant>
        <vt:i4>140</vt:i4>
      </vt:variant>
      <vt:variant>
        <vt:i4>0</vt:i4>
      </vt:variant>
      <vt:variant>
        <vt:i4>5</vt:i4>
      </vt:variant>
      <vt:variant>
        <vt:lpwstr/>
      </vt:variant>
      <vt:variant>
        <vt:lpwstr>_Toc429746644</vt:lpwstr>
      </vt:variant>
      <vt:variant>
        <vt:i4>1048639</vt:i4>
      </vt:variant>
      <vt:variant>
        <vt:i4>134</vt:i4>
      </vt:variant>
      <vt:variant>
        <vt:i4>0</vt:i4>
      </vt:variant>
      <vt:variant>
        <vt:i4>5</vt:i4>
      </vt:variant>
      <vt:variant>
        <vt:lpwstr/>
      </vt:variant>
      <vt:variant>
        <vt:lpwstr>_Toc429746643</vt:lpwstr>
      </vt:variant>
      <vt:variant>
        <vt:i4>1048639</vt:i4>
      </vt:variant>
      <vt:variant>
        <vt:i4>128</vt:i4>
      </vt:variant>
      <vt:variant>
        <vt:i4>0</vt:i4>
      </vt:variant>
      <vt:variant>
        <vt:i4>5</vt:i4>
      </vt:variant>
      <vt:variant>
        <vt:lpwstr/>
      </vt:variant>
      <vt:variant>
        <vt:lpwstr>_Toc429746642</vt:lpwstr>
      </vt:variant>
      <vt:variant>
        <vt:i4>1048639</vt:i4>
      </vt:variant>
      <vt:variant>
        <vt:i4>122</vt:i4>
      </vt:variant>
      <vt:variant>
        <vt:i4>0</vt:i4>
      </vt:variant>
      <vt:variant>
        <vt:i4>5</vt:i4>
      </vt:variant>
      <vt:variant>
        <vt:lpwstr/>
      </vt:variant>
      <vt:variant>
        <vt:lpwstr>_Toc429746641</vt:lpwstr>
      </vt:variant>
      <vt:variant>
        <vt:i4>1048639</vt:i4>
      </vt:variant>
      <vt:variant>
        <vt:i4>116</vt:i4>
      </vt:variant>
      <vt:variant>
        <vt:i4>0</vt:i4>
      </vt:variant>
      <vt:variant>
        <vt:i4>5</vt:i4>
      </vt:variant>
      <vt:variant>
        <vt:lpwstr/>
      </vt:variant>
      <vt:variant>
        <vt:lpwstr>_Toc429746640</vt:lpwstr>
      </vt:variant>
      <vt:variant>
        <vt:i4>1507391</vt:i4>
      </vt:variant>
      <vt:variant>
        <vt:i4>110</vt:i4>
      </vt:variant>
      <vt:variant>
        <vt:i4>0</vt:i4>
      </vt:variant>
      <vt:variant>
        <vt:i4>5</vt:i4>
      </vt:variant>
      <vt:variant>
        <vt:lpwstr/>
      </vt:variant>
      <vt:variant>
        <vt:lpwstr>_Toc429746639</vt:lpwstr>
      </vt:variant>
      <vt:variant>
        <vt:i4>1507391</vt:i4>
      </vt:variant>
      <vt:variant>
        <vt:i4>104</vt:i4>
      </vt:variant>
      <vt:variant>
        <vt:i4>0</vt:i4>
      </vt:variant>
      <vt:variant>
        <vt:i4>5</vt:i4>
      </vt:variant>
      <vt:variant>
        <vt:lpwstr/>
      </vt:variant>
      <vt:variant>
        <vt:lpwstr>_Toc429746638</vt:lpwstr>
      </vt:variant>
      <vt:variant>
        <vt:i4>1507391</vt:i4>
      </vt:variant>
      <vt:variant>
        <vt:i4>98</vt:i4>
      </vt:variant>
      <vt:variant>
        <vt:i4>0</vt:i4>
      </vt:variant>
      <vt:variant>
        <vt:i4>5</vt:i4>
      </vt:variant>
      <vt:variant>
        <vt:lpwstr/>
      </vt:variant>
      <vt:variant>
        <vt:lpwstr>_Toc429746637</vt:lpwstr>
      </vt:variant>
      <vt:variant>
        <vt:i4>1507391</vt:i4>
      </vt:variant>
      <vt:variant>
        <vt:i4>92</vt:i4>
      </vt:variant>
      <vt:variant>
        <vt:i4>0</vt:i4>
      </vt:variant>
      <vt:variant>
        <vt:i4>5</vt:i4>
      </vt:variant>
      <vt:variant>
        <vt:lpwstr/>
      </vt:variant>
      <vt:variant>
        <vt:lpwstr>_Toc429746636</vt:lpwstr>
      </vt:variant>
      <vt:variant>
        <vt:i4>1507391</vt:i4>
      </vt:variant>
      <vt:variant>
        <vt:i4>86</vt:i4>
      </vt:variant>
      <vt:variant>
        <vt:i4>0</vt:i4>
      </vt:variant>
      <vt:variant>
        <vt:i4>5</vt:i4>
      </vt:variant>
      <vt:variant>
        <vt:lpwstr/>
      </vt:variant>
      <vt:variant>
        <vt:lpwstr>_Toc429746635</vt:lpwstr>
      </vt:variant>
      <vt:variant>
        <vt:i4>1507391</vt:i4>
      </vt:variant>
      <vt:variant>
        <vt:i4>80</vt:i4>
      </vt:variant>
      <vt:variant>
        <vt:i4>0</vt:i4>
      </vt:variant>
      <vt:variant>
        <vt:i4>5</vt:i4>
      </vt:variant>
      <vt:variant>
        <vt:lpwstr/>
      </vt:variant>
      <vt:variant>
        <vt:lpwstr>_Toc429746634</vt:lpwstr>
      </vt:variant>
      <vt:variant>
        <vt:i4>1507391</vt:i4>
      </vt:variant>
      <vt:variant>
        <vt:i4>74</vt:i4>
      </vt:variant>
      <vt:variant>
        <vt:i4>0</vt:i4>
      </vt:variant>
      <vt:variant>
        <vt:i4>5</vt:i4>
      </vt:variant>
      <vt:variant>
        <vt:lpwstr/>
      </vt:variant>
      <vt:variant>
        <vt:lpwstr>_Toc429746633</vt:lpwstr>
      </vt:variant>
      <vt:variant>
        <vt:i4>1507391</vt:i4>
      </vt:variant>
      <vt:variant>
        <vt:i4>68</vt:i4>
      </vt:variant>
      <vt:variant>
        <vt:i4>0</vt:i4>
      </vt:variant>
      <vt:variant>
        <vt:i4>5</vt:i4>
      </vt:variant>
      <vt:variant>
        <vt:lpwstr/>
      </vt:variant>
      <vt:variant>
        <vt:lpwstr>_Toc429746632</vt:lpwstr>
      </vt:variant>
      <vt:variant>
        <vt:i4>1507391</vt:i4>
      </vt:variant>
      <vt:variant>
        <vt:i4>62</vt:i4>
      </vt:variant>
      <vt:variant>
        <vt:i4>0</vt:i4>
      </vt:variant>
      <vt:variant>
        <vt:i4>5</vt:i4>
      </vt:variant>
      <vt:variant>
        <vt:lpwstr/>
      </vt:variant>
      <vt:variant>
        <vt:lpwstr>_Toc429746631</vt:lpwstr>
      </vt:variant>
      <vt:variant>
        <vt:i4>1507391</vt:i4>
      </vt:variant>
      <vt:variant>
        <vt:i4>56</vt:i4>
      </vt:variant>
      <vt:variant>
        <vt:i4>0</vt:i4>
      </vt:variant>
      <vt:variant>
        <vt:i4>5</vt:i4>
      </vt:variant>
      <vt:variant>
        <vt:lpwstr/>
      </vt:variant>
      <vt:variant>
        <vt:lpwstr>_Toc429746630</vt:lpwstr>
      </vt:variant>
      <vt:variant>
        <vt:i4>1441855</vt:i4>
      </vt:variant>
      <vt:variant>
        <vt:i4>50</vt:i4>
      </vt:variant>
      <vt:variant>
        <vt:i4>0</vt:i4>
      </vt:variant>
      <vt:variant>
        <vt:i4>5</vt:i4>
      </vt:variant>
      <vt:variant>
        <vt:lpwstr/>
      </vt:variant>
      <vt:variant>
        <vt:lpwstr>_Toc429746629</vt:lpwstr>
      </vt:variant>
      <vt:variant>
        <vt:i4>1441855</vt:i4>
      </vt:variant>
      <vt:variant>
        <vt:i4>44</vt:i4>
      </vt:variant>
      <vt:variant>
        <vt:i4>0</vt:i4>
      </vt:variant>
      <vt:variant>
        <vt:i4>5</vt:i4>
      </vt:variant>
      <vt:variant>
        <vt:lpwstr/>
      </vt:variant>
      <vt:variant>
        <vt:lpwstr>_Toc429746628</vt:lpwstr>
      </vt:variant>
      <vt:variant>
        <vt:i4>1441855</vt:i4>
      </vt:variant>
      <vt:variant>
        <vt:i4>38</vt:i4>
      </vt:variant>
      <vt:variant>
        <vt:i4>0</vt:i4>
      </vt:variant>
      <vt:variant>
        <vt:i4>5</vt:i4>
      </vt:variant>
      <vt:variant>
        <vt:lpwstr/>
      </vt:variant>
      <vt:variant>
        <vt:lpwstr>_Toc429746627</vt:lpwstr>
      </vt:variant>
      <vt:variant>
        <vt:i4>1441855</vt:i4>
      </vt:variant>
      <vt:variant>
        <vt:i4>32</vt:i4>
      </vt:variant>
      <vt:variant>
        <vt:i4>0</vt:i4>
      </vt:variant>
      <vt:variant>
        <vt:i4>5</vt:i4>
      </vt:variant>
      <vt:variant>
        <vt:lpwstr/>
      </vt:variant>
      <vt:variant>
        <vt:lpwstr>_Toc429746626</vt:lpwstr>
      </vt:variant>
      <vt:variant>
        <vt:i4>1441855</vt:i4>
      </vt:variant>
      <vt:variant>
        <vt:i4>26</vt:i4>
      </vt:variant>
      <vt:variant>
        <vt:i4>0</vt:i4>
      </vt:variant>
      <vt:variant>
        <vt:i4>5</vt:i4>
      </vt:variant>
      <vt:variant>
        <vt:lpwstr/>
      </vt:variant>
      <vt:variant>
        <vt:lpwstr>_Toc429746625</vt:lpwstr>
      </vt:variant>
      <vt:variant>
        <vt:i4>1441855</vt:i4>
      </vt:variant>
      <vt:variant>
        <vt:i4>20</vt:i4>
      </vt:variant>
      <vt:variant>
        <vt:i4>0</vt:i4>
      </vt:variant>
      <vt:variant>
        <vt:i4>5</vt:i4>
      </vt:variant>
      <vt:variant>
        <vt:lpwstr/>
      </vt:variant>
      <vt:variant>
        <vt:lpwstr>_Toc429746624</vt:lpwstr>
      </vt:variant>
      <vt:variant>
        <vt:i4>1441855</vt:i4>
      </vt:variant>
      <vt:variant>
        <vt:i4>14</vt:i4>
      </vt:variant>
      <vt:variant>
        <vt:i4>0</vt:i4>
      </vt:variant>
      <vt:variant>
        <vt:i4>5</vt:i4>
      </vt:variant>
      <vt:variant>
        <vt:lpwstr/>
      </vt:variant>
      <vt:variant>
        <vt:lpwstr>_Toc429746623</vt:lpwstr>
      </vt:variant>
      <vt:variant>
        <vt:i4>1441855</vt:i4>
      </vt:variant>
      <vt:variant>
        <vt:i4>8</vt:i4>
      </vt:variant>
      <vt:variant>
        <vt:i4>0</vt:i4>
      </vt:variant>
      <vt:variant>
        <vt:i4>5</vt:i4>
      </vt:variant>
      <vt:variant>
        <vt:lpwstr/>
      </vt:variant>
      <vt:variant>
        <vt:lpwstr>_Toc429746622</vt:lpwstr>
      </vt:variant>
      <vt:variant>
        <vt:i4>1441855</vt:i4>
      </vt:variant>
      <vt:variant>
        <vt:i4>2</vt:i4>
      </vt:variant>
      <vt:variant>
        <vt:i4>0</vt:i4>
      </vt:variant>
      <vt:variant>
        <vt:i4>5</vt:i4>
      </vt:variant>
      <vt:variant>
        <vt:lpwstr/>
      </vt:variant>
      <vt:variant>
        <vt:lpwstr>_Toc429746621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GRIKSAS Gintaras (FISMA)</dc:creator>
  <cp:lastModifiedBy>GRIKSAS Gintaras (FISMA)</cp:lastModifiedBy>
  <cp:revision>13</cp:revision>
  <dcterms:created xsi:type="dcterms:W3CDTF">2020-12-02T17:37:00Z</dcterms:created>
  <dcterms:modified xsi:type="dcterms:W3CDTF">2020-12-04T12:37:00Z</dcterms:modified>
</cp:coreProperties>
</file>