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5C5F" w14:textId="226CD08B" w:rsidR="005D3395" w:rsidRDefault="00B12787">
      <w:pPr>
        <w:rPr>
          <w:b/>
          <w:bCs/>
          <w:u w:val="single"/>
        </w:rPr>
      </w:pPr>
      <w:r w:rsidRPr="00FE5307">
        <w:rPr>
          <w:b/>
          <w:bCs/>
          <w:u w:val="single"/>
        </w:rPr>
        <w:t>Initial analysis: regressing stock returns on the Global Health Security Index (Overall Score)</w:t>
      </w:r>
    </w:p>
    <w:p w14:paraId="438921B6" w14:textId="066AEF1F" w:rsidR="00FE5307" w:rsidRDefault="00FE5307">
      <w:pPr>
        <w:rPr>
          <w:b/>
          <w:bCs/>
          <w:u w:val="single"/>
        </w:rPr>
      </w:pPr>
      <w:r>
        <w:rPr>
          <w:b/>
          <w:bCs/>
          <w:u w:val="single"/>
        </w:rPr>
        <w:t>Dataset</w:t>
      </w:r>
    </w:p>
    <w:p w14:paraId="4F643614" w14:textId="355ED665" w:rsidR="00FE5307" w:rsidRPr="00FE5307" w:rsidRDefault="007E5B4A">
      <w:pPr>
        <w:rPr>
          <w:b/>
          <w:bCs/>
          <w:u w:val="single"/>
        </w:rPr>
      </w:pPr>
      <w:r w:rsidRPr="007E5B4A">
        <w:rPr>
          <w:b/>
          <w:bCs/>
          <w:noProof/>
          <w:u w:val="single"/>
        </w:rPr>
        <w:drawing>
          <wp:inline distT="0" distB="0" distL="0" distR="0" wp14:anchorId="1253A6C1" wp14:editId="45DE3650">
            <wp:extent cx="5731510" cy="10750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6744" w14:textId="26E10A18" w:rsidR="00FE5307" w:rsidRDefault="00FC5BFE">
      <w:r>
        <w:t xml:space="preserve">Currently have stock data for </w:t>
      </w:r>
      <w:r w:rsidR="00FE5307" w:rsidRPr="00FE5307">
        <w:t>N = 24 (but missing 6 values for stock_1).</w:t>
      </w:r>
    </w:p>
    <w:p w14:paraId="73A28723" w14:textId="78FEBAF5" w:rsidR="00FE5307" w:rsidRDefault="00FE5307" w:rsidP="00FE5307">
      <w:pPr>
        <w:pStyle w:val="ListParagraph"/>
        <w:numPr>
          <w:ilvl w:val="0"/>
          <w:numId w:val="2"/>
        </w:numPr>
      </w:pPr>
      <w:r>
        <w:t>10 European Countries (inc. Russia)</w:t>
      </w:r>
    </w:p>
    <w:p w14:paraId="2E2F84C5" w14:textId="4868911C" w:rsidR="00FE5307" w:rsidRDefault="00FE5307" w:rsidP="00FE5307">
      <w:pPr>
        <w:pStyle w:val="ListParagraph"/>
        <w:numPr>
          <w:ilvl w:val="0"/>
          <w:numId w:val="2"/>
        </w:numPr>
      </w:pPr>
      <w:r>
        <w:t>9 Asian Countries (inc. Israel)</w:t>
      </w:r>
    </w:p>
    <w:p w14:paraId="6E93B0B1" w14:textId="4E535B39" w:rsidR="00FE5307" w:rsidRDefault="00FE5307" w:rsidP="00FE5307">
      <w:pPr>
        <w:pStyle w:val="ListParagraph"/>
        <w:numPr>
          <w:ilvl w:val="0"/>
          <w:numId w:val="2"/>
        </w:numPr>
      </w:pPr>
      <w:r>
        <w:t>2 North America, 2 South America + Australia.</w:t>
      </w:r>
      <w:r>
        <w:tab/>
      </w:r>
    </w:p>
    <w:p w14:paraId="76BFF902" w14:textId="44B0DA8A" w:rsidR="00FE5307" w:rsidRPr="00FE5307" w:rsidRDefault="00FE5307" w:rsidP="00FE5307">
      <w:pPr>
        <w:pStyle w:val="ListParagraph"/>
        <w:numPr>
          <w:ilvl w:val="1"/>
          <w:numId w:val="2"/>
        </w:numPr>
      </w:pPr>
      <w:r>
        <w:rPr>
          <w:i/>
          <w:iCs/>
        </w:rPr>
        <w:t xml:space="preserve">Countries are based on </w:t>
      </w:r>
      <w:proofErr w:type="spellStart"/>
      <w:r>
        <w:rPr>
          <w:i/>
          <w:iCs/>
        </w:rPr>
        <w:t>Investing.com’s</w:t>
      </w:r>
      <w:proofErr w:type="spellEnd"/>
      <w:r>
        <w:rPr>
          <w:i/>
          <w:iCs/>
        </w:rPr>
        <w:t xml:space="preserve"> main national indices list.</w:t>
      </w:r>
      <w:r w:rsidR="00472FFD">
        <w:rPr>
          <w:i/>
          <w:iCs/>
        </w:rPr>
        <w:t xml:space="preserve"> </w:t>
      </w:r>
    </w:p>
    <w:p w14:paraId="71310ECB" w14:textId="3D1519F1" w:rsidR="001A3193" w:rsidRPr="001A3193" w:rsidRDefault="00B12787">
      <w:pPr>
        <w:rPr>
          <w:b/>
          <w:bCs/>
          <w:u w:val="single"/>
        </w:rPr>
      </w:pPr>
      <w:r>
        <w:rPr>
          <w:b/>
          <w:bCs/>
          <w:u w:val="single"/>
        </w:rPr>
        <w:t>Definitions:</w:t>
      </w:r>
    </w:p>
    <w:p w14:paraId="25B8CF8F" w14:textId="0780274E" w:rsidR="00B12787" w:rsidRDefault="00B12787">
      <w:r>
        <w:t>stock_1: % change in domestic stock index on the day the first coronavirus case was reported in that country.</w:t>
      </w:r>
    </w:p>
    <w:p w14:paraId="5A70A058" w14:textId="3A363BBC" w:rsidR="00FE5307" w:rsidRDefault="00FE5307" w:rsidP="00FE5307">
      <w:pPr>
        <w:pStyle w:val="ListParagraph"/>
        <w:numPr>
          <w:ilvl w:val="0"/>
          <w:numId w:val="3"/>
        </w:numPr>
      </w:pPr>
      <w:r>
        <w:t xml:space="preserve">stock_2 and </w:t>
      </w:r>
      <w:commentRangeStart w:id="0"/>
      <w:r>
        <w:t>stock</w:t>
      </w:r>
      <w:commentRangeEnd w:id="0"/>
      <w:r w:rsidR="00595945">
        <w:rPr>
          <w:rStyle w:val="CommentReference"/>
        </w:rPr>
        <w:commentReference w:id="0"/>
      </w:r>
      <w:r>
        <w:t xml:space="preserve">_7: same, but </w:t>
      </w:r>
      <w:r w:rsidR="007E5B4A">
        <w:t>day after/average of values over the following week.</w:t>
      </w:r>
    </w:p>
    <w:p w14:paraId="77172A1F" w14:textId="7D34B576" w:rsidR="00B12787" w:rsidRDefault="00B12787">
      <w:r>
        <w:t>stock_WHO</w:t>
      </w:r>
      <w:r w:rsidR="007E5B4A">
        <w:t>1</w:t>
      </w:r>
      <w:r>
        <w:t>: % change in domestic stock index on the day following the WHO’s classification of COVID-19 as a pandemic (1</w:t>
      </w:r>
      <w:r w:rsidR="007E5B4A">
        <w:t>1</w:t>
      </w:r>
      <w:r w:rsidRPr="00B12787">
        <w:rPr>
          <w:vertAlign w:val="superscript"/>
        </w:rPr>
        <w:t>th</w:t>
      </w:r>
      <w:r>
        <w:t xml:space="preserve"> March 2020).</w:t>
      </w:r>
    </w:p>
    <w:p w14:paraId="510F47C2" w14:textId="43C243AE" w:rsidR="007E5B4A" w:rsidRDefault="007E5B4A" w:rsidP="001A3193">
      <w:pPr>
        <w:pStyle w:val="ListParagraph"/>
        <w:numPr>
          <w:ilvl w:val="0"/>
          <w:numId w:val="3"/>
        </w:numPr>
      </w:pPr>
      <w:r>
        <w:t>stock_WHO2: same, but 12</w:t>
      </w:r>
      <w:r w:rsidRPr="007E5B4A">
        <w:rPr>
          <w:vertAlign w:val="superscript"/>
        </w:rPr>
        <w:t>th</w:t>
      </w:r>
      <w:r>
        <w:t xml:space="preserve"> March 2020.</w:t>
      </w:r>
    </w:p>
    <w:p w14:paraId="7ACC509C" w14:textId="77777777" w:rsidR="001A3193" w:rsidRDefault="00A0001A">
      <w:proofErr w:type="spellStart"/>
      <w:r>
        <w:t>GHSI_Overall</w:t>
      </w:r>
      <w:proofErr w:type="spellEnd"/>
      <w:r>
        <w:t xml:space="preserve">: overall Global Health Security Index rating out of 100 (higher score implies better security). </w:t>
      </w:r>
    </w:p>
    <w:p w14:paraId="0F0BA658" w14:textId="16DB6C09" w:rsidR="00A0001A" w:rsidRDefault="00A0001A" w:rsidP="001A3193">
      <w:pPr>
        <w:pStyle w:val="ListParagraph"/>
        <w:numPr>
          <w:ilvl w:val="0"/>
          <w:numId w:val="3"/>
        </w:numPr>
      </w:pPr>
      <w:r>
        <w:t xml:space="preserve">Amalgamation of several </w:t>
      </w:r>
      <w:proofErr w:type="spellStart"/>
      <w:r>
        <w:t>submeasures</w:t>
      </w:r>
      <w:proofErr w:type="spellEnd"/>
      <w:r>
        <w:t xml:space="preserve"> (prevention, response, detection etc)</w:t>
      </w:r>
      <w:r w:rsidR="001A3193">
        <w:t>, which constitute the other variables.</w:t>
      </w:r>
    </w:p>
    <w:p w14:paraId="3972A6B6" w14:textId="2111D4D9" w:rsidR="00453C4E" w:rsidRPr="00FC5BFE" w:rsidRDefault="00B12787">
      <w:pPr>
        <w:rPr>
          <w:b/>
          <w:bCs/>
          <w:u w:val="single"/>
        </w:rPr>
      </w:pPr>
      <w:r>
        <w:rPr>
          <w:b/>
          <w:bCs/>
          <w:u w:val="single"/>
        </w:rPr>
        <w:t>Scatterplots</w:t>
      </w:r>
    </w:p>
    <w:p w14:paraId="205B6912" w14:textId="40EE4E10" w:rsidR="00FC5BFE" w:rsidRDefault="00FC5BFE">
      <w:r w:rsidRPr="00453C4E">
        <w:rPr>
          <w:noProof/>
        </w:rPr>
        <w:drawing>
          <wp:anchor distT="0" distB="0" distL="114300" distR="114300" simplePos="0" relativeHeight="251661312" behindDoc="0" locked="0" layoutInCell="1" allowOverlap="1" wp14:anchorId="3B4B18A4" wp14:editId="4CE4200F">
            <wp:simplePos x="0" y="0"/>
            <wp:positionH relativeFrom="column">
              <wp:posOffset>2628265</wp:posOffset>
            </wp:positionH>
            <wp:positionV relativeFrom="page">
              <wp:posOffset>6971665</wp:posOffset>
            </wp:positionV>
            <wp:extent cx="2628900" cy="1911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9AA32E" wp14:editId="16C98AF2">
                <wp:simplePos x="0" y="0"/>
                <wp:positionH relativeFrom="column">
                  <wp:posOffset>2628265</wp:posOffset>
                </wp:positionH>
                <wp:positionV relativeFrom="page">
                  <wp:posOffset>8939530</wp:posOffset>
                </wp:positionV>
                <wp:extent cx="2628900" cy="2667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693CB" w14:textId="6611707F" w:rsidR="00453C4E" w:rsidRPr="005D01FF" w:rsidRDefault="00453C4E" w:rsidP="00453C4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stock_WHO2 and </w:t>
                            </w:r>
                            <w:proofErr w:type="spellStart"/>
                            <w:r>
                              <w:t>GHSI_Overall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AA32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6.95pt;margin-top:703.9pt;width:207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" stroked="f">
                <v:textbox style="mso-fit-shape-to-text:t" inset="0,0,0,0">
                  <w:txbxContent>
                    <w:p w14:paraId="655693CB" w14:textId="6611707F" w:rsidR="00453C4E" w:rsidRPr="005D01FF" w:rsidRDefault="00453C4E" w:rsidP="00453C4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stock_WHO2 and GHSI_Overall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12787">
        <w:rPr>
          <w:noProof/>
        </w:rPr>
        <w:drawing>
          <wp:anchor distT="0" distB="0" distL="114300" distR="114300" simplePos="0" relativeHeight="251658240" behindDoc="0" locked="0" layoutInCell="1" allowOverlap="1" wp14:anchorId="2838A0AB" wp14:editId="18C348B8">
            <wp:simplePos x="0" y="0"/>
            <wp:positionH relativeFrom="column">
              <wp:posOffset>-201295</wp:posOffset>
            </wp:positionH>
            <wp:positionV relativeFrom="page">
              <wp:posOffset>6971665</wp:posOffset>
            </wp:positionV>
            <wp:extent cx="2713355" cy="19748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B817B" wp14:editId="51A096BA">
                <wp:simplePos x="0" y="0"/>
                <wp:positionH relativeFrom="column">
                  <wp:posOffset>-201295</wp:posOffset>
                </wp:positionH>
                <wp:positionV relativeFrom="page">
                  <wp:posOffset>9003030</wp:posOffset>
                </wp:positionV>
                <wp:extent cx="2713355" cy="2667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A220F5" w14:textId="62737CA4" w:rsidR="00B12787" w:rsidRPr="00AE67BB" w:rsidRDefault="00B12787" w:rsidP="00B12787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stock_1 and </w:t>
                            </w:r>
                            <w:proofErr w:type="spellStart"/>
                            <w:r>
                              <w:t>GHSI_Overall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B817B" id="Text Box 2" o:spid="_x0000_s1027" type="#_x0000_t202" style="position:absolute;margin-left:-15.85pt;margin-top:708.9pt;width:213.6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" stroked="f">
                <v:textbox style="mso-fit-shape-to-text:t" inset="0,0,0,0">
                  <w:txbxContent>
                    <w:p w14:paraId="1FA220F5" w14:textId="62737CA4" w:rsidR="00B12787" w:rsidRPr="00AE67BB" w:rsidRDefault="00B12787" w:rsidP="00B12787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stock_1 and GHSI_Overall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5055F42" w14:textId="77777777" w:rsidR="00FC5BFE" w:rsidRDefault="00FC5BFE"/>
    <w:p w14:paraId="11692388" w14:textId="77777777" w:rsidR="00FC5BFE" w:rsidRDefault="00FC5BFE"/>
    <w:p w14:paraId="45EA9625" w14:textId="77777777" w:rsidR="00FC5BFE" w:rsidRDefault="00FC5BFE"/>
    <w:p w14:paraId="2C55EB75" w14:textId="77777777" w:rsidR="00FC5BFE" w:rsidRDefault="00FC5BFE"/>
    <w:p w14:paraId="09DDC791" w14:textId="77777777" w:rsidR="00FC5BFE" w:rsidRDefault="00FC5BFE"/>
    <w:p w14:paraId="09450434" w14:textId="77777777" w:rsidR="00FC5BFE" w:rsidRDefault="00FC5BFE"/>
    <w:p w14:paraId="5844D8D6" w14:textId="77777777" w:rsidR="00FC5BFE" w:rsidRDefault="00FC5BFE"/>
    <w:p w14:paraId="70408CC3" w14:textId="77777777" w:rsidR="00FC5BFE" w:rsidRDefault="00FC5BFE"/>
    <w:p w14:paraId="57C220A8" w14:textId="77777777" w:rsidR="00FC5BFE" w:rsidRDefault="00FC5BFE"/>
    <w:p w14:paraId="5B96C4D5" w14:textId="44954126" w:rsidR="00FE5307" w:rsidRDefault="00FC5BFE">
      <w:r>
        <w:lastRenderedPageBreak/>
        <w:t xml:space="preserve">Initially, looks like more of a negative correlation with </w:t>
      </w:r>
      <w:r w:rsidR="00FE5307">
        <w:t>stock_WHO2</w:t>
      </w:r>
      <w:r w:rsidR="005C4022">
        <w:t xml:space="preserve"> – more prepared countries have a greater negative shock to domestic stock index.</w:t>
      </w:r>
    </w:p>
    <w:p w14:paraId="31EE2450" w14:textId="17977005" w:rsidR="00FE5307" w:rsidRDefault="00FE5307" w:rsidP="00FE5307">
      <w:pPr>
        <w:pStyle w:val="ListParagraph"/>
        <w:numPr>
          <w:ilvl w:val="0"/>
          <w:numId w:val="1"/>
        </w:numPr>
      </w:pPr>
      <w:r>
        <w:t>In the data, it seemed like markets hadn’t adjusted within a day (as we can see, many of the stock_1 values are positive, implying the market didn’t fall on the day of the first coronavirus case.</w:t>
      </w:r>
    </w:p>
    <w:p w14:paraId="27B120BF" w14:textId="6658CBA8" w:rsidR="00FE5307" w:rsidRDefault="00FE5307" w:rsidP="00FE5307">
      <w:pPr>
        <w:pStyle w:val="ListParagraph"/>
        <w:numPr>
          <w:ilvl w:val="1"/>
          <w:numId w:val="1"/>
        </w:numPr>
      </w:pPr>
      <w:r>
        <w:t xml:space="preserve">In contrast, all indices fell on the day </w:t>
      </w:r>
      <w:r>
        <w:rPr>
          <w:i/>
          <w:iCs/>
        </w:rPr>
        <w:t xml:space="preserve">after </w:t>
      </w:r>
      <w:r>
        <w:t>the WHO announcement.</w:t>
      </w:r>
    </w:p>
    <w:p w14:paraId="7789E304" w14:textId="576770CA" w:rsidR="00FE5307" w:rsidRDefault="006B229A" w:rsidP="00FE5307">
      <w:pPr>
        <w:rPr>
          <w:b/>
          <w:bCs/>
          <w:u w:val="single"/>
        </w:rPr>
      </w:pPr>
      <w:r>
        <w:rPr>
          <w:b/>
          <w:bCs/>
          <w:u w:val="single"/>
        </w:rPr>
        <w:t>Regression Results</w:t>
      </w:r>
    </w:p>
    <w:p w14:paraId="3C7B2094" w14:textId="1A53E8F1" w:rsidR="006B229A" w:rsidRPr="007F7189" w:rsidRDefault="007F7189" w:rsidP="006B2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stock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_1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=α+βGHS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</m:oMath>
      </m:oMathPara>
    </w:p>
    <w:p w14:paraId="65366E9B" w14:textId="407FC070" w:rsidR="006B229A" w:rsidRDefault="006B229A" w:rsidP="006B2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25"/>
        <w:gridCol w:w="749"/>
        <w:gridCol w:w="533"/>
        <w:gridCol w:w="1282"/>
        <w:gridCol w:w="55"/>
        <w:gridCol w:w="853"/>
        <w:gridCol w:w="962"/>
        <w:gridCol w:w="643"/>
        <w:gridCol w:w="639"/>
        <w:gridCol w:w="1231"/>
        <w:gridCol w:w="51"/>
      </w:tblGrid>
      <w:tr w:rsidR="00AE7A1E" w14:paraId="75F1D351" w14:textId="77777777" w:rsidTr="00AE7A1E">
        <w:trPr>
          <w:trHeight w:val="266"/>
        </w:trPr>
        <w:tc>
          <w:tcPr>
            <w:tcW w:w="182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43E2B30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stock_1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00BCC7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FAEFC9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St.Err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71C27A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3E294D57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5188D420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93EC17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Interval]</w:t>
            </w:r>
          </w:p>
        </w:tc>
      </w:tr>
      <w:tr w:rsidR="00AE7A1E" w14:paraId="65395C13" w14:textId="77777777" w:rsidTr="00AE7A1E">
        <w:trPr>
          <w:trHeight w:val="266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5944C3CF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GHSI_Overall</w:t>
            </w:r>
            <w:proofErr w:type="spellEnd"/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8BFEE" w14:textId="42F7756E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0.00003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5687DE3C" w14:textId="7CECA9AB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0.0003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65764B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1077F490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.919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EDFF91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-.001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7253EA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.001</w:t>
            </w:r>
          </w:p>
        </w:tc>
      </w:tr>
      <w:tr w:rsidR="00AE7A1E" w14:paraId="317188AD" w14:textId="77777777" w:rsidTr="00AE7A1E">
        <w:trPr>
          <w:trHeight w:val="266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648E2E06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89650" w14:textId="77777777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-.009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3BFB57C0" w14:textId="77777777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.019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622EAD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-0.48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35A57917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.641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2343D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-.05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ED884F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.032</w:t>
            </w:r>
          </w:p>
        </w:tc>
      </w:tr>
      <w:tr w:rsidR="00AE7A1E" w14:paraId="205180EE" w14:textId="77777777" w:rsidTr="00AE7A1E">
        <w:trPr>
          <w:gridAfter w:val="1"/>
          <w:wAfter w:w="51" w:type="dxa"/>
          <w:trHeight w:val="266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0D4B9C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1A78AF" w14:textId="77777777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-0.007</w:t>
            </w:r>
          </w:p>
        </w:tc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94C9AF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0A1EEE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0.022</w:t>
            </w:r>
          </w:p>
        </w:tc>
      </w:tr>
      <w:tr w:rsidR="00AE7A1E" w14:paraId="4F65AF67" w14:textId="77777777" w:rsidTr="00AE7A1E">
        <w:trPr>
          <w:gridAfter w:val="1"/>
          <w:wAfter w:w="51" w:type="dxa"/>
          <w:trHeight w:val="266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CBF6A9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C2A72F" w14:textId="77777777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0.000</w:t>
            </w:r>
          </w:p>
        </w:tc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947E3C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BB7433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18.000</w:t>
            </w:r>
          </w:p>
        </w:tc>
      </w:tr>
      <w:tr w:rsidR="00AE7A1E" w14:paraId="7115C7BF" w14:textId="77777777" w:rsidTr="00AE7A1E">
        <w:trPr>
          <w:gridAfter w:val="1"/>
          <w:wAfter w:w="51" w:type="dxa"/>
          <w:trHeight w:val="266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6EB5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7E67A8" w14:textId="77777777" w:rsidR="00AE7A1E" w:rsidRDefault="00AE7A1E" w:rsidP="002D44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0.011</w:t>
            </w:r>
          </w:p>
        </w:tc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5B5AB8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B411A6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0.919</w:t>
            </w:r>
          </w:p>
        </w:tc>
      </w:tr>
    </w:tbl>
    <w:p w14:paraId="37A4989E" w14:textId="77777777" w:rsidR="006B229A" w:rsidRDefault="006B229A" w:rsidP="006B2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2582398" w14:textId="3207A4CD" w:rsidR="006B229A" w:rsidRPr="007F7189" w:rsidRDefault="007F7189" w:rsidP="006B229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stoc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k_WHO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=α+βGHS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b"/>
            </m:rPr>
            <w:rPr>
              <w:rFonts w:ascii="Times New Roman" w:hAnsi="Times New Roman" w:cs="Times New Roman"/>
              <w:sz w:val="20"/>
              <w:szCs w:val="20"/>
              <w:lang w:val="en-US"/>
            </w:rPr>
            <w:br/>
          </m:r>
        </m:oMath>
      </m:oMathPara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25"/>
        <w:gridCol w:w="749"/>
        <w:gridCol w:w="533"/>
        <w:gridCol w:w="1282"/>
        <w:gridCol w:w="55"/>
        <w:gridCol w:w="853"/>
        <w:gridCol w:w="962"/>
        <w:gridCol w:w="643"/>
        <w:gridCol w:w="639"/>
        <w:gridCol w:w="1231"/>
        <w:gridCol w:w="51"/>
      </w:tblGrid>
      <w:tr w:rsidR="00AE7A1E" w14:paraId="24C98204" w14:textId="77777777" w:rsidTr="00AE7A1E">
        <w:trPr>
          <w:trHeight w:val="262"/>
        </w:trPr>
        <w:tc>
          <w:tcPr>
            <w:tcW w:w="182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A5A6E3C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stock_WHO2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2A43E2D8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Coef.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962334B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St.Err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90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75667EA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t-value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68DD412A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p-value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0B19DB34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[95% Conf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79FAFF6D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Interval]</w:t>
            </w:r>
          </w:p>
        </w:tc>
      </w:tr>
      <w:tr w:rsidR="00AE7A1E" w14:paraId="501CC560" w14:textId="77777777" w:rsidTr="00AE7A1E">
        <w:trPr>
          <w:trHeight w:val="262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618DA8B8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GHSI_Overall</w:t>
            </w:r>
            <w:proofErr w:type="spellEnd"/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8E8FCF" w14:textId="0B6CCEC0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-.00159***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022FC06F" w14:textId="3CB58136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.0005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619B1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-2.95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0844A46D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.007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49D39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-.003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F07351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AE7A1E" w14:paraId="07800205" w14:textId="77777777" w:rsidTr="00AE7A1E">
        <w:trPr>
          <w:trHeight w:val="262"/>
        </w:trPr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</w:tcPr>
          <w:p w14:paraId="7ACCDEF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Constant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91D969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.01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14:paraId="164E4F6A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.035</w:t>
            </w:r>
          </w:p>
        </w:tc>
        <w:tc>
          <w:tcPr>
            <w:tcW w:w="9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4946CF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0.29</w:t>
            </w:r>
          </w:p>
        </w:tc>
        <w:tc>
          <w:tcPr>
            <w:tcW w:w="962" w:type="dxa"/>
            <w:tcBorders>
              <w:top w:val="nil"/>
              <w:left w:val="nil"/>
              <w:bottom w:val="nil"/>
              <w:right w:val="nil"/>
            </w:tcBorders>
          </w:tcPr>
          <w:p w14:paraId="772E60F7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.771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4AE7E7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-.063</w:t>
            </w:r>
          </w:p>
        </w:tc>
        <w:tc>
          <w:tcPr>
            <w:tcW w:w="1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F72A4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.084</w:t>
            </w:r>
          </w:p>
        </w:tc>
      </w:tr>
      <w:tr w:rsidR="00AE7A1E" w14:paraId="4F401244" w14:textId="77777777" w:rsidTr="00AE7A1E">
        <w:trPr>
          <w:gridAfter w:val="1"/>
          <w:wAfter w:w="51" w:type="dxa"/>
          <w:trHeight w:val="262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CC42C6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Mean dependent var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2A6DF0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-0.088</w:t>
            </w:r>
          </w:p>
        </w:tc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C85904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SD dependent var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0BDD92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0.039</w:t>
            </w:r>
          </w:p>
        </w:tc>
      </w:tr>
      <w:tr w:rsidR="00AE7A1E" w14:paraId="4F18F657" w14:textId="77777777" w:rsidTr="00AE7A1E">
        <w:trPr>
          <w:gridAfter w:val="1"/>
          <w:wAfter w:w="51" w:type="dxa"/>
          <w:trHeight w:val="262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98794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R-squared 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A3208A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0.198</w:t>
            </w:r>
          </w:p>
        </w:tc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243DEE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Number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68873D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24.000</w:t>
            </w:r>
          </w:p>
        </w:tc>
      </w:tr>
      <w:tr w:rsidR="00AE7A1E" w14:paraId="2CAE364D" w14:textId="77777777" w:rsidTr="00AE7A1E">
        <w:trPr>
          <w:gridAfter w:val="1"/>
          <w:wAfter w:w="51" w:type="dxa"/>
          <w:trHeight w:val="262"/>
        </w:trPr>
        <w:tc>
          <w:tcPr>
            <w:tcW w:w="2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AF56E1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F-test  </w:t>
            </w:r>
          </w:p>
        </w:tc>
        <w:tc>
          <w:tcPr>
            <w:tcW w:w="18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A49F19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8.714</w:t>
            </w:r>
          </w:p>
        </w:tc>
        <w:tc>
          <w:tcPr>
            <w:tcW w:w="2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78661D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Prob &gt; F 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F22CD1" w14:textId="77777777" w:rsidR="00AE7A1E" w:rsidRDefault="00AE7A1E" w:rsidP="00E80A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0.007</w:t>
            </w:r>
          </w:p>
        </w:tc>
      </w:tr>
    </w:tbl>
    <w:p w14:paraId="37983502" w14:textId="3B347921" w:rsidR="006B229A" w:rsidRDefault="006B229A" w:rsidP="00FE5307"/>
    <w:p w14:paraId="6717B12A" w14:textId="2EF19A41" w:rsidR="00F759F0" w:rsidRDefault="005C4022" w:rsidP="00FE5307">
      <w:pPr>
        <w:rPr>
          <w:b/>
          <w:bCs/>
          <w:u w:val="single"/>
        </w:rPr>
      </w:pPr>
      <w:r>
        <w:rPr>
          <w:b/>
          <w:bCs/>
          <w:u w:val="single"/>
        </w:rPr>
        <w:t>Discussion</w:t>
      </w:r>
    </w:p>
    <w:p w14:paraId="252E0CB9" w14:textId="35708EF5" w:rsidR="005C4022" w:rsidRDefault="005C4022" w:rsidP="005C4022">
      <w:r>
        <w:t>1</w:t>
      </w:r>
      <w:r w:rsidRPr="005C4022">
        <w:rPr>
          <w:vertAlign w:val="superscript"/>
        </w:rPr>
        <w:t>st</w:t>
      </w:r>
      <w:r>
        <w:t xml:space="preserve"> regression: results are insignificant. No effect of pandemic preparedness on day 1 stock returns. Potentially because:</w:t>
      </w:r>
    </w:p>
    <w:p w14:paraId="3A290C05" w14:textId="4B28B3B4" w:rsidR="005C4022" w:rsidRDefault="005C4022" w:rsidP="005C4022">
      <w:pPr>
        <w:pStyle w:val="ListParagraph"/>
        <w:numPr>
          <w:ilvl w:val="0"/>
          <w:numId w:val="1"/>
        </w:numPr>
      </w:pPr>
      <w:r>
        <w:t>Measurement error: reported vs confirmed cases, website’s information may be incorrect.</w:t>
      </w:r>
    </w:p>
    <w:p w14:paraId="7382F008" w14:textId="315C774D" w:rsidR="005C4022" w:rsidRPr="005C4022" w:rsidRDefault="005C4022" w:rsidP="005C4022">
      <w:pPr>
        <w:pStyle w:val="ListParagraph"/>
        <w:numPr>
          <w:ilvl w:val="0"/>
          <w:numId w:val="1"/>
        </w:numPr>
      </w:pPr>
      <w:r>
        <w:rPr>
          <w:b/>
          <w:bCs/>
        </w:rPr>
        <w:t>Markets don’t have time to adjust.</w:t>
      </w:r>
    </w:p>
    <w:p w14:paraId="43598869" w14:textId="381B8698" w:rsidR="005C4022" w:rsidRDefault="005C4022" w:rsidP="005C4022">
      <w:pPr>
        <w:pStyle w:val="ListParagraph"/>
        <w:numPr>
          <w:ilvl w:val="1"/>
          <w:numId w:val="1"/>
        </w:numPr>
      </w:pPr>
      <w:r>
        <w:t>Observationally, stock_WHO2 had greater absolute values than stock_WHO1: perhaps markets need a day to incorporate information.</w:t>
      </w:r>
    </w:p>
    <w:p w14:paraId="546E5CFD" w14:textId="20EA84CB" w:rsidR="005C4022" w:rsidRDefault="005C4022" w:rsidP="00FE5307">
      <w:pPr>
        <w:rPr>
          <w:rFonts w:eastAsiaTheme="minorEastAsia"/>
        </w:rPr>
      </w:pPr>
      <w:r>
        <w:t>2</w:t>
      </w:r>
      <w:r w:rsidRPr="005C4022">
        <w:rPr>
          <w:vertAlign w:val="superscript"/>
        </w:rPr>
        <w:t>nd</w:t>
      </w:r>
      <w:r>
        <w:t xml:space="preserve"> regression: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negative and highly significant.</w:t>
      </w:r>
    </w:p>
    <w:p w14:paraId="197696F3" w14:textId="32BF9697" w:rsidR="005C4022" w:rsidRDefault="005C4022" w:rsidP="005C4022">
      <w:pPr>
        <w:pStyle w:val="ListParagraph"/>
        <w:numPr>
          <w:ilvl w:val="0"/>
          <w:numId w:val="4"/>
        </w:numPr>
      </w:pPr>
      <w:r>
        <w:t xml:space="preserve">Marginal increase in the GHSI increased the size of the negative shock by 0.159%. </w:t>
      </w:r>
      <w:r>
        <w:rPr>
          <w:b/>
          <w:bCs/>
        </w:rPr>
        <w:t xml:space="preserve">Opposite of what we would expect! </w:t>
      </w:r>
      <w:r>
        <w:t>Why?</w:t>
      </w:r>
    </w:p>
    <w:p w14:paraId="7B00FC40" w14:textId="0B8D1BBA" w:rsidR="005C4022" w:rsidRDefault="005C4022" w:rsidP="005C4022">
      <w:pPr>
        <w:pStyle w:val="ListParagraph"/>
        <w:numPr>
          <w:ilvl w:val="1"/>
          <w:numId w:val="4"/>
        </w:numPr>
      </w:pPr>
      <w:r>
        <w:t>OVB: need to incorporate GDP/capita etc (richer economies may have more responsive stock markets (which react more to any shocks) and systematically spend more on preparedness</w:t>
      </w:r>
    </w:p>
    <w:p w14:paraId="3F6D5336" w14:textId="1FFA19A9" w:rsidR="005C4022" w:rsidRPr="005C4022" w:rsidRDefault="005C4022" w:rsidP="005C4022">
      <w:pPr>
        <w:pStyle w:val="ListParagraph"/>
        <w:numPr>
          <w:ilvl w:val="1"/>
          <w:numId w:val="4"/>
        </w:numPr>
      </w:pPr>
      <w:r>
        <w:t>Sampling bias – clearly not a representative sample.</w:t>
      </w:r>
    </w:p>
    <w:sectPr w:rsidR="005C4022" w:rsidRPr="005C4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utam Vyas" w:date="2021-09-13T10:17:00Z" w:initials="GV">
    <w:p w14:paraId="31BC15F5" w14:textId="393E5010" w:rsidR="00595945" w:rsidRDefault="00595945">
      <w:pPr>
        <w:pStyle w:val="CommentText"/>
      </w:pPr>
      <w:r>
        <w:rPr>
          <w:rStyle w:val="CommentReference"/>
        </w:rPr>
        <w:annotationRef/>
      </w:r>
      <w:r>
        <w:t>(</w:t>
      </w:r>
      <w:proofErr w:type="gramStart"/>
      <w:r>
        <w:t>day</w:t>
      </w:r>
      <w:proofErr w:type="gramEnd"/>
      <w:r>
        <w:t xml:space="preserve"> 7 – day 1)/day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BC15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9A3AB" w16cex:dateUtc="2021-09-13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BC15F5" w16cid:durableId="24E9A3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0B3"/>
    <w:multiLevelType w:val="hybridMultilevel"/>
    <w:tmpl w:val="167A9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355331"/>
    <w:multiLevelType w:val="hybridMultilevel"/>
    <w:tmpl w:val="A77CB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93A3F"/>
    <w:multiLevelType w:val="hybridMultilevel"/>
    <w:tmpl w:val="665E9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0729D"/>
    <w:multiLevelType w:val="hybridMultilevel"/>
    <w:tmpl w:val="97426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utam Vyas">
    <w15:presenceInfo w15:providerId="None" w15:userId="Gautam Vy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B0"/>
    <w:rsid w:val="000260DA"/>
    <w:rsid w:val="00033997"/>
    <w:rsid w:val="001A3193"/>
    <w:rsid w:val="00281FB0"/>
    <w:rsid w:val="002D44A3"/>
    <w:rsid w:val="00453C4E"/>
    <w:rsid w:val="00472FFD"/>
    <w:rsid w:val="005064A4"/>
    <w:rsid w:val="00595945"/>
    <w:rsid w:val="005C4022"/>
    <w:rsid w:val="005D3395"/>
    <w:rsid w:val="006B229A"/>
    <w:rsid w:val="007E5B4A"/>
    <w:rsid w:val="007F7189"/>
    <w:rsid w:val="0099273B"/>
    <w:rsid w:val="00A0001A"/>
    <w:rsid w:val="00AE7A1E"/>
    <w:rsid w:val="00B12787"/>
    <w:rsid w:val="00D905F6"/>
    <w:rsid w:val="00E1652A"/>
    <w:rsid w:val="00F44CF3"/>
    <w:rsid w:val="00F759F0"/>
    <w:rsid w:val="00FC5BFE"/>
    <w:rsid w:val="00F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1647"/>
  <w15:chartTrackingRefBased/>
  <w15:docId w15:val="{3DCEB3A4-72BC-4818-A5D2-407EE398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278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127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53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2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F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emf"/><Relationship Id="rId5" Type="http://schemas.openxmlformats.org/officeDocument/2006/relationships/image" Target="media/image1.png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Vyas</dc:creator>
  <cp:keywords/>
  <dc:description/>
  <cp:lastModifiedBy>Gautam Vyas</cp:lastModifiedBy>
  <cp:revision>20</cp:revision>
  <dcterms:created xsi:type="dcterms:W3CDTF">2021-09-12T11:47:00Z</dcterms:created>
  <dcterms:modified xsi:type="dcterms:W3CDTF">2021-09-13T09:50:00Z</dcterms:modified>
</cp:coreProperties>
</file>