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0"/>
      </w:pPr>
      <w:r>
        <w:t xml:space="preserve"/>
      </w:r>
    </w:p>
    <w:p>
      <w:pPr>
        <w:spacing w:before="0" w:after="80"/>
        <w:jc w:val="center"/>
      </w:pPr>
      <w:r>
        <w:rPr>
          <w:rFonts w:ascii="Calibri" w:cs="Calibri" w:eastAsia="Calibri" w:hAnsi="Calibri"/>
          <w:b/>
          <w:bCs/>
          <w:color w:val="1F3864"/>
          <w:sz w:val="48"/>
          <w:szCs w:val="48"/>
        </w:rPr>
        <w:t xml:space="preserve">SECURITY AND RISK ASSESSMENT</w:t>
      </w:r>
    </w:p>
    <w:p>
      <w:pPr>
        <w:spacing w:before="0" w:after="60"/>
        <w:jc w:val="center"/>
      </w:pPr>
      <w:r>
        <w:rPr>
          <w:rFonts w:ascii="Calibri" w:cs="Calibri" w:eastAsia="Calibri" w:hAnsi="Calibri"/>
          <w:b/>
          <w:bCs/>
          <w:color w:val="2E75B6"/>
          <w:sz w:val="38"/>
          <w:szCs w:val="38"/>
        </w:rPr>
        <w:t xml:space="preserve">OpenAI API Platform</w:t>
      </w:r>
    </w:p>
    <w:p>
      <w:pPr>
        <w:pBdr>
          <w:bottom w:val="single" w:color="2E75B6" w:sz="10" w:space="8"/>
        </w:pBdr>
        <w:spacing w:before="0" w:after="280"/>
        <w:jc w:val="center"/>
      </w:pPr>
      <w:r>
        <w:rPr>
          <w:rFonts w:ascii="Calibri" w:cs="Calibri" w:eastAsia="Calibri" w:hAnsi="Calibri"/>
          <w:color w:val="595959"/>
          <w:sz w:val="24"/>
          <w:szCs w:val="24"/>
        </w:rPr>
        <w:t xml:space="preserve">Portkey COTS Gateway  ·  ZDR Enabled  ·  Admin-Only Console Access</w:t>
      </w:r>
    </w:p>
    <w:p>
      <w:pPr>
        <w:spacing w:before="0" w:after="18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tblGrid>
      <w:tr>
        <w:tc>
          <w:tcPr>
            <w:tcW w:type="dxa" w:w="200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vAlign w:val="top"/>
          </w:tcPr>
          <w:p>
            <w:pPr>
              <w:spacing w:before="0" w:after="0"/>
            </w:pPr>
            <w:r>
              <w:rPr>
                <w:rFonts w:ascii="Calibri" w:cs="Calibri" w:eastAsia="Calibri" w:hAnsi="Calibri"/>
                <w:b/>
                <w:bCs/>
                <w:color w:val="FFFFFF"/>
                <w:sz w:val="20"/>
                <w:szCs w:val="20"/>
              </w:rPr>
              <w:t xml:space="preserve">Document Type</w:t>
            </w:r>
          </w:p>
        </w:tc>
        <w:tc>
          <w:tcPr>
            <w:tcW w:type="dxa" w:w="5200"/>
            <w:tcBorders>
              <w:top w:val="single" w:color="CCCCCC" w:sz="1"/>
              <w:left w:val="single" w:color="CCCCCC" w:sz="1"/>
              <w:bottom w:val="single" w:color="CCCCCC" w:sz="1"/>
              <w:right w:val="single" w:color="CCCCCC" w:sz="1"/>
            </w:tcBorders>
            <w:shd w:fill="D5E3F0"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20"/>
                <w:szCs w:val="20"/>
              </w:rPr>
              <w:t xml:space="preserve">Security and Risk Assessment</w:t>
            </w:r>
          </w:p>
        </w:tc>
      </w:tr>
      <w:tr>
        <w:tc>
          <w:tcPr>
            <w:tcW w:type="dxa" w:w="200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vAlign w:val="top"/>
          </w:tcPr>
          <w:p>
            <w:pPr>
              <w:spacing w:before="0" w:after="0"/>
            </w:pPr>
            <w:r>
              <w:rPr>
                <w:rFonts w:ascii="Calibri" w:cs="Calibri" w:eastAsia="Calibri" w:hAnsi="Calibri"/>
                <w:b/>
                <w:bCs/>
                <w:color w:val="FFFFFF"/>
                <w:sz w:val="20"/>
                <w:szCs w:val="20"/>
              </w:rPr>
              <w:t xml:space="preserve">Version</w:t>
            </w:r>
          </w:p>
        </w:tc>
        <w:tc>
          <w:tcPr>
            <w:tcW w:type="dxa" w:w="5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20"/>
                <w:szCs w:val="20"/>
              </w:rPr>
              <w:t xml:space="preserve">4.0</w:t>
            </w:r>
          </w:p>
        </w:tc>
      </w:tr>
      <w:tr>
        <w:tc>
          <w:tcPr>
            <w:tcW w:type="dxa" w:w="200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vAlign w:val="top"/>
          </w:tcPr>
          <w:p>
            <w:pPr>
              <w:spacing w:before="0" w:after="0"/>
            </w:pPr>
            <w:r>
              <w:rPr>
                <w:rFonts w:ascii="Calibri" w:cs="Calibri" w:eastAsia="Calibri" w:hAnsi="Calibri"/>
                <w:b/>
                <w:bCs/>
                <w:color w:val="FFFFFF"/>
                <w:sz w:val="20"/>
                <w:szCs w:val="20"/>
              </w:rPr>
              <w:t xml:space="preserve">Scope</w:t>
            </w:r>
          </w:p>
        </w:tc>
        <w:tc>
          <w:tcPr>
            <w:tcW w:type="dxa" w:w="5200"/>
            <w:tcBorders>
              <w:top w:val="single" w:color="CCCCCC" w:sz="1"/>
              <w:left w:val="single" w:color="CCCCCC" w:sz="1"/>
              <w:bottom w:val="single" w:color="CCCCCC" w:sz="1"/>
              <w:right w:val="single" w:color="CCCCCC" w:sz="1"/>
            </w:tcBorders>
            <w:shd w:fill="D5E3F0"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20"/>
                <w:szCs w:val="20"/>
              </w:rPr>
              <w:t xml:space="preserve">OpenAI API Platform (platform.openai.com) + Portkey COTS AI Gateway. Not ChatGPT Enterprise. Not OpenAI SaaS gateway.</w:t>
            </w:r>
          </w:p>
        </w:tc>
      </w:tr>
      <w:tr>
        <w:tc>
          <w:tcPr>
            <w:tcW w:type="dxa" w:w="200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vAlign w:val="top"/>
          </w:tcPr>
          <w:p>
            <w:pPr>
              <w:spacing w:before="0" w:after="0"/>
            </w:pPr>
            <w:r>
              <w:rPr>
                <w:rFonts w:ascii="Calibri" w:cs="Calibri" w:eastAsia="Calibri" w:hAnsi="Calibri"/>
                <w:b/>
                <w:bCs/>
                <w:color w:val="FFFFFF"/>
                <w:sz w:val="20"/>
                <w:szCs w:val="20"/>
              </w:rPr>
              <w:t xml:space="preserve">Architecture</w:t>
            </w:r>
          </w:p>
        </w:tc>
        <w:tc>
          <w:tcPr>
            <w:tcW w:type="dxa" w:w="5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20"/>
                <w:szCs w:val="20"/>
              </w:rPr>
              <w:t xml:space="preserve">End users/services → Portkey COTS (self-hosted) → OpenAI API (ZDR). Console access: admin-only via SSO+SCIM+PAM.</w:t>
            </w:r>
          </w:p>
        </w:tc>
      </w:tr>
      <w:tr>
        <w:tc>
          <w:tcPr>
            <w:tcW w:type="dxa" w:w="200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vAlign w:val="top"/>
          </w:tcPr>
          <w:p>
            <w:pPr>
              <w:spacing w:before="0" w:after="0"/>
            </w:pPr>
            <w:r>
              <w:rPr>
                <w:rFonts w:ascii="Calibri" w:cs="Calibri" w:eastAsia="Calibri" w:hAnsi="Calibri"/>
                <w:b/>
                <w:bCs/>
                <w:color w:val="FFFFFF"/>
                <w:sz w:val="20"/>
                <w:szCs w:val="20"/>
              </w:rPr>
              <w:t xml:space="preserve">Frameworks Applied</w:t>
            </w:r>
          </w:p>
        </w:tc>
        <w:tc>
          <w:tcPr>
            <w:tcW w:type="dxa" w:w="5200"/>
            <w:tcBorders>
              <w:top w:val="single" w:color="CCCCCC" w:sz="1"/>
              <w:left w:val="single" w:color="CCCCCC" w:sz="1"/>
              <w:bottom w:val="single" w:color="CCCCCC" w:sz="1"/>
              <w:right w:val="single" w:color="CCCCCC" w:sz="1"/>
            </w:tcBorders>
            <w:shd w:fill="D5E3F0"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20"/>
                <w:szCs w:val="20"/>
              </w:rPr>
              <w:t xml:space="preserve">NIST CSF 2.0  ·  NIST SP 800-30 Risk Assessment  ·  OWASP LLM Top 10 (2025)  ·  MITRE ATLAS  ·  STRIDE  ·  ISO 27001:2022 Annex A  ·  NIST AI RMF  ·  SOC 2 TSC</w:t>
            </w:r>
          </w:p>
        </w:tc>
      </w:tr>
      <w:tr>
        <w:tc>
          <w:tcPr>
            <w:tcW w:type="dxa" w:w="200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vAlign w:val="top"/>
          </w:tcPr>
          <w:p>
            <w:pPr>
              <w:spacing w:before="0" w:after="0"/>
            </w:pPr>
            <w:r>
              <w:rPr>
                <w:rFonts w:ascii="Calibri" w:cs="Calibri" w:eastAsia="Calibri" w:hAnsi="Calibri"/>
                <w:b/>
                <w:bCs/>
                <w:color w:val="FFFFFF"/>
                <w:sz w:val="20"/>
                <w:szCs w:val="20"/>
              </w:rPr>
              <w:t xml:space="preserve">Classification</w:t>
            </w:r>
          </w:p>
        </w:tc>
        <w:tc>
          <w:tcPr>
            <w:tcW w:type="dxa" w:w="5200"/>
            <w:tcBorders>
              <w:top w:val="single" w:color="CCCCCC" w:sz="1"/>
              <w:left w:val="single" w:color="CCCCCC" w:sz="1"/>
              <w:bottom w:val="single" w:color="CCCCCC" w:sz="1"/>
              <w:right w:val="single" w:color="CCCCCC" w:sz="1"/>
            </w:tcBorders>
            <w:shd w:fill="FFE7E7"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C00000"/>
                <w:sz w:val="20"/>
                <w:szCs w:val="20"/>
              </w:rPr>
              <w:t xml:space="preserve">CONFIDENTIAL — Restricted to CISO, Security Architecture, Legal, Privacy, Platform Engineering, and Executive Leadership</w:t>
            </w:r>
          </w:p>
        </w:tc>
      </w:tr>
    </w:tbl>
    <w:p>
      <w:r>
        <w:br w:type="page"/>
      </w:r>
    </w:p>
    <w:p>
      <w:pPr>
        <w:pStyle w:val="Heading1"/>
      </w:pPr>
      <w:r>
        <w:t xml:space="preserve">1. Assessment Overview and Methodology</w:t>
      </w:r>
    </w:p>
    <w:p>
      <w:pPr>
        <w:spacing w:before="60" w:after="100"/>
      </w:pPr>
      <w:r>
        <w:rPr>
          <w:rFonts w:ascii="Calibri" w:cs="Calibri" w:eastAsia="Calibri" w:hAnsi="Calibri"/>
          <w:b w:val="false"/>
          <w:bCs w:val="false"/>
          <w:color w:val="000000"/>
          <w:sz w:val="22"/>
          <w:szCs w:val="22"/>
        </w:rPr>
        <w:t xml:space="preserve">This document is a formal security and risk assessment of the OpenAI API Platform as deployed in the enterprise environment described below. It is not a generic AI security overview and it is not based on the ChatGPT Enterprise product. Every finding, control assessment, and risk rating in this document applies specifically to the architecture under evaluation.</w:t>
      </w:r>
    </w:p>
    <w:p>
      <w:pPr>
        <w:spacing w:before="0" w:after="60"/>
      </w:pPr>
      <w:r>
        <w:t xml:space="preserve"/>
      </w:r>
    </w:p>
    <w:p>
      <w:pPr>
        <w:spacing w:before="60" w:after="100"/>
      </w:pPr>
      <w:r>
        <w:rPr>
          <w:rFonts w:ascii="Calibri" w:cs="Calibri" w:eastAsia="Calibri" w:hAnsi="Calibri"/>
          <w:b w:val="false"/>
          <w:bCs w:val="false"/>
          <w:color w:val="000000"/>
          <w:sz w:val="22"/>
          <w:szCs w:val="22"/>
        </w:rPr>
        <w:t xml:space="preserve">The assessment was conducted using a multi-framework approach. No single framework captures the full risk profile of an AI API platform deployment — each adds a distinct lens. NIST SP 800-30 provides the risk quantification methodology. NIST CSF 2.0 structures the control maturity assessment across the full security lifecycle. OWASP LLM Top 10 (2025 edition) addresses AI-specific attack classes that traditional frameworks do not cover. MITRE ATLAS extends ATT&amp;CK into adversarial machine learning territory. STRIDE provides the threat decomposition structure for the specific system components. ISO 27001:2022 Annex A provides the control reference baseline for gap analysis. The NIST AI Risk Management Framework adds the AI-specific governance and trustworthiness dimensions.</w:t>
      </w:r>
    </w:p>
    <w:p>
      <w:pPr>
        <w:spacing w:before="0" w:after="80"/>
      </w:pPr>
      <w:r>
        <w:t xml:space="preserve"/>
      </w:r>
    </w:p>
    <w:p>
      <w:pPr>
        <w:pStyle w:val="Heading2"/>
      </w:pPr>
      <w:r>
        <w:t xml:space="preserve">1.1 Architecture Under Evaluation</w:t>
      </w:r>
    </w:p>
    <w:p>
      <w:pPr>
        <w:spacing w:before="60" w:after="100"/>
      </w:pPr>
      <w:r>
        <w:rPr>
          <w:rFonts w:ascii="Calibri" w:cs="Calibri" w:eastAsia="Calibri" w:hAnsi="Calibri"/>
          <w:b w:val="false"/>
          <w:bCs w:val="false"/>
          <w:color w:val="000000"/>
          <w:sz w:val="22"/>
          <w:szCs w:val="22"/>
        </w:rPr>
        <w:t xml:space="preserve">The deployment model assessed here departs significantly from the common pattern of enabling a commercial AI chat interface for enterprise users. Instead, all inference is mediated through an enterprise-owned gateway component — Portkey, deployed as COTS (commercially available off-the-shelf) software on enterprise infrastructure. End users and automated services do not interact with OpenAI infrastructure directly. They interact with Portkey, which translates requests, applies security controls, and forwards to the OpenAI API under a Zero Data Retention agreement.</w:t>
      </w:r>
    </w:p>
    <w:p>
      <w:pPr>
        <w:spacing w:before="0" w:after="60"/>
      </w:pPr>
      <w:r>
        <w:t xml:space="preserve"/>
      </w:r>
    </w:p>
    <w:p>
      <w:pPr>
        <w:spacing w:before="60" w:after="100"/>
      </w:pPr>
      <w:r>
        <w:rPr>
          <w:rFonts w:ascii="Calibri" w:cs="Calibri" w:eastAsia="Calibri" w:hAnsi="Calibri"/>
          <w:b w:val="false"/>
          <w:bCs w:val="false"/>
          <w:color w:val="000000"/>
          <w:sz w:val="22"/>
          <w:szCs w:val="22"/>
        </w:rPr>
        <w:t xml:space="preserve">Access to the OpenAI platform console (platform.openai.com) is restricted to a small number of named administrators who access it exclusively through corporate SSO, FIDO2 MFA, and PAM-gated sessions. There is no general-user access to any OpenAI interface. The implication of this architecture is that the enterprise owns the primary enforcement plane — Portkey — rather than delegating it to a vendor. This is a stronger security posture than ChatGPT Enterprise for most control areas, but it creates a new high-value target: the Portkey instance itself and the key material it manages.</w:t>
      </w:r>
    </w:p>
    <w:p>
      <w:pPr>
        <w:spacing w:before="0" w:after="80"/>
      </w:pPr>
      <w:r>
        <w:t xml:space="preserve"/>
      </w:r>
    </w:p>
    <w:p>
      <w:pPr>
        <w:pStyle w:val="Heading2"/>
      </w:pPr>
      <w:r>
        <w:t xml:space="preserve">1.2 Scope Boundaries</w:t>
      </w:r>
    </w:p>
    <w:p>
      <w:pPr>
        <w:pStyle w:val="ListParagraph"/>
        <w:numPr>
          <w:ilvl w:val="0"/>
          <w:numId w:val="2"/>
        </w:numPr>
        <w:spacing w:before="40" w:after="50"/>
      </w:pPr>
      <w:r>
        <w:rPr>
          <w:rFonts w:ascii="Calibri" w:cs="Calibri" w:eastAsia="Calibri" w:hAnsi="Calibri"/>
          <w:b w:val="false"/>
          <w:bCs w:val="false"/>
          <w:sz w:val="21"/>
          <w:szCs w:val="21"/>
        </w:rPr>
        <w:t xml:space="preserve">In scope: OpenAI API Platform (platform.openai.com), Portkey COTS gateway, real API key lifecycle, virtual key governance, ZDR configuration, console admin access, SIEM integration, and compliance posture.</w:t>
      </w:r>
    </w:p>
    <w:p>
      <w:pPr>
        <w:pStyle w:val="ListParagraph"/>
        <w:numPr>
          <w:ilvl w:val="0"/>
          <w:numId w:val="2"/>
        </w:numPr>
        <w:spacing w:before="40" w:after="50"/>
      </w:pPr>
      <w:r>
        <w:rPr>
          <w:rFonts w:ascii="Calibri" w:cs="Calibri" w:eastAsia="Calibri" w:hAnsi="Calibri"/>
          <w:b w:val="false"/>
          <w:bCs w:val="false"/>
          <w:sz w:val="21"/>
          <w:szCs w:val="21"/>
        </w:rPr>
        <w:t xml:space="preserve">Out of scope: ChatGPT Enterprise, OpenAI consumer products, third-party AI services not using this gateway, internal application security (assessed separately per application), and model quality/accuracy evaluation.</w:t>
      </w:r>
    </w:p>
    <w:p>
      <w:pPr>
        <w:pStyle w:val="ListParagraph"/>
        <w:numPr>
          <w:ilvl w:val="0"/>
          <w:numId w:val="2"/>
        </w:numPr>
        <w:spacing w:before="40" w:after="50"/>
      </w:pPr>
      <w:r>
        <w:rPr>
          <w:rFonts w:ascii="Calibri" w:cs="Calibri" w:eastAsia="Calibri" w:hAnsi="Calibri"/>
          <w:b w:val="false"/>
          <w:bCs w:val="false"/>
          <w:sz w:val="21"/>
          <w:szCs w:val="21"/>
        </w:rPr>
        <w:t xml:space="preserve">Assumed posture: SSO + SCIM + FIDO2 implemented for console. Network egress block on api.openai.com from non-Portkey hosts active. ZDR addendum contractually executed. Personal API key creation disabled at org policy level. Portkey deployed on hardened Kubernetes with active-active HA.</w:t>
      </w:r>
    </w:p>
    <w:p>
      <w:pPr>
        <w:spacing w:before="0" w:after="80"/>
      </w:pPr>
      <w:r>
        <w:t xml:space="preserve"/>
      </w:r>
    </w:p>
    <w:p>
      <w:pPr>
        <w:pStyle w:val="Heading2"/>
      </w:pPr>
      <w:r>
        <w:t xml:space="preserve">1.3 Key Factual Constraints</w:t>
      </w:r>
    </w:p>
    <w:p>
      <w:pPr>
        <w:pBdr>
          <w:left w:val="single" w:color="C55A11" w:sz="16" w:space="8"/>
        </w:pBdr>
        <w:shd w:fill="FFF2CC" w:val="clear"/>
        <w:spacing w:before="80" w:after="80"/>
        <w:ind w:left="300"/>
      </w:pPr>
      <w:r>
        <w:rPr>
          <w:rFonts w:ascii="Calibri" w:cs="Calibri" w:eastAsia="Calibri" w:hAnsi="Calibri"/>
          <w:sz w:val="21"/>
          <w:szCs w:val="21"/>
        </w:rPr>
        <w:t xml:space="preserve">Where platform capabilities could not be confirmed from public OpenAI documentation at time of assessment, findings are marked "Requires Validation." These are genuine uncertainties — not conservative assumptions — and must be resolved with the OpenAI account team before go-live. Controls dependent on unconfirmed capabilities have documented compensating alternatives.</w:t>
      </w:r>
    </w:p>
    <w:p>
      <w:pPr>
        <w:spacing w:before="0" w:after="60"/>
      </w:pPr>
      <w:r>
        <w:t xml:space="preserve"/>
      </w:r>
    </w:p>
    <w:p>
      <w:pPr>
        <w:spacing w:before="60" w:after="100"/>
      </w:pPr>
      <w:r>
        <w:rPr>
          <w:rFonts w:ascii="Calibri" w:cs="Calibri" w:eastAsia="Calibri" w:hAnsi="Calibri"/>
          <w:b w:val="false"/>
          <w:bCs w:val="false"/>
          <w:color w:val="000000"/>
          <w:sz w:val="22"/>
          <w:szCs w:val="22"/>
        </w:rPr>
        <w:t xml:space="preserve">OpenAI API Platform confirmed capabilities (as of assessment date): SAML 2.0 SSO supported; SCIM 2.0 provisioning supported; per-project spend limits available; Audit Logs API available (GET /v1/organization/audit_logs); SOC 2 Type II certification maintained; ZDR available under contractual addendum; API infrastructure on Microsoft Azure; not used for model training under Enterprise API agreement.</w:t>
      </w:r>
    </w:p>
    <w:p>
      <w:pPr>
        <w:spacing w:before="0" w:after="60"/>
      </w:pPr>
      <w:r>
        <w:t xml:space="preserve"/>
      </w:r>
    </w:p>
    <w:p>
      <w:pPr>
        <w:spacing w:before="60" w:after="100"/>
      </w:pPr>
      <w:r>
        <w:rPr>
          <w:rFonts w:ascii="Calibri" w:cs="Calibri" w:eastAsia="Calibri" w:hAnsi="Calibri"/>
          <w:b w:val="false"/>
          <w:bCs w:val="false"/>
          <w:color w:val="000000"/>
          <w:sz w:val="22"/>
          <w:szCs w:val="22"/>
        </w:rPr>
        <w:t xml:space="preserve">Capabilities requiring validation: Full disablement of email/password login once SSO configured; project-level model restriction (preventing a project key from calling models outside its defined scope); custom role granularity beyond Owner/Member; programmatic API key creation/deletion via REST API (for automated rotation); full list of event types covered by Audit Logs API.</w:t>
      </w:r>
    </w:p>
    <w:p>
      <w:r>
        <w:br w:type="page"/>
      </w:r>
    </w:p>
    <w:p>
      <w:pPr>
        <w:pStyle w:val="Heading1"/>
      </w:pPr>
      <w:r>
        <w:t xml:space="preserve">2. Threat Model (STRIDE)</w:t>
      </w:r>
    </w:p>
    <w:p>
      <w:pPr>
        <w:spacing w:before="60" w:after="100"/>
      </w:pPr>
      <w:r>
        <w:rPr>
          <w:rFonts w:ascii="Calibri" w:cs="Calibri" w:eastAsia="Calibri" w:hAnsi="Calibri"/>
          <w:b w:val="false"/>
          <w:bCs w:val="false"/>
          <w:color w:val="000000"/>
          <w:sz w:val="22"/>
          <w:szCs w:val="22"/>
        </w:rPr>
        <w:t xml:space="preserve">STRIDE was applied to the four principal components of this architecture: (1) the Portkey COTS gateway, (2) the OpenAI API endpoint, (3) the OpenAI platform console (admin plane), and (4) the secrets management layer (Vault / Portkey secrets backend). The analysis below presents the material threats per STRIDE category with inherent risk rating and residual rating after controls.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2400"/>
        <w:gridCol w:w="1800"/>
        <w:gridCol w:w="1500"/>
        <w:gridCol w:w="1500"/>
        <w:gridCol w:w="1320"/>
      </w:tblGrid>
      <w:tr>
        <w:tc>
          <w:tcPr>
            <w:tcW w:type="dxa" w:w="84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vAlign w:val="top"/>
          </w:tcPr>
          <w:p>
            <w:pPr>
              <w:spacing w:before="0" w:after="0"/>
            </w:pPr>
            <w:r>
              <w:rPr>
                <w:rFonts w:ascii="Calibri" w:cs="Calibri" w:eastAsia="Calibri" w:hAnsi="Calibri"/>
                <w:b/>
                <w:bCs/>
                <w:color w:val="FFFFFF"/>
                <w:sz w:val="19"/>
                <w:szCs w:val="19"/>
              </w:rPr>
              <w:t xml:space="preserve">STRIDE Category</w:t>
            </w:r>
          </w:p>
        </w:tc>
        <w:tc>
          <w:tcPr>
            <w:tcW w:type="dxa" w:w="240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vAlign w:val="top"/>
          </w:tcPr>
          <w:p>
            <w:pPr>
              <w:spacing w:before="0" w:after="0"/>
            </w:pPr>
            <w:r>
              <w:rPr>
                <w:rFonts w:ascii="Calibri" w:cs="Calibri" w:eastAsia="Calibri" w:hAnsi="Calibri"/>
                <w:b/>
                <w:bCs/>
                <w:color w:val="FFFFFF"/>
                <w:sz w:val="19"/>
                <w:szCs w:val="19"/>
              </w:rPr>
              <w:t xml:space="preserve">Threat Scenario</w:t>
            </w:r>
          </w:p>
        </w:tc>
        <w:tc>
          <w:tcPr>
            <w:tcW w:type="dxa" w:w="180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vAlign w:val="top"/>
          </w:tcPr>
          <w:p>
            <w:pPr>
              <w:spacing w:before="0" w:after="0"/>
            </w:pPr>
            <w:r>
              <w:rPr>
                <w:rFonts w:ascii="Calibri" w:cs="Calibri" w:eastAsia="Calibri" w:hAnsi="Calibri"/>
                <w:b/>
                <w:bCs/>
                <w:color w:val="FFFFFF"/>
                <w:sz w:val="19"/>
                <w:szCs w:val="19"/>
              </w:rPr>
              <w:t xml:space="preserve">Primary Control(s)</w:t>
            </w:r>
          </w:p>
        </w:tc>
        <w:tc>
          <w:tcPr>
            <w:tcW w:type="dxa" w:w="150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vAlign w:val="top"/>
          </w:tcPr>
          <w:p>
            <w:pPr>
              <w:spacing w:before="0" w:after="0"/>
            </w:pPr>
            <w:r>
              <w:rPr>
                <w:rFonts w:ascii="Calibri" w:cs="Calibri" w:eastAsia="Calibri" w:hAnsi="Calibri"/>
                <w:b/>
                <w:bCs/>
                <w:color w:val="FFFFFF"/>
                <w:sz w:val="19"/>
                <w:szCs w:val="19"/>
              </w:rPr>
              <w:t xml:space="preserve">Inherent Risk</w:t>
            </w:r>
          </w:p>
        </w:tc>
        <w:tc>
          <w:tcPr>
            <w:tcW w:type="dxa" w:w="150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vAlign w:val="top"/>
          </w:tcPr>
          <w:p>
            <w:pPr>
              <w:spacing w:before="0" w:after="0"/>
            </w:pPr>
            <w:r>
              <w:rPr>
                <w:rFonts w:ascii="Calibri" w:cs="Calibri" w:eastAsia="Calibri" w:hAnsi="Calibri"/>
                <w:b/>
                <w:bCs/>
                <w:color w:val="FFFFFF"/>
                <w:sz w:val="19"/>
                <w:szCs w:val="19"/>
              </w:rPr>
              <w:t xml:space="preserve">Residual Risk</w:t>
            </w:r>
          </w:p>
        </w:tc>
        <w:tc>
          <w:tcPr>
            <w:tcW w:type="dxa" w:w="132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vAlign w:val="top"/>
          </w:tcPr>
          <w:p>
            <w:pPr>
              <w:spacing w:before="0" w:after="0"/>
            </w:pPr>
            <w:r>
              <w:rPr>
                <w:rFonts w:ascii="Calibri" w:cs="Calibri" w:eastAsia="Calibri" w:hAnsi="Calibri"/>
                <w:b/>
                <w:bCs/>
                <w:color w:val="FFFFFF"/>
                <w:sz w:val="19"/>
                <w:szCs w:val="19"/>
              </w:rPr>
              <w:t xml:space="preserve">Notes</w:t>
            </w:r>
          </w:p>
        </w:tc>
      </w:tr>
      <w:tr>
        <w:tc>
          <w:tcPr>
            <w:tcW w:type="dxa" w:w="84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1F3864"/>
                <w:sz w:val="18"/>
                <w:szCs w:val="18"/>
              </w:rPr>
              <w:t xml:space="preserve">S — Spoofing</w:t>
            </w:r>
          </w:p>
        </w:tc>
        <w:tc>
          <w:tcPr>
            <w:tcW w:type="dxa" w:w="24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8"/>
                <w:szCs w:val="18"/>
              </w:rPr>
              <w:t xml:space="preserve">Console admin impersonation via credential theft</w:t>
            </w:r>
          </w:p>
        </w:tc>
        <w:tc>
          <w:tcPr>
            <w:tcW w:type="dxa" w:w="18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8"/>
                <w:szCs w:val="18"/>
              </w:rPr>
              <w:t xml:space="preserve">FIDO2 MFA + PAM session recording + SSO enforcement</w:t>
            </w:r>
          </w:p>
        </w:tc>
        <w:tc>
          <w:tcPr>
            <w:tcW w:type="dxa" w:w="1500"/>
            <w:tcBorders>
              <w:top w:val="single" w:color="CCCCCC" w:sz="1"/>
              <w:left w:val="single" w:color="CCCCCC" w:sz="1"/>
              <w:bottom w:val="single" w:color="CCCCCC" w:sz="1"/>
              <w:right w:val="single" w:color="CCCCCC" w:sz="1"/>
            </w:tcBorders>
            <w:shd w:fill="FDEBD0" w:val="clear"/>
            <w:tcMar>
              <w:top w:type="dxa" w:w="70"/>
              <w:left w:type="dxa" w:w="100"/>
              <w:bottom w:type="dxa" w:w="70"/>
              <w:right w:type="dxa" w:w="100"/>
            </w:tcMar>
            <w:vAlign w:val="top"/>
          </w:tcPr>
          <w:p>
            <w:pPr>
              <w:spacing w:before="0" w:after="0"/>
            </w:pPr>
            <w:r>
              <w:rPr>
                <w:rFonts w:ascii="Calibri" w:cs="Calibri" w:eastAsia="Calibri" w:hAnsi="Calibri"/>
                <w:b/>
                <w:bCs/>
                <w:color w:val="C55A11"/>
                <w:sz w:val="19"/>
                <w:szCs w:val="19"/>
              </w:rPr>
              <w:t xml:space="preserve">HIGH</w:t>
            </w:r>
          </w:p>
        </w:tc>
        <w:tc>
          <w:tcPr>
            <w:tcW w:type="dxa" w:w="15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375623"/>
                <w:sz w:val="18"/>
                <w:szCs w:val="18"/>
              </w:rPr>
              <w:t xml:space="preserve">LOW after controls</w:t>
            </w:r>
          </w:p>
        </w:tc>
        <w:tc>
          <w:tcPr>
            <w:tcW w:type="dxa" w:w="132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8"/>
                <w:szCs w:val="18"/>
              </w:rPr>
              <w:t xml:space="preserve"/>
            </w:r>
          </w:p>
        </w:tc>
      </w:tr>
      <w:tr>
        <w:tc>
          <w:tcPr>
            <w:tcW w:type="dxa" w:w="8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1F3864"/>
                <w:sz w:val="18"/>
                <w:szCs w:val="18"/>
              </w:rPr>
              <w:t xml:space="preserve">S — Spoofing</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8"/>
                <w:szCs w:val="18"/>
              </w:rPr>
              <w:t xml:space="preserve">Virtual key used by unauthorized service (key sharing or theft)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8"/>
                <w:szCs w:val="18"/>
              </w:rPr>
              <w:t xml:space="preserve">Per-virtual-key source IP restriction; mTLS for service-to-service</w:t>
            </w:r>
          </w:p>
        </w:tc>
        <w:tc>
          <w:tcPr>
            <w:tcW w:type="dxa" w:w="1500"/>
            <w:tcBorders>
              <w:top w:val="single" w:color="CCCCCC" w:sz="1"/>
              <w:left w:val="single" w:color="CCCCCC" w:sz="1"/>
              <w:bottom w:val="single" w:color="CCCCCC" w:sz="1"/>
              <w:right w:val="single" w:color="CCCCCC" w:sz="1"/>
            </w:tcBorders>
            <w:shd w:fill="FFF2CC" w:val="clear"/>
            <w:tcMar>
              <w:top w:type="dxa" w:w="70"/>
              <w:left w:type="dxa" w:w="100"/>
              <w:bottom w:type="dxa" w:w="70"/>
              <w:right w:type="dxa" w:w="100"/>
            </w:tcMar>
            <w:vAlign w:val="top"/>
          </w:tcPr>
          <w:p>
            <w:pPr>
              <w:spacing w:before="0" w:after="0"/>
            </w:pPr>
            <w:r>
              <w:rPr>
                <w:rFonts w:ascii="Calibri" w:cs="Calibri" w:eastAsia="Calibri" w:hAnsi="Calibri"/>
                <w:b/>
                <w:bCs/>
                <w:color w:val="7F6000"/>
                <w:sz w:val="19"/>
                <w:szCs w:val="19"/>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375623"/>
                <w:sz w:val="18"/>
                <w:szCs w:val="18"/>
              </w:rPr>
              <w:t xml:space="preserve">LOW after controls</w:t>
            </w:r>
          </w:p>
        </w:tc>
        <w:tc>
          <w:tcPr>
            <w:tcW w:type="dxa" w:w="1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8"/>
                <w:szCs w:val="18"/>
              </w:rPr>
              <w:t xml:space="preserve"/>
            </w:r>
          </w:p>
        </w:tc>
      </w:tr>
      <w:tr>
        <w:tc>
          <w:tcPr>
            <w:tcW w:type="dxa" w:w="84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1F3864"/>
                <w:sz w:val="18"/>
                <w:szCs w:val="18"/>
              </w:rPr>
              <w:t xml:space="preserve">T — Tampering</w:t>
            </w:r>
          </w:p>
        </w:tc>
        <w:tc>
          <w:tcPr>
            <w:tcW w:type="dxa" w:w="24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8"/>
                <w:szCs w:val="18"/>
              </w:rPr>
              <w:t xml:space="preserve">Portkey configuration modified outside IaC pipeline (guardrail disabled)</w:t>
            </w:r>
          </w:p>
        </w:tc>
        <w:tc>
          <w:tcPr>
            <w:tcW w:type="dxa" w:w="18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8"/>
                <w:szCs w:val="18"/>
              </w:rPr>
              <w:t xml:space="preserve">GitOps enforcement; Portkey config audit log → SIEM; drift detection</w:t>
            </w:r>
          </w:p>
        </w:tc>
        <w:tc>
          <w:tcPr>
            <w:tcW w:type="dxa" w:w="1500"/>
            <w:tcBorders>
              <w:top w:val="single" w:color="CCCCCC" w:sz="1"/>
              <w:left w:val="single" w:color="CCCCCC" w:sz="1"/>
              <w:bottom w:val="single" w:color="CCCCCC" w:sz="1"/>
              <w:right w:val="single" w:color="CCCCCC" w:sz="1"/>
            </w:tcBorders>
            <w:shd w:fill="FDEBD0" w:val="clear"/>
            <w:tcMar>
              <w:top w:type="dxa" w:w="70"/>
              <w:left w:type="dxa" w:w="100"/>
              <w:bottom w:type="dxa" w:w="70"/>
              <w:right w:type="dxa" w:w="100"/>
            </w:tcMar>
            <w:vAlign w:val="top"/>
          </w:tcPr>
          <w:p>
            <w:pPr>
              <w:spacing w:before="0" w:after="0"/>
            </w:pPr>
            <w:r>
              <w:rPr>
                <w:rFonts w:ascii="Calibri" w:cs="Calibri" w:eastAsia="Calibri" w:hAnsi="Calibri"/>
                <w:b/>
                <w:bCs/>
                <w:color w:val="C55A11"/>
                <w:sz w:val="19"/>
                <w:szCs w:val="19"/>
              </w:rPr>
              <w:t xml:space="preserve">HIGH</w:t>
            </w:r>
          </w:p>
        </w:tc>
        <w:tc>
          <w:tcPr>
            <w:tcW w:type="dxa" w:w="15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375623"/>
                <w:sz w:val="18"/>
                <w:szCs w:val="18"/>
              </w:rPr>
              <w:t xml:space="preserve">LOW after controls</w:t>
            </w:r>
          </w:p>
        </w:tc>
        <w:tc>
          <w:tcPr>
            <w:tcW w:type="dxa" w:w="132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8"/>
                <w:szCs w:val="18"/>
              </w:rPr>
              <w:t xml:space="preserve"/>
            </w:r>
          </w:p>
        </w:tc>
      </w:tr>
      <w:tr>
        <w:tc>
          <w:tcPr>
            <w:tcW w:type="dxa" w:w="8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1F3864"/>
                <w:sz w:val="18"/>
                <w:szCs w:val="18"/>
              </w:rPr>
              <w:t xml:space="preserve">T — Tampering</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8"/>
                <w:szCs w:val="18"/>
              </w:rPr>
              <w:t xml:space="preserve">Real OpenAI key modified or rotated by unauthorized admin without dual approval</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8"/>
                <w:szCs w:val="18"/>
              </w:rPr>
              <w:t xml:space="preserve">4-eyes policy for key operations; OpenAI audit log event for key changes → SIEM alert</w:t>
            </w:r>
          </w:p>
        </w:tc>
        <w:tc>
          <w:tcPr>
            <w:tcW w:type="dxa" w:w="1500"/>
            <w:tcBorders>
              <w:top w:val="single" w:color="CCCCCC" w:sz="1"/>
              <w:left w:val="single" w:color="CCCCCC" w:sz="1"/>
              <w:bottom w:val="single" w:color="CCCCCC" w:sz="1"/>
              <w:right w:val="single" w:color="CCCCCC" w:sz="1"/>
            </w:tcBorders>
            <w:shd w:fill="FFF2CC" w:val="clear"/>
            <w:tcMar>
              <w:top w:type="dxa" w:w="70"/>
              <w:left w:type="dxa" w:w="100"/>
              <w:bottom w:type="dxa" w:w="70"/>
              <w:right w:type="dxa" w:w="100"/>
            </w:tcMar>
            <w:vAlign w:val="top"/>
          </w:tcPr>
          <w:p>
            <w:pPr>
              <w:spacing w:before="0" w:after="0"/>
            </w:pPr>
            <w:r>
              <w:rPr>
                <w:rFonts w:ascii="Calibri" w:cs="Calibri" w:eastAsia="Calibri" w:hAnsi="Calibri"/>
                <w:b/>
                <w:bCs/>
                <w:color w:val="7F6000"/>
                <w:sz w:val="19"/>
                <w:szCs w:val="19"/>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375623"/>
                <w:sz w:val="18"/>
                <w:szCs w:val="18"/>
              </w:rPr>
              <w:t xml:space="preserve">LOW after controls</w:t>
            </w:r>
          </w:p>
        </w:tc>
        <w:tc>
          <w:tcPr>
            <w:tcW w:type="dxa" w:w="1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8"/>
                <w:szCs w:val="18"/>
              </w:rPr>
              <w:t xml:space="preserve"/>
            </w:r>
          </w:p>
        </w:tc>
      </w:tr>
      <w:tr>
        <w:tc>
          <w:tcPr>
            <w:tcW w:type="dxa" w:w="84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1F3864"/>
                <w:sz w:val="18"/>
                <w:szCs w:val="18"/>
              </w:rPr>
              <w:t xml:space="preserve">R — Repudiation</w:t>
            </w:r>
          </w:p>
        </w:tc>
        <w:tc>
          <w:tcPr>
            <w:tcW w:type="dxa" w:w="24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8"/>
                <w:szCs w:val="18"/>
              </w:rPr>
              <w:t xml:space="preserve">Inference request attributed incorrectly; virtual key owner disputes usage</w:t>
            </w:r>
          </w:p>
        </w:tc>
        <w:tc>
          <w:tcPr>
            <w:tcW w:type="dxa" w:w="18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8"/>
                <w:szCs w:val="18"/>
              </w:rPr>
              <w:t xml:space="preserve">Portkey request log with virtual_key_id + source IP in immutable SIEM; non-repudiation by log design</w:t>
            </w:r>
          </w:p>
        </w:tc>
        <w:tc>
          <w:tcPr>
            <w:tcW w:type="dxa" w:w="1500"/>
            <w:tcBorders>
              <w:top w:val="single" w:color="CCCCCC" w:sz="1"/>
              <w:left w:val="single" w:color="CCCCCC" w:sz="1"/>
              <w:bottom w:val="single" w:color="CCCCCC" w:sz="1"/>
              <w:right w:val="single" w:color="CCCCCC" w:sz="1"/>
            </w:tcBorders>
            <w:shd w:fill="FFF2CC" w:val="clear"/>
            <w:tcMar>
              <w:top w:type="dxa" w:w="70"/>
              <w:left w:type="dxa" w:w="100"/>
              <w:bottom w:type="dxa" w:w="70"/>
              <w:right w:type="dxa" w:w="100"/>
            </w:tcMar>
            <w:vAlign w:val="top"/>
          </w:tcPr>
          <w:p>
            <w:pPr>
              <w:spacing w:before="0" w:after="0"/>
            </w:pPr>
            <w:r>
              <w:rPr>
                <w:rFonts w:ascii="Calibri" w:cs="Calibri" w:eastAsia="Calibri" w:hAnsi="Calibri"/>
                <w:b/>
                <w:bCs/>
                <w:color w:val="7F6000"/>
                <w:sz w:val="19"/>
                <w:szCs w:val="19"/>
              </w:rPr>
              <w:t xml:space="preserve">MEDIUM</w:t>
            </w:r>
          </w:p>
        </w:tc>
        <w:tc>
          <w:tcPr>
            <w:tcW w:type="dxa" w:w="15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375623"/>
                <w:sz w:val="18"/>
                <w:szCs w:val="18"/>
              </w:rPr>
              <w:t xml:space="preserve">LOW after controls</w:t>
            </w:r>
          </w:p>
        </w:tc>
        <w:tc>
          <w:tcPr>
            <w:tcW w:type="dxa" w:w="132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8"/>
                <w:szCs w:val="18"/>
              </w:rPr>
              <w:t xml:space="preserve"/>
            </w:r>
          </w:p>
        </w:tc>
      </w:tr>
      <w:tr>
        <w:tc>
          <w:tcPr>
            <w:tcW w:type="dxa" w:w="8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1F3864"/>
                <w:sz w:val="18"/>
                <w:szCs w:val="18"/>
              </w:rPr>
              <w:t xml:space="preserve">R — Repudiation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8"/>
                <w:szCs w:val="18"/>
              </w:rPr>
              <w:t xml:space="preserve">Admin denies making console configuration change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8"/>
                <w:szCs w:val="18"/>
              </w:rPr>
              <w:t xml:space="preserve">PAM session recording; OpenAI audit log; Vault audit log — three independent sources</w:t>
            </w:r>
          </w:p>
        </w:tc>
        <w:tc>
          <w:tcPr>
            <w:tcW w:type="dxa" w:w="1500"/>
            <w:tcBorders>
              <w:top w:val="single" w:color="CCCCCC" w:sz="1"/>
              <w:left w:val="single" w:color="CCCCCC" w:sz="1"/>
              <w:bottom w:val="single" w:color="CCCCCC" w:sz="1"/>
              <w:right w:val="single" w:color="CCCCCC" w:sz="1"/>
            </w:tcBorders>
            <w:shd w:fill="FDEBD0" w:val="clear"/>
            <w:tcMar>
              <w:top w:type="dxa" w:w="70"/>
              <w:left w:type="dxa" w:w="100"/>
              <w:bottom w:type="dxa" w:w="70"/>
              <w:right w:type="dxa" w:w="100"/>
            </w:tcMar>
            <w:vAlign w:val="top"/>
          </w:tcPr>
          <w:p>
            <w:pPr>
              <w:spacing w:before="0" w:after="0"/>
            </w:pPr>
            <w:r>
              <w:rPr>
                <w:rFonts w:ascii="Calibri" w:cs="Calibri" w:eastAsia="Calibri" w:hAnsi="Calibri"/>
                <w:b/>
                <w:bCs/>
                <w:color w:val="C55A11"/>
                <w:sz w:val="19"/>
                <w:szCs w:val="19"/>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375623"/>
                <w:sz w:val="18"/>
                <w:szCs w:val="18"/>
              </w:rPr>
              <w:t xml:space="preserve">LOW after controls</w:t>
            </w:r>
          </w:p>
        </w:tc>
        <w:tc>
          <w:tcPr>
            <w:tcW w:type="dxa" w:w="1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8"/>
                <w:szCs w:val="18"/>
              </w:rPr>
              <w:t xml:space="preserve"/>
            </w:r>
          </w:p>
        </w:tc>
      </w:tr>
      <w:tr>
        <w:tc>
          <w:tcPr>
            <w:tcW w:type="dxa" w:w="84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1F3864"/>
                <w:sz w:val="18"/>
                <w:szCs w:val="18"/>
              </w:rPr>
              <w:t xml:space="preserve">I — Info Disclosure</w:t>
            </w:r>
          </w:p>
        </w:tc>
        <w:tc>
          <w:tcPr>
            <w:tcW w:type="dxa" w:w="24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8"/>
                <w:szCs w:val="18"/>
              </w:rPr>
              <w:t xml:space="preserve">Regulated data in prompt payload reaches OpenAI API despite guardrails</w:t>
            </w:r>
          </w:p>
        </w:tc>
        <w:tc>
          <w:tcPr>
            <w:tcW w:type="dxa" w:w="18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8"/>
                <w:szCs w:val="18"/>
              </w:rPr>
              <w:t xml:space="preserve">Portkey input guardrails (BLOCK on high-confidence patterns); ZDR (no retention)</w:t>
            </w:r>
          </w:p>
        </w:tc>
        <w:tc>
          <w:tcPr>
            <w:tcW w:type="dxa" w:w="1500"/>
            <w:tcBorders>
              <w:top w:val="single" w:color="CCCCCC" w:sz="1"/>
              <w:left w:val="single" w:color="CCCCCC" w:sz="1"/>
              <w:bottom w:val="single" w:color="CCCCCC" w:sz="1"/>
              <w:right w:val="single" w:color="CCCCCC" w:sz="1"/>
            </w:tcBorders>
            <w:shd w:fill="FDEBD0" w:val="clear"/>
            <w:tcMar>
              <w:top w:type="dxa" w:w="70"/>
              <w:left w:type="dxa" w:w="100"/>
              <w:bottom w:type="dxa" w:w="70"/>
              <w:right w:type="dxa" w:w="100"/>
            </w:tcMar>
            <w:vAlign w:val="top"/>
          </w:tcPr>
          <w:p>
            <w:pPr>
              <w:spacing w:before="0" w:after="0"/>
            </w:pPr>
            <w:r>
              <w:rPr>
                <w:rFonts w:ascii="Calibri" w:cs="Calibri" w:eastAsia="Calibri" w:hAnsi="Calibri"/>
                <w:b/>
                <w:bCs/>
                <w:color w:val="C55A11"/>
                <w:sz w:val="19"/>
                <w:szCs w:val="19"/>
              </w:rPr>
              <w:t xml:space="preserve">HIGH</w:t>
            </w:r>
          </w:p>
        </w:tc>
        <w:tc>
          <w:tcPr>
            <w:tcW w:type="dxa" w:w="15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7F6000"/>
                <w:sz w:val="18"/>
                <w:szCs w:val="18"/>
              </w:rPr>
              <w:t xml:space="preserve">MEDIUM — evasion possible</w:t>
            </w:r>
          </w:p>
        </w:tc>
        <w:tc>
          <w:tcPr>
            <w:tcW w:type="dxa" w:w="132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8"/>
                <w:szCs w:val="18"/>
              </w:rPr>
              <w:t xml:space="preserve"/>
            </w:r>
          </w:p>
        </w:tc>
      </w:tr>
      <w:tr>
        <w:tc>
          <w:tcPr>
            <w:tcW w:type="dxa" w:w="8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1F3864"/>
                <w:sz w:val="18"/>
                <w:szCs w:val="18"/>
              </w:rPr>
              <w:t xml:space="preserve">I — Info Disclosure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8"/>
                <w:szCs w:val="18"/>
              </w:rPr>
              <w:t xml:space="preserve">Real OpenAI key extracted from Portkey secrets backend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8"/>
                <w:szCs w:val="18"/>
              </w:rPr>
              <w:t xml:space="preserve">Vault integration; encrypted Portkey secrets volume; Falco monitoring of Portkey process</w:t>
            </w:r>
          </w:p>
        </w:tc>
        <w:tc>
          <w:tcPr>
            <w:tcW w:type="dxa" w:w="1500"/>
            <w:tcBorders>
              <w:top w:val="single" w:color="CCCCCC" w:sz="1"/>
              <w:left w:val="single" w:color="CCCCCC" w:sz="1"/>
              <w:bottom w:val="single" w:color="CCCCCC" w:sz="1"/>
              <w:right w:val="single" w:color="CCCCCC" w:sz="1"/>
            </w:tcBorders>
            <w:shd w:fill="FFE7E7" w:val="clear"/>
            <w:tcMar>
              <w:top w:type="dxa" w:w="70"/>
              <w:left w:type="dxa" w:w="100"/>
              <w:bottom w:type="dxa" w:w="70"/>
              <w:right w:type="dxa" w:w="100"/>
            </w:tcMar>
            <w:vAlign w:val="top"/>
          </w:tcPr>
          <w:p>
            <w:pPr>
              <w:spacing w:before="0" w:after="0"/>
            </w:pPr>
            <w:r>
              <w:rPr>
                <w:rFonts w:ascii="Calibri" w:cs="Calibri" w:eastAsia="Calibri" w:hAnsi="Calibri"/>
                <w:b/>
                <w:bCs/>
                <w:color w:val="C00000"/>
                <w:sz w:val="19"/>
                <w:szCs w:val="19"/>
              </w:rPr>
              <w:t xml:space="preserve">CRITICAL</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7F6000"/>
                <w:sz w:val="18"/>
                <w:szCs w:val="18"/>
              </w:rPr>
              <w:t xml:space="preserve">MEDIUM — Portkey compromise scenario</w:t>
            </w:r>
          </w:p>
        </w:tc>
        <w:tc>
          <w:tcPr>
            <w:tcW w:type="dxa" w:w="1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8"/>
                <w:szCs w:val="18"/>
              </w:rPr>
              <w:t xml:space="preserve"/>
            </w:r>
          </w:p>
        </w:tc>
      </w:tr>
      <w:tr>
        <w:tc>
          <w:tcPr>
            <w:tcW w:type="dxa" w:w="84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1F3864"/>
                <w:sz w:val="18"/>
                <w:szCs w:val="18"/>
              </w:rPr>
              <w:t xml:space="preserve">D — Denial of Service</w:t>
            </w:r>
          </w:p>
        </w:tc>
        <w:tc>
          <w:tcPr>
            <w:tcW w:type="dxa" w:w="24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8"/>
                <w:szCs w:val="18"/>
              </w:rPr>
              <w:t xml:space="preserve">Virtual key budget exhausted by runaway pipeline; all consumers on that virtual key impacted</w:t>
            </w:r>
          </w:p>
        </w:tc>
        <w:tc>
          <w:tcPr>
            <w:tcW w:type="dxa" w:w="18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8"/>
                <w:szCs w:val="18"/>
              </w:rPr>
              <w:t xml:space="preserve">Per-virtual-key budget hard stop; separate virtual keys per consumer to limit blast radius</w:t>
            </w:r>
          </w:p>
        </w:tc>
        <w:tc>
          <w:tcPr>
            <w:tcW w:type="dxa" w:w="1500"/>
            <w:tcBorders>
              <w:top w:val="single" w:color="CCCCCC" w:sz="1"/>
              <w:left w:val="single" w:color="CCCCCC" w:sz="1"/>
              <w:bottom w:val="single" w:color="CCCCCC" w:sz="1"/>
              <w:right w:val="single" w:color="CCCCCC" w:sz="1"/>
            </w:tcBorders>
            <w:shd w:fill="FFF2CC" w:val="clear"/>
            <w:tcMar>
              <w:top w:type="dxa" w:w="70"/>
              <w:left w:type="dxa" w:w="100"/>
              <w:bottom w:type="dxa" w:w="70"/>
              <w:right w:type="dxa" w:w="100"/>
            </w:tcMar>
            <w:vAlign w:val="top"/>
          </w:tcPr>
          <w:p>
            <w:pPr>
              <w:spacing w:before="0" w:after="0"/>
            </w:pPr>
            <w:r>
              <w:rPr>
                <w:rFonts w:ascii="Calibri" w:cs="Calibri" w:eastAsia="Calibri" w:hAnsi="Calibri"/>
                <w:b/>
                <w:bCs/>
                <w:color w:val="7F6000"/>
                <w:sz w:val="19"/>
                <w:szCs w:val="19"/>
              </w:rPr>
              <w:t xml:space="preserve">MEDIUM</w:t>
            </w:r>
          </w:p>
        </w:tc>
        <w:tc>
          <w:tcPr>
            <w:tcW w:type="dxa" w:w="15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375623"/>
                <w:sz w:val="18"/>
                <w:szCs w:val="18"/>
              </w:rPr>
              <w:t xml:space="preserve">LOW after controls</w:t>
            </w:r>
          </w:p>
        </w:tc>
        <w:tc>
          <w:tcPr>
            <w:tcW w:type="dxa" w:w="132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8"/>
                <w:szCs w:val="18"/>
              </w:rPr>
              <w:t xml:space="preserve"/>
            </w:r>
          </w:p>
        </w:tc>
      </w:tr>
      <w:tr>
        <w:tc>
          <w:tcPr>
            <w:tcW w:type="dxa" w:w="8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1F3864"/>
                <w:sz w:val="18"/>
                <w:szCs w:val="18"/>
              </w:rPr>
              <w:t xml:space="preserve">D — Denial of Service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8"/>
                <w:szCs w:val="18"/>
              </w:rPr>
              <w:t xml:space="preserve">OpenAI API rate limit exhausted at project level; all virtual keys on that project impacted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8"/>
                <w:szCs w:val="18"/>
              </w:rPr>
              <w:t xml:space="preserve">Portkey rate limiting per virtual key; OpenAI project rate limits as backstop</w:t>
            </w:r>
          </w:p>
        </w:tc>
        <w:tc>
          <w:tcPr>
            <w:tcW w:type="dxa" w:w="1500"/>
            <w:tcBorders>
              <w:top w:val="single" w:color="CCCCCC" w:sz="1"/>
              <w:left w:val="single" w:color="CCCCCC" w:sz="1"/>
              <w:bottom w:val="single" w:color="CCCCCC" w:sz="1"/>
              <w:right w:val="single" w:color="CCCCCC" w:sz="1"/>
            </w:tcBorders>
            <w:shd w:fill="FFF2CC" w:val="clear"/>
            <w:tcMar>
              <w:top w:type="dxa" w:w="70"/>
              <w:left w:type="dxa" w:w="100"/>
              <w:bottom w:type="dxa" w:w="70"/>
              <w:right w:type="dxa" w:w="100"/>
            </w:tcMar>
            <w:vAlign w:val="top"/>
          </w:tcPr>
          <w:p>
            <w:pPr>
              <w:spacing w:before="0" w:after="0"/>
            </w:pPr>
            <w:r>
              <w:rPr>
                <w:rFonts w:ascii="Calibri" w:cs="Calibri" w:eastAsia="Calibri" w:hAnsi="Calibri"/>
                <w:b/>
                <w:bCs/>
                <w:color w:val="7F6000"/>
                <w:sz w:val="19"/>
                <w:szCs w:val="19"/>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375623"/>
                <w:sz w:val="18"/>
                <w:szCs w:val="18"/>
              </w:rPr>
              <w:t xml:space="preserve">LOW after controls</w:t>
            </w:r>
          </w:p>
        </w:tc>
        <w:tc>
          <w:tcPr>
            <w:tcW w:type="dxa" w:w="1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8"/>
                <w:szCs w:val="18"/>
              </w:rPr>
              <w:t xml:space="preserve"/>
            </w:r>
          </w:p>
        </w:tc>
      </w:tr>
      <w:tr>
        <w:tc>
          <w:tcPr>
            <w:tcW w:type="dxa" w:w="84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1F3864"/>
                <w:sz w:val="18"/>
                <w:szCs w:val="18"/>
              </w:rPr>
              <w:t xml:space="preserve">E — Elevation of Privilege</w:t>
            </w:r>
          </w:p>
        </w:tc>
        <w:tc>
          <w:tcPr>
            <w:tcW w:type="dxa" w:w="24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8"/>
                <w:szCs w:val="18"/>
              </w:rPr>
              <w:t xml:space="preserve">Standard virtual key used to request premium model (o1/o3) by passing model field directly</w:t>
            </w:r>
          </w:p>
        </w:tc>
        <w:tc>
          <w:tcPr>
            <w:tcW w:type="dxa" w:w="18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8"/>
                <w:szCs w:val="18"/>
              </w:rPr>
              <w:t xml:space="preserve">Portkey model routing enforces allowlist; consumer-specified model field overridden or blocked</w:t>
            </w:r>
          </w:p>
        </w:tc>
        <w:tc>
          <w:tcPr>
            <w:tcW w:type="dxa" w:w="1500"/>
            <w:tcBorders>
              <w:top w:val="single" w:color="CCCCCC" w:sz="1"/>
              <w:left w:val="single" w:color="CCCCCC" w:sz="1"/>
              <w:bottom w:val="single" w:color="CCCCCC" w:sz="1"/>
              <w:right w:val="single" w:color="CCCCCC" w:sz="1"/>
            </w:tcBorders>
            <w:shd w:fill="FDEBD0" w:val="clear"/>
            <w:tcMar>
              <w:top w:type="dxa" w:w="70"/>
              <w:left w:type="dxa" w:w="100"/>
              <w:bottom w:type="dxa" w:w="70"/>
              <w:right w:type="dxa" w:w="100"/>
            </w:tcMar>
            <w:vAlign w:val="top"/>
          </w:tcPr>
          <w:p>
            <w:pPr>
              <w:spacing w:before="0" w:after="0"/>
            </w:pPr>
            <w:r>
              <w:rPr>
                <w:rFonts w:ascii="Calibri" w:cs="Calibri" w:eastAsia="Calibri" w:hAnsi="Calibri"/>
                <w:b/>
                <w:bCs/>
                <w:color w:val="C55A11"/>
                <w:sz w:val="19"/>
                <w:szCs w:val="19"/>
              </w:rPr>
              <w:t xml:space="preserve">HIGH</w:t>
            </w:r>
          </w:p>
        </w:tc>
        <w:tc>
          <w:tcPr>
            <w:tcW w:type="dxa" w:w="15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375623"/>
                <w:sz w:val="18"/>
                <w:szCs w:val="18"/>
              </w:rPr>
              <w:t xml:space="preserve">LOW if Portkey override confirmed</w:t>
            </w:r>
          </w:p>
        </w:tc>
        <w:tc>
          <w:tcPr>
            <w:tcW w:type="dxa" w:w="132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8"/>
                <w:szCs w:val="18"/>
              </w:rPr>
              <w:t xml:space="preserve"/>
            </w:r>
          </w:p>
        </w:tc>
      </w:tr>
      <w:tr>
        <w:tc>
          <w:tcPr>
            <w:tcW w:type="dxa" w:w="8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1F3864"/>
                <w:sz w:val="18"/>
                <w:szCs w:val="18"/>
              </w:rPr>
              <w:t xml:space="preserve">E — Elevation of Privilege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8"/>
                <w:szCs w:val="18"/>
              </w:rPr>
              <w:t xml:space="preserve">Member-level org account used to access OpenAI console admin functions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8"/>
                <w:szCs w:val="18"/>
              </w:rPr>
              <w:t xml:space="preserve">SSO-enforced role separation; console access via PAM only; SCIM-managed lifecycle</w:t>
            </w:r>
          </w:p>
        </w:tc>
        <w:tc>
          <w:tcPr>
            <w:tcW w:type="dxa" w:w="1500"/>
            <w:tcBorders>
              <w:top w:val="single" w:color="CCCCCC" w:sz="1"/>
              <w:left w:val="single" w:color="CCCCCC" w:sz="1"/>
              <w:bottom w:val="single" w:color="CCCCCC" w:sz="1"/>
              <w:right w:val="single" w:color="CCCCCC" w:sz="1"/>
            </w:tcBorders>
            <w:shd w:fill="FDEBD0" w:val="clear"/>
            <w:tcMar>
              <w:top w:type="dxa" w:w="70"/>
              <w:left w:type="dxa" w:w="100"/>
              <w:bottom w:type="dxa" w:w="70"/>
              <w:right w:type="dxa" w:w="100"/>
            </w:tcMar>
            <w:vAlign w:val="top"/>
          </w:tcPr>
          <w:p>
            <w:pPr>
              <w:spacing w:before="0" w:after="0"/>
            </w:pPr>
            <w:r>
              <w:rPr>
                <w:rFonts w:ascii="Calibri" w:cs="Calibri" w:eastAsia="Calibri" w:hAnsi="Calibri"/>
                <w:b/>
                <w:bCs/>
                <w:color w:val="C55A11"/>
                <w:sz w:val="19"/>
                <w:szCs w:val="19"/>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375623"/>
                <w:sz w:val="18"/>
                <w:szCs w:val="18"/>
              </w:rPr>
              <w:t xml:space="preserve">LOW after controls</w:t>
            </w:r>
          </w:p>
        </w:tc>
        <w:tc>
          <w:tcPr>
            <w:tcW w:type="dxa" w:w="1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8"/>
                <w:szCs w:val="18"/>
              </w:rPr>
              <w:t xml:space="preserve"/>
            </w:r>
          </w:p>
        </w:tc>
      </w:tr>
    </w:tbl>
    <w:p>
      <w:pPr>
        <w:spacing w:before="0" w:after="80"/>
      </w:pPr>
      <w:r>
        <w:t xml:space="preserve"/>
      </w:r>
    </w:p>
    <w:p>
      <w:pPr>
        <w:spacing w:before="60" w:after="100"/>
      </w:pPr>
      <w:r>
        <w:rPr>
          <w:rFonts w:ascii="Calibri" w:cs="Calibri" w:eastAsia="Calibri" w:hAnsi="Calibri"/>
          <w:b w:val="false"/>
          <w:bCs w:val="false"/>
          <w:color w:val="000000"/>
          <w:sz w:val="22"/>
          <w:szCs w:val="22"/>
        </w:rPr>
        <w:t xml:space="preserve">The STRIDE analysis surfaces two categories where residual risk remains above LOW after all controls are applied. First, information disclosure via prompt payload evasion of Portkey Guardrails — this is an inherent limitation of regex-based DLP against determined adversaries who are aware of the detection mechanism. Second, the Portkey compromise scenario for information disclosure of real key material — this risk is bounded by the quality of the Portkey deployment hardening and Vault integration, both of which are enterprise-owned controls.</w:t>
      </w:r>
    </w:p>
    <w:p>
      <w:pPr>
        <w:spacing w:before="0" w:after="60"/>
      </w:pPr>
      <w:r>
        <w:t xml:space="preserve"/>
      </w:r>
    </w:p>
    <w:p>
      <w:pPr>
        <w:spacing w:before="60" w:after="100"/>
      </w:pPr>
      <w:r>
        <w:rPr>
          <w:rFonts w:ascii="Calibri" w:cs="Calibri" w:eastAsia="Calibri" w:hAnsi="Calibri"/>
          <w:b w:val="false"/>
          <w:bCs w:val="false"/>
          <w:color w:val="000000"/>
          <w:sz w:val="22"/>
          <w:szCs w:val="22"/>
        </w:rPr>
        <w:t xml:space="preserve">The elevation of privilege threat (standard virtual key accessing premium models) carries a critical dependency: whether Portkey's model routing enforces the allowlist by OVERRIDING the consumer-specified model field or merely validating it. If Portkey passes the model field through as-is and relies on the consumer to specify the correct model, the control is policy-only. This must be validated as a pre-go-live gate item.</w:t>
      </w:r>
    </w:p>
    <w:p>
      <w:r>
        <w:br w:type="page"/>
      </w:r>
    </w:p>
    <w:p>
      <w:pPr>
        <w:pStyle w:val="Heading1"/>
      </w:pPr>
      <w:r>
        <w:t xml:space="preserve">3. OWASP LLM Top 10 (2025) — Applicability and Control Mapping</w:t>
      </w:r>
    </w:p>
    <w:p>
      <w:pPr>
        <w:spacing w:before="60" w:after="100"/>
      </w:pPr>
      <w:r>
        <w:rPr>
          <w:rFonts w:ascii="Calibri" w:cs="Calibri" w:eastAsia="Calibri" w:hAnsi="Calibri"/>
          <w:b w:val="false"/>
          <w:bCs w:val="false"/>
          <w:color w:val="000000"/>
          <w:sz w:val="22"/>
          <w:szCs w:val="22"/>
        </w:rPr>
        <w:t xml:space="preserve">The OWASP LLM Top 10 (2025 edition) is the most practically applicable AI-specific risk classification for this deployment. Unlike general application security frameworks, it addresses attack classes specific to large language model behavior. The assessment below evaluates each OWASP LLM risk category against the specific architecture — not against a generic deployment.</w:t>
      </w:r>
    </w:p>
    <w:p>
      <w:pPr>
        <w:spacing w:before="0" w:after="60"/>
      </w:pPr>
      <w:r>
        <w:t xml:space="preserve"/>
      </w:r>
    </w:p>
    <w:p>
      <w:pPr>
        <w:spacing w:before="60" w:after="100"/>
      </w:pPr>
      <w:r>
        <w:rPr>
          <w:rFonts w:ascii="Calibri" w:cs="Calibri" w:eastAsia="Calibri" w:hAnsi="Calibri"/>
          <w:b w:val="false"/>
          <w:bCs w:val="false"/>
          <w:color w:val="000000"/>
          <w:sz w:val="22"/>
          <w:szCs w:val="22"/>
        </w:rPr>
        <w:t xml:space="preserve">The most significant OWASP LLM risks for this architecture are LLM01 (Prompt Injection), LLM02 (Sensitive Information Disclosure), and LLM09 (Misinformation). LLM01 is architecturally unsolved — no reliable technical control exists. LLM02 is partially mitigated by Portkey Guardrails and ZDR but cannot be fully eliminated against evasion techniques. LLM09 is the highest-frequency real-world harm in enterprise AI deployments and is addressed primarily through policy rather than technical control.</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600"/>
        <w:gridCol w:w="680"/>
        <w:gridCol w:w="2160"/>
        <w:gridCol w:w="2360"/>
        <w:gridCol w:w="1000"/>
      </w:tblGrid>
      <w:tr>
        <w:tc>
          <w:tcPr>
            <w:tcW w:type="dxa" w:w="56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vAlign w:val="top"/>
          </w:tcPr>
          <w:p>
            <w:pPr>
              <w:spacing w:before="0" w:after="0"/>
            </w:pPr>
            <w:r>
              <w:rPr>
                <w:rFonts w:ascii="Calibri" w:cs="Calibri" w:eastAsia="Calibri" w:hAnsi="Calibri"/>
                <w:b/>
                <w:bCs/>
                <w:color w:val="FFFFFF"/>
                <w:sz w:val="19"/>
                <w:szCs w:val="19"/>
              </w:rPr>
              <w:t xml:space="preserve">ID</w:t>
            </w:r>
          </w:p>
        </w:tc>
        <w:tc>
          <w:tcPr>
            <w:tcW w:type="dxa" w:w="160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vAlign w:val="top"/>
          </w:tcPr>
          <w:p>
            <w:pPr>
              <w:spacing w:before="0" w:after="0"/>
            </w:pPr>
            <w:r>
              <w:rPr>
                <w:rFonts w:ascii="Calibri" w:cs="Calibri" w:eastAsia="Calibri" w:hAnsi="Calibri"/>
                <w:b/>
                <w:bCs/>
                <w:color w:val="FFFFFF"/>
                <w:sz w:val="19"/>
                <w:szCs w:val="19"/>
              </w:rPr>
              <w:t xml:space="preserve">Risk</w:t>
            </w:r>
          </w:p>
        </w:tc>
        <w:tc>
          <w:tcPr>
            <w:tcW w:type="dxa" w:w="68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vAlign w:val="top"/>
          </w:tcPr>
          <w:p>
            <w:pPr>
              <w:spacing w:before="0" w:after="0"/>
            </w:pPr>
            <w:r>
              <w:rPr>
                <w:rFonts w:ascii="Calibri" w:cs="Calibri" w:eastAsia="Calibri" w:hAnsi="Calibri"/>
                <w:b/>
                <w:bCs/>
                <w:color w:val="FFFFFF"/>
                <w:sz w:val="19"/>
                <w:szCs w:val="19"/>
              </w:rPr>
              <w:t xml:space="preserve">Severity</w:t>
            </w:r>
          </w:p>
        </w:tc>
        <w:tc>
          <w:tcPr>
            <w:tcW w:type="dxa" w:w="216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vAlign w:val="top"/>
          </w:tcPr>
          <w:p>
            <w:pPr>
              <w:spacing w:before="0" w:after="0"/>
            </w:pPr>
            <w:r>
              <w:rPr>
                <w:rFonts w:ascii="Calibri" w:cs="Calibri" w:eastAsia="Calibri" w:hAnsi="Calibri"/>
                <w:b/>
                <w:bCs/>
                <w:color w:val="FFFFFF"/>
                <w:sz w:val="19"/>
                <w:szCs w:val="19"/>
              </w:rPr>
              <w:t xml:space="preserve">Controls in Place</w:t>
            </w:r>
          </w:p>
        </w:tc>
        <w:tc>
          <w:tcPr>
            <w:tcW w:type="dxa" w:w="236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vAlign w:val="top"/>
          </w:tcPr>
          <w:p>
            <w:pPr>
              <w:spacing w:before="0" w:after="0"/>
            </w:pPr>
            <w:r>
              <w:rPr>
                <w:rFonts w:ascii="Calibri" w:cs="Calibri" w:eastAsia="Calibri" w:hAnsi="Calibri"/>
                <w:b/>
                <w:bCs/>
                <w:color w:val="FFFFFF"/>
                <w:sz w:val="19"/>
                <w:szCs w:val="19"/>
              </w:rPr>
              <w:t xml:space="preserve">Assessment</w:t>
            </w:r>
          </w:p>
        </w:tc>
        <w:tc>
          <w:tcPr>
            <w:tcW w:type="dxa" w:w="100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vAlign w:val="top"/>
          </w:tcPr>
          <w:p>
            <w:pPr>
              <w:spacing w:before="0" w:after="0"/>
            </w:pPr>
            <w:r>
              <w:rPr>
                <w:rFonts w:ascii="Calibri" w:cs="Calibri" w:eastAsia="Calibri" w:hAnsi="Calibri"/>
                <w:b/>
                <w:bCs/>
                <w:color w:val="FFFFFF"/>
                <w:sz w:val="19"/>
                <w:szCs w:val="19"/>
              </w:rPr>
              <w:t xml:space="preserve">Residual</w:t>
            </w:r>
          </w:p>
        </w:tc>
      </w:tr>
      <w:tr>
        <w:tc>
          <w:tcPr>
            <w:tcW w:type="dxa" w:w="56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1F3864"/>
                <w:sz w:val="18"/>
                <w:szCs w:val="18"/>
              </w:rPr>
              <w:t xml:space="preserve">LLM01</w:t>
            </w:r>
          </w:p>
        </w:tc>
        <w:tc>
          <w:tcPr>
            <w:tcW w:type="dxa" w:w="16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111111"/>
                <w:sz w:val="18"/>
                <w:szCs w:val="18"/>
              </w:rPr>
              <w:t xml:space="preserve">Prompt Injection</w:t>
            </w:r>
          </w:p>
        </w:tc>
        <w:tc>
          <w:tcPr>
            <w:tcW w:type="dxa" w:w="68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C00000"/>
                <w:sz w:val="18"/>
                <w:szCs w:val="18"/>
              </w:rPr>
              <w:t xml:space="preserve">HIGH</w:t>
            </w:r>
          </w:p>
        </w:tc>
        <w:tc>
          <w:tcPr>
            <w:tcW w:type="dxa" w:w="216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8"/>
                <w:szCs w:val="18"/>
              </w:rPr>
              <w:t xml:space="preserve">Portkey output guardrails (partial); use-case scoping; system prompt guidelines</w:t>
            </w:r>
          </w:p>
        </w:tc>
        <w:tc>
          <w:tcPr>
            <w:tcW w:type="dxa" w:w="236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7"/>
                <w:szCs w:val="17"/>
              </w:rPr>
              <w:t xml:space="preserve">Architecturally unsolved class of vulnerability. No reliable technical detection at inference time. Human review in regulated workflows is the only effective mitigation. Risk accepted for general use cases.</w:t>
            </w:r>
          </w:p>
        </w:tc>
        <w:tc>
          <w:tcPr>
            <w:tcW w:type="dxa" w:w="10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C00000"/>
                <w:sz w:val="18"/>
                <w:szCs w:val="18"/>
              </w:rPr>
              <w:t xml:space="preserve">HIGH</w:t>
            </w:r>
          </w:p>
        </w:tc>
      </w:tr>
      <w:tr>
        <w:tc>
          <w:tcPr>
            <w:tcW w:type="dxa" w:w="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1F3864"/>
                <w:sz w:val="18"/>
                <w:szCs w:val="18"/>
              </w:rPr>
              <w:t xml:space="preserve">LLM02</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111111"/>
                <w:sz w:val="18"/>
                <w:szCs w:val="18"/>
              </w:rPr>
              <w:t xml:space="preserve">Sensitive Information Disclosure</w:t>
            </w:r>
          </w:p>
        </w:tc>
        <w:tc>
          <w:tcPr>
            <w:tcW w:type="dxa" w:w="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C00000"/>
                <w:sz w:val="18"/>
                <w:szCs w:val="18"/>
              </w:rPr>
              <w:t xml:space="preserve">HIGH</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8"/>
                <w:szCs w:val="18"/>
              </w:rPr>
              <w:t xml:space="preserve">Portkey input guardrails (credential + PHI blocking); ZDR (no retention); AUP policy</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7"/>
                <w:szCs w:val="17"/>
              </w:rPr>
              <w:t xml:space="preserve">Transmission risk remains even with ZDR. Guardrail evasion via encoding is a documented technique. Risk reduced to MEDIUM with guardrails active; residual accepted.</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7F6000"/>
                <w:sz w:val="18"/>
                <w:szCs w:val="18"/>
              </w:rPr>
              <w:t xml:space="preserve">MEDIUM</w:t>
            </w:r>
          </w:p>
        </w:tc>
      </w:tr>
      <w:tr>
        <w:tc>
          <w:tcPr>
            <w:tcW w:type="dxa" w:w="56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1F3864"/>
                <w:sz w:val="18"/>
                <w:szCs w:val="18"/>
              </w:rPr>
              <w:t xml:space="preserve">LLM03</w:t>
            </w:r>
          </w:p>
        </w:tc>
        <w:tc>
          <w:tcPr>
            <w:tcW w:type="dxa" w:w="16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111111"/>
                <w:sz w:val="18"/>
                <w:szCs w:val="18"/>
              </w:rPr>
              <w:t xml:space="preserve">Supply Chain Vulnerabilities</w:t>
            </w:r>
          </w:p>
        </w:tc>
        <w:tc>
          <w:tcPr>
            <w:tcW w:type="dxa" w:w="68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7F6000"/>
                <w:sz w:val="18"/>
                <w:szCs w:val="18"/>
              </w:rPr>
              <w:t xml:space="preserve">MEDIUM</w:t>
            </w:r>
          </w:p>
        </w:tc>
        <w:tc>
          <w:tcPr>
            <w:tcW w:type="dxa" w:w="216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8"/>
                <w:szCs w:val="18"/>
              </w:rPr>
              <w:t xml:space="preserve">Portkey image scanning (Trivy); SCA in CI/CD; dependency pinning; base image hardening</w:t>
            </w:r>
          </w:p>
        </w:tc>
        <w:tc>
          <w:tcPr>
            <w:tcW w:type="dxa" w:w="236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7"/>
                <w:szCs w:val="17"/>
              </w:rPr>
              <w:t xml:space="preserve">Applies to Portkey COTS stack (Node.js, container base image) as well as OpenAI model provenance. Nation-state supply chain attacks are low-probability but not impossible.</w:t>
            </w:r>
          </w:p>
        </w:tc>
        <w:tc>
          <w:tcPr>
            <w:tcW w:type="dxa" w:w="10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375623"/>
                <w:sz w:val="18"/>
                <w:szCs w:val="18"/>
              </w:rPr>
              <w:t xml:space="preserve">LOW</w:t>
            </w:r>
          </w:p>
        </w:tc>
      </w:tr>
      <w:tr>
        <w:tc>
          <w:tcPr>
            <w:tcW w:type="dxa" w:w="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1F3864"/>
                <w:sz w:val="18"/>
                <w:szCs w:val="18"/>
              </w:rPr>
              <w:t xml:space="preserve">LLM04</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111111"/>
                <w:sz w:val="18"/>
                <w:szCs w:val="18"/>
              </w:rPr>
              <w:t xml:space="preserve">Data and Model Poisoning</w:t>
            </w:r>
          </w:p>
        </w:tc>
        <w:tc>
          <w:tcPr>
            <w:tcW w:type="dxa" w:w="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375623"/>
                <w:sz w:val="18"/>
                <w:szCs w:val="18"/>
              </w:rPr>
              <w:t xml:space="preserve">LOW</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8"/>
                <w:szCs w:val="18"/>
              </w:rPr>
              <w:t xml:space="preserve">No fine-tuning active in initial deployment scope; training data governance SOP required before fine-tuning enabled</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7"/>
                <w:szCs w:val="17"/>
              </w:rPr>
              <w:t xml:space="preserve">Risk materializes when PROD-Finetuned project is enabled. Training data review and classification attestation required per FTM-001 before any fine-tuning job submitted.</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375623"/>
                <w:sz w:val="18"/>
                <w:szCs w:val="18"/>
              </w:rPr>
              <w:t xml:space="preserve">LOW</w:t>
            </w:r>
          </w:p>
        </w:tc>
      </w:tr>
      <w:tr>
        <w:tc>
          <w:tcPr>
            <w:tcW w:type="dxa" w:w="56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1F3864"/>
                <w:sz w:val="18"/>
                <w:szCs w:val="18"/>
              </w:rPr>
              <w:t xml:space="preserve">LLM05</w:t>
            </w:r>
          </w:p>
        </w:tc>
        <w:tc>
          <w:tcPr>
            <w:tcW w:type="dxa" w:w="16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111111"/>
                <w:sz w:val="18"/>
                <w:szCs w:val="18"/>
              </w:rPr>
              <w:t xml:space="preserve">Insecure Output Handling</w:t>
            </w:r>
          </w:p>
        </w:tc>
        <w:tc>
          <w:tcPr>
            <w:tcW w:type="dxa" w:w="68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7F6000"/>
                <w:sz w:val="18"/>
                <w:szCs w:val="18"/>
              </w:rPr>
              <w:t xml:space="preserve">MEDIUM</w:t>
            </w:r>
          </w:p>
        </w:tc>
        <w:tc>
          <w:tcPr>
            <w:tcW w:type="dxa" w:w="216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8"/>
                <w:szCs w:val="18"/>
              </w:rPr>
              <w:t xml:space="preserve">Portkey output guardrails (content policy); AUP output review requirements; consuming application responsibility</w:t>
            </w:r>
          </w:p>
        </w:tc>
        <w:tc>
          <w:tcPr>
            <w:tcW w:type="dxa" w:w="236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7"/>
                <w:szCs w:val="17"/>
              </w:rPr>
              <w:t xml:space="preserve">Consuming applications must validate and sanitize model outputs before use in downstream systems. Portkey cannot enforce output handling in consuming application code.</w:t>
            </w:r>
          </w:p>
        </w:tc>
        <w:tc>
          <w:tcPr>
            <w:tcW w:type="dxa" w:w="10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7F6000"/>
                <w:sz w:val="18"/>
                <w:szCs w:val="18"/>
              </w:rPr>
              <w:t xml:space="preserve">MEDIUM</w:t>
            </w:r>
          </w:p>
        </w:tc>
      </w:tr>
      <w:tr>
        <w:tc>
          <w:tcPr>
            <w:tcW w:type="dxa" w:w="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1F3864"/>
                <w:sz w:val="18"/>
                <w:szCs w:val="18"/>
              </w:rPr>
              <w:t xml:space="preserve">LLM06</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111111"/>
                <w:sz w:val="18"/>
                <w:szCs w:val="18"/>
              </w:rPr>
              <w:t xml:space="preserve">Excessive Agency</w:t>
            </w:r>
          </w:p>
        </w:tc>
        <w:tc>
          <w:tcPr>
            <w:tcW w:type="dxa" w:w="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375623"/>
                <w:sz w:val="18"/>
                <w:szCs w:val="18"/>
              </w:rPr>
              <w:t xml:space="preserve">LOW</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8"/>
                <w:szCs w:val="18"/>
              </w:rPr>
              <w:t xml:space="preserve">Virtual key scoping limits which models and capabilities are accessible per consumer; no agentic tool use in initial deployment scope</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7"/>
                <w:szCs w:val="17"/>
              </w:rPr>
              <w:t xml:space="preserve">Risk increases significantly if agentic workflows (tool use, code execution, web retrieval) are later enabled. Each agentic capability requires separate threat model assessment before enablement.</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375623"/>
                <w:sz w:val="18"/>
                <w:szCs w:val="18"/>
              </w:rPr>
              <w:t xml:space="preserve">LOW</w:t>
            </w:r>
          </w:p>
        </w:tc>
      </w:tr>
      <w:tr>
        <w:tc>
          <w:tcPr>
            <w:tcW w:type="dxa" w:w="56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1F3864"/>
                <w:sz w:val="18"/>
                <w:szCs w:val="18"/>
              </w:rPr>
              <w:t xml:space="preserve">LLM07</w:t>
            </w:r>
          </w:p>
        </w:tc>
        <w:tc>
          <w:tcPr>
            <w:tcW w:type="dxa" w:w="16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111111"/>
                <w:sz w:val="18"/>
                <w:szCs w:val="18"/>
              </w:rPr>
              <w:t xml:space="preserve">System Prompt Leakage</w:t>
            </w:r>
          </w:p>
        </w:tc>
        <w:tc>
          <w:tcPr>
            <w:tcW w:type="dxa" w:w="68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7F6000"/>
                <w:sz w:val="18"/>
                <w:szCs w:val="18"/>
              </w:rPr>
              <w:t xml:space="preserve">MEDIUM</w:t>
            </w:r>
          </w:p>
        </w:tc>
        <w:tc>
          <w:tcPr>
            <w:tcW w:type="dxa" w:w="216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8"/>
                <w:szCs w:val="18"/>
              </w:rPr>
              <w:t xml:space="preserve">System prompt confidentiality guidance in AUP; virtual key scoping prevents cross-tenant leakage</w:t>
            </w:r>
          </w:p>
        </w:tc>
        <w:tc>
          <w:tcPr>
            <w:tcW w:type="dxa" w:w="236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7"/>
                <w:szCs w:val="17"/>
              </w:rPr>
              <w:t xml:space="preserve">OpenAI model behavior on system prompt extraction has improved but is not fully protected against determined prompt injection. Do not embed secrets or regulated data in system prompts.</w:t>
            </w:r>
          </w:p>
        </w:tc>
        <w:tc>
          <w:tcPr>
            <w:tcW w:type="dxa" w:w="10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7F6000"/>
                <w:sz w:val="18"/>
                <w:szCs w:val="18"/>
              </w:rPr>
              <w:t xml:space="preserve">MEDIUM</w:t>
            </w:r>
          </w:p>
        </w:tc>
      </w:tr>
      <w:tr>
        <w:tc>
          <w:tcPr>
            <w:tcW w:type="dxa" w:w="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1F3864"/>
                <w:sz w:val="18"/>
                <w:szCs w:val="18"/>
              </w:rPr>
              <w:t xml:space="preserve">LLM08</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111111"/>
                <w:sz w:val="18"/>
                <w:szCs w:val="18"/>
              </w:rPr>
              <w:t xml:space="preserve">Vector and Embedding Weaknesses</w:t>
            </w:r>
          </w:p>
        </w:tc>
        <w:tc>
          <w:tcPr>
            <w:tcW w:type="dxa" w:w="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7F6000"/>
                <w:sz w:val="18"/>
                <w:szCs w:val="18"/>
              </w:rPr>
              <w:t xml:space="preserve">MEDIUM</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8"/>
                <w:szCs w:val="18"/>
              </w:rPr>
              <w:t xml:space="preserve">PROD-Embeddings project scoped to pipeline service virtual keys only; no user-facing embedding access</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7"/>
                <w:szCs w:val="17"/>
              </w:rPr>
              <w:t xml:space="preserve">Risk applies when RAG pipelines are enabled (Phase 2). Data poisoning via adversarially crafted documents in retrieval corpus is a documented attack. Requires separate assessment when RAG is deployed.</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7F6000"/>
                <w:sz w:val="18"/>
                <w:szCs w:val="18"/>
              </w:rPr>
              <w:t xml:space="preserve">MEDIUM</w:t>
            </w:r>
          </w:p>
        </w:tc>
      </w:tr>
      <w:tr>
        <w:tc>
          <w:tcPr>
            <w:tcW w:type="dxa" w:w="56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1F3864"/>
                <w:sz w:val="18"/>
                <w:szCs w:val="18"/>
              </w:rPr>
              <w:t xml:space="preserve">LLM09</w:t>
            </w:r>
          </w:p>
        </w:tc>
        <w:tc>
          <w:tcPr>
            <w:tcW w:type="dxa" w:w="16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111111"/>
                <w:sz w:val="18"/>
                <w:szCs w:val="18"/>
              </w:rPr>
              <w:t xml:space="preserve">Misinformation</w:t>
            </w:r>
          </w:p>
        </w:tc>
        <w:tc>
          <w:tcPr>
            <w:tcW w:type="dxa" w:w="68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C00000"/>
                <w:sz w:val="18"/>
                <w:szCs w:val="18"/>
              </w:rPr>
              <w:t xml:space="preserve">HIGH</w:t>
            </w:r>
          </w:p>
        </w:tc>
        <w:tc>
          <w:tcPr>
            <w:tcW w:type="dxa" w:w="216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8"/>
                <w:szCs w:val="18"/>
              </w:rPr>
              <w:t xml:space="preserve">AUP output review requirements; prohibited use case list; no regulated-decision workflows without separate review</w:t>
            </w:r>
          </w:p>
        </w:tc>
        <w:tc>
          <w:tcPr>
            <w:tcW w:type="dxa" w:w="236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7"/>
                <w:szCs w:val="17"/>
              </w:rPr>
              <w:t xml:space="preserve">Hallucination risk is architecturally irreducible. This is the highest-frequency real-world harm from LLM deployments in enterprise. Policy and workflow controls are the only effective mitigations.</w:t>
            </w:r>
          </w:p>
        </w:tc>
        <w:tc>
          <w:tcPr>
            <w:tcW w:type="dxa" w:w="10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C00000"/>
                <w:sz w:val="18"/>
                <w:szCs w:val="18"/>
              </w:rPr>
              <w:t xml:space="preserve">HIGH</w:t>
            </w:r>
          </w:p>
        </w:tc>
      </w:tr>
      <w:tr>
        <w:tc>
          <w:tcPr>
            <w:tcW w:type="dxa" w:w="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1F3864"/>
                <w:sz w:val="18"/>
                <w:szCs w:val="18"/>
              </w:rPr>
              <w:t xml:space="preserve">LLM10</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111111"/>
                <w:sz w:val="18"/>
                <w:szCs w:val="18"/>
              </w:rPr>
              <w:t xml:space="preserve">Unbounded Consumption</w:t>
            </w:r>
          </w:p>
        </w:tc>
        <w:tc>
          <w:tcPr>
            <w:tcW w:type="dxa" w:w="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375623"/>
                <w:sz w:val="18"/>
                <w:szCs w:val="18"/>
              </w:rPr>
              <w:t xml:space="preserve">LOW</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8"/>
                <w:szCs w:val="18"/>
              </w:rPr>
              <w:t xml:space="preserve">Portkey per-virtual-key token budget and rate limits; OpenAI project hard spend caps; FinOps alerting at 50%/80%/100% thresholds</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7"/>
                <w:szCs w:val="17"/>
              </w:rPr>
              <w:t xml:space="preserve">Well-controlled in this architecture. Both Portkey virtual key limits and OpenAI project spend caps must be active simultaneously. Financial exposure is bounded; availability risk from cap-hit requires HA design.</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375623"/>
                <w:sz w:val="18"/>
                <w:szCs w:val="18"/>
              </w:rPr>
              <w:t xml:space="preserve">LOW</w:t>
            </w:r>
          </w:p>
        </w:tc>
      </w:tr>
    </w:tbl>
    <w:p>
      <w:pPr>
        <w:spacing w:before="0" w:after="80"/>
      </w:pPr>
      <w:r>
        <w:t xml:space="preserve"/>
      </w:r>
    </w:p>
    <w:p>
      <w:pPr>
        <w:pBdr>
          <w:left w:val="single" w:color="C00000" w:sz="16" w:space="8"/>
        </w:pBdr>
        <w:shd w:fill="FFE7E7" w:val="clear"/>
        <w:spacing w:before="80" w:after="80"/>
        <w:ind w:left="300"/>
      </w:pPr>
      <w:r>
        <w:rPr>
          <w:rFonts w:ascii="Calibri" w:cs="Calibri" w:eastAsia="Calibri" w:hAnsi="Calibri"/>
          <w:sz w:val="21"/>
          <w:szCs w:val="21"/>
        </w:rPr>
        <w:t xml:space="preserve">LLM01 (Prompt Injection) warrants specific elaboration. The OWASP LLM Top 10 rates this as the highest-priority risk precisely because it has no reliable technical mitigation at the inference layer. Portkey Guardrails address the output side partially, but the injection itself occurs within the model's context window. The practical implication for this deployment: any workflow where the model acts on content from an untrusted source (documents, emails, web content) carries prompt injection risk regardless of gateway controls. Agentic workflows amplify this risk significantly and must be threat-modeled independently before enablement.</w:t>
      </w:r>
    </w:p>
    <w:p>
      <w:r>
        <w:br w:type="page"/>
      </w:r>
    </w:p>
    <w:p>
      <w:pPr>
        <w:pStyle w:val="Heading1"/>
      </w:pPr>
      <w:r>
        <w:t xml:space="preserve">4. Risk Register (NIST SP 800-30)</w:t>
      </w:r>
    </w:p>
    <w:p>
      <w:pPr>
        <w:spacing w:before="60" w:after="100"/>
      </w:pPr>
      <w:r>
        <w:rPr>
          <w:rFonts w:ascii="Calibri" w:cs="Calibri" w:eastAsia="Calibri" w:hAnsi="Calibri"/>
          <w:b w:val="false"/>
          <w:bCs w:val="false"/>
          <w:color w:val="000000"/>
          <w:sz w:val="22"/>
          <w:szCs w:val="22"/>
        </w:rPr>
        <w:t xml:space="preserve">The risk register below applies NIST SP 800-30 Rev. 1 methodology. Likelihood and impact are rated on a 1–5 scale (1=Low, 2=Moderate, 3=High, 4=Very High, 5=Critical). Overall risk rating is derived from the likelihood-impact product mapped to: 1–4=LOW, 5–8=MEDIUM, 9–14=HIGH, 15–25=CRITICAL. All ratings reflect the residual risk after planned controls are implemented — not the inherent risk before controls.</w:t>
      </w:r>
    </w:p>
    <w:p>
      <w:pPr>
        <w:spacing w:before="0" w:after="60"/>
      </w:pPr>
      <w:r>
        <w:t xml:space="preserve"/>
      </w:r>
    </w:p>
    <w:p>
      <w:pPr>
        <w:spacing w:before="60" w:after="100"/>
      </w:pPr>
      <w:r>
        <w:rPr>
          <w:rFonts w:ascii="Calibri" w:cs="Calibri" w:eastAsia="Calibri" w:hAnsi="Calibri"/>
          <w:b w:val="false"/>
          <w:bCs w:val="false"/>
          <w:color w:val="000000"/>
          <w:sz w:val="22"/>
          <w:szCs w:val="22"/>
        </w:rPr>
        <w:t xml:space="preserve">Risk treatment options used in this register follow the standard four: Mitigate (reduce likelihood or impact through controls), Accept (acknowledge risk as within tolerance), Transfer (contractual or insurance mechanism), and Avoid (eliminate the activity that creates the risk). For this architecture, no risks fall into the Avoid category — the deployment is proceeding. Transfer is not applicable for most technical risks. The focus is on Mitigate vs. Accept.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240"/>
        <w:gridCol w:w="920"/>
        <w:gridCol w:w="360"/>
        <w:gridCol w:w="360"/>
        <w:gridCol w:w="660"/>
        <w:gridCol w:w="1500"/>
        <w:gridCol w:w="1500"/>
        <w:gridCol w:w="660"/>
        <w:gridCol w:w="600"/>
        <w:gridCol w:w="560"/>
      </w:tblGrid>
      <w:tr>
        <w:tc>
          <w:tcPr>
            <w:tcW w:type="dxa" w:w="40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vAlign w:val="top"/>
          </w:tcPr>
          <w:p>
            <w:pPr>
              <w:spacing w:before="0" w:after="0"/>
            </w:pPr>
            <w:r>
              <w:rPr>
                <w:rFonts w:ascii="Calibri" w:cs="Calibri" w:eastAsia="Calibri" w:hAnsi="Calibri"/>
                <w:b/>
                <w:bCs/>
                <w:color w:val="FFFFFF"/>
                <w:sz w:val="19"/>
                <w:szCs w:val="19"/>
              </w:rPr>
              <w:t xml:space="preserve">ID</w:t>
            </w:r>
          </w:p>
        </w:tc>
        <w:tc>
          <w:tcPr>
            <w:tcW w:type="dxa" w:w="124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vAlign w:val="top"/>
          </w:tcPr>
          <w:p>
            <w:pPr>
              <w:spacing w:before="0" w:after="0"/>
            </w:pPr>
            <w:r>
              <w:rPr>
                <w:rFonts w:ascii="Calibri" w:cs="Calibri" w:eastAsia="Calibri" w:hAnsi="Calibri"/>
                <w:b/>
                <w:bCs/>
                <w:color w:val="FFFFFF"/>
                <w:sz w:val="19"/>
                <w:szCs w:val="19"/>
              </w:rPr>
              <w:t xml:space="preserve">Category</w:t>
            </w:r>
          </w:p>
        </w:tc>
        <w:tc>
          <w:tcPr>
            <w:tcW w:type="dxa" w:w="92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vAlign w:val="top"/>
          </w:tcPr>
          <w:p>
            <w:pPr>
              <w:spacing w:before="0" w:after="0"/>
            </w:pPr>
            <w:r>
              <w:rPr>
                <w:rFonts w:ascii="Calibri" w:cs="Calibri" w:eastAsia="Calibri" w:hAnsi="Calibri"/>
                <w:b/>
                <w:bCs/>
                <w:color w:val="FFFFFF"/>
                <w:sz w:val="19"/>
                <w:szCs w:val="19"/>
              </w:rPr>
              <w:t xml:space="preserve">Threat</w:t>
            </w:r>
          </w:p>
        </w:tc>
        <w:tc>
          <w:tcPr>
            <w:tcW w:type="dxa" w:w="36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vAlign w:val="top"/>
          </w:tcPr>
          <w:p>
            <w:pPr>
              <w:spacing w:before="0" w:after="0"/>
            </w:pPr>
            <w:r>
              <w:rPr>
                <w:rFonts w:ascii="Calibri" w:cs="Calibri" w:eastAsia="Calibri" w:hAnsi="Calibri"/>
                <w:b/>
                <w:bCs/>
                <w:color w:val="FFFFFF"/>
                <w:sz w:val="19"/>
                <w:szCs w:val="19"/>
              </w:rPr>
              <w:t xml:space="preserve">L</w:t>
            </w:r>
          </w:p>
        </w:tc>
        <w:tc>
          <w:tcPr>
            <w:tcW w:type="dxa" w:w="36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vAlign w:val="top"/>
          </w:tcPr>
          <w:p>
            <w:pPr>
              <w:spacing w:before="0" w:after="0"/>
            </w:pPr>
            <w:r>
              <w:rPr>
                <w:rFonts w:ascii="Calibri" w:cs="Calibri" w:eastAsia="Calibri" w:hAnsi="Calibri"/>
                <w:b/>
                <w:bCs/>
                <w:color w:val="FFFFFF"/>
                <w:sz w:val="19"/>
                <w:szCs w:val="19"/>
              </w:rPr>
              <w:t xml:space="preserve">I</w:t>
            </w:r>
          </w:p>
        </w:tc>
        <w:tc>
          <w:tcPr>
            <w:tcW w:type="dxa" w:w="66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vAlign w:val="top"/>
          </w:tcPr>
          <w:p>
            <w:pPr>
              <w:spacing w:before="0" w:after="0"/>
            </w:pPr>
            <w:r>
              <w:rPr>
                <w:rFonts w:ascii="Calibri" w:cs="Calibri" w:eastAsia="Calibri" w:hAnsi="Calibri"/>
                <w:b/>
                <w:bCs/>
                <w:color w:val="FFFFFF"/>
                <w:sz w:val="19"/>
                <w:szCs w:val="19"/>
              </w:rPr>
              <w:t xml:space="preserve">Overall</w:t>
            </w:r>
          </w:p>
        </w:tc>
        <w:tc>
          <w:tcPr>
            <w:tcW w:type="dxa" w:w="150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vAlign w:val="top"/>
          </w:tcPr>
          <w:p>
            <w:pPr>
              <w:spacing w:before="0" w:after="0"/>
            </w:pPr>
            <w:r>
              <w:rPr>
                <w:rFonts w:ascii="Calibri" w:cs="Calibri" w:eastAsia="Calibri" w:hAnsi="Calibri"/>
                <w:b/>
                <w:bCs/>
                <w:color w:val="FFFFFF"/>
                <w:sz w:val="19"/>
                <w:szCs w:val="19"/>
              </w:rPr>
              <w:t xml:space="preserve">Existing Controls</w:t>
            </w:r>
          </w:p>
        </w:tc>
        <w:tc>
          <w:tcPr>
            <w:tcW w:type="dxa" w:w="150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vAlign w:val="top"/>
          </w:tcPr>
          <w:p>
            <w:pPr>
              <w:spacing w:before="0" w:after="0"/>
            </w:pPr>
            <w:r>
              <w:rPr>
                <w:rFonts w:ascii="Calibri" w:cs="Calibri" w:eastAsia="Calibri" w:hAnsi="Calibri"/>
                <w:b/>
                <w:bCs/>
                <w:color w:val="FFFFFF"/>
                <w:sz w:val="19"/>
                <w:szCs w:val="19"/>
              </w:rPr>
              <w:t xml:space="preserve">Residual Risk Statement</w:t>
            </w:r>
          </w:p>
        </w:tc>
        <w:tc>
          <w:tcPr>
            <w:tcW w:type="dxa" w:w="66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vAlign w:val="top"/>
          </w:tcPr>
          <w:p>
            <w:pPr>
              <w:spacing w:before="0" w:after="0"/>
            </w:pPr>
            <w:r>
              <w:rPr>
                <w:rFonts w:ascii="Calibri" w:cs="Calibri" w:eastAsia="Calibri" w:hAnsi="Calibri"/>
                <w:b/>
                <w:bCs/>
                <w:color w:val="FFFFFF"/>
                <w:sz w:val="19"/>
                <w:szCs w:val="19"/>
              </w:rPr>
              <w:t xml:space="preserve">Treatment</w:t>
            </w:r>
          </w:p>
        </w:tc>
        <w:tc>
          <w:tcPr>
            <w:tcW w:type="dxa" w:w="60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vAlign w:val="top"/>
          </w:tcPr>
          <w:p>
            <w:pPr>
              <w:spacing w:before="0" w:after="0"/>
            </w:pPr>
            <w:r>
              <w:rPr>
                <w:rFonts w:ascii="Calibri" w:cs="Calibri" w:eastAsia="Calibri" w:hAnsi="Calibri"/>
                <w:b/>
                <w:bCs/>
                <w:color w:val="FFFFFF"/>
                <w:sz w:val="19"/>
                <w:szCs w:val="19"/>
              </w:rPr>
              <w:t xml:space="preserve">Source</w:t>
            </w:r>
          </w:p>
        </w:tc>
        <w:tc>
          <w:tcPr>
            <w:tcW w:type="dxa" w:w="56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vAlign w:val="top"/>
          </w:tcPr>
          <w:p>
            <w:pPr>
              <w:spacing w:before="0" w:after="0"/>
            </w:pPr>
            <w:r>
              <w:rPr>
                <w:rFonts w:ascii="Calibri" w:cs="Calibri" w:eastAsia="Calibri" w:hAnsi="Calibri"/>
                <w:b/>
                <w:bCs/>
                <w:color w:val="FFFFFF"/>
                <w:sz w:val="19"/>
                <w:szCs w:val="19"/>
              </w:rPr>
              <w:t xml:space="preserve">Control Ref</w:t>
            </w:r>
          </w:p>
        </w:tc>
      </w:tr>
      <w:tr>
        <w:tc>
          <w:tcPr>
            <w:tcW w:type="dxa" w:w="4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1F3864"/>
                <w:sz w:val="17"/>
                <w:szCs w:val="17"/>
              </w:rPr>
              <w:t xml:space="preserve">R-01</w:t>
            </w:r>
          </w:p>
        </w:tc>
        <w:tc>
          <w:tcPr>
            <w:tcW w:type="dxa" w:w="124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111111"/>
                <w:sz w:val="17"/>
                <w:szCs w:val="17"/>
              </w:rPr>
              <w:t xml:space="preserve">Key &amp; Credential Management</w:t>
            </w:r>
          </w:p>
        </w:tc>
        <w:tc>
          <w:tcPr>
            <w:tcW w:type="dxa" w:w="92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7"/>
                <w:szCs w:val="17"/>
              </w:rPr>
              <w:t xml:space="preserve">Real OpenAI API key exposed via git commit, container image, or Portkey config leak</w:t>
            </w:r>
          </w:p>
        </w:tc>
        <w:tc>
          <w:tcPr>
            <w:tcW w:type="dxa" w:w="36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C55A11"/>
                <w:sz w:val="17"/>
                <w:szCs w:val="17"/>
              </w:rPr>
              <w:t xml:space="preserve">3</w:t>
            </w:r>
          </w:p>
        </w:tc>
        <w:tc>
          <w:tcPr>
            <w:tcW w:type="dxa" w:w="36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C00000"/>
                <w:sz w:val="17"/>
                <w:szCs w:val="17"/>
              </w:rPr>
              <w:t xml:space="preserve">5</w:t>
            </w:r>
          </w:p>
        </w:tc>
        <w:tc>
          <w:tcPr>
            <w:tcW w:type="dxa" w:w="660"/>
            <w:tcBorders>
              <w:top w:val="single" w:color="CCCCCC" w:sz="1"/>
              <w:left w:val="single" w:color="CCCCCC" w:sz="1"/>
              <w:bottom w:val="single" w:color="CCCCCC" w:sz="1"/>
              <w:right w:val="single" w:color="CCCCCC" w:sz="1"/>
            </w:tcBorders>
            <w:shd w:fill="FFE7E7" w:val="clear"/>
            <w:tcMar>
              <w:top w:type="dxa" w:w="70"/>
              <w:left w:type="dxa" w:w="100"/>
              <w:bottom w:type="dxa" w:w="70"/>
              <w:right w:type="dxa" w:w="100"/>
            </w:tcMar>
            <w:vAlign w:val="top"/>
          </w:tcPr>
          <w:p>
            <w:pPr>
              <w:spacing w:before="0" w:after="0"/>
            </w:pPr>
            <w:r>
              <w:rPr>
                <w:rFonts w:ascii="Calibri" w:cs="Calibri" w:eastAsia="Calibri" w:hAnsi="Calibri"/>
                <w:b/>
                <w:bCs/>
                <w:color w:val="C00000"/>
                <w:sz w:val="19"/>
                <w:szCs w:val="19"/>
              </w:rPr>
              <w:t xml:space="preserve">CRITICAL</w:t>
            </w:r>
          </w:p>
        </w:tc>
        <w:tc>
          <w:tcPr>
            <w:tcW w:type="dxa" w:w="15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7"/>
                <w:szCs w:val="17"/>
              </w:rPr>
              <w:t xml:space="preserve">gitleaks pre-commit hook; Portkey secrets backend / Vault integration; no real keys in git</w:t>
            </w:r>
          </w:p>
        </w:tc>
        <w:tc>
          <w:tcPr>
            <w:tcW w:type="dxa" w:w="15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7F6000"/>
                <w:sz w:val="17"/>
                <w:szCs w:val="17"/>
              </w:rPr>
              <w:t xml:space="preserve">MEDIUM — Human process failure (override of pre-commit hook) remains possible</w:t>
            </w:r>
          </w:p>
        </w:tc>
        <w:tc>
          <w:tcPr>
            <w:tcW w:type="dxa" w:w="66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7"/>
                <w:szCs w:val="17"/>
              </w:rPr>
              <w:t xml:space="preserve">Accept with controls</w:t>
            </w:r>
          </w:p>
        </w:tc>
        <w:tc>
          <w:tcPr>
            <w:tcW w:type="dxa" w:w="6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595959"/>
                <w:sz w:val="15"/>
                <w:szCs w:val="15"/>
              </w:rPr>
              <w:t xml:space="preserve">OWASP LLM09 (2025) — Improper Supply Chain / Misinformation; STRIDE: Information Disclosure</w:t>
            </w:r>
          </w:p>
        </w:tc>
        <w:tc>
          <w:tcPr>
            <w:tcW w:type="dxa" w:w="56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2E75B6"/>
                <w:sz w:val="17"/>
                <w:szCs w:val="17"/>
              </w:rPr>
              <w:t xml:space="preserve">KEY-002 / GWY-002</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1F3864"/>
                <w:sz w:val="17"/>
                <w:szCs w:val="17"/>
              </w:rPr>
              <w:t xml:space="preserve">R-02</w:t>
            </w:r>
          </w:p>
        </w:tc>
        <w:tc>
          <w:tcPr>
            <w:tcW w:type="dxa" w:w="12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111111"/>
                <w:sz w:val="17"/>
                <w:szCs w:val="17"/>
              </w:rPr>
              <w:t xml:space="preserve">Portkey COTS Security</w:t>
            </w:r>
          </w:p>
        </w:tc>
        <w:tc>
          <w:tcPr>
            <w:tcW w:type="dxa" w:w="9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7"/>
                <w:szCs w:val="17"/>
              </w:rPr>
              <w:t xml:space="preserve">Portkey COTS instance compromised due to unpatched CVE; attacker gains access to virtual key → real key mapping table</w:t>
            </w:r>
          </w:p>
        </w:tc>
        <w:tc>
          <w:tcPr>
            <w:tcW w:type="dxa" w:w="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375623"/>
                <w:sz w:val="17"/>
                <w:szCs w:val="17"/>
              </w:rPr>
              <w:t xml:space="preserve">2</w:t>
            </w:r>
          </w:p>
        </w:tc>
        <w:tc>
          <w:tcPr>
            <w:tcW w:type="dxa" w:w="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C00000"/>
                <w:sz w:val="17"/>
                <w:szCs w:val="17"/>
              </w:rPr>
              <w:t xml:space="preserve">5</w:t>
            </w:r>
          </w:p>
        </w:tc>
        <w:tc>
          <w:tcPr>
            <w:tcW w:type="dxa" w:w="660"/>
            <w:tcBorders>
              <w:top w:val="single" w:color="CCCCCC" w:sz="1"/>
              <w:left w:val="single" w:color="CCCCCC" w:sz="1"/>
              <w:bottom w:val="single" w:color="CCCCCC" w:sz="1"/>
              <w:right w:val="single" w:color="CCCCCC" w:sz="1"/>
            </w:tcBorders>
            <w:shd w:fill="FDEBD0" w:val="clear"/>
            <w:tcMar>
              <w:top w:type="dxa" w:w="70"/>
              <w:left w:type="dxa" w:w="100"/>
              <w:bottom w:type="dxa" w:w="70"/>
              <w:right w:type="dxa" w:w="100"/>
            </w:tcMar>
            <w:vAlign w:val="top"/>
          </w:tcPr>
          <w:p>
            <w:pPr>
              <w:spacing w:before="0" w:after="0"/>
            </w:pPr>
            <w:r>
              <w:rPr>
                <w:rFonts w:ascii="Calibri" w:cs="Calibri" w:eastAsia="Calibri" w:hAnsi="Calibri"/>
                <w:b/>
                <w:bCs/>
                <w:color w:val="C55A11"/>
                <w:sz w:val="19"/>
                <w:szCs w:val="19"/>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7"/>
                <w:szCs w:val="17"/>
              </w:rPr>
              <w:t xml:space="preserve">72-hour critical CVE patch SLA; Trivy image scanning; Kubernetes Pod Security Standards; Falco runtime monitoring</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7F6000"/>
                <w:sz w:val="17"/>
                <w:szCs w:val="17"/>
              </w:rPr>
              <w:t xml:space="preserve">MEDIUM — Zero-day or patch-window exposure cannot be fully eliminated</w:t>
            </w:r>
          </w:p>
        </w:tc>
        <w:tc>
          <w:tcPr>
            <w:tcW w:type="dxa" w:w="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7"/>
                <w:szCs w:val="17"/>
              </w:rPr>
              <w:t xml:space="preserve">Mitigate</w:t>
            </w:r>
          </w:p>
        </w:tc>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595959"/>
                <w:sz w:val="15"/>
                <w:szCs w:val="15"/>
              </w:rPr>
              <w:t xml:space="preserve">MITRE ATLAS AML.T0010 — ML Supply Chain Compromise; STRIDE: Elevation of Privilege</w:t>
            </w:r>
          </w:p>
        </w:tc>
        <w:tc>
          <w:tcPr>
            <w:tcW w:type="dxa" w:w="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2E75B6"/>
                <w:sz w:val="17"/>
                <w:szCs w:val="17"/>
              </w:rPr>
              <w:t xml:space="preserve">PKY-001, PKY-002</w:t>
            </w:r>
          </w:p>
        </w:tc>
      </w:tr>
      <w:tr>
        <w:tc>
          <w:tcPr>
            <w:tcW w:type="dxa" w:w="4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1F3864"/>
                <w:sz w:val="17"/>
                <w:szCs w:val="17"/>
              </w:rPr>
              <w:t xml:space="preserve">R-03</w:t>
            </w:r>
          </w:p>
        </w:tc>
        <w:tc>
          <w:tcPr>
            <w:tcW w:type="dxa" w:w="124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111111"/>
                <w:sz w:val="17"/>
                <w:szCs w:val="17"/>
              </w:rPr>
              <w:t xml:space="preserve">Data Leakage / Transmission</w:t>
            </w:r>
          </w:p>
        </w:tc>
        <w:tc>
          <w:tcPr>
            <w:tcW w:type="dxa" w:w="92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7"/>
                <w:szCs w:val="17"/>
              </w:rPr>
              <w:t xml:space="preserve">Regulated data (PHI, PII, PCI, credentials) transmitted to OpenAI API despite Portkey Guardrails — via encoding evasion, novel pattern, or misconfigured guardrail</w:t>
            </w:r>
          </w:p>
        </w:tc>
        <w:tc>
          <w:tcPr>
            <w:tcW w:type="dxa" w:w="36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C55A11"/>
                <w:sz w:val="17"/>
                <w:szCs w:val="17"/>
              </w:rPr>
              <w:t xml:space="preserve">3</w:t>
            </w:r>
          </w:p>
        </w:tc>
        <w:tc>
          <w:tcPr>
            <w:tcW w:type="dxa" w:w="36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C00000"/>
                <w:sz w:val="17"/>
                <w:szCs w:val="17"/>
              </w:rPr>
              <w:t xml:space="preserve">4</w:t>
            </w:r>
          </w:p>
        </w:tc>
        <w:tc>
          <w:tcPr>
            <w:tcW w:type="dxa" w:w="660"/>
            <w:tcBorders>
              <w:top w:val="single" w:color="CCCCCC" w:sz="1"/>
              <w:left w:val="single" w:color="CCCCCC" w:sz="1"/>
              <w:bottom w:val="single" w:color="CCCCCC" w:sz="1"/>
              <w:right w:val="single" w:color="CCCCCC" w:sz="1"/>
            </w:tcBorders>
            <w:shd w:fill="FDEBD0" w:val="clear"/>
            <w:tcMar>
              <w:top w:type="dxa" w:w="70"/>
              <w:left w:type="dxa" w:w="100"/>
              <w:bottom w:type="dxa" w:w="70"/>
              <w:right w:type="dxa" w:w="100"/>
            </w:tcMar>
            <w:vAlign w:val="top"/>
          </w:tcPr>
          <w:p>
            <w:pPr>
              <w:spacing w:before="0" w:after="0"/>
            </w:pPr>
            <w:r>
              <w:rPr>
                <w:rFonts w:ascii="Calibri" w:cs="Calibri" w:eastAsia="Calibri" w:hAnsi="Calibri"/>
                <w:b/>
                <w:bCs/>
                <w:color w:val="C55A11"/>
                <w:sz w:val="19"/>
                <w:szCs w:val="19"/>
              </w:rPr>
              <w:t xml:space="preserve">HIGH</w:t>
            </w:r>
          </w:p>
        </w:tc>
        <w:tc>
          <w:tcPr>
            <w:tcW w:type="dxa" w:w="15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7"/>
                <w:szCs w:val="17"/>
              </w:rPr>
              <w:t xml:space="preserve">Portkey Guardrails with regex + PHI cluster detection; ZDR (no OpenAI-side retention); AUP training</w:t>
            </w:r>
          </w:p>
        </w:tc>
        <w:tc>
          <w:tcPr>
            <w:tcW w:type="dxa" w:w="15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7F6000"/>
                <w:sz w:val="17"/>
                <w:szCs w:val="17"/>
              </w:rPr>
              <w:t xml:space="preserve">MEDIUM-HIGH — Encoding evasion and novel patterns are not fully detectable via regex</w:t>
            </w:r>
          </w:p>
        </w:tc>
        <w:tc>
          <w:tcPr>
            <w:tcW w:type="dxa" w:w="66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7"/>
                <w:szCs w:val="17"/>
              </w:rPr>
              <w:t xml:space="preserve">Mitigate + Accept residual</w:t>
            </w:r>
          </w:p>
        </w:tc>
        <w:tc>
          <w:tcPr>
            <w:tcW w:type="dxa" w:w="6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595959"/>
                <w:sz w:val="15"/>
                <w:szCs w:val="15"/>
              </w:rPr>
              <w:t xml:space="preserve">OWASP LLM06 (2025) — Sensitive Information Disclosure; NIST AI RMF: Govern 1.2 / Map 2.2</w:t>
            </w:r>
          </w:p>
        </w:tc>
        <w:tc>
          <w:tcPr>
            <w:tcW w:type="dxa" w:w="56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2E75B6"/>
                <w:sz w:val="17"/>
                <w:szCs w:val="17"/>
              </w:rPr>
              <w:t xml:space="preserve">GRD-001, ZDR-001</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1F3864"/>
                <w:sz w:val="17"/>
                <w:szCs w:val="17"/>
              </w:rPr>
              <w:t xml:space="preserve">R-04</w:t>
            </w:r>
          </w:p>
        </w:tc>
        <w:tc>
          <w:tcPr>
            <w:tcW w:type="dxa" w:w="12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111111"/>
                <w:sz w:val="17"/>
                <w:szCs w:val="17"/>
              </w:rPr>
              <w:t xml:space="preserve">Access Control</w:t>
            </w:r>
          </w:p>
        </w:tc>
        <w:tc>
          <w:tcPr>
            <w:tcW w:type="dxa" w:w="9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7"/>
                <w:szCs w:val="17"/>
              </w:rPr>
              <w:t xml:space="preserve">Developer or service uses personal OpenAI API key, bypassing Portkey entirely — no guardrails, no ZDR guarantee, no cost attribution, no audit log</w:t>
            </w:r>
          </w:p>
        </w:tc>
        <w:tc>
          <w:tcPr>
            <w:tcW w:type="dxa" w:w="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C00000"/>
                <w:sz w:val="17"/>
                <w:szCs w:val="17"/>
              </w:rPr>
              <w:t xml:space="preserve">4</w:t>
            </w:r>
          </w:p>
        </w:tc>
        <w:tc>
          <w:tcPr>
            <w:tcW w:type="dxa" w:w="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C00000"/>
                <w:sz w:val="17"/>
                <w:szCs w:val="17"/>
              </w:rPr>
              <w:t xml:space="preserve">4</w:t>
            </w:r>
          </w:p>
        </w:tc>
        <w:tc>
          <w:tcPr>
            <w:tcW w:type="dxa" w:w="660"/>
            <w:tcBorders>
              <w:top w:val="single" w:color="CCCCCC" w:sz="1"/>
              <w:left w:val="single" w:color="CCCCCC" w:sz="1"/>
              <w:bottom w:val="single" w:color="CCCCCC" w:sz="1"/>
              <w:right w:val="single" w:color="CCCCCC" w:sz="1"/>
            </w:tcBorders>
            <w:shd w:fill="FDEBD0" w:val="clear"/>
            <w:tcMar>
              <w:top w:type="dxa" w:w="70"/>
              <w:left w:type="dxa" w:w="100"/>
              <w:bottom w:type="dxa" w:w="70"/>
              <w:right w:type="dxa" w:w="100"/>
            </w:tcMar>
            <w:vAlign w:val="top"/>
          </w:tcPr>
          <w:p>
            <w:pPr>
              <w:spacing w:before="0" w:after="0"/>
            </w:pPr>
            <w:r>
              <w:rPr>
                <w:rFonts w:ascii="Calibri" w:cs="Calibri" w:eastAsia="Calibri" w:hAnsi="Calibri"/>
                <w:b/>
                <w:bCs/>
                <w:color w:val="C55A11"/>
                <w:sz w:val="19"/>
                <w:szCs w:val="19"/>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7"/>
                <w:szCs w:val="17"/>
              </w:rPr>
              <w:t xml:space="preserve">Org-level personal key disable policy; network egress block on api.openai.com from non-Portkey hosts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375623"/>
                <w:sz w:val="17"/>
                <w:szCs w:val="17"/>
              </w:rPr>
              <w:t xml:space="preserve">LOW — Network control is the authoritative enforcement; platform policy is defense-in-depth</w:t>
            </w:r>
          </w:p>
        </w:tc>
        <w:tc>
          <w:tcPr>
            <w:tcW w:type="dxa" w:w="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7"/>
                <w:szCs w:val="17"/>
              </w:rPr>
              <w:t xml:space="preserve">Mitigate (both controls required simultaneously)</w:t>
            </w:r>
          </w:p>
        </w:tc>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595959"/>
                <w:sz w:val="15"/>
                <w:szCs w:val="15"/>
              </w:rPr>
              <w:t xml:space="preserve">STRIDE: Spoofing, Repudiation; NIST CSF PR.AA-05</w:t>
            </w:r>
          </w:p>
        </w:tc>
        <w:tc>
          <w:tcPr>
            <w:tcW w:type="dxa" w:w="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2E75B6"/>
                <w:sz w:val="17"/>
                <w:szCs w:val="17"/>
              </w:rPr>
              <w:t xml:space="preserve">CON-004</w:t>
            </w:r>
          </w:p>
        </w:tc>
      </w:tr>
      <w:tr>
        <w:tc>
          <w:tcPr>
            <w:tcW w:type="dxa" w:w="4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1F3864"/>
                <w:sz w:val="17"/>
                <w:szCs w:val="17"/>
              </w:rPr>
              <w:t xml:space="preserve">R-05</w:t>
            </w:r>
          </w:p>
        </w:tc>
        <w:tc>
          <w:tcPr>
            <w:tcW w:type="dxa" w:w="124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111111"/>
                <w:sz w:val="17"/>
                <w:szCs w:val="17"/>
              </w:rPr>
              <w:t xml:space="preserve">Console / Admin Plane</w:t>
            </w:r>
          </w:p>
        </w:tc>
        <w:tc>
          <w:tcPr>
            <w:tcW w:type="dxa" w:w="92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7"/>
                <w:szCs w:val="17"/>
              </w:rPr>
              <w:t xml:space="preserve">OpenAI console admin account compromised; attacker creates new real API key, loads into Portkey, escalates access</w:t>
            </w:r>
          </w:p>
        </w:tc>
        <w:tc>
          <w:tcPr>
            <w:tcW w:type="dxa" w:w="36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375623"/>
                <w:sz w:val="17"/>
                <w:szCs w:val="17"/>
              </w:rPr>
              <w:t xml:space="preserve">2</w:t>
            </w:r>
          </w:p>
        </w:tc>
        <w:tc>
          <w:tcPr>
            <w:tcW w:type="dxa" w:w="36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C00000"/>
                <w:sz w:val="17"/>
                <w:szCs w:val="17"/>
              </w:rPr>
              <w:t xml:space="preserve">5</w:t>
            </w:r>
          </w:p>
        </w:tc>
        <w:tc>
          <w:tcPr>
            <w:tcW w:type="dxa" w:w="660"/>
            <w:tcBorders>
              <w:top w:val="single" w:color="CCCCCC" w:sz="1"/>
              <w:left w:val="single" w:color="CCCCCC" w:sz="1"/>
              <w:bottom w:val="single" w:color="CCCCCC" w:sz="1"/>
              <w:right w:val="single" w:color="CCCCCC" w:sz="1"/>
            </w:tcBorders>
            <w:shd w:fill="FDEBD0" w:val="clear"/>
            <w:tcMar>
              <w:top w:type="dxa" w:w="70"/>
              <w:left w:type="dxa" w:w="100"/>
              <w:bottom w:type="dxa" w:w="70"/>
              <w:right w:type="dxa" w:w="100"/>
            </w:tcMar>
            <w:vAlign w:val="top"/>
          </w:tcPr>
          <w:p>
            <w:pPr>
              <w:spacing w:before="0" w:after="0"/>
            </w:pPr>
            <w:r>
              <w:rPr>
                <w:rFonts w:ascii="Calibri" w:cs="Calibri" w:eastAsia="Calibri" w:hAnsi="Calibri"/>
                <w:b/>
                <w:bCs/>
                <w:color w:val="C55A11"/>
                <w:sz w:val="19"/>
                <w:szCs w:val="19"/>
              </w:rPr>
              <w:t xml:space="preserve">HIGH</w:t>
            </w:r>
          </w:p>
        </w:tc>
        <w:tc>
          <w:tcPr>
            <w:tcW w:type="dxa" w:w="15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7"/>
                <w:szCs w:val="17"/>
              </w:rPr>
              <w:t xml:space="preserve">SAML SSO enforcement; FIDO2/WebAuthn MFA; PAM with session recording; ≤5 admin accounts</w:t>
            </w:r>
          </w:p>
        </w:tc>
        <w:tc>
          <w:tcPr>
            <w:tcW w:type="dxa" w:w="15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375623"/>
                <w:sz w:val="17"/>
                <w:szCs w:val="17"/>
              </w:rPr>
              <w:t xml:space="preserve">LOW — FIDO2 + PAM eliminates phishing and most credential-based attacks; residual risk is physical token theft</w:t>
            </w:r>
          </w:p>
        </w:tc>
        <w:tc>
          <w:tcPr>
            <w:tcW w:type="dxa" w:w="66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7"/>
                <w:szCs w:val="17"/>
              </w:rPr>
              <w:t xml:space="preserve">Mitigate</w:t>
            </w:r>
          </w:p>
        </w:tc>
        <w:tc>
          <w:tcPr>
            <w:tcW w:type="dxa" w:w="6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595959"/>
                <w:sz w:val="15"/>
                <w:szCs w:val="15"/>
              </w:rPr>
              <w:t xml:space="preserve">STRIDE: Spoofing, Tampering; MITRE ATT&amp;CK T1078 — Valid Accounts</w:t>
            </w:r>
          </w:p>
        </w:tc>
        <w:tc>
          <w:tcPr>
            <w:tcW w:type="dxa" w:w="56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2E75B6"/>
                <w:sz w:val="17"/>
                <w:szCs w:val="17"/>
              </w:rPr>
              <w:t xml:space="preserve">CON-001</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1F3864"/>
                <w:sz w:val="17"/>
                <w:szCs w:val="17"/>
              </w:rPr>
              <w:t xml:space="preserve">R-06</w:t>
            </w:r>
          </w:p>
        </w:tc>
        <w:tc>
          <w:tcPr>
            <w:tcW w:type="dxa" w:w="12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111111"/>
                <w:sz w:val="17"/>
                <w:szCs w:val="17"/>
              </w:rPr>
              <w:t xml:space="preserve">Prompt Injection</w:t>
            </w:r>
          </w:p>
        </w:tc>
        <w:tc>
          <w:tcPr>
            <w:tcW w:type="dxa" w:w="9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7"/>
                <w:szCs w:val="17"/>
              </w:rPr>
              <w:t xml:space="preserve">Adversarially crafted prompt manipulates model to ignore system prompt, exfiltrate context, or produce policy-violating output</w:t>
            </w:r>
          </w:p>
        </w:tc>
        <w:tc>
          <w:tcPr>
            <w:tcW w:type="dxa" w:w="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C00000"/>
                <w:sz w:val="17"/>
                <w:szCs w:val="17"/>
              </w:rPr>
              <w:t xml:space="preserve">4</w:t>
            </w:r>
          </w:p>
        </w:tc>
        <w:tc>
          <w:tcPr>
            <w:tcW w:type="dxa" w:w="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C55A11"/>
                <w:sz w:val="17"/>
                <w:szCs w:val="17"/>
              </w:rPr>
              <w:t xml:space="preserve">3</w:t>
            </w:r>
          </w:p>
        </w:tc>
        <w:tc>
          <w:tcPr>
            <w:tcW w:type="dxa" w:w="660"/>
            <w:tcBorders>
              <w:top w:val="single" w:color="CCCCCC" w:sz="1"/>
              <w:left w:val="single" w:color="CCCCCC" w:sz="1"/>
              <w:bottom w:val="single" w:color="CCCCCC" w:sz="1"/>
              <w:right w:val="single" w:color="CCCCCC" w:sz="1"/>
            </w:tcBorders>
            <w:shd w:fill="FDEBD0" w:val="clear"/>
            <w:tcMar>
              <w:top w:type="dxa" w:w="70"/>
              <w:left w:type="dxa" w:w="100"/>
              <w:bottom w:type="dxa" w:w="70"/>
              <w:right w:type="dxa" w:w="100"/>
            </w:tcMar>
            <w:vAlign w:val="top"/>
          </w:tcPr>
          <w:p>
            <w:pPr>
              <w:spacing w:before="0" w:after="0"/>
            </w:pPr>
            <w:r>
              <w:rPr>
                <w:rFonts w:ascii="Calibri" w:cs="Calibri" w:eastAsia="Calibri" w:hAnsi="Calibri"/>
                <w:b/>
                <w:bCs/>
                <w:color w:val="C55A11"/>
                <w:sz w:val="19"/>
                <w:szCs w:val="19"/>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7"/>
                <w:szCs w:val="17"/>
              </w:rPr>
              <w:t xml:space="preserve">Portkey output guardrails (partial); system prompt hardening guidance; use-case scoping via virtual keys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C55A11"/>
                <w:sz w:val="17"/>
                <w:szCs w:val="17"/>
              </w:rPr>
              <w:t xml:space="preserve">HIGH — Prompt injection is architecturally unsolved in current LLMs; no reliable technical mitigation exists</w:t>
            </w:r>
          </w:p>
        </w:tc>
        <w:tc>
          <w:tcPr>
            <w:tcW w:type="dxa" w:w="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7"/>
                <w:szCs w:val="17"/>
              </w:rPr>
              <w:t xml:space="preserve">Accept (with output review policy for sensitive workflows)</w:t>
            </w:r>
          </w:p>
        </w:tc>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595959"/>
                <w:sz w:val="15"/>
                <w:szCs w:val="15"/>
              </w:rPr>
              <w:t xml:space="preserve">OWASP LLM01 (2025) — Prompt Injection; MITRE ATLAS AML.T0051</w:t>
            </w:r>
          </w:p>
        </w:tc>
        <w:tc>
          <w:tcPr>
            <w:tcW w:type="dxa" w:w="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2E75B6"/>
                <w:sz w:val="17"/>
                <w:szCs w:val="17"/>
              </w:rPr>
              <w:t xml:space="preserve">GRD-002</w:t>
            </w:r>
          </w:p>
        </w:tc>
      </w:tr>
      <w:tr>
        <w:tc>
          <w:tcPr>
            <w:tcW w:type="dxa" w:w="4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1F3864"/>
                <w:sz w:val="17"/>
                <w:szCs w:val="17"/>
              </w:rPr>
              <w:t xml:space="preserve">R-07</w:t>
            </w:r>
          </w:p>
        </w:tc>
        <w:tc>
          <w:tcPr>
            <w:tcW w:type="dxa" w:w="124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111111"/>
                <w:sz w:val="17"/>
                <w:szCs w:val="17"/>
              </w:rPr>
              <w:t xml:space="preserve">Supply Chain</w:t>
            </w:r>
          </w:p>
        </w:tc>
        <w:tc>
          <w:tcPr>
            <w:tcW w:type="dxa" w:w="92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7"/>
                <w:szCs w:val="17"/>
              </w:rPr>
              <w:t xml:space="preserve">Portkey COTS software contains malicious code introduced via compromised upstream dependency (Node.js package, base image layer)</w:t>
            </w:r>
          </w:p>
        </w:tc>
        <w:tc>
          <w:tcPr>
            <w:tcW w:type="dxa" w:w="36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375623"/>
                <w:sz w:val="17"/>
                <w:szCs w:val="17"/>
              </w:rPr>
              <w:t xml:space="preserve">1</w:t>
            </w:r>
          </w:p>
        </w:tc>
        <w:tc>
          <w:tcPr>
            <w:tcW w:type="dxa" w:w="36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C00000"/>
                <w:sz w:val="17"/>
                <w:szCs w:val="17"/>
              </w:rPr>
              <w:t xml:space="preserve">5</w:t>
            </w:r>
          </w:p>
        </w:tc>
        <w:tc>
          <w:tcPr>
            <w:tcW w:type="dxa" w:w="660"/>
            <w:tcBorders>
              <w:top w:val="single" w:color="CCCCCC" w:sz="1"/>
              <w:left w:val="single" w:color="CCCCCC" w:sz="1"/>
              <w:bottom w:val="single" w:color="CCCCCC" w:sz="1"/>
              <w:right w:val="single" w:color="CCCCCC" w:sz="1"/>
            </w:tcBorders>
            <w:shd w:fill="FFF2CC" w:val="clear"/>
            <w:tcMar>
              <w:top w:type="dxa" w:w="70"/>
              <w:left w:type="dxa" w:w="100"/>
              <w:bottom w:type="dxa" w:w="70"/>
              <w:right w:type="dxa" w:w="100"/>
            </w:tcMar>
            <w:vAlign w:val="top"/>
          </w:tcPr>
          <w:p>
            <w:pPr>
              <w:spacing w:before="0" w:after="0"/>
            </w:pPr>
            <w:r>
              <w:rPr>
                <w:rFonts w:ascii="Calibri" w:cs="Calibri" w:eastAsia="Calibri" w:hAnsi="Calibri"/>
                <w:b/>
                <w:bCs/>
                <w:color w:val="7F6000"/>
                <w:sz w:val="19"/>
                <w:szCs w:val="19"/>
              </w:rPr>
              <w:t xml:space="preserve">MEDIUM</w:t>
            </w:r>
          </w:p>
        </w:tc>
        <w:tc>
          <w:tcPr>
            <w:tcW w:type="dxa" w:w="15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7"/>
                <w:szCs w:val="17"/>
              </w:rPr>
              <w:t xml:space="preserve">Container image scan (Trivy/Snyk) on every build; software composition analysis (SCA) in CI/CD; dependency lock files pinned</w:t>
            </w:r>
          </w:p>
        </w:tc>
        <w:tc>
          <w:tcPr>
            <w:tcW w:type="dxa" w:w="15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375623"/>
                <w:sz w:val="17"/>
                <w:szCs w:val="17"/>
              </w:rPr>
              <w:t xml:space="preserve">LOW-MEDIUM — Nation-state level supply chain attacks (e.g., XZ utils style) remain low-probability but high-impact</w:t>
            </w:r>
          </w:p>
        </w:tc>
        <w:tc>
          <w:tcPr>
            <w:tcW w:type="dxa" w:w="66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7"/>
                <w:szCs w:val="17"/>
              </w:rPr>
              <w:t xml:space="preserve">Mitigate</w:t>
            </w:r>
          </w:p>
        </w:tc>
        <w:tc>
          <w:tcPr>
            <w:tcW w:type="dxa" w:w="6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595959"/>
                <w:sz w:val="15"/>
                <w:szCs w:val="15"/>
              </w:rPr>
              <w:t xml:space="preserve">OWASP LLM09 (2025) — Misinformation / Supply Chain; MITRE ATLAS AML.T0010</w:t>
            </w:r>
          </w:p>
        </w:tc>
        <w:tc>
          <w:tcPr>
            <w:tcW w:type="dxa" w:w="56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2E75B6"/>
                <w:sz w:val="17"/>
                <w:szCs w:val="17"/>
              </w:rPr>
              <w:t xml:space="preserve">PKY-001, PKY-002</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1F3864"/>
                <w:sz w:val="17"/>
                <w:szCs w:val="17"/>
              </w:rPr>
              <w:t xml:space="preserve">R-08</w:t>
            </w:r>
          </w:p>
        </w:tc>
        <w:tc>
          <w:tcPr>
            <w:tcW w:type="dxa" w:w="12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111111"/>
                <w:sz w:val="17"/>
                <w:szCs w:val="17"/>
              </w:rPr>
              <w:t xml:space="preserve">Data Governance</w:t>
            </w:r>
          </w:p>
        </w:tc>
        <w:tc>
          <w:tcPr>
            <w:tcW w:type="dxa" w:w="9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7"/>
                <w:szCs w:val="17"/>
              </w:rPr>
              <w:t xml:space="preserve">ZDR not active at time of production inference (contractual but not technically confirmed); inference payloads retained by OpenAI under default 30-day policy</w:t>
            </w:r>
          </w:p>
        </w:tc>
        <w:tc>
          <w:tcPr>
            <w:tcW w:type="dxa" w:w="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375623"/>
                <w:sz w:val="17"/>
                <w:szCs w:val="17"/>
              </w:rPr>
              <w:t xml:space="preserve">2</w:t>
            </w:r>
          </w:p>
        </w:tc>
        <w:tc>
          <w:tcPr>
            <w:tcW w:type="dxa" w:w="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C00000"/>
                <w:sz w:val="17"/>
                <w:szCs w:val="17"/>
              </w:rPr>
              <w:t xml:space="preserve">5</w:t>
            </w:r>
          </w:p>
        </w:tc>
        <w:tc>
          <w:tcPr>
            <w:tcW w:type="dxa" w:w="660"/>
            <w:tcBorders>
              <w:top w:val="single" w:color="CCCCCC" w:sz="1"/>
              <w:left w:val="single" w:color="CCCCCC" w:sz="1"/>
              <w:bottom w:val="single" w:color="CCCCCC" w:sz="1"/>
              <w:right w:val="single" w:color="CCCCCC" w:sz="1"/>
            </w:tcBorders>
            <w:shd w:fill="FDEBD0" w:val="clear"/>
            <w:tcMar>
              <w:top w:type="dxa" w:w="70"/>
              <w:left w:type="dxa" w:w="100"/>
              <w:bottom w:type="dxa" w:w="70"/>
              <w:right w:type="dxa" w:w="100"/>
            </w:tcMar>
            <w:vAlign w:val="top"/>
          </w:tcPr>
          <w:p>
            <w:pPr>
              <w:spacing w:before="0" w:after="0"/>
            </w:pPr>
            <w:r>
              <w:rPr>
                <w:rFonts w:ascii="Calibri" w:cs="Calibri" w:eastAsia="Calibri" w:hAnsi="Calibri"/>
                <w:b/>
                <w:bCs/>
                <w:color w:val="C55A11"/>
                <w:sz w:val="19"/>
                <w:szCs w:val="19"/>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7"/>
                <w:szCs w:val="17"/>
              </w:rPr>
              <w:t xml:space="preserve">ZDR contractual addendum; pre-go-live technical verification requirement; quarterly re-confirmation</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375623"/>
                <w:sz w:val="17"/>
                <w:szCs w:val="17"/>
              </w:rPr>
              <w:t xml:space="preserve">LOW — If verification protocol is followed; risk materializes only from process failure</w:t>
            </w:r>
          </w:p>
        </w:tc>
        <w:tc>
          <w:tcPr>
            <w:tcW w:type="dxa" w:w="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7"/>
                <w:szCs w:val="17"/>
              </w:rPr>
              <w:t xml:space="preserve">Mitigate (verification is the control)</w:t>
            </w:r>
          </w:p>
        </w:tc>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595959"/>
                <w:sz w:val="15"/>
                <w:szCs w:val="15"/>
              </w:rPr>
              <w:t xml:space="preserve">NIST AI RMF: Map 2.1; ISO 27001:2022 A.8.10 — Information Deletion</w:t>
            </w:r>
          </w:p>
        </w:tc>
        <w:tc>
          <w:tcPr>
            <w:tcW w:type="dxa" w:w="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2E75B6"/>
                <w:sz w:val="17"/>
                <w:szCs w:val="17"/>
              </w:rPr>
              <w:t xml:space="preserve">ZDR-001</w:t>
            </w:r>
          </w:p>
        </w:tc>
      </w:tr>
      <w:tr>
        <w:tc>
          <w:tcPr>
            <w:tcW w:type="dxa" w:w="4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1F3864"/>
                <w:sz w:val="17"/>
                <w:szCs w:val="17"/>
              </w:rPr>
              <w:t xml:space="preserve">R-09</w:t>
            </w:r>
          </w:p>
        </w:tc>
        <w:tc>
          <w:tcPr>
            <w:tcW w:type="dxa" w:w="124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111111"/>
                <w:sz w:val="17"/>
                <w:szCs w:val="17"/>
              </w:rPr>
              <w:t xml:space="preserve">Model Behavior</w:t>
            </w:r>
          </w:p>
        </w:tc>
        <w:tc>
          <w:tcPr>
            <w:tcW w:type="dxa" w:w="92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7"/>
                <w:szCs w:val="17"/>
              </w:rPr>
              <w:t xml:space="preserve">Model produces factually incorrect, biased, or hallucinated output; user relies on it for a regulated decision (financial, medical, legal)</w:t>
            </w:r>
          </w:p>
        </w:tc>
        <w:tc>
          <w:tcPr>
            <w:tcW w:type="dxa" w:w="36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C00000"/>
                <w:sz w:val="17"/>
                <w:szCs w:val="17"/>
              </w:rPr>
              <w:t xml:space="preserve">4</w:t>
            </w:r>
          </w:p>
        </w:tc>
        <w:tc>
          <w:tcPr>
            <w:tcW w:type="dxa" w:w="36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C55A11"/>
                <w:sz w:val="17"/>
                <w:szCs w:val="17"/>
              </w:rPr>
              <w:t xml:space="preserve">3</w:t>
            </w:r>
          </w:p>
        </w:tc>
        <w:tc>
          <w:tcPr>
            <w:tcW w:type="dxa" w:w="660"/>
            <w:tcBorders>
              <w:top w:val="single" w:color="CCCCCC" w:sz="1"/>
              <w:left w:val="single" w:color="CCCCCC" w:sz="1"/>
              <w:bottom w:val="single" w:color="CCCCCC" w:sz="1"/>
              <w:right w:val="single" w:color="CCCCCC" w:sz="1"/>
            </w:tcBorders>
            <w:shd w:fill="FDEBD0" w:val="clear"/>
            <w:tcMar>
              <w:top w:type="dxa" w:w="70"/>
              <w:left w:type="dxa" w:w="100"/>
              <w:bottom w:type="dxa" w:w="70"/>
              <w:right w:type="dxa" w:w="100"/>
            </w:tcMar>
            <w:vAlign w:val="top"/>
          </w:tcPr>
          <w:p>
            <w:pPr>
              <w:spacing w:before="0" w:after="0"/>
            </w:pPr>
            <w:r>
              <w:rPr>
                <w:rFonts w:ascii="Calibri" w:cs="Calibri" w:eastAsia="Calibri" w:hAnsi="Calibri"/>
                <w:b/>
                <w:bCs/>
                <w:color w:val="C55A11"/>
                <w:sz w:val="19"/>
                <w:szCs w:val="19"/>
              </w:rPr>
              <w:t xml:space="preserve">HIGH</w:t>
            </w:r>
          </w:p>
        </w:tc>
        <w:tc>
          <w:tcPr>
            <w:tcW w:type="dxa" w:w="15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7"/>
                <w:szCs w:val="17"/>
              </w:rPr>
              <w:t xml:space="preserve">AUP output review requirement; prohibited use cases defined; no regulated-decision workflows approved without security/legal review</w:t>
            </w:r>
          </w:p>
        </w:tc>
        <w:tc>
          <w:tcPr>
            <w:tcW w:type="dxa" w:w="15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C55A11"/>
                <w:sz w:val="17"/>
                <w:szCs w:val="17"/>
              </w:rPr>
              <w:t xml:space="preserve">HIGH — Architecturally irreducible; human review policy is the only effective mitigation</w:t>
            </w:r>
          </w:p>
        </w:tc>
        <w:tc>
          <w:tcPr>
            <w:tcW w:type="dxa" w:w="66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7"/>
                <w:szCs w:val="17"/>
              </w:rPr>
              <w:t xml:space="preserve">Accept + Mitigate (policy + workflow controls)</w:t>
            </w:r>
          </w:p>
        </w:tc>
        <w:tc>
          <w:tcPr>
            <w:tcW w:type="dxa" w:w="6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595959"/>
                <w:sz w:val="15"/>
                <w:szCs w:val="15"/>
              </w:rPr>
              <w:t xml:space="preserve">OWASP LLM09 — Misinformation; NIST AI RMF: Map 2.3 Trustworthy AI; EU AI Act Art. 6 High-Risk Classification</w:t>
            </w:r>
          </w:p>
        </w:tc>
        <w:tc>
          <w:tcPr>
            <w:tcW w:type="dxa" w:w="56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2E75B6"/>
                <w:sz w:val="17"/>
                <w:szCs w:val="17"/>
              </w:rPr>
              <w:t xml:space="preserve">DAT-004</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1F3864"/>
                <w:sz w:val="17"/>
                <w:szCs w:val="17"/>
              </w:rPr>
              <w:t xml:space="preserve">R-10</w:t>
            </w:r>
          </w:p>
        </w:tc>
        <w:tc>
          <w:tcPr>
            <w:tcW w:type="dxa" w:w="12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111111"/>
                <w:sz w:val="17"/>
                <w:szCs w:val="17"/>
              </w:rPr>
              <w:t xml:space="preserve">Availability</w:t>
            </w:r>
          </w:p>
        </w:tc>
        <w:tc>
          <w:tcPr>
            <w:tcW w:type="dxa" w:w="9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7"/>
                <w:szCs w:val="17"/>
              </w:rPr>
              <w:t xml:space="preserve">Portkey COTS instance failure causes complete AI platform outage; single instance with no HA; no fallback path</w:t>
            </w:r>
          </w:p>
        </w:tc>
        <w:tc>
          <w:tcPr>
            <w:tcW w:type="dxa" w:w="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C55A11"/>
                <w:sz w:val="17"/>
                <w:szCs w:val="17"/>
              </w:rPr>
              <w:t xml:space="preserve">3</w:t>
            </w:r>
          </w:p>
        </w:tc>
        <w:tc>
          <w:tcPr>
            <w:tcW w:type="dxa" w:w="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C55A11"/>
                <w:sz w:val="17"/>
                <w:szCs w:val="17"/>
              </w:rPr>
              <w:t xml:space="preserve">3</w:t>
            </w:r>
          </w:p>
        </w:tc>
        <w:tc>
          <w:tcPr>
            <w:tcW w:type="dxa" w:w="660"/>
            <w:tcBorders>
              <w:top w:val="single" w:color="CCCCCC" w:sz="1"/>
              <w:left w:val="single" w:color="CCCCCC" w:sz="1"/>
              <w:bottom w:val="single" w:color="CCCCCC" w:sz="1"/>
              <w:right w:val="single" w:color="CCCCCC" w:sz="1"/>
            </w:tcBorders>
            <w:shd w:fill="FFF2CC" w:val="clear"/>
            <w:tcMar>
              <w:top w:type="dxa" w:w="70"/>
              <w:left w:type="dxa" w:w="100"/>
              <w:bottom w:type="dxa" w:w="70"/>
              <w:right w:type="dxa" w:w="100"/>
            </w:tcMar>
            <w:vAlign w:val="top"/>
          </w:tcPr>
          <w:p>
            <w:pPr>
              <w:spacing w:before="0" w:after="0"/>
            </w:pPr>
            <w:r>
              <w:rPr>
                <w:rFonts w:ascii="Calibri" w:cs="Calibri" w:eastAsia="Calibri" w:hAnsi="Calibri"/>
                <w:b/>
                <w:bCs/>
                <w:color w:val="7F6000"/>
                <w:sz w:val="19"/>
                <w:szCs w:val="19"/>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7"/>
                <w:szCs w:val="17"/>
              </w:rPr>
              <w:t xml:space="preserve">Kubernetes HPA; multi-AZ deployment (active-active recommended); synthetic health monitoring; DR runbook</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375623"/>
                <w:sz w:val="17"/>
                <w:szCs w:val="17"/>
              </w:rPr>
              <w:t xml:space="preserve">LOW — Active-active HA with auto-scaling; residual risk is multi-AZ simultaneous failure</w:t>
            </w:r>
          </w:p>
        </w:tc>
        <w:tc>
          <w:tcPr>
            <w:tcW w:type="dxa" w:w="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7"/>
                <w:szCs w:val="17"/>
              </w:rPr>
              <w:t xml:space="preserve">Mitigate</w:t>
            </w:r>
          </w:p>
        </w:tc>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595959"/>
                <w:sz w:val="15"/>
                <w:szCs w:val="15"/>
              </w:rPr>
              <w:t xml:space="preserve">NIST CSF RC.RP; ISO 27001:2022 A.8.14 — Redundancy; SOC 2 TSC A1 — Availability</w:t>
            </w:r>
          </w:p>
        </w:tc>
        <w:tc>
          <w:tcPr>
            <w:tcW w:type="dxa" w:w="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2E75B6"/>
                <w:sz w:val="17"/>
                <w:szCs w:val="17"/>
              </w:rPr>
              <w:t xml:space="preserve">PKY-004</w:t>
            </w:r>
          </w:p>
        </w:tc>
      </w:tr>
      <w:tr>
        <w:tc>
          <w:tcPr>
            <w:tcW w:type="dxa" w:w="4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1F3864"/>
                <w:sz w:val="17"/>
                <w:szCs w:val="17"/>
              </w:rPr>
              <w:t xml:space="preserve">R-11</w:t>
            </w:r>
          </w:p>
        </w:tc>
        <w:tc>
          <w:tcPr>
            <w:tcW w:type="dxa" w:w="124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111111"/>
                <w:sz w:val="17"/>
                <w:szCs w:val="17"/>
              </w:rPr>
              <w:t xml:space="preserve">Insider Threat</w:t>
            </w:r>
          </w:p>
        </w:tc>
        <w:tc>
          <w:tcPr>
            <w:tcW w:type="dxa" w:w="92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7"/>
                <w:szCs w:val="17"/>
              </w:rPr>
              <w:t xml:space="preserve">Authorized developer with Portkey virtual key systematically feeds confidential corporate IP, source code, or trade secrets to OpenAI API over time</w:t>
            </w:r>
          </w:p>
        </w:tc>
        <w:tc>
          <w:tcPr>
            <w:tcW w:type="dxa" w:w="36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375623"/>
                <w:sz w:val="17"/>
                <w:szCs w:val="17"/>
              </w:rPr>
              <w:t xml:space="preserve">2</w:t>
            </w:r>
          </w:p>
        </w:tc>
        <w:tc>
          <w:tcPr>
            <w:tcW w:type="dxa" w:w="36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C00000"/>
                <w:sz w:val="17"/>
                <w:szCs w:val="17"/>
              </w:rPr>
              <w:t xml:space="preserve">4</w:t>
            </w:r>
          </w:p>
        </w:tc>
        <w:tc>
          <w:tcPr>
            <w:tcW w:type="dxa" w:w="660"/>
            <w:tcBorders>
              <w:top w:val="single" w:color="CCCCCC" w:sz="1"/>
              <w:left w:val="single" w:color="CCCCCC" w:sz="1"/>
              <w:bottom w:val="single" w:color="CCCCCC" w:sz="1"/>
              <w:right w:val="single" w:color="CCCCCC" w:sz="1"/>
            </w:tcBorders>
            <w:shd w:fill="FFF2CC" w:val="clear"/>
            <w:tcMar>
              <w:top w:type="dxa" w:w="70"/>
              <w:left w:type="dxa" w:w="100"/>
              <w:bottom w:type="dxa" w:w="70"/>
              <w:right w:type="dxa" w:w="100"/>
            </w:tcMar>
            <w:vAlign w:val="top"/>
          </w:tcPr>
          <w:p>
            <w:pPr>
              <w:spacing w:before="0" w:after="0"/>
            </w:pPr>
            <w:r>
              <w:rPr>
                <w:rFonts w:ascii="Calibri" w:cs="Calibri" w:eastAsia="Calibri" w:hAnsi="Calibri"/>
                <w:b/>
                <w:bCs/>
                <w:color w:val="7F6000"/>
                <w:sz w:val="19"/>
                <w:szCs w:val="19"/>
              </w:rPr>
              <w:t xml:space="preserve">MEDIUM</w:t>
            </w:r>
          </w:p>
        </w:tc>
        <w:tc>
          <w:tcPr>
            <w:tcW w:type="dxa" w:w="15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7"/>
                <w:szCs w:val="17"/>
              </w:rPr>
              <w:t xml:space="preserve">Virtual key per-consumer rate and budget limits; UEBA baseline; AUP policy; Portkey observability logs in SIEM</w:t>
            </w:r>
          </w:p>
        </w:tc>
        <w:tc>
          <w:tcPr>
            <w:tcW w:type="dxa" w:w="15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7F6000"/>
                <w:sz w:val="17"/>
                <w:szCs w:val="17"/>
              </w:rPr>
              <w:t xml:space="preserve">MEDIUM — Data volume anomalies are detectable; content-based detection requires DLP; low-volume sustained exfiltration is hard to distinguish from legitimate use</w:t>
            </w:r>
          </w:p>
        </w:tc>
        <w:tc>
          <w:tcPr>
            <w:tcW w:type="dxa" w:w="66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7"/>
                <w:szCs w:val="17"/>
              </w:rPr>
              <w:t xml:space="preserve">Mitigate + Accept residual</w:t>
            </w:r>
          </w:p>
        </w:tc>
        <w:tc>
          <w:tcPr>
            <w:tcW w:type="dxa" w:w="6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595959"/>
                <w:sz w:val="15"/>
                <w:szCs w:val="15"/>
              </w:rPr>
              <w:t xml:space="preserve">MITRE ATT&amp;CK T1567 — Exfiltration Over Web Service; NIST CSF DE.CM-03</w:t>
            </w:r>
          </w:p>
        </w:tc>
        <w:tc>
          <w:tcPr>
            <w:tcW w:type="dxa" w:w="56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2E75B6"/>
                <w:sz w:val="17"/>
                <w:szCs w:val="17"/>
              </w:rPr>
              <w:t xml:space="preserve">OBS-001, GRD-001</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1F3864"/>
                <w:sz w:val="17"/>
                <w:szCs w:val="17"/>
              </w:rPr>
              <w:t xml:space="preserve">R-12</w:t>
            </w:r>
          </w:p>
        </w:tc>
        <w:tc>
          <w:tcPr>
            <w:tcW w:type="dxa" w:w="12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111111"/>
                <w:sz w:val="17"/>
                <w:szCs w:val="17"/>
              </w:rPr>
              <w:t xml:space="preserve">Cost / Financial</w:t>
            </w:r>
          </w:p>
        </w:tc>
        <w:tc>
          <w:tcPr>
            <w:tcW w:type="dxa" w:w="9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7"/>
                <w:szCs w:val="17"/>
              </w:rPr>
              <w:t xml:space="preserve">Runaway automated pipeline or compromised virtual key exhausts OpenAI project spend limit; service disruption for all users; unbudgeted financial exposure</w:t>
            </w:r>
          </w:p>
        </w:tc>
        <w:tc>
          <w:tcPr>
            <w:tcW w:type="dxa" w:w="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C55A11"/>
                <w:sz w:val="17"/>
                <w:szCs w:val="17"/>
              </w:rPr>
              <w:t xml:space="preserve">3</w:t>
            </w:r>
          </w:p>
        </w:tc>
        <w:tc>
          <w:tcPr>
            <w:tcW w:type="dxa" w:w="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375623"/>
                <w:sz w:val="17"/>
                <w:szCs w:val="17"/>
              </w:rPr>
              <w:t xml:space="preserve">2</w:t>
            </w:r>
          </w:p>
        </w:tc>
        <w:tc>
          <w:tcPr>
            <w:tcW w:type="dxa" w:w="660"/>
            <w:tcBorders>
              <w:top w:val="single" w:color="CCCCCC" w:sz="1"/>
              <w:left w:val="single" w:color="CCCCCC" w:sz="1"/>
              <w:bottom w:val="single" w:color="CCCCCC" w:sz="1"/>
              <w:right w:val="single" w:color="CCCCCC" w:sz="1"/>
            </w:tcBorders>
            <w:shd w:fill="FFF2CC" w:val="clear"/>
            <w:tcMar>
              <w:top w:type="dxa" w:w="70"/>
              <w:left w:type="dxa" w:w="100"/>
              <w:bottom w:type="dxa" w:w="70"/>
              <w:right w:type="dxa" w:w="100"/>
            </w:tcMar>
            <w:vAlign w:val="top"/>
          </w:tcPr>
          <w:p>
            <w:pPr>
              <w:spacing w:before="0" w:after="0"/>
            </w:pPr>
            <w:r>
              <w:rPr>
                <w:rFonts w:ascii="Calibri" w:cs="Calibri" w:eastAsia="Calibri" w:hAnsi="Calibri"/>
                <w:b/>
                <w:bCs/>
                <w:color w:val="7F6000"/>
                <w:sz w:val="19"/>
                <w:szCs w:val="19"/>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7"/>
                <w:szCs w:val="17"/>
              </w:rPr>
              <w:t xml:space="preserve">Portkey per-virtual-key budget hard stop; OpenAI project spend limit as secondary backstop; FinOps monitoring and alerting at 50%/80%/100%</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375623"/>
                <w:sz w:val="17"/>
                <w:szCs w:val="17"/>
              </w:rPr>
              <w:t xml:space="preserve">LOW — Hard stops enforced at both layers; financial impact bounded by spend caps</w:t>
            </w:r>
          </w:p>
        </w:tc>
        <w:tc>
          <w:tcPr>
            <w:tcW w:type="dxa" w:w="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7"/>
                <w:szCs w:val="17"/>
              </w:rPr>
              <w:t xml:space="preserve">Mitigate</w:t>
            </w:r>
          </w:p>
        </w:tc>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595959"/>
                <w:sz w:val="15"/>
                <w:szCs w:val="15"/>
              </w:rPr>
              <w:t xml:space="preserve">NIST CSF PR.DS; ISO 27001:2022 A.5.20 — Addressing Security in Supplier Agreements</w:t>
            </w:r>
          </w:p>
        </w:tc>
        <w:tc>
          <w:tcPr>
            <w:tcW w:type="dxa" w:w="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2E75B6"/>
                <w:sz w:val="17"/>
                <w:szCs w:val="17"/>
              </w:rPr>
              <w:t xml:space="preserve">CST-001, KEY-001</w:t>
            </w:r>
          </w:p>
        </w:tc>
      </w:tr>
      <w:tr>
        <w:tc>
          <w:tcPr>
            <w:tcW w:type="dxa" w:w="4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1F3864"/>
                <w:sz w:val="17"/>
                <w:szCs w:val="17"/>
              </w:rPr>
              <w:t xml:space="preserve">R-13</w:t>
            </w:r>
          </w:p>
        </w:tc>
        <w:tc>
          <w:tcPr>
            <w:tcW w:type="dxa" w:w="124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111111"/>
                <w:sz w:val="17"/>
                <w:szCs w:val="17"/>
              </w:rPr>
              <w:t xml:space="preserve">Vendor / Third-Party</w:t>
            </w:r>
          </w:p>
        </w:tc>
        <w:tc>
          <w:tcPr>
            <w:tcW w:type="dxa" w:w="92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7"/>
                <w:szCs w:val="17"/>
              </w:rPr>
              <w:t xml:space="preserve">OpenAI experiences a security incident (breach, service disruption, policy change) that affects enterprise inference operations or exposes data</w:t>
            </w:r>
          </w:p>
        </w:tc>
        <w:tc>
          <w:tcPr>
            <w:tcW w:type="dxa" w:w="36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375623"/>
                <w:sz w:val="17"/>
                <w:szCs w:val="17"/>
              </w:rPr>
              <w:t xml:space="preserve">2</w:t>
            </w:r>
          </w:p>
        </w:tc>
        <w:tc>
          <w:tcPr>
            <w:tcW w:type="dxa" w:w="36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C00000"/>
                <w:sz w:val="17"/>
                <w:szCs w:val="17"/>
              </w:rPr>
              <w:t xml:space="preserve">4</w:t>
            </w:r>
          </w:p>
        </w:tc>
        <w:tc>
          <w:tcPr>
            <w:tcW w:type="dxa" w:w="660"/>
            <w:tcBorders>
              <w:top w:val="single" w:color="CCCCCC" w:sz="1"/>
              <w:left w:val="single" w:color="CCCCCC" w:sz="1"/>
              <w:bottom w:val="single" w:color="CCCCCC" w:sz="1"/>
              <w:right w:val="single" w:color="CCCCCC" w:sz="1"/>
            </w:tcBorders>
            <w:shd w:fill="FFF2CC" w:val="clear"/>
            <w:tcMar>
              <w:top w:type="dxa" w:w="70"/>
              <w:left w:type="dxa" w:w="100"/>
              <w:bottom w:type="dxa" w:w="70"/>
              <w:right w:type="dxa" w:w="100"/>
            </w:tcMar>
            <w:vAlign w:val="top"/>
          </w:tcPr>
          <w:p>
            <w:pPr>
              <w:spacing w:before="0" w:after="0"/>
            </w:pPr>
            <w:r>
              <w:rPr>
                <w:rFonts w:ascii="Calibri" w:cs="Calibri" w:eastAsia="Calibri" w:hAnsi="Calibri"/>
                <w:b/>
                <w:bCs/>
                <w:color w:val="7F6000"/>
                <w:sz w:val="19"/>
                <w:szCs w:val="19"/>
              </w:rPr>
              <w:t xml:space="preserve">MEDIUM</w:t>
            </w:r>
          </w:p>
        </w:tc>
        <w:tc>
          <w:tcPr>
            <w:tcW w:type="dxa" w:w="15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7"/>
                <w:szCs w:val="17"/>
              </w:rPr>
              <w:t xml:space="preserve">OpenAI SOC 2 Type II reviewed annually; DPA and ZDR addendum executed; contractual breach notification SLA; TPRA completed</w:t>
            </w:r>
          </w:p>
        </w:tc>
        <w:tc>
          <w:tcPr>
            <w:tcW w:type="dxa" w:w="15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7F6000"/>
                <w:sz w:val="17"/>
                <w:szCs w:val="17"/>
              </w:rPr>
              <w:t xml:space="preserve">MEDIUM — Contractual controls cannot prevent OpenAI-side incidents; they only govern response</w:t>
            </w:r>
          </w:p>
        </w:tc>
        <w:tc>
          <w:tcPr>
            <w:tcW w:type="dxa" w:w="66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7"/>
                <w:szCs w:val="17"/>
              </w:rPr>
              <w:t xml:space="preserve">Accept (with contractual controls) + Contingency (alternate LLM provider evaluation)</w:t>
            </w:r>
          </w:p>
        </w:tc>
        <w:tc>
          <w:tcPr>
            <w:tcW w:type="dxa" w:w="6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595959"/>
                <w:sz w:val="15"/>
                <w:szCs w:val="15"/>
              </w:rPr>
              <w:t xml:space="preserve">NIST CSF GV.SC; ISO 27001:2022 A.5.19 — Information Security in Supplier Relationships</w:t>
            </w:r>
          </w:p>
        </w:tc>
        <w:tc>
          <w:tcPr>
            <w:tcW w:type="dxa" w:w="56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2E75B6"/>
                <w:sz w:val="17"/>
                <w:szCs w:val="17"/>
              </w:rPr>
              <w:t xml:space="preserve">VEN-001</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1F3864"/>
                <w:sz w:val="17"/>
                <w:szCs w:val="17"/>
              </w:rPr>
              <w:t xml:space="preserve">R-14</w:t>
            </w:r>
          </w:p>
        </w:tc>
        <w:tc>
          <w:tcPr>
            <w:tcW w:type="dxa" w:w="12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111111"/>
                <w:sz w:val="17"/>
                <w:szCs w:val="17"/>
              </w:rPr>
              <w:t xml:space="preserve">Vendor / Third-Party</w:t>
            </w:r>
          </w:p>
        </w:tc>
        <w:tc>
          <w:tcPr>
            <w:tcW w:type="dxa" w:w="9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7"/>
                <w:szCs w:val="17"/>
              </w:rPr>
              <w:t xml:space="preserve">Portkey COTS vendor discontinues product, changes license terms materially, or vendor business failure creates unsupported production dependency</w:t>
            </w:r>
          </w:p>
        </w:tc>
        <w:tc>
          <w:tcPr>
            <w:tcW w:type="dxa" w:w="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375623"/>
                <w:sz w:val="17"/>
                <w:szCs w:val="17"/>
              </w:rPr>
              <w:t xml:space="preserve">1</w:t>
            </w:r>
          </w:p>
        </w:tc>
        <w:tc>
          <w:tcPr>
            <w:tcW w:type="dxa" w:w="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C55A11"/>
                <w:sz w:val="17"/>
                <w:szCs w:val="17"/>
              </w:rPr>
              <w:t xml:space="preserve">3</w:t>
            </w:r>
          </w:p>
        </w:tc>
        <w:tc>
          <w:tcPr>
            <w:tcW w:type="dxa" w:w="66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top"/>
          </w:tcPr>
          <w:p>
            <w:pPr>
              <w:spacing w:before="0" w:after="0"/>
            </w:pPr>
            <w:r>
              <w:rPr>
                <w:rFonts w:ascii="Calibri" w:cs="Calibri" w:eastAsia="Calibri" w:hAnsi="Calibri"/>
                <w:b/>
                <w:bCs/>
                <w:color w:val="375623"/>
                <w:sz w:val="19"/>
                <w:szCs w:val="19"/>
              </w:rPr>
              <w:t xml:space="preserve">LOW</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7"/>
                <w:szCs w:val="17"/>
              </w:rPr>
              <w:t xml:space="preserve">Self-hosted COTS model limits SaaS dependency; source code access or fork rights under license should be confirmed; documented migration procedure to alternative gateway</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375623"/>
                <w:sz w:val="17"/>
                <w:szCs w:val="17"/>
              </w:rPr>
              <w:t xml:space="preserve">LOW — COTS self-hosted reduces SaaS lock-in risk; open-source alternatives exist</w:t>
            </w:r>
          </w:p>
        </w:tc>
        <w:tc>
          <w:tcPr>
            <w:tcW w:type="dxa" w:w="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7"/>
                <w:szCs w:val="17"/>
              </w:rPr>
              <w:t xml:space="preserve">Monitor + Contingency planning</w:t>
            </w:r>
          </w:p>
        </w:tc>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595959"/>
                <w:sz w:val="15"/>
                <w:szCs w:val="15"/>
              </w:rPr>
              <w:t xml:space="preserve">NIST CSF GV.SC-04; ISO 27001:2022 A.5.19</w:t>
            </w:r>
          </w:p>
        </w:tc>
        <w:tc>
          <w:tcPr>
            <w:tcW w:type="dxa" w:w="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2E75B6"/>
                <w:sz w:val="17"/>
                <w:szCs w:val="17"/>
              </w:rPr>
              <w:t xml:space="preserve">VEN-001</w:t>
            </w:r>
          </w:p>
        </w:tc>
      </w:tr>
      <w:tr>
        <w:tc>
          <w:tcPr>
            <w:tcW w:type="dxa" w:w="4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1F3864"/>
                <w:sz w:val="17"/>
                <w:szCs w:val="17"/>
              </w:rPr>
              <w:t xml:space="preserve">R-15</w:t>
            </w:r>
          </w:p>
        </w:tc>
        <w:tc>
          <w:tcPr>
            <w:tcW w:type="dxa" w:w="124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111111"/>
                <w:sz w:val="17"/>
                <w:szCs w:val="17"/>
              </w:rPr>
              <w:t xml:space="preserve">Compliance / Legal</w:t>
            </w:r>
          </w:p>
        </w:tc>
        <w:tc>
          <w:tcPr>
            <w:tcW w:type="dxa" w:w="92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7"/>
                <w:szCs w:val="17"/>
              </w:rPr>
              <w:t xml:space="preserve">Enterprise operates without executed DPA or ZDR addendum; personal data is processed under OpenAI terms rather than enterprise contractual terms; GDPR/CCPA violation</w:t>
            </w:r>
          </w:p>
        </w:tc>
        <w:tc>
          <w:tcPr>
            <w:tcW w:type="dxa" w:w="36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375623"/>
                <w:sz w:val="17"/>
                <w:szCs w:val="17"/>
              </w:rPr>
              <w:t xml:space="preserve">2</w:t>
            </w:r>
          </w:p>
        </w:tc>
        <w:tc>
          <w:tcPr>
            <w:tcW w:type="dxa" w:w="36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C00000"/>
                <w:sz w:val="17"/>
                <w:szCs w:val="17"/>
              </w:rPr>
              <w:t xml:space="preserve">5</w:t>
            </w:r>
          </w:p>
        </w:tc>
        <w:tc>
          <w:tcPr>
            <w:tcW w:type="dxa" w:w="660"/>
            <w:tcBorders>
              <w:top w:val="single" w:color="CCCCCC" w:sz="1"/>
              <w:left w:val="single" w:color="CCCCCC" w:sz="1"/>
              <w:bottom w:val="single" w:color="CCCCCC" w:sz="1"/>
              <w:right w:val="single" w:color="CCCCCC" w:sz="1"/>
            </w:tcBorders>
            <w:shd w:fill="FDEBD0" w:val="clear"/>
            <w:tcMar>
              <w:top w:type="dxa" w:w="70"/>
              <w:left w:type="dxa" w:w="100"/>
              <w:bottom w:type="dxa" w:w="70"/>
              <w:right w:type="dxa" w:w="100"/>
            </w:tcMar>
            <w:vAlign w:val="top"/>
          </w:tcPr>
          <w:p>
            <w:pPr>
              <w:spacing w:before="0" w:after="0"/>
            </w:pPr>
            <w:r>
              <w:rPr>
                <w:rFonts w:ascii="Calibri" w:cs="Calibri" w:eastAsia="Calibri" w:hAnsi="Calibri"/>
                <w:b/>
                <w:bCs/>
                <w:color w:val="C55A11"/>
                <w:sz w:val="19"/>
                <w:szCs w:val="19"/>
              </w:rPr>
              <w:t xml:space="preserve">HIGH</w:t>
            </w:r>
          </w:p>
        </w:tc>
        <w:tc>
          <w:tcPr>
            <w:tcW w:type="dxa" w:w="15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7"/>
                <w:szCs w:val="17"/>
              </w:rPr>
              <w:t xml:space="preserve">Pre-go-live gate: DPA and ZDR addendum must be executed before any production inference</w:t>
            </w:r>
          </w:p>
        </w:tc>
        <w:tc>
          <w:tcPr>
            <w:tcW w:type="dxa" w:w="15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375623"/>
                <w:sz w:val="17"/>
                <w:szCs w:val="17"/>
              </w:rPr>
              <w:t xml:space="preserve">LOW — If go-live gate is enforced; risk materializes only from process failure</w:t>
            </w:r>
          </w:p>
        </w:tc>
        <w:tc>
          <w:tcPr>
            <w:tcW w:type="dxa" w:w="66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7"/>
                <w:szCs w:val="17"/>
              </w:rPr>
              <w:t xml:space="preserve">Mitigate (hard gate)</w:t>
            </w:r>
          </w:p>
        </w:tc>
        <w:tc>
          <w:tcPr>
            <w:tcW w:type="dxa" w:w="6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595959"/>
                <w:sz w:val="15"/>
                <w:szCs w:val="15"/>
              </w:rPr>
              <w:t xml:space="preserve">GDPR Art. 28 (Processor Agreement); CCPA 1798.100; NIST Privacy Framework PR.PO-P5</w:t>
            </w:r>
          </w:p>
        </w:tc>
        <w:tc>
          <w:tcPr>
            <w:tcW w:type="dxa" w:w="56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2E75B6"/>
                <w:sz w:val="17"/>
                <w:szCs w:val="17"/>
              </w:rPr>
              <w:t xml:space="preserve">VEN-001, ZDR-001</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1F3864"/>
                <w:sz w:val="17"/>
                <w:szCs w:val="17"/>
              </w:rPr>
              <w:t xml:space="preserve">R-16</w:t>
            </w:r>
          </w:p>
        </w:tc>
        <w:tc>
          <w:tcPr>
            <w:tcW w:type="dxa" w:w="12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111111"/>
                <w:sz w:val="17"/>
                <w:szCs w:val="17"/>
              </w:rPr>
              <w:t xml:space="preserve">Logging / Forensics</w:t>
            </w:r>
          </w:p>
        </w:tc>
        <w:tc>
          <w:tcPr>
            <w:tcW w:type="dxa" w:w="9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7"/>
                <w:szCs w:val="17"/>
              </w:rPr>
              <w:t xml:space="preserve">Portkey observability log pipeline fails; SIEM has no inference telemetry; security incident cannot be scoped; breach notification timeline missed</w:t>
            </w:r>
          </w:p>
        </w:tc>
        <w:tc>
          <w:tcPr>
            <w:tcW w:type="dxa" w:w="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375623"/>
                <w:sz w:val="17"/>
                <w:szCs w:val="17"/>
              </w:rPr>
              <w:t xml:space="preserve">2</w:t>
            </w:r>
          </w:p>
        </w:tc>
        <w:tc>
          <w:tcPr>
            <w:tcW w:type="dxa" w:w="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C00000"/>
                <w:sz w:val="17"/>
                <w:szCs w:val="17"/>
              </w:rPr>
              <w:t xml:space="preserve">4</w:t>
            </w:r>
          </w:p>
        </w:tc>
        <w:tc>
          <w:tcPr>
            <w:tcW w:type="dxa" w:w="660"/>
            <w:tcBorders>
              <w:top w:val="single" w:color="CCCCCC" w:sz="1"/>
              <w:left w:val="single" w:color="CCCCCC" w:sz="1"/>
              <w:bottom w:val="single" w:color="CCCCCC" w:sz="1"/>
              <w:right w:val="single" w:color="CCCCCC" w:sz="1"/>
            </w:tcBorders>
            <w:shd w:fill="FFF2CC" w:val="clear"/>
            <w:tcMar>
              <w:top w:type="dxa" w:w="70"/>
              <w:left w:type="dxa" w:w="100"/>
              <w:bottom w:type="dxa" w:w="70"/>
              <w:right w:type="dxa" w:w="100"/>
            </w:tcMar>
            <w:vAlign w:val="top"/>
          </w:tcPr>
          <w:p>
            <w:pPr>
              <w:spacing w:before="0" w:after="0"/>
            </w:pPr>
            <w:r>
              <w:rPr>
                <w:rFonts w:ascii="Calibri" w:cs="Calibri" w:eastAsia="Calibri" w:hAnsi="Calibri"/>
                <w:b/>
                <w:bCs/>
                <w:color w:val="7F6000"/>
                <w:sz w:val="19"/>
                <w:szCs w:val="19"/>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7"/>
                <w:szCs w:val="17"/>
              </w:rPr>
              <w:t xml:space="preserve">Portkey log export to SIEM pre-go-live requirement; pipeline health monitoring; PagerDuty on pipeline failure; immutable log storage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375623"/>
                <w:sz w:val="17"/>
                <w:szCs w:val="17"/>
              </w:rPr>
              <w:t xml:space="preserve">LOW — Pipeline failure is detectable and recoverable within SIEM gap alert window</w:t>
            </w:r>
          </w:p>
        </w:tc>
        <w:tc>
          <w:tcPr>
            <w:tcW w:type="dxa" w:w="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7"/>
                <w:szCs w:val="17"/>
              </w:rPr>
              <w:t xml:space="preserve">Mitigate</w:t>
            </w:r>
          </w:p>
        </w:tc>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595959"/>
                <w:sz w:val="15"/>
                <w:szCs w:val="15"/>
              </w:rPr>
              <w:t xml:space="preserve">NIST CSF DE.AE; SOC 2 TSC CC7.2; ISO 27001:2022 A.8.15 — Logging</w:t>
            </w:r>
          </w:p>
        </w:tc>
        <w:tc>
          <w:tcPr>
            <w:tcW w:type="dxa" w:w="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2E75B6"/>
                <w:sz w:val="17"/>
                <w:szCs w:val="17"/>
              </w:rPr>
              <w:t xml:space="preserve">OBS-001</w:t>
            </w:r>
          </w:p>
        </w:tc>
      </w:tr>
    </w:tbl>
    <w:p>
      <w:pPr>
        <w:spacing w:before="0" w:after="80"/>
      </w:pPr>
      <w:r>
        <w:t xml:space="preserve"/>
      </w:r>
    </w:p>
    <w:p>
      <w:pPr>
        <w:pStyle w:val="Heading2"/>
      </w:pPr>
      <w:r>
        <w:t xml:space="preserve">4.1 Risk Register — Key Observations</w:t>
      </w:r>
    </w:p>
    <w:p>
      <w:pPr>
        <w:spacing w:before="60" w:after="100"/>
      </w:pPr>
      <w:r>
        <w:rPr>
          <w:rFonts w:ascii="Calibri" w:cs="Calibri" w:eastAsia="Calibri" w:hAnsi="Calibri"/>
          <w:b w:val="false"/>
          <w:bCs w:val="false"/>
          <w:color w:val="000000"/>
          <w:sz w:val="22"/>
          <w:szCs w:val="22"/>
        </w:rPr>
        <w:t xml:space="preserve">Three risk patterns deserve particular attention from the register above.</w:t>
      </w:r>
    </w:p>
    <w:p>
      <w:pPr>
        <w:spacing w:before="0" w:after="40"/>
      </w:pPr>
      <w:r>
        <w:t xml:space="preserve"/>
      </w:r>
    </w:p>
    <w:p>
      <w:pPr>
        <w:spacing w:before="60" w:after="100"/>
      </w:pPr>
      <w:r>
        <w:rPr>
          <w:rFonts w:ascii="Calibri" w:cs="Calibri" w:eastAsia="Calibri" w:hAnsi="Calibri"/>
          <w:b w:val="false"/>
          <w:bCs w:val="false"/>
          <w:color w:val="000000"/>
          <w:sz w:val="22"/>
          <w:szCs w:val="22"/>
        </w:rPr>
        <w:t xml:space="preserve">First, the two CRITICAL-rated risks (R-01: key exposure via git/config leak) and the HIGH-rated gateway compromise risk (R-02) share a common characteristic: they are both caused by Portkey being the single repository of real OpenAI key material. The controls are strong — Vault integration, image scanning, Falco monitoring — but the concentration of key material in one place means a single control failure has outsized consequences. The residual treatment is correct (mitigate, not accept), but the residual risk rating remains MEDIUM because technical controls against determined insiders or supply chain attacks cannot be absolute.</w:t>
      </w:r>
    </w:p>
    <w:p>
      <w:pPr>
        <w:spacing w:before="0" w:after="60"/>
      </w:pPr>
      <w:r>
        <w:t xml:space="preserve"/>
      </w:r>
    </w:p>
    <w:p>
      <w:pPr>
        <w:spacing w:before="60" w:after="100"/>
      </w:pPr>
      <w:r>
        <w:rPr>
          <w:rFonts w:ascii="Calibri" w:cs="Calibri" w:eastAsia="Calibri" w:hAnsi="Calibri"/>
          <w:b w:val="false"/>
          <w:bCs w:val="false"/>
          <w:color w:val="000000"/>
          <w:sz w:val="22"/>
          <w:szCs w:val="22"/>
        </w:rPr>
        <w:t xml:space="preserve">Second, R-06 (Prompt Injection) and R-09 (Model Misinformation/Hallucination) are both rated HIGH residual despite being well-understood risks. This is deliberate and correct. They are high residual because no technical control reduces them to LOW — they require policy and workflow controls that are inherently less reliable than technical enforcement. Any assessment that rates these risks as LOW with controls is not being accurate.</w:t>
      </w:r>
    </w:p>
    <w:p>
      <w:pPr>
        <w:spacing w:before="0" w:after="60"/>
      </w:pPr>
      <w:r>
        <w:t xml:space="preserve"/>
      </w:r>
    </w:p>
    <w:p>
      <w:pPr>
        <w:spacing w:before="60" w:after="100"/>
      </w:pPr>
      <w:r>
        <w:rPr>
          <w:rFonts w:ascii="Calibri" w:cs="Calibri" w:eastAsia="Calibri" w:hAnsi="Calibri"/>
          <w:b w:val="false"/>
          <w:bCs w:val="false"/>
          <w:color w:val="000000"/>
          <w:sz w:val="22"/>
          <w:szCs w:val="22"/>
        </w:rPr>
        <w:t xml:space="preserve">Third, R-04 (Portkey bypass via personal API key) has a LOW residual risk rating — lower than most people would intuitively expect — because the network egress block on api.openai.com from non-Portkey hosts is a hard technical control that works regardless of user intent or org policy configuration. The risk is LOW as long as both the network control and the org-level personal key disable are simultaneously active. If either is removed, the residual risk jumps to HIGH.</w:t>
      </w:r>
    </w:p>
    <w:p>
      <w:r>
        <w:br w:type="page"/>
      </w:r>
    </w:p>
    <w:p>
      <w:pPr>
        <w:pStyle w:val="Heading1"/>
      </w:pPr>
      <w:r>
        <w:t xml:space="preserve">5. NIST CSF 2.0 — Control Maturity Assessment</w:t>
      </w:r>
    </w:p>
    <w:p>
      <w:pPr>
        <w:spacing w:before="60" w:after="100"/>
      </w:pPr>
      <w:r>
        <w:rPr>
          <w:rFonts w:ascii="Calibri" w:cs="Calibri" w:eastAsia="Calibri" w:hAnsi="Calibri"/>
          <w:b w:val="false"/>
          <w:bCs w:val="false"/>
          <w:color w:val="000000"/>
          <w:sz w:val="22"/>
          <w:szCs w:val="22"/>
        </w:rPr>
        <w:t xml:space="preserve">The NIST Cybersecurity Framework 2.0 introduced a sixth function — Govern — alongside the original five (Identify, Protect, Detect, Respond, Recover). For AI platform deployments, the Govern function is particularly relevant because AI introduces organizational risk and accountability questions that do not arise with traditional technology. The maturity assessment below uses the CSF 2.0 Tiers: Initial, Developing, Managing, and Optimizing.</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900"/>
        <w:gridCol w:w="2280"/>
        <w:gridCol w:w="2480"/>
      </w:tblGrid>
      <w:tr>
        <w:tc>
          <w:tcPr>
            <w:tcW w:type="dxa" w:w="70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vAlign w:val="top"/>
          </w:tcPr>
          <w:p>
            <w:pPr>
              <w:spacing w:before="0" w:after="0"/>
            </w:pPr>
            <w:r>
              <w:rPr>
                <w:rFonts w:ascii="Calibri" w:cs="Calibri" w:eastAsia="Calibri" w:hAnsi="Calibri"/>
                <w:b/>
                <w:bCs/>
                <w:color w:val="FFFFFF"/>
                <w:sz w:val="19"/>
                <w:szCs w:val="19"/>
              </w:rPr>
              <w:t xml:space="preserve">CSF Function</w:t>
            </w:r>
          </w:p>
        </w:tc>
        <w:tc>
          <w:tcPr>
            <w:tcW w:type="dxa" w:w="200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vAlign w:val="top"/>
          </w:tcPr>
          <w:p>
            <w:pPr>
              <w:spacing w:before="0" w:after="0"/>
            </w:pPr>
            <w:r>
              <w:rPr>
                <w:rFonts w:ascii="Calibri" w:cs="Calibri" w:eastAsia="Calibri" w:hAnsi="Calibri"/>
                <w:b/>
                <w:bCs/>
                <w:color w:val="FFFFFF"/>
                <w:sz w:val="19"/>
                <w:szCs w:val="19"/>
              </w:rPr>
              <w:t xml:space="preserve">Subcategory</w:t>
            </w:r>
          </w:p>
        </w:tc>
        <w:tc>
          <w:tcPr>
            <w:tcW w:type="dxa" w:w="90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vAlign w:val="top"/>
          </w:tcPr>
          <w:p>
            <w:pPr>
              <w:spacing w:before="0" w:after="0"/>
            </w:pPr>
            <w:r>
              <w:rPr>
                <w:rFonts w:ascii="Calibri" w:cs="Calibri" w:eastAsia="Calibri" w:hAnsi="Calibri"/>
                <w:b/>
                <w:bCs/>
                <w:color w:val="FFFFFF"/>
                <w:sz w:val="19"/>
                <w:szCs w:val="19"/>
              </w:rPr>
              <w:t xml:space="preserve">Maturity Tier</w:t>
            </w:r>
          </w:p>
        </w:tc>
        <w:tc>
          <w:tcPr>
            <w:tcW w:type="dxa" w:w="228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vAlign w:val="top"/>
          </w:tcPr>
          <w:p>
            <w:pPr>
              <w:spacing w:before="0" w:after="0"/>
            </w:pPr>
            <w:r>
              <w:rPr>
                <w:rFonts w:ascii="Calibri" w:cs="Calibri" w:eastAsia="Calibri" w:hAnsi="Calibri"/>
                <w:b/>
                <w:bCs/>
                <w:color w:val="FFFFFF"/>
                <w:sz w:val="19"/>
                <w:szCs w:val="19"/>
              </w:rPr>
              <w:t xml:space="preserve">Current State</w:t>
            </w:r>
          </w:p>
        </w:tc>
        <w:tc>
          <w:tcPr>
            <w:tcW w:type="dxa" w:w="248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vAlign w:val="top"/>
          </w:tcPr>
          <w:p>
            <w:pPr>
              <w:spacing w:before="0" w:after="0"/>
            </w:pPr>
            <w:r>
              <w:rPr>
                <w:rFonts w:ascii="Calibri" w:cs="Calibri" w:eastAsia="Calibri" w:hAnsi="Calibri"/>
                <w:b/>
                <w:bCs/>
                <w:color w:val="FFFFFF"/>
                <w:sz w:val="19"/>
                <w:szCs w:val="19"/>
              </w:rPr>
              <w:t xml:space="preserve">Gap / Recommended Action</w:t>
            </w:r>
          </w:p>
        </w:tc>
      </w:tr>
      <w:tr>
        <w:tc>
          <w:tcPr>
            <w:tcW w:type="dxa" w:w="7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1F3864"/>
                <w:sz w:val="18"/>
                <w:szCs w:val="18"/>
              </w:rPr>
              <w:t xml:space="preserve">GOVERN</w:t>
            </w:r>
          </w:p>
        </w:tc>
        <w:tc>
          <w:tcPr>
            <w:tcW w:type="dxa" w:w="20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111111"/>
                <w:sz w:val="18"/>
                <w:szCs w:val="18"/>
              </w:rPr>
              <w:t xml:space="preserve">GV.OC — Organizational Context</w:t>
            </w:r>
          </w:p>
        </w:tc>
        <w:tc>
          <w:tcPr>
            <w:tcW w:type="dxa" w:w="9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7F6000"/>
                <w:sz w:val="18"/>
                <w:szCs w:val="18"/>
              </w:rPr>
              <w:t xml:space="preserve">DEVELOPING</w:t>
            </w:r>
          </w:p>
        </w:tc>
        <w:tc>
          <w:tcPr>
            <w:tcW w:type="dxa" w:w="228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8"/>
                <w:szCs w:val="18"/>
              </w:rPr>
              <w:t xml:space="preserve">AI usage policy exists (AUP). AI governance committee defined. Risk tolerance for inference not formally documented. EU AI Act applicability assessment not complete.</w:t>
            </w:r>
          </w:p>
        </w:tc>
        <w:tc>
          <w:tcPr>
            <w:tcW w:type="dxa" w:w="248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595959"/>
                <w:sz w:val="18"/>
                <w:szCs w:val="18"/>
              </w:rPr>
              <w:t xml:space="preserve">Complete AI risk tolerance statement. Perform EU AI Act high-risk classification assessment before agentic or regulated-decision workflows are enabled.</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1F3864"/>
                <w:sz w:val="18"/>
                <w:szCs w:val="18"/>
              </w:rPr>
              <w:t xml:space="preserve">GOVERN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111111"/>
                <w:sz w:val="18"/>
                <w:szCs w:val="18"/>
              </w:rPr>
              <w:t xml:space="preserve">GV.SC — Supply Chain Risk Management</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7F6000"/>
                <w:sz w:val="18"/>
                <w:szCs w:val="18"/>
              </w:rPr>
              <w:t xml:space="preserve">DEVELOPING</w:t>
            </w:r>
          </w:p>
        </w:tc>
        <w:tc>
          <w:tcPr>
            <w:tcW w:type="dxa" w:w="22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8"/>
                <w:szCs w:val="18"/>
              </w:rPr>
              <w:t xml:space="preserve">OpenAI TPRA complete. Portkey vendor assessment required (COTS telemetry review). No formal AI-specific supplier contractual standard exists yet.</w:t>
            </w:r>
          </w:p>
        </w:tc>
        <w:tc>
          <w:tcPr>
            <w:tcW w:type="dxa" w:w="2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595959"/>
                <w:sz w:val="18"/>
                <w:szCs w:val="18"/>
              </w:rPr>
              <w:t xml:space="preserve">Execute Portkey COTS vendor assessment. Establish AI supplier contractual standard covering: ZDR, model behavior SLAs, breach notification, audit rights.</w:t>
            </w:r>
          </w:p>
        </w:tc>
      </w:tr>
      <w:tr>
        <w:tc>
          <w:tcPr>
            <w:tcW w:type="dxa" w:w="7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1F3864"/>
                <w:sz w:val="18"/>
                <w:szCs w:val="18"/>
              </w:rPr>
              <w:t xml:space="preserve">IDENTIFY</w:t>
            </w:r>
          </w:p>
        </w:tc>
        <w:tc>
          <w:tcPr>
            <w:tcW w:type="dxa" w:w="20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111111"/>
                <w:sz w:val="18"/>
                <w:szCs w:val="18"/>
              </w:rPr>
              <w:t xml:space="preserve">ID.AM — Asset Management</w:t>
            </w:r>
          </w:p>
        </w:tc>
        <w:tc>
          <w:tcPr>
            <w:tcW w:type="dxa" w:w="9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C55A11"/>
                <w:sz w:val="18"/>
                <w:szCs w:val="18"/>
              </w:rPr>
              <w:t xml:space="preserve">INITIAL</w:t>
            </w:r>
          </w:p>
        </w:tc>
        <w:tc>
          <w:tcPr>
            <w:tcW w:type="dxa" w:w="228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8"/>
                <w:szCs w:val="18"/>
              </w:rPr>
              <w:t xml:space="preserve">OpenAI Projects inventoried. Portkey virtual key registry defined. No enterprise-wide AI asset inventory beyond this deployment.</w:t>
            </w:r>
          </w:p>
        </w:tc>
        <w:tc>
          <w:tcPr>
            <w:tcW w:type="dxa" w:w="248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595959"/>
                <w:sz w:val="18"/>
                <w:szCs w:val="18"/>
              </w:rPr>
              <w:t xml:space="preserve">Build AI asset inventory as this deployment expands. Track: models in use, fine-tuned model versions, virtual key owners, consuming application registry.</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1F3864"/>
                <w:sz w:val="18"/>
                <w:szCs w:val="18"/>
              </w:rPr>
              <w:t xml:space="preserve">IDENTIFY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111111"/>
                <w:sz w:val="18"/>
                <w:szCs w:val="18"/>
              </w:rPr>
              <w:t xml:space="preserve">ID.RA — Risk Assessment</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1F6B75"/>
                <w:sz w:val="18"/>
                <w:szCs w:val="18"/>
              </w:rPr>
              <w:t xml:space="preserve">MANAGING</w:t>
            </w:r>
          </w:p>
        </w:tc>
        <w:tc>
          <w:tcPr>
            <w:tcW w:type="dxa" w:w="22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8"/>
                <w:szCs w:val="18"/>
              </w:rPr>
              <w:t xml:space="preserve">This document. STRIDE threat model completed. NIST SP 800-30 risk register in place. OWASP LLM Top 10 mapped.</w:t>
            </w:r>
          </w:p>
        </w:tc>
        <w:tc>
          <w:tcPr>
            <w:tcW w:type="dxa" w:w="2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595959"/>
                <w:sz w:val="18"/>
                <w:szCs w:val="18"/>
              </w:rPr>
              <w:t xml:space="preserve">Annual risk assessment refresh. Reassess when new model families enabled, agentic capabilities added, or significant Portkey version change.</w:t>
            </w:r>
          </w:p>
        </w:tc>
      </w:tr>
      <w:tr>
        <w:tc>
          <w:tcPr>
            <w:tcW w:type="dxa" w:w="7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1F3864"/>
                <w:sz w:val="18"/>
                <w:szCs w:val="18"/>
              </w:rPr>
              <w:t xml:space="preserve">PROTECT</w:t>
            </w:r>
          </w:p>
        </w:tc>
        <w:tc>
          <w:tcPr>
            <w:tcW w:type="dxa" w:w="20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111111"/>
                <w:sz w:val="18"/>
                <w:szCs w:val="18"/>
              </w:rPr>
              <w:t xml:space="preserve">PR.AA — Identity Management &amp; Access Control</w:t>
            </w:r>
          </w:p>
        </w:tc>
        <w:tc>
          <w:tcPr>
            <w:tcW w:type="dxa" w:w="9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375623"/>
                <w:sz w:val="18"/>
                <w:szCs w:val="18"/>
              </w:rPr>
              <w:t xml:space="preserve">MANAGED</w:t>
            </w:r>
          </w:p>
        </w:tc>
        <w:tc>
          <w:tcPr>
            <w:tcW w:type="dxa" w:w="228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8"/>
                <w:szCs w:val="18"/>
              </w:rPr>
              <w:t xml:space="preserve">SSO + SCIM + FIDO2 for console. Virtual key per-consumer with model/budget scoping. Personal key disable + egress block.</w:t>
            </w:r>
          </w:p>
        </w:tc>
        <w:tc>
          <w:tcPr>
            <w:tcW w:type="dxa" w:w="248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595959"/>
                <w:sz w:val="18"/>
                <w:szCs w:val="18"/>
              </w:rPr>
              <w:t xml:space="preserve">Strengthen: implement just-in-time (JIT) admin console access via PAM rather than persistent admin accounts.</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1F3864"/>
                <w:sz w:val="18"/>
                <w:szCs w:val="18"/>
              </w:rPr>
              <w:t xml:space="preserve">PROTECT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111111"/>
                <w:sz w:val="18"/>
                <w:szCs w:val="18"/>
              </w:rPr>
              <w:t xml:space="preserve">PR.DS — Data Security</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1F6B75"/>
                <w:sz w:val="18"/>
                <w:szCs w:val="18"/>
              </w:rPr>
              <w:t xml:space="preserve">MANAGING</w:t>
            </w:r>
          </w:p>
        </w:tc>
        <w:tc>
          <w:tcPr>
            <w:tcW w:type="dxa" w:w="22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8"/>
                <w:szCs w:val="18"/>
              </w:rPr>
              <w:t xml:space="preserve">ZDR contractually and technically confirmed. Portkey Guardrails active. No raw prompt logging. Immutable log storage.</w:t>
            </w:r>
          </w:p>
        </w:tc>
        <w:tc>
          <w:tcPr>
            <w:tcW w:type="dxa" w:w="2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595959"/>
                <w:sz w:val="18"/>
                <w:szCs w:val="18"/>
              </w:rPr>
              <w:t xml:space="preserve">Gap: ZDR scope for fine-tuning data and batch API not confirmed. Address before PROD-Finetuned project is enabled.</w:t>
            </w:r>
          </w:p>
        </w:tc>
      </w:tr>
      <w:tr>
        <w:tc>
          <w:tcPr>
            <w:tcW w:type="dxa" w:w="7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1F3864"/>
                <w:sz w:val="18"/>
                <w:szCs w:val="18"/>
              </w:rPr>
              <w:t xml:space="preserve">PROTECT</w:t>
            </w:r>
          </w:p>
        </w:tc>
        <w:tc>
          <w:tcPr>
            <w:tcW w:type="dxa" w:w="20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111111"/>
                <w:sz w:val="18"/>
                <w:szCs w:val="18"/>
              </w:rPr>
              <w:t xml:space="preserve">PR.PS — Platform Security</w:t>
            </w:r>
          </w:p>
        </w:tc>
        <w:tc>
          <w:tcPr>
            <w:tcW w:type="dxa" w:w="9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7F6000"/>
                <w:sz w:val="18"/>
                <w:szCs w:val="18"/>
              </w:rPr>
              <w:t xml:space="preserve">DEVELOPING</w:t>
            </w:r>
          </w:p>
        </w:tc>
        <w:tc>
          <w:tcPr>
            <w:tcW w:type="dxa" w:w="228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8"/>
                <w:szCs w:val="18"/>
              </w:rPr>
              <w:t xml:space="preserve">Portkey COTS hardened (non-root, NetworkPolicy, mTLS). Patch SLA defined. Image scanning in CI/CD.</w:t>
            </w:r>
          </w:p>
        </w:tc>
        <w:tc>
          <w:tcPr>
            <w:tcW w:type="dxa" w:w="248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595959"/>
                <w:sz w:val="18"/>
                <w:szCs w:val="18"/>
              </w:rPr>
              <w:t xml:space="preserve">Gap: Portkey config IaC enforcement not yet confirmed — manual config changes possible if admin API not restricted. Confirm gitops enforcement before go-live.</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1F3864"/>
                <w:sz w:val="18"/>
                <w:szCs w:val="18"/>
              </w:rPr>
              <w:t xml:space="preserve">DETECT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111111"/>
                <w:sz w:val="18"/>
                <w:szCs w:val="18"/>
              </w:rPr>
              <w:t xml:space="preserve">DE.AE — Adverse Event Analysis</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7F6000"/>
                <w:sz w:val="18"/>
                <w:szCs w:val="18"/>
              </w:rPr>
              <w:t xml:space="preserve">DEVELOPING</w:t>
            </w:r>
          </w:p>
        </w:tc>
        <w:tc>
          <w:tcPr>
            <w:tcW w:type="dxa" w:w="22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8"/>
                <w:szCs w:val="18"/>
              </w:rPr>
              <w:t xml:space="preserve">SIEM receives: Portkey logs, OpenAI audit logs, Vault audit, PAM, IdP, firewall. Detection rules defined pre-go-live.</w:t>
            </w:r>
          </w:p>
        </w:tc>
        <w:tc>
          <w:tcPr>
            <w:tcW w:type="dxa" w:w="2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595959"/>
                <w:sz w:val="18"/>
                <w:szCs w:val="18"/>
              </w:rPr>
              <w:t xml:space="preserve">Gap: UEBA baseline requires 30-day post-go-live period before anomaly alerting is tuned. Interim: rely on absolute threshold alerts.</w:t>
            </w:r>
          </w:p>
        </w:tc>
      </w:tr>
      <w:tr>
        <w:tc>
          <w:tcPr>
            <w:tcW w:type="dxa" w:w="7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1F3864"/>
                <w:sz w:val="18"/>
                <w:szCs w:val="18"/>
              </w:rPr>
              <w:t xml:space="preserve">DETECT</w:t>
            </w:r>
          </w:p>
        </w:tc>
        <w:tc>
          <w:tcPr>
            <w:tcW w:type="dxa" w:w="20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111111"/>
                <w:sz w:val="18"/>
                <w:szCs w:val="18"/>
              </w:rPr>
              <w:t xml:space="preserve">DE.CM — Continuous Monitoring</w:t>
            </w:r>
          </w:p>
        </w:tc>
        <w:tc>
          <w:tcPr>
            <w:tcW w:type="dxa" w:w="9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375623"/>
                <w:sz w:val="18"/>
                <w:szCs w:val="18"/>
              </w:rPr>
              <w:t xml:space="preserve">MANAGED</w:t>
            </w:r>
          </w:p>
        </w:tc>
        <w:tc>
          <w:tcPr>
            <w:tcW w:type="dxa" w:w="228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8"/>
                <w:szCs w:val="18"/>
              </w:rPr>
              <w:t xml:space="preserve">Real-time Portkey log ingestion to SIEM. OpenAI audit log polling ≤15 min. Falco container runtime monitoring. Egress firewall alerting.</w:t>
            </w:r>
          </w:p>
        </w:tc>
        <w:tc>
          <w:tcPr>
            <w:tcW w:type="dxa" w:w="248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595959"/>
                <w:sz w:val="18"/>
                <w:szCs w:val="18"/>
              </w:rPr>
              <w:t xml:space="preserve">Mature: add Portkey API observability to internal SLO dashboard. Define SLI for guardrail hit rate as a security health metric.</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1F3864"/>
                <w:sz w:val="18"/>
                <w:szCs w:val="18"/>
              </w:rPr>
              <w:t xml:space="preserve">RESPOND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111111"/>
                <w:sz w:val="18"/>
                <w:szCs w:val="18"/>
              </w:rPr>
              <w:t xml:space="preserve">RS.MA — Incident Management</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7F6000"/>
                <w:sz w:val="18"/>
                <w:szCs w:val="18"/>
              </w:rPr>
              <w:t xml:space="preserve">DEVELOPING</w:t>
            </w:r>
          </w:p>
        </w:tc>
        <w:tc>
          <w:tcPr>
            <w:tcW w:type="dxa" w:w="22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8"/>
                <w:szCs w:val="18"/>
              </w:rPr>
              <w:t xml:space="preserve">IR playbooks exist for: key exposure, Portkey compromise, data incident. Tabletop exercise required before go-live.</w:t>
            </w:r>
          </w:p>
        </w:tc>
        <w:tc>
          <w:tcPr>
            <w:tcW w:type="dxa" w:w="2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595959"/>
                <w:sz w:val="18"/>
                <w:szCs w:val="18"/>
              </w:rPr>
              <w:t xml:space="preserve">Conduct pre-go-live tabletop. Define IR metrics: MTTR for key rotation, time-to-SIEM for Portkey compromise detection.</w:t>
            </w:r>
          </w:p>
        </w:tc>
      </w:tr>
      <w:tr>
        <w:tc>
          <w:tcPr>
            <w:tcW w:type="dxa" w:w="7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1F3864"/>
                <w:sz w:val="18"/>
                <w:szCs w:val="18"/>
              </w:rPr>
              <w:t xml:space="preserve">RESPOND</w:t>
            </w:r>
          </w:p>
        </w:tc>
        <w:tc>
          <w:tcPr>
            <w:tcW w:type="dxa" w:w="20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111111"/>
                <w:sz w:val="18"/>
                <w:szCs w:val="18"/>
              </w:rPr>
              <w:t xml:space="preserve">RS.CO — Incident Communication</w:t>
            </w:r>
          </w:p>
        </w:tc>
        <w:tc>
          <w:tcPr>
            <w:tcW w:type="dxa" w:w="9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C55A11"/>
                <w:sz w:val="18"/>
                <w:szCs w:val="18"/>
              </w:rPr>
              <w:t xml:space="preserve">INITIAL</w:t>
            </w:r>
          </w:p>
        </w:tc>
        <w:tc>
          <w:tcPr>
            <w:tcW w:type="dxa" w:w="228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8"/>
                <w:szCs w:val="18"/>
              </w:rPr>
              <w:t xml:space="preserve">Internal escalation tree defined. OpenAI breach notification SLA in contract. No external communication template for AI-specific incidents.</w:t>
            </w:r>
          </w:p>
        </w:tc>
        <w:tc>
          <w:tcPr>
            <w:tcW w:type="dxa" w:w="248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595959"/>
                <w:sz w:val="18"/>
                <w:szCs w:val="18"/>
              </w:rPr>
              <w:t xml:space="preserve">Develop AI incident communication templates for: regulator notification (GDPR 72-hour), customer notification, executive briefing.</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1F3864"/>
                <w:sz w:val="18"/>
                <w:szCs w:val="18"/>
              </w:rPr>
              <w:t xml:space="preserve">RECOVER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111111"/>
                <w:sz w:val="18"/>
                <w:szCs w:val="18"/>
              </w:rPr>
              <w:t xml:space="preserve">RC.RP — Recovery Planning</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7F6000"/>
                <w:sz w:val="18"/>
                <w:szCs w:val="18"/>
              </w:rPr>
              <w:t xml:space="preserve">DEVELOPING</w:t>
            </w:r>
          </w:p>
        </w:tc>
        <w:tc>
          <w:tcPr>
            <w:tcW w:type="dxa" w:w="22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8"/>
                <w:szCs w:val="18"/>
              </w:rPr>
              <w:t xml:space="preserve">Portkey DR runbook defined. HA architecture (active-active) defined. RTO/RPO targets not formally committed.</w:t>
            </w:r>
          </w:p>
        </w:tc>
        <w:tc>
          <w:tcPr>
            <w:tcW w:type="dxa" w:w="2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595959"/>
                <w:sz w:val="18"/>
                <w:szCs w:val="18"/>
              </w:rPr>
              <w:t xml:space="preserve">Formalize RTO/RPO SLAs. Test DR failover before go-live. Define business continuity criteria for AI platform unavailability.</w:t>
            </w:r>
          </w:p>
        </w:tc>
      </w:tr>
    </w:tbl>
    <w:p>
      <w:pPr>
        <w:spacing w:before="0" w:after="80"/>
      </w:pPr>
      <w:r>
        <w:t xml:space="preserve"/>
      </w:r>
    </w:p>
    <w:p>
      <w:pPr>
        <w:pStyle w:val="Heading2"/>
      </w:pPr>
      <w:r>
        <w:t xml:space="preserve">5.1 CSF 2.0 — Summary Assessment</w:t>
      </w:r>
    </w:p>
    <w:p>
      <w:pPr>
        <w:spacing w:before="60" w:after="100"/>
      </w:pPr>
      <w:r>
        <w:rPr>
          <w:rFonts w:ascii="Calibri" w:cs="Calibri" w:eastAsia="Calibri" w:hAnsi="Calibri"/>
          <w:b w:val="false"/>
          <w:bCs w:val="false"/>
          <w:color w:val="000000"/>
          <w:sz w:val="22"/>
          <w:szCs w:val="22"/>
        </w:rPr>
        <w:t xml:space="preserve">The overall maturity profile for this deployment is Developing-to-Managing across most CSF functions, which is appropriate for an initial rollout of a new AI platform capability. The Protect function is the strongest area — the architecture's design choices (Portkey COTS, ZDR, virtual key abstraction, network egress control) reflect mature thinking about data protection before deployment. The weakest areas are Govern and Recover, which is typical for AI deployments where governance structures are being built alongside the technology.</w:t>
      </w:r>
    </w:p>
    <w:p>
      <w:pPr>
        <w:spacing w:before="0" w:after="60"/>
      </w:pPr>
      <w:r>
        <w:t xml:space="preserve"/>
      </w:r>
    </w:p>
    <w:p>
      <w:pPr>
        <w:spacing w:before="60" w:after="100"/>
      </w:pPr>
      <w:r>
        <w:rPr>
          <w:rFonts w:ascii="Calibri" w:cs="Calibri" w:eastAsia="Calibri" w:hAnsi="Calibri"/>
          <w:b w:val="false"/>
          <w:bCs w:val="false"/>
          <w:color w:val="000000"/>
          <w:sz w:val="22"/>
          <w:szCs w:val="22"/>
        </w:rPr>
        <w:t xml:space="preserve">The CSF 2.0 Govern function highlights a gap that is easy to overlook: the absence of a formal AI risk tolerance statement from organizational leadership. Without it, security teams are making implicit risk acceptance decisions on behalf of leadership with no documented basis. This is a governance gap, not a technical one, and it should be remediated before Phase 2 expansion.</w:t>
      </w:r>
    </w:p>
    <w:p>
      <w:pPr>
        <w:spacing w:before="0" w:after="60"/>
      </w:pPr>
      <w:r>
        <w:t xml:space="preserve"/>
      </w:r>
    </w:p>
    <w:p>
      <w:pPr>
        <w:spacing w:before="60" w:after="100"/>
      </w:pPr>
      <w:r>
        <w:rPr>
          <w:rFonts w:ascii="Calibri" w:cs="Calibri" w:eastAsia="Calibri" w:hAnsi="Calibri"/>
          <w:b w:val="false"/>
          <w:bCs w:val="false"/>
          <w:color w:val="000000"/>
          <w:sz w:val="22"/>
          <w:szCs w:val="22"/>
        </w:rPr>
        <w:t xml:space="preserve">The Respond function gap in RS.CO (Incident Communication) is worth flagging explicitly. Most organizations have incident communication templates for data breaches involving databases or applications. AI platform incidents — particularly those involving regulatory data transmitted to an LLM — introduce notification nuances that existing templates do not address. A 72-hour GDPR notification clock starts from awareness of a breach, not from resolution. An AI guardrail event that confirms PHI reached OpenAI despite ZDR being active would trigger that clock. The communication template must exist before that event occurs, not after.</w:t>
      </w:r>
    </w:p>
    <w:p>
      <w:r>
        <w:br w:type="page"/>
      </w:r>
    </w:p>
    <w:p>
      <w:pPr>
        <w:pStyle w:val="Heading1"/>
      </w:pPr>
      <w:r>
        <w:t xml:space="preserve">6. ISO 27001:2022 Annex A — Control Gap Analysis</w:t>
      </w:r>
    </w:p>
    <w:p>
      <w:pPr>
        <w:spacing w:before="60" w:after="100"/>
      </w:pPr>
      <w:r>
        <w:rPr>
          <w:rFonts w:ascii="Calibri" w:cs="Calibri" w:eastAsia="Calibri" w:hAnsi="Calibri"/>
          <w:b w:val="false"/>
          <w:bCs w:val="false"/>
          <w:color w:val="000000"/>
          <w:sz w:val="22"/>
          <w:szCs w:val="22"/>
        </w:rPr>
        <w:t xml:space="preserve">The gap analysis below evaluates the most directly applicable ISO 27001:2022 Annex A controls against the current deployment state. Controls not listed are either not applicable to this deployment or are addressed by existing enterprise-wide information security controls that predate this deployment. The focus is on controls where the AI platform introduces new applicability or where the standard enterprise control requires AI-specific adaptation.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860"/>
        <w:gridCol w:w="2600"/>
        <w:gridCol w:w="3100"/>
      </w:tblGrid>
      <w:tr>
        <w:tc>
          <w:tcPr>
            <w:tcW w:type="dxa" w:w="60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vAlign w:val="top"/>
          </w:tcPr>
          <w:p>
            <w:pPr>
              <w:spacing w:before="0" w:after="0"/>
            </w:pPr>
            <w:r>
              <w:rPr>
                <w:rFonts w:ascii="Calibri" w:cs="Calibri" w:eastAsia="Calibri" w:hAnsi="Calibri"/>
                <w:b/>
                <w:bCs/>
                <w:color w:val="FFFFFF"/>
                <w:sz w:val="19"/>
                <w:szCs w:val="19"/>
              </w:rPr>
              <w:t xml:space="preserve">Control</w:t>
            </w:r>
          </w:p>
        </w:tc>
        <w:tc>
          <w:tcPr>
            <w:tcW w:type="dxa" w:w="220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vAlign w:val="top"/>
          </w:tcPr>
          <w:p>
            <w:pPr>
              <w:spacing w:before="0" w:after="0"/>
            </w:pPr>
            <w:r>
              <w:rPr>
                <w:rFonts w:ascii="Calibri" w:cs="Calibri" w:eastAsia="Calibri" w:hAnsi="Calibri"/>
                <w:b/>
                <w:bCs/>
                <w:color w:val="FFFFFF"/>
                <w:sz w:val="19"/>
                <w:szCs w:val="19"/>
              </w:rPr>
              <w:t xml:space="preserve">Title</w:t>
            </w:r>
          </w:p>
        </w:tc>
        <w:tc>
          <w:tcPr>
            <w:tcW w:type="dxa" w:w="86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vAlign w:val="top"/>
          </w:tcPr>
          <w:p>
            <w:pPr>
              <w:spacing w:before="0" w:after="0"/>
            </w:pPr>
            <w:r>
              <w:rPr>
                <w:rFonts w:ascii="Calibri" w:cs="Calibri" w:eastAsia="Calibri" w:hAnsi="Calibri"/>
                <w:b/>
                <w:bCs/>
                <w:color w:val="FFFFFF"/>
                <w:sz w:val="19"/>
                <w:szCs w:val="19"/>
              </w:rPr>
              <w:t xml:space="preserve">Status</w:t>
            </w:r>
          </w:p>
        </w:tc>
        <w:tc>
          <w:tcPr>
            <w:tcW w:type="dxa" w:w="260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vAlign w:val="top"/>
          </w:tcPr>
          <w:p>
            <w:pPr>
              <w:spacing w:before="0" w:after="0"/>
            </w:pPr>
            <w:r>
              <w:rPr>
                <w:rFonts w:ascii="Calibri" w:cs="Calibri" w:eastAsia="Calibri" w:hAnsi="Calibri"/>
                <w:b/>
                <w:bCs/>
                <w:color w:val="FFFFFF"/>
                <w:sz w:val="19"/>
                <w:szCs w:val="19"/>
              </w:rPr>
              <w:t xml:space="preserve">Current State</w:t>
            </w:r>
          </w:p>
        </w:tc>
        <w:tc>
          <w:tcPr>
            <w:tcW w:type="dxa" w:w="310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vAlign w:val="top"/>
          </w:tcPr>
          <w:p>
            <w:pPr>
              <w:spacing w:before="0" w:after="0"/>
            </w:pPr>
            <w:r>
              <w:rPr>
                <w:rFonts w:ascii="Calibri" w:cs="Calibri" w:eastAsia="Calibri" w:hAnsi="Calibri"/>
                <w:b/>
                <w:bCs/>
                <w:color w:val="FFFFFF"/>
                <w:sz w:val="19"/>
                <w:szCs w:val="19"/>
              </w:rPr>
              <w:t xml:space="preserve">Gap / Action Required</w:t>
            </w:r>
          </w:p>
        </w:tc>
      </w:tr>
      <w:tr>
        <w:tc>
          <w:tcPr>
            <w:tcW w:type="dxa" w:w="6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1F3864"/>
                <w:sz w:val="18"/>
                <w:szCs w:val="18"/>
              </w:rPr>
              <w:t xml:space="preserve">A.5.19</w:t>
            </w:r>
          </w:p>
        </w:tc>
        <w:tc>
          <w:tcPr>
            <w:tcW w:type="dxa" w:w="22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111111"/>
                <w:sz w:val="18"/>
                <w:szCs w:val="18"/>
              </w:rPr>
              <w:t xml:space="preserve">Supplier Relationships — Information Security</w:t>
            </w:r>
          </w:p>
        </w:tc>
        <w:tc>
          <w:tcPr>
            <w:tcW w:type="dxa" w:w="860"/>
            <w:tcBorders>
              <w:top w:val="single" w:color="CCCCCC" w:sz="1"/>
              <w:left w:val="single" w:color="CCCCCC" w:sz="1"/>
              <w:bottom w:val="single" w:color="CCCCCC" w:sz="1"/>
              <w:right w:val="single" w:color="CCCCCC" w:sz="1"/>
            </w:tcBorders>
            <w:shd w:fill="FFF2CC" w:val="clear"/>
            <w:tcMar>
              <w:top w:type="dxa" w:w="70"/>
              <w:left w:type="dxa" w:w="100"/>
              <w:bottom w:type="dxa" w:w="70"/>
              <w:right w:type="dxa" w:w="100"/>
            </w:tcMar>
            <w:vAlign w:val="top"/>
          </w:tcPr>
          <w:p>
            <w:pPr>
              <w:spacing w:before="0" w:after="0"/>
            </w:pPr>
            <w:r>
              <w:rPr>
                <w:rFonts w:ascii="Calibri" w:cs="Calibri" w:eastAsia="Calibri" w:hAnsi="Calibri"/>
                <w:b/>
                <w:bCs/>
                <w:color w:val="7F6000"/>
                <w:sz w:val="18"/>
                <w:szCs w:val="18"/>
              </w:rPr>
              <w:t xml:space="preserve">Partial</w:t>
            </w:r>
          </w:p>
        </w:tc>
        <w:tc>
          <w:tcPr>
            <w:tcW w:type="dxa" w:w="26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8"/>
                <w:szCs w:val="18"/>
              </w:rPr>
              <w:t xml:space="preserve">OpenAI: TPRA complete; DPA + ZDR executed. Portkey: COTS vendor assessment required (telemetry, external connectivity, data handling in self-hosted mode).</w:t>
            </w:r>
          </w:p>
        </w:tc>
        <w:tc>
          <w:tcPr>
            <w:tcW w:type="dxa" w:w="31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595959"/>
                <w:sz w:val="18"/>
                <w:szCs w:val="18"/>
              </w:rPr>
              <w:t xml:space="preserve">Complete Portkey COTS vendor assessment before go-live.</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1F3864"/>
                <w:sz w:val="18"/>
                <w:szCs w:val="18"/>
              </w:rPr>
              <w:t xml:space="preserve">A.5.20</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111111"/>
                <w:sz w:val="18"/>
                <w:szCs w:val="18"/>
              </w:rPr>
              <w:t xml:space="preserve">Addressing Security in Supplier Agreements</w:t>
            </w:r>
          </w:p>
        </w:tc>
        <w:tc>
          <w:tcPr>
            <w:tcW w:type="dxa" w:w="860"/>
            <w:tcBorders>
              <w:top w:val="single" w:color="CCCCCC" w:sz="1"/>
              <w:left w:val="single" w:color="CCCCCC" w:sz="1"/>
              <w:bottom w:val="single" w:color="CCCCCC" w:sz="1"/>
              <w:right w:val="single" w:color="CCCCCC" w:sz="1"/>
            </w:tcBorders>
            <w:shd w:fill="FFF2CC" w:val="clear"/>
            <w:tcMar>
              <w:top w:type="dxa" w:w="70"/>
              <w:left w:type="dxa" w:w="100"/>
              <w:bottom w:type="dxa" w:w="70"/>
              <w:right w:type="dxa" w:w="100"/>
            </w:tcMar>
            <w:vAlign w:val="top"/>
          </w:tcPr>
          <w:p>
            <w:pPr>
              <w:spacing w:before="0" w:after="0"/>
            </w:pPr>
            <w:r>
              <w:rPr>
                <w:rFonts w:ascii="Calibri" w:cs="Calibri" w:eastAsia="Calibri" w:hAnsi="Calibri"/>
                <w:b/>
                <w:bCs/>
                <w:color w:val="7F6000"/>
                <w:sz w:val="18"/>
                <w:szCs w:val="18"/>
              </w:rPr>
              <w:t xml:space="preserve">Partial</w:t>
            </w:r>
          </w:p>
        </w:tc>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8"/>
                <w:szCs w:val="18"/>
              </w:rPr>
              <w:t xml:space="preserve">OpenAI: DPA, ZDR addendum, BAA (if PHI), breach notification SLA in contract. Portkey: License terms reviewed; security terms require review.</w:t>
            </w:r>
          </w:p>
        </w:tc>
        <w:tc>
          <w:tcPr>
            <w:tcW w:type="dxa" w:w="3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595959"/>
                <w:sz w:val="18"/>
                <w:szCs w:val="18"/>
              </w:rPr>
              <w:t xml:space="preserve">Add security schedule to Portkey COTS license agreement covering: vulnerability disclosure, security advisory notification, source code access rights.</w:t>
            </w:r>
          </w:p>
        </w:tc>
      </w:tr>
      <w:tr>
        <w:tc>
          <w:tcPr>
            <w:tcW w:type="dxa" w:w="6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1F3864"/>
                <w:sz w:val="18"/>
                <w:szCs w:val="18"/>
              </w:rPr>
              <w:t xml:space="preserve">A.5.23</w:t>
            </w:r>
          </w:p>
        </w:tc>
        <w:tc>
          <w:tcPr>
            <w:tcW w:type="dxa" w:w="22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111111"/>
                <w:sz w:val="18"/>
                <w:szCs w:val="18"/>
              </w:rPr>
              <w:t xml:space="preserve">Information Security for Use of Cloud Services</w:t>
            </w:r>
          </w:p>
        </w:tc>
        <w:tc>
          <w:tcPr>
            <w:tcW w:type="dxa" w:w="86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top"/>
          </w:tcPr>
          <w:p>
            <w:pPr>
              <w:spacing w:before="0" w:after="0"/>
            </w:pPr>
            <w:r>
              <w:rPr>
                <w:rFonts w:ascii="Calibri" w:cs="Calibri" w:eastAsia="Calibri" w:hAnsi="Calibri"/>
                <w:b/>
                <w:bCs/>
                <w:color w:val="375623"/>
                <w:sz w:val="18"/>
                <w:szCs w:val="18"/>
              </w:rPr>
              <w:t xml:space="preserve">Compliant</w:t>
            </w:r>
          </w:p>
        </w:tc>
        <w:tc>
          <w:tcPr>
            <w:tcW w:type="dxa" w:w="26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8"/>
                <w:szCs w:val="18"/>
              </w:rPr>
              <w:t xml:space="preserve">OpenAI API Platform is the cloud service. ZDR addendum controls data handling. SOC 2 Type II reviewed. Data processing region confirmed.</w:t>
            </w:r>
          </w:p>
        </w:tc>
        <w:tc>
          <w:tcPr>
            <w:tcW w:type="dxa" w:w="31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595959"/>
                <w:sz w:val="18"/>
                <w:szCs w:val="18"/>
              </w:rPr>
              <w:t xml:space="preserve">Annual review of OpenAI SOC 2 and subprocessor list.</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1F3864"/>
                <w:sz w:val="18"/>
                <w:szCs w:val="18"/>
              </w:rPr>
              <w:t xml:space="preserve">A.8.10</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111111"/>
                <w:sz w:val="18"/>
                <w:szCs w:val="18"/>
              </w:rPr>
              <w:t xml:space="preserve">Information Deletion</w:t>
            </w:r>
          </w:p>
        </w:tc>
        <w:tc>
          <w:tcPr>
            <w:tcW w:type="dxa" w:w="86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top"/>
          </w:tcPr>
          <w:p>
            <w:pPr>
              <w:spacing w:before="0" w:after="0"/>
            </w:pPr>
            <w:r>
              <w:rPr>
                <w:rFonts w:ascii="Calibri" w:cs="Calibri" w:eastAsia="Calibri" w:hAnsi="Calibri"/>
                <w:b/>
                <w:bCs/>
                <w:color w:val="375623"/>
                <w:sz w:val="18"/>
                <w:szCs w:val="18"/>
              </w:rPr>
              <w:t xml:space="preserve">Compliant</w:t>
            </w:r>
          </w:p>
        </w:tc>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8"/>
                <w:szCs w:val="18"/>
              </w:rPr>
              <w:t xml:space="preserve">ZDR active: no inference payloads retained by OpenAI. Portkey does not persist raw prompt content (logging design requirement).</w:t>
            </w:r>
          </w:p>
        </w:tc>
        <w:tc>
          <w:tcPr>
            <w:tcW w:type="dxa" w:w="3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595959"/>
                <w:sz w:val="18"/>
                <w:szCs w:val="18"/>
              </w:rPr>
              <w:t xml:space="preserve">Confirm ZDR coverage for batch API and fine-tuning data uploads separately.</w:t>
            </w:r>
          </w:p>
        </w:tc>
      </w:tr>
      <w:tr>
        <w:tc>
          <w:tcPr>
            <w:tcW w:type="dxa" w:w="6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1F3864"/>
                <w:sz w:val="18"/>
                <w:szCs w:val="18"/>
              </w:rPr>
              <w:t xml:space="preserve">A.8.15</w:t>
            </w:r>
          </w:p>
        </w:tc>
        <w:tc>
          <w:tcPr>
            <w:tcW w:type="dxa" w:w="22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111111"/>
                <w:sz w:val="18"/>
                <w:szCs w:val="18"/>
              </w:rPr>
              <w:t xml:space="preserve">Logging</w:t>
            </w:r>
          </w:p>
        </w:tc>
        <w:tc>
          <w:tcPr>
            <w:tcW w:type="dxa" w:w="86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top"/>
          </w:tcPr>
          <w:p>
            <w:pPr>
              <w:spacing w:before="0" w:after="0"/>
            </w:pPr>
            <w:r>
              <w:rPr>
                <w:rFonts w:ascii="Calibri" w:cs="Calibri" w:eastAsia="Calibri" w:hAnsi="Calibri"/>
                <w:b/>
                <w:bCs/>
                <w:color w:val="375623"/>
                <w:sz w:val="18"/>
                <w:szCs w:val="18"/>
              </w:rPr>
              <w:t xml:space="preserve">Compliant</w:t>
            </w:r>
          </w:p>
        </w:tc>
        <w:tc>
          <w:tcPr>
            <w:tcW w:type="dxa" w:w="26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8"/>
                <w:szCs w:val="18"/>
              </w:rPr>
              <w:t xml:space="preserve">Portkey observability → SIEM. OpenAI Audit Logs API → SIEM. Vault audit → SIEM. PAM session recording. Immutable log storage. Minimum 12-month retention.</w:t>
            </w:r>
          </w:p>
        </w:tc>
        <w:tc>
          <w:tcPr>
            <w:tcW w:type="dxa" w:w="31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595959"/>
                <w:sz w:val="18"/>
                <w:szCs w:val="18"/>
              </w:rPr>
              <w:t xml:space="preserve">Confirm Portkey log export does not include raw prompt content (privacy constraint).</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1F3864"/>
                <w:sz w:val="18"/>
                <w:szCs w:val="18"/>
              </w:rPr>
              <w:t xml:space="preserve">A.8.16</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111111"/>
                <w:sz w:val="18"/>
                <w:szCs w:val="18"/>
              </w:rPr>
              <w:t xml:space="preserve">Monitoring Activities</w:t>
            </w:r>
          </w:p>
        </w:tc>
        <w:tc>
          <w:tcPr>
            <w:tcW w:type="dxa" w:w="86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top"/>
          </w:tcPr>
          <w:p>
            <w:pPr>
              <w:spacing w:before="0" w:after="0"/>
            </w:pPr>
            <w:r>
              <w:rPr>
                <w:rFonts w:ascii="Calibri" w:cs="Calibri" w:eastAsia="Calibri" w:hAnsi="Calibri"/>
                <w:b/>
                <w:bCs/>
                <w:color w:val="375623"/>
                <w:sz w:val="18"/>
                <w:szCs w:val="18"/>
              </w:rPr>
              <w:t xml:space="preserve">Compliant</w:t>
            </w:r>
          </w:p>
        </w:tc>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8"/>
                <w:szCs w:val="18"/>
              </w:rPr>
              <w:t xml:space="preserve">Real-time SIEM ingestion. Falco container runtime monitoring. Egress firewall alerting. UEBA baseline post-go-live.</w:t>
            </w:r>
          </w:p>
        </w:tc>
        <w:tc>
          <w:tcPr>
            <w:tcW w:type="dxa" w:w="3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595959"/>
                <w:sz w:val="18"/>
                <w:szCs w:val="18"/>
              </w:rPr>
              <w:t xml:space="preserve">UEBA baseline requires 30-day post-go-live period; interim threshold alerting.</w:t>
            </w:r>
          </w:p>
        </w:tc>
      </w:tr>
      <w:tr>
        <w:tc>
          <w:tcPr>
            <w:tcW w:type="dxa" w:w="6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1F3864"/>
                <w:sz w:val="18"/>
                <w:szCs w:val="18"/>
              </w:rPr>
              <w:t xml:space="preserve">A.8.2</w:t>
            </w:r>
          </w:p>
        </w:tc>
        <w:tc>
          <w:tcPr>
            <w:tcW w:type="dxa" w:w="22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111111"/>
                <w:sz w:val="18"/>
                <w:szCs w:val="18"/>
              </w:rPr>
              <w:t xml:space="preserve">Privileged Access Rights</w:t>
            </w:r>
          </w:p>
        </w:tc>
        <w:tc>
          <w:tcPr>
            <w:tcW w:type="dxa" w:w="86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top"/>
          </w:tcPr>
          <w:p>
            <w:pPr>
              <w:spacing w:before="0" w:after="0"/>
            </w:pPr>
            <w:r>
              <w:rPr>
                <w:rFonts w:ascii="Calibri" w:cs="Calibri" w:eastAsia="Calibri" w:hAnsi="Calibri"/>
                <w:b/>
                <w:bCs/>
                <w:color w:val="375623"/>
                <w:sz w:val="18"/>
                <w:szCs w:val="18"/>
              </w:rPr>
              <w:t xml:space="preserve">Compliant</w:t>
            </w:r>
          </w:p>
        </w:tc>
        <w:tc>
          <w:tcPr>
            <w:tcW w:type="dxa" w:w="26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8"/>
                <w:szCs w:val="18"/>
              </w:rPr>
              <w:t xml:space="preserve">Console admin accounts ≤5. FIDO2 MFA. PAM-gated access. 4-eyes for key operations. Quarterly recertification.</w:t>
            </w:r>
          </w:p>
        </w:tc>
        <w:tc>
          <w:tcPr>
            <w:tcW w:type="dxa" w:w="31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595959"/>
                <w:sz w:val="18"/>
                <w:szCs w:val="18"/>
              </w:rPr>
              <w:t xml:space="preserve">Implement JIT admin access as maturity step.</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1F3864"/>
                <w:sz w:val="18"/>
                <w:szCs w:val="18"/>
              </w:rPr>
              <w:t xml:space="preserve">A.8.3</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111111"/>
                <w:sz w:val="18"/>
                <w:szCs w:val="18"/>
              </w:rPr>
              <w:t xml:space="preserve">Information Access Restriction</w:t>
            </w:r>
          </w:p>
        </w:tc>
        <w:tc>
          <w:tcPr>
            <w:tcW w:type="dxa" w:w="86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top"/>
          </w:tcPr>
          <w:p>
            <w:pPr>
              <w:spacing w:before="0" w:after="0"/>
            </w:pPr>
            <w:r>
              <w:rPr>
                <w:rFonts w:ascii="Calibri" w:cs="Calibri" w:eastAsia="Calibri" w:hAnsi="Calibri"/>
                <w:b/>
                <w:bCs/>
                <w:color w:val="375623"/>
                <w:sz w:val="18"/>
                <w:szCs w:val="18"/>
              </w:rPr>
              <w:t xml:space="preserve">Compliant</w:t>
            </w:r>
          </w:p>
        </w:tc>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8"/>
                <w:szCs w:val="18"/>
              </w:rPr>
              <w:t xml:space="preserve">Portkey virtual keys scoped per-consumer: model allowlist, budget limit, rate limit, guardrail policy.</w:t>
            </w:r>
          </w:p>
        </w:tc>
        <w:tc>
          <w:tcPr>
            <w:tcW w:type="dxa" w:w="3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595959"/>
                <w:sz w:val="18"/>
                <w:szCs w:val="18"/>
              </w:rPr>
              <w:t xml:space="preserve">Quarterly virtual key inventory and access review.</w:t>
            </w:r>
          </w:p>
        </w:tc>
      </w:tr>
      <w:tr>
        <w:tc>
          <w:tcPr>
            <w:tcW w:type="dxa" w:w="6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1F3864"/>
                <w:sz w:val="18"/>
                <w:szCs w:val="18"/>
              </w:rPr>
              <w:t xml:space="preserve">A.5.7</w:t>
            </w:r>
          </w:p>
        </w:tc>
        <w:tc>
          <w:tcPr>
            <w:tcW w:type="dxa" w:w="22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111111"/>
                <w:sz w:val="18"/>
                <w:szCs w:val="18"/>
              </w:rPr>
              <w:t xml:space="preserve">Threat Intelligence</w:t>
            </w:r>
          </w:p>
        </w:tc>
        <w:tc>
          <w:tcPr>
            <w:tcW w:type="dxa" w:w="860"/>
            <w:tcBorders>
              <w:top w:val="single" w:color="CCCCCC" w:sz="1"/>
              <w:left w:val="single" w:color="CCCCCC" w:sz="1"/>
              <w:bottom w:val="single" w:color="CCCCCC" w:sz="1"/>
              <w:right w:val="single" w:color="CCCCCC" w:sz="1"/>
            </w:tcBorders>
            <w:shd w:fill="FFF2CC" w:val="clear"/>
            <w:tcMar>
              <w:top w:type="dxa" w:w="70"/>
              <w:left w:type="dxa" w:w="100"/>
              <w:bottom w:type="dxa" w:w="70"/>
              <w:right w:type="dxa" w:w="100"/>
            </w:tcMar>
            <w:vAlign w:val="top"/>
          </w:tcPr>
          <w:p>
            <w:pPr>
              <w:spacing w:before="0" w:after="0"/>
            </w:pPr>
            <w:r>
              <w:rPr>
                <w:rFonts w:ascii="Calibri" w:cs="Calibri" w:eastAsia="Calibri" w:hAnsi="Calibri"/>
                <w:b/>
                <w:bCs/>
                <w:color w:val="7F6000"/>
                <w:sz w:val="18"/>
                <w:szCs w:val="18"/>
              </w:rPr>
              <w:t xml:space="preserve">Partial</w:t>
            </w:r>
          </w:p>
        </w:tc>
        <w:tc>
          <w:tcPr>
            <w:tcW w:type="dxa" w:w="26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8"/>
                <w:szCs w:val="18"/>
              </w:rPr>
              <w:t xml:space="preserve">OWASP LLM Top 10 mapped. MITRE ATLAS referenced. No formal AI threat intelligence feed subscription.</w:t>
            </w:r>
          </w:p>
        </w:tc>
        <w:tc>
          <w:tcPr>
            <w:tcW w:type="dxa" w:w="31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595959"/>
                <w:sz w:val="18"/>
                <w:szCs w:val="18"/>
              </w:rPr>
              <w:t xml:space="preserve">Subscribe to: OWASP LLM project updates, MITRE ATLAS updates, OpenAI security advisories, Portkey CVE feed.</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1F3864"/>
                <w:sz w:val="18"/>
                <w:szCs w:val="18"/>
              </w:rPr>
              <w:t xml:space="preserve">A.5.30</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111111"/>
                <w:sz w:val="18"/>
                <w:szCs w:val="18"/>
              </w:rPr>
              <w:t xml:space="preserve">ICT Readiness for Business Continuity</w:t>
            </w:r>
          </w:p>
        </w:tc>
        <w:tc>
          <w:tcPr>
            <w:tcW w:type="dxa" w:w="860"/>
            <w:tcBorders>
              <w:top w:val="single" w:color="CCCCCC" w:sz="1"/>
              <w:left w:val="single" w:color="CCCCCC" w:sz="1"/>
              <w:bottom w:val="single" w:color="CCCCCC" w:sz="1"/>
              <w:right w:val="single" w:color="CCCCCC" w:sz="1"/>
            </w:tcBorders>
            <w:shd w:fill="FFF2CC" w:val="clear"/>
            <w:tcMar>
              <w:top w:type="dxa" w:w="70"/>
              <w:left w:type="dxa" w:w="100"/>
              <w:bottom w:type="dxa" w:w="70"/>
              <w:right w:type="dxa" w:w="100"/>
            </w:tcMar>
            <w:vAlign w:val="top"/>
          </w:tcPr>
          <w:p>
            <w:pPr>
              <w:spacing w:before="0" w:after="0"/>
            </w:pPr>
            <w:r>
              <w:rPr>
                <w:rFonts w:ascii="Calibri" w:cs="Calibri" w:eastAsia="Calibri" w:hAnsi="Calibri"/>
                <w:b/>
                <w:bCs/>
                <w:color w:val="7F6000"/>
                <w:sz w:val="18"/>
                <w:szCs w:val="18"/>
              </w:rPr>
              <w:t xml:space="preserve">Partial</w:t>
            </w:r>
          </w:p>
        </w:tc>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8"/>
                <w:szCs w:val="18"/>
              </w:rPr>
              <w:t xml:space="preserve">Portkey HA (active-active defined). RTO/RPO not formally committed. DR runbook defined but not tested.</w:t>
            </w:r>
          </w:p>
        </w:tc>
        <w:tc>
          <w:tcPr>
            <w:tcW w:type="dxa" w:w="3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595959"/>
                <w:sz w:val="18"/>
                <w:szCs w:val="18"/>
              </w:rPr>
              <w:t xml:space="preserve">Formalize RTO/RPO. Test DR failover before go-live.</w:t>
            </w:r>
          </w:p>
        </w:tc>
      </w:tr>
      <w:tr>
        <w:tc>
          <w:tcPr>
            <w:tcW w:type="dxa" w:w="6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1F3864"/>
                <w:sz w:val="18"/>
                <w:szCs w:val="18"/>
              </w:rPr>
              <w:t xml:space="preserve">A.5.36</w:t>
            </w:r>
          </w:p>
        </w:tc>
        <w:tc>
          <w:tcPr>
            <w:tcW w:type="dxa" w:w="22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111111"/>
                <w:sz w:val="18"/>
                <w:szCs w:val="18"/>
              </w:rPr>
              <w:t xml:space="preserve">Compliance with Policies and Standards</w:t>
            </w:r>
          </w:p>
        </w:tc>
        <w:tc>
          <w:tcPr>
            <w:tcW w:type="dxa" w:w="860"/>
            <w:tcBorders>
              <w:top w:val="single" w:color="CCCCCC" w:sz="1"/>
              <w:left w:val="single" w:color="CCCCCC" w:sz="1"/>
              <w:bottom w:val="single" w:color="CCCCCC" w:sz="1"/>
              <w:right w:val="single" w:color="CCCCCC" w:sz="1"/>
            </w:tcBorders>
            <w:shd w:fill="FFF2CC" w:val="clear"/>
            <w:tcMar>
              <w:top w:type="dxa" w:w="70"/>
              <w:left w:type="dxa" w:w="100"/>
              <w:bottom w:type="dxa" w:w="70"/>
              <w:right w:type="dxa" w:w="100"/>
            </w:tcMar>
            <w:vAlign w:val="top"/>
          </w:tcPr>
          <w:p>
            <w:pPr>
              <w:spacing w:before="0" w:after="0"/>
            </w:pPr>
            <w:r>
              <w:rPr>
                <w:rFonts w:ascii="Calibri" w:cs="Calibri" w:eastAsia="Calibri" w:hAnsi="Calibri"/>
                <w:b/>
                <w:bCs/>
                <w:color w:val="7F6000"/>
                <w:sz w:val="18"/>
                <w:szCs w:val="18"/>
              </w:rPr>
              <w:t xml:space="preserve">Partial</w:t>
            </w:r>
          </w:p>
        </w:tc>
        <w:tc>
          <w:tcPr>
            <w:tcW w:type="dxa" w:w="26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8"/>
                <w:szCs w:val="18"/>
              </w:rPr>
              <w:t xml:space="preserve">AUP published. Guardrail enforcement for technical controls. Attestation mechanism for users at first call.</w:t>
            </w:r>
          </w:p>
        </w:tc>
        <w:tc>
          <w:tcPr>
            <w:tcW w:type="dxa" w:w="31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595959"/>
                <w:sz w:val="18"/>
                <w:szCs w:val="18"/>
              </w:rPr>
              <w:t xml:space="preserve">Annual AUP attestation renewal. Compliance monitoring report quarterly.</w:t>
            </w:r>
          </w:p>
        </w:tc>
      </w:tr>
    </w:tbl>
    <w:p>
      <w:pPr>
        <w:spacing w:before="0" w:after="80"/>
      </w:pPr>
      <w:r>
        <w:t xml:space="preserve"/>
      </w:r>
    </w:p>
    <w:p>
      <w:pPr>
        <w:spacing w:before="60" w:after="100"/>
      </w:pPr>
      <w:r>
        <w:rPr>
          <w:rFonts w:ascii="Calibri" w:cs="Calibri" w:eastAsia="Calibri" w:hAnsi="Calibri"/>
          <w:b w:val="false"/>
          <w:bCs w:val="false"/>
          <w:color w:val="000000"/>
          <w:sz w:val="22"/>
          <w:szCs w:val="22"/>
        </w:rPr>
        <w:t xml:space="preserve">Two ISO 27001:2022 Annex A controls deserve specific discussion. A.5.7 (Threat Intelligence) is often treated as optional in AI deployments, but for an LLM API platform it is operationally significant. The OWASP LLM Top 10 is updated regularly as new attack classes emerge. MITRE ATLAS receives ongoing updates as adversarial ML research matures. Portkey releases security advisories when vulnerabilities are discovered. Without a formal subscription and review process for these sources, the organization will be assessing last year's threat model against next year's attacks.</w:t>
      </w:r>
    </w:p>
    <w:p>
      <w:pPr>
        <w:spacing w:before="0" w:after="60"/>
      </w:pPr>
      <w:r>
        <w:t xml:space="preserve"/>
      </w:r>
    </w:p>
    <w:p>
      <w:pPr>
        <w:spacing w:before="60" w:after="100"/>
      </w:pPr>
      <w:r>
        <w:rPr>
          <w:rFonts w:ascii="Calibri" w:cs="Calibri" w:eastAsia="Calibri" w:hAnsi="Calibri"/>
          <w:b w:val="false"/>
          <w:bCs w:val="false"/>
          <w:color w:val="000000"/>
          <w:sz w:val="22"/>
          <w:szCs w:val="22"/>
        </w:rPr>
        <w:t xml:space="preserve">A.5.36 (Compliance with Policies and Standards) has a partial status because while the AUP and guardrail technical controls exist, the compliance monitoring mechanism is not yet fully defined. Publishing a policy is not the same as monitoring compliance with it. The quarterly guardrail efficacy report, annual AUP attestation renewal, and periodic log review provide the compliance monitoring substance — but these must be scheduled and owned before go-live, not after.</w:t>
      </w:r>
    </w:p>
    <w:p>
      <w:r>
        <w:br w:type="page"/>
      </w:r>
    </w:p>
    <w:p>
      <w:pPr>
        <w:pStyle w:val="Heading1"/>
      </w:pPr>
      <w:r>
        <w:t xml:space="preserve">7. NIST AI Risk Management Framework (AI RMF 1.0)</w:t>
      </w:r>
    </w:p>
    <w:p>
      <w:pPr>
        <w:spacing w:before="60" w:after="100"/>
      </w:pPr>
      <w:r>
        <w:rPr>
          <w:rFonts w:ascii="Calibri" w:cs="Calibri" w:eastAsia="Calibri" w:hAnsi="Calibri"/>
          <w:b w:val="false"/>
          <w:bCs w:val="false"/>
          <w:color w:val="000000"/>
          <w:sz w:val="22"/>
          <w:szCs w:val="22"/>
        </w:rPr>
        <w:t xml:space="preserve">The NIST AI RMF (January 2023) organizes AI risk across four core functions: GOVERN, MAP, MEASURE, and MANAGE. Unlike the cybersecurity-focused NIST CSF, the AI RMF addresses the full spectrum of AI trustworthiness — including accuracy, fairness, explainability, and privacy alongside security. For this deployment, the security and privacy dimensions are primary, but the trustworthiness dimensions have compliance implications that should not be deferred indefinitely.</w:t>
      </w:r>
    </w:p>
    <w:p>
      <w:pPr>
        <w:spacing w:before="0" w:after="80"/>
      </w:pPr>
      <w:r>
        <w:t xml:space="preserve"/>
      </w:r>
    </w:p>
    <w:p>
      <w:pPr>
        <w:pStyle w:val="Heading2"/>
      </w:pPr>
      <w:r>
        <w:t xml:space="preserve">7.1 GOVERN</w:t>
      </w:r>
    </w:p>
    <w:p>
      <w:pPr>
        <w:spacing w:before="60" w:after="100"/>
      </w:pPr>
      <w:r>
        <w:rPr>
          <w:rFonts w:ascii="Calibri" w:cs="Calibri" w:eastAsia="Calibri" w:hAnsi="Calibri"/>
          <w:b w:val="false"/>
          <w:bCs w:val="false"/>
          <w:color w:val="000000"/>
          <w:sz w:val="22"/>
          <w:szCs w:val="22"/>
        </w:rPr>
        <w:t xml:space="preserve">The GOVERN function asks whether the organization has the policies, processes, and accountability structures to manage AI risk systematically. For this deployment, the foundational governance artifacts are in development: the AUP is defined, the data classification guidance exists, and the IR playbooks are documented. What is missing is a formal AI risk tolerance statement from organizational leadership, a cross-functional AI governance body with defined decision authority, and an EU AI Act classification assessment for current and planned use cases.</w:t>
      </w:r>
    </w:p>
    <w:p>
      <w:pPr>
        <w:spacing w:before="0" w:after="60"/>
      </w:pPr>
      <w:r>
        <w:t xml:space="preserve"/>
      </w:r>
    </w:p>
    <w:p>
      <w:pPr>
        <w:spacing w:before="60" w:after="100"/>
      </w:pPr>
      <w:r>
        <w:rPr>
          <w:rFonts w:ascii="Calibri" w:cs="Calibri" w:eastAsia="Calibri" w:hAnsi="Calibri"/>
          <w:b w:val="false"/>
          <w:bCs w:val="false"/>
          <w:color w:val="000000"/>
          <w:sz w:val="22"/>
          <w:szCs w:val="22"/>
        </w:rPr>
        <w:t xml:space="preserve">The absence of a formal AI governance body is common at this stage of enterprise AI adoption and is not itself a reason to delay deployment. However, it becomes a problem when teams encounter edge cases — "can we use this model for this use case?" — and there is no defined decision-making authority. Ad hoc decisions accumulate into undocumented risk postures. The governance body should be constituted before Phase 2 expansion.</w:t>
      </w:r>
    </w:p>
    <w:p>
      <w:pPr>
        <w:spacing w:before="0" w:after="80"/>
      </w:pPr>
      <w:r>
        <w:t xml:space="preserve"/>
      </w:r>
    </w:p>
    <w:p>
      <w:pPr>
        <w:pStyle w:val="Heading2"/>
      </w:pPr>
      <w:r>
        <w:t xml:space="preserve">7.2 MAP</w:t>
      </w:r>
    </w:p>
    <w:p>
      <w:pPr>
        <w:spacing w:before="60" w:after="100"/>
      </w:pPr>
      <w:r>
        <w:rPr>
          <w:rFonts w:ascii="Calibri" w:cs="Calibri" w:eastAsia="Calibri" w:hAnsi="Calibri"/>
          <w:b w:val="false"/>
          <w:bCs w:val="false"/>
          <w:color w:val="000000"/>
          <w:sz w:val="22"/>
          <w:szCs w:val="22"/>
        </w:rPr>
        <w:t xml:space="preserve">The MAP function requires the organization to understand the context of AI deployment — who the users are, what data they will submit, what decisions the AI will influence, and what harms could result. For this deployment, the MAP function is partially addressed: the user groups and data classification policy are defined, and the prohibited use cases are listed in the AUP. What is not yet mapped is the full universe of AI-influenced decisions — particularly as individual teams build integrations on top of the API platform.</w:t>
      </w:r>
    </w:p>
    <w:p>
      <w:pPr>
        <w:spacing w:before="0" w:after="60"/>
      </w:pPr>
      <w:r>
        <w:t xml:space="preserve"/>
      </w:r>
    </w:p>
    <w:p>
      <w:pPr>
        <w:spacing w:before="60" w:after="100"/>
      </w:pPr>
      <w:r>
        <w:rPr>
          <w:rFonts w:ascii="Calibri" w:cs="Calibri" w:eastAsia="Calibri" w:hAnsi="Calibri"/>
          <w:b w:val="false"/>
          <w:bCs w:val="false"/>
          <w:color w:val="000000"/>
          <w:sz w:val="22"/>
          <w:szCs w:val="22"/>
        </w:rPr>
        <w:t xml:space="preserve">A practical gap in the MAP function is the absence of an AI integration registry. As application teams begin calling the Portkey virtual keys from their systems, the platform has no systematic way to track which applications are using AI inference, for what purpose, on what data, with what human oversight. This matters for two reasons. First, the EU AI Act classifies certain uses of AI (credit scoring, recruitment screening, law enforcement, healthcare) as high-risk and mandates specific technical and governance requirements. If those use cases emerge organically from application teams without governance visibility, the organization may be operating high-risk AI systems without knowing it. Second, incident response requires knowing what applications were affected when a gateway event occurs.</w:t>
      </w:r>
    </w:p>
    <w:p>
      <w:pPr>
        <w:spacing w:before="0" w:after="80"/>
      </w:pPr>
      <w:r>
        <w:t xml:space="preserve"/>
      </w:r>
    </w:p>
    <w:p>
      <w:pPr>
        <w:pStyle w:val="Heading2"/>
      </w:pPr>
      <w:r>
        <w:t xml:space="preserve">7.3 MEASURE</w:t>
      </w:r>
    </w:p>
    <w:p>
      <w:pPr>
        <w:spacing w:before="60" w:after="100"/>
      </w:pPr>
      <w:r>
        <w:rPr>
          <w:rFonts w:ascii="Calibri" w:cs="Calibri" w:eastAsia="Calibri" w:hAnsi="Calibri"/>
          <w:b w:val="false"/>
          <w:bCs w:val="false"/>
          <w:color w:val="000000"/>
          <w:sz w:val="22"/>
          <w:szCs w:val="22"/>
        </w:rPr>
        <w:t xml:space="preserve">The MEASURE function asks how the organization monitors AI system behavior and evaluates whether it is performing within acceptable risk parameters. For this deployment, the MEASURE function is the strongest of the four: Portkey observability logs provide real-time request telemetry; guardrail hit rates are tracked as security health metrics; cost anomaly detection provides a proxy for behavioral anomalies; and the SIEM detection rules establish alert thresholds. What is not measured is model output quality or fairness — but these are out of scope for this assessment and would require a separate evaluation framework.</w:t>
      </w:r>
    </w:p>
    <w:p>
      <w:pPr>
        <w:spacing w:before="0" w:after="80"/>
      </w:pPr>
      <w:r>
        <w:t xml:space="preserve"/>
      </w:r>
    </w:p>
    <w:p>
      <w:pPr>
        <w:pStyle w:val="Heading2"/>
      </w:pPr>
      <w:r>
        <w:t xml:space="preserve">7.4 MANAGE</w:t>
      </w:r>
    </w:p>
    <w:p>
      <w:pPr>
        <w:spacing w:before="60" w:after="100"/>
      </w:pPr>
      <w:r>
        <w:rPr>
          <w:rFonts w:ascii="Calibri" w:cs="Calibri" w:eastAsia="Calibri" w:hAnsi="Calibri"/>
          <w:b w:val="false"/>
          <w:bCs w:val="false"/>
          <w:color w:val="000000"/>
          <w:sz w:val="22"/>
          <w:szCs w:val="22"/>
        </w:rPr>
        <w:t xml:space="preserve">The MANAGE function covers incident response, risk treatment decisions, and ongoing risk management. The IR playbooks for key exposure and Portkey compromise address the technical incident scenarios. The risk register above documents risk treatment decisions. What requires attention in the MANAGE function is the residual risk acceptance process: someone with appropriate authority must formally accept the risks rated MEDIUM and HIGH in the risk register above. Risk acceptance without a named accountable decision-maker and a documented rationale is not acceptance — it is avoidance.</w:t>
      </w:r>
    </w:p>
    <w:p>
      <w:pPr>
        <w:spacing w:before="0" w:after="60"/>
      </w:pPr>
      <w:r>
        <w:t xml:space="preserve"/>
      </w:r>
    </w:p>
    <w:p>
      <w:pPr>
        <w:pBdr>
          <w:left w:val="single" w:color="7F6000" w:sz="16" w:space="8"/>
        </w:pBdr>
        <w:shd w:fill="FFF2CC" w:val="clear"/>
        <w:spacing w:before="80" w:after="80"/>
        <w:ind w:left="300"/>
      </w:pPr>
      <w:r>
        <w:rPr>
          <w:rFonts w:ascii="Calibri" w:cs="Calibri" w:eastAsia="Calibri" w:hAnsi="Calibri"/>
          <w:sz w:val="21"/>
          <w:szCs w:val="21"/>
        </w:rPr>
        <w:t xml:space="preserve">Specifically, R-06 (Prompt Injection, HIGH residual) and R-09 (Model Misinformation, HIGH residual) should be formally accepted with a documented statement: "The organization accepts the residual risk from prompt injection and model misinformation for [defined use cases] because [rationale], subject to [output review requirements] and [annual reassessment]." This statement should be signed by the CISO or delegated risk owner, not documented informally in a project plan.</w:t>
      </w:r>
    </w:p>
    <w:p>
      <w:r>
        <w:br w:type="page"/>
      </w:r>
    </w:p>
    <w:p>
      <w:pPr>
        <w:pStyle w:val="Heading1"/>
      </w:pPr>
      <w:r>
        <w:t xml:space="preserve">8. MITRE ATLAS — Adversarial ML Threat Scenarios</w:t>
      </w:r>
    </w:p>
    <w:p>
      <w:pPr>
        <w:spacing w:before="60" w:after="100"/>
      </w:pPr>
      <w:r>
        <w:rPr>
          <w:rFonts w:ascii="Calibri" w:cs="Calibri" w:eastAsia="Calibri" w:hAnsi="Calibri"/>
          <w:b w:val="false"/>
          <w:bCs w:val="false"/>
          <w:color w:val="000000"/>
          <w:sz w:val="22"/>
          <w:szCs w:val="22"/>
        </w:rPr>
        <w:t xml:space="preserve">MITRE ATLAS (Adversarial Threat Landscape for Artificial-Intelligence Systems) extends the ATT&amp;CK framework into AI-specific attack techniques. The scenarios below represent the ATLAS techniques most directly applicable to this deployment, given its architecture. Generic ATLAS techniques that are not applicable to API-mode deployment (e.g., physical access to model hardware) are excluded.</w:t>
      </w:r>
    </w:p>
    <w:p>
      <w:pPr>
        <w:spacing w:before="0" w:after="80"/>
      </w:pPr>
      <w:r>
        <w:t xml:space="preserve"/>
      </w:r>
    </w:p>
    <w:p>
      <w:pPr>
        <w:pStyle w:val="Heading2"/>
      </w:pPr>
      <w:r>
        <w:t xml:space="preserve">8.1 AML.T0051 — LLM Prompt Injection</w:t>
      </w:r>
    </w:p>
    <w:p>
      <w:pPr>
        <w:spacing w:before="60" w:after="100"/>
      </w:pPr>
      <w:r>
        <w:rPr>
          <w:rFonts w:ascii="Calibri" w:cs="Calibri" w:eastAsia="Calibri" w:hAnsi="Calibri"/>
          <w:b w:val="false"/>
          <w:bCs w:val="false"/>
          <w:color w:val="000000"/>
          <w:sz w:val="22"/>
          <w:szCs w:val="22"/>
        </w:rPr>
        <w:t xml:space="preserve">Applicability: HIGH. Technique: An adversary embeds instructions within content that the model will process — documents, emails, web content, or other user-supplied input — causing the model to execute adversary-controlled logic. In this deployment, the primary exposure surface is any workflow where users paste external content into prompts. Direct prompt injection (user crafting adversarial prompts) is partially mitigated by the AUP. Indirect prompt injection (adversarial content embedded in a document the model analyzes) is not reliably detectable.</w:t>
      </w:r>
    </w:p>
    <w:p>
      <w:pPr>
        <w:spacing w:before="0" w:after="40"/>
      </w:pPr>
      <w:r>
        <w:t xml:space="preserve"/>
      </w:r>
    </w:p>
    <w:p>
      <w:pPr>
        <w:spacing w:before="60" w:after="100"/>
      </w:pPr>
      <w:r>
        <w:rPr>
          <w:rFonts w:ascii="Calibri" w:cs="Calibri" w:eastAsia="Calibri" w:hAnsi="Calibri"/>
          <w:b w:val="false"/>
          <w:bCs w:val="false"/>
          <w:color w:val="000000"/>
          <w:sz w:val="22"/>
          <w:szCs w:val="22"/>
        </w:rPr>
        <w:t xml:space="preserve">Current controls: Portkey output guardrails (partial); system prompt hardening guidance; use-case scoping via virtual keys. Recommended additional control: For workflows involving analysis of untrusted document content, the consuming application should validate model outputs against expected schema before acting on them. "Does this output look like what a valid response should look like?" is a practical first-pass defense.</w:t>
      </w:r>
    </w:p>
    <w:p>
      <w:pPr>
        <w:spacing w:before="0" w:after="80"/>
      </w:pPr>
      <w:r>
        <w:t xml:space="preserve"/>
      </w:r>
    </w:p>
    <w:p>
      <w:pPr>
        <w:pStyle w:val="Heading2"/>
      </w:pPr>
      <w:r>
        <w:t xml:space="preserve">8.2 AML.T0010 — ML Supply Chain Compromise</w:t>
      </w:r>
    </w:p>
    <w:p>
      <w:pPr>
        <w:spacing w:before="60" w:after="100"/>
      </w:pPr>
      <w:r>
        <w:rPr>
          <w:rFonts w:ascii="Calibri" w:cs="Calibri" w:eastAsia="Calibri" w:hAnsi="Calibri"/>
          <w:b w:val="false"/>
          <w:bCs w:val="false"/>
          <w:color w:val="000000"/>
          <w:sz w:val="22"/>
          <w:szCs w:val="22"/>
        </w:rPr>
        <w:t xml:space="preserve">Applicability: MEDIUM. Technique: An adversary compromises a component in the ML supply chain — in this case, either the Portkey COTS software package, its Node.js dependencies, or the base container image — to gain access to the runtime environment or inject malicious behavior. The XZ Utils incident (CVE-2024-3094) demonstrated that this is not a theoretical concern for production infrastructure.</w:t>
      </w:r>
    </w:p>
    <w:p>
      <w:pPr>
        <w:spacing w:before="0" w:after="40"/>
      </w:pPr>
      <w:r>
        <w:t xml:space="preserve"/>
      </w:r>
    </w:p>
    <w:p>
      <w:pPr>
        <w:spacing w:before="60" w:after="100"/>
      </w:pPr>
      <w:r>
        <w:rPr>
          <w:rFonts w:ascii="Calibri" w:cs="Calibri" w:eastAsia="Calibri" w:hAnsi="Calibri"/>
          <w:b w:val="false"/>
          <w:bCs w:val="false"/>
          <w:color w:val="000000"/>
          <w:sz w:val="22"/>
          <w:szCs w:val="22"/>
        </w:rPr>
        <w:t xml:space="preserve">Current controls: Trivy image scanning on every Portkey build; software composition analysis (SCA) in CI/CD pipeline; dependency lock files pinned; base image sourced from official hardened registry. Key limitation: SCA detects known vulnerable dependencies; it does not detect malicious code that has not yet been identified in CVE databases. The compromise window between malicious code introduction and CVE publication is the uncontrolled exposure period. Mitigating factor: COTS software with a defined vendor limits the supply chain to a smaller, more auditable set than a fully custom-built gateway.</w:t>
      </w:r>
    </w:p>
    <w:p>
      <w:pPr>
        <w:spacing w:before="0" w:after="80"/>
      </w:pPr>
      <w:r>
        <w:t xml:space="preserve"/>
      </w:r>
    </w:p>
    <w:p>
      <w:pPr>
        <w:pStyle w:val="Heading2"/>
      </w:pPr>
      <w:r>
        <w:t xml:space="preserve">8.3 AML.T0043 — Craft Adversarial Data — Perturbation</w:t>
      </w:r>
    </w:p>
    <w:p>
      <w:pPr>
        <w:spacing w:before="60" w:after="100"/>
      </w:pPr>
      <w:r>
        <w:rPr>
          <w:rFonts w:ascii="Calibri" w:cs="Calibri" w:eastAsia="Calibri" w:hAnsi="Calibri"/>
          <w:b w:val="false"/>
          <w:bCs w:val="false"/>
          <w:color w:val="000000"/>
          <w:sz w:val="22"/>
          <w:szCs w:val="22"/>
        </w:rPr>
        <w:t xml:space="preserve">Applicability: LOW (for current deployment). Technique: An adversary crafts input data designed to cause the model to produce a specific incorrect output. In this deployment, this is primarily relevant if fine-tuned models are deployed (PROD-Finetuned project) or if model outputs are used in automated decision workflows without human review. For current general-use inference, the impact of adversarially perturbed inputs is contained by the output review policy. Risk increases significantly if agentic workflows are enabled.</w:t>
      </w:r>
    </w:p>
    <w:p>
      <w:pPr>
        <w:spacing w:before="0" w:after="80"/>
      </w:pPr>
      <w:r>
        <w:t xml:space="preserve"/>
      </w:r>
    </w:p>
    <w:p>
      <w:pPr>
        <w:pStyle w:val="Heading2"/>
      </w:pPr>
      <w:r>
        <w:t xml:space="preserve">8.4 AML.T0031 — Erode ML Model Integrity (Training Data Poisoning)</w:t>
      </w:r>
    </w:p>
    <w:p>
      <w:pPr>
        <w:spacing w:before="60" w:after="100"/>
      </w:pPr>
      <w:r>
        <w:rPr>
          <w:rFonts w:ascii="Calibri" w:cs="Calibri" w:eastAsia="Calibri" w:hAnsi="Calibri"/>
          <w:b w:val="false"/>
          <w:bCs w:val="false"/>
          <w:color w:val="000000"/>
          <w:sz w:val="22"/>
          <w:szCs w:val="22"/>
        </w:rPr>
        <w:t xml:space="preserve">Applicability: LOW (current) / HIGH (if fine-tuning enabled). Technique: An adversary corrupts training data to influence model behavior. For the current deployment, this is not applicable because no fine-tuning is in the initial scope. It becomes HIGH applicability when PROD-Finetuned is enabled, because training data submitted to OpenAI's fine-tuning API directly influences the model's behavior for the entire organization. The training data classification attestation requirement (SOP item) is the primary control. It must be enforced before the first fine-tuning job is submitted — not retroactively.</w:t>
      </w:r>
    </w:p>
    <w:p>
      <w:pPr>
        <w:spacing w:before="0" w:after="80"/>
      </w:pPr>
      <w:r>
        <w:t xml:space="preserve"/>
      </w:r>
    </w:p>
    <w:p>
      <w:pPr>
        <w:pStyle w:val="Heading2"/>
      </w:pPr>
      <w:r>
        <w:t xml:space="preserve">8.5 AML.T0012 — Valid Accounts (AI System)</w:t>
      </w:r>
    </w:p>
    <w:p>
      <w:pPr>
        <w:spacing w:before="60" w:after="100"/>
      </w:pPr>
      <w:r>
        <w:rPr>
          <w:rFonts w:ascii="Calibri" w:cs="Calibri" w:eastAsia="Calibri" w:hAnsi="Calibri"/>
          <w:b w:val="false"/>
          <w:bCs w:val="false"/>
          <w:color w:val="000000"/>
          <w:sz w:val="22"/>
          <w:szCs w:val="22"/>
        </w:rPr>
        <w:t xml:space="preserve">Applicability: HIGH. Technique: An adversary uses legitimate credentials — a valid Portkey virtual key, a real OpenAI API key, or console admin credentials — to conduct adversarial activity while appearing as authorized usage. This maps to the insider threat scenario and the compromised service account scenario. The existing controls (UEBA baseline, virtual key source IP restriction, Portkey observability → SIEM, PAM session recording for console) address this technique, but detection relies on behavioral anomalies rather than absolute technical controls. A sophisticated actor using valid credentials and staying within behavioral baselines will not be detected by SIEM rules alone.</w:t>
      </w:r>
    </w:p>
    <w:p>
      <w:r>
        <w:br w:type="page"/>
      </w:r>
    </w:p>
    <w:p>
      <w:pPr>
        <w:pStyle w:val="Heading1"/>
      </w:pPr>
      <w:r>
        <w:t xml:space="preserve">9. SOC 2 Trust Services Criteria — Applicability</w:t>
      </w:r>
    </w:p>
    <w:p>
      <w:pPr>
        <w:spacing w:before="60" w:after="100"/>
      </w:pPr>
      <w:r>
        <w:rPr>
          <w:rFonts w:ascii="Calibri" w:cs="Calibri" w:eastAsia="Calibri" w:hAnsi="Calibri"/>
          <w:b w:val="false"/>
          <w:bCs w:val="false"/>
          <w:color w:val="000000"/>
          <w:sz w:val="22"/>
          <w:szCs w:val="22"/>
        </w:rPr>
        <w:t xml:space="preserve">This section is relevant if the organization is subject to SOC 2 examination (as a service provider) or if the organization's use of the OpenAI API Platform must be assessed as part of a customer-facing SOC 2 audit. The analysis below focuses on the Trust Services Criteria (TSC) most directly affected by the AI platform deployment.</w:t>
      </w:r>
    </w:p>
    <w:p>
      <w:pPr>
        <w:spacing w:before="0" w:after="80"/>
      </w:pPr>
      <w:r>
        <w:t xml:space="preserve"/>
      </w:r>
    </w:p>
    <w:p>
      <w:pPr>
        <w:pStyle w:val="Heading2"/>
      </w:pPr>
      <w:r>
        <w:t xml:space="preserve">9.1 CC6 — Logical and Physical Access</w:t>
      </w:r>
    </w:p>
    <w:p>
      <w:pPr>
        <w:spacing w:before="60" w:after="100"/>
      </w:pPr>
      <w:r>
        <w:rPr>
          <w:rFonts w:ascii="Calibri" w:cs="Calibri" w:eastAsia="Calibri" w:hAnsi="Calibri"/>
          <w:b w:val="false"/>
          <w:bCs w:val="false"/>
          <w:color w:val="000000"/>
          <w:sz w:val="22"/>
          <w:szCs w:val="22"/>
        </w:rPr>
        <w:t xml:space="preserve">CC6.1 through CC6.7 require that logical access to systems is granted based on need, that credentials are managed appropriately, and that access is removed when no longer needed. This deployment satisfies CC6 requirements for the console admin plane (SSO + SCIM + FIDO2 + PAM). The virtual key governance model satisfies CC6 for the data plane — each consumer receives a scoped virtual key rather than shared credentials, and virtual key deprovisioning is documented. CC6.3 (access removal on termination) is addressed for console accounts via SCIM. Virtual key decommission on service termination must be included in the service decommission checklist.</w:t>
      </w:r>
    </w:p>
    <w:p>
      <w:pPr>
        <w:spacing w:before="0" w:after="80"/>
      </w:pPr>
      <w:r>
        <w:t xml:space="preserve"/>
      </w:r>
    </w:p>
    <w:p>
      <w:pPr>
        <w:pStyle w:val="Heading2"/>
      </w:pPr>
      <w:r>
        <w:t xml:space="preserve">9.2 CC7 — System Operations and Anomaly Detection</w:t>
      </w:r>
    </w:p>
    <w:p>
      <w:pPr>
        <w:spacing w:before="60" w:after="100"/>
      </w:pPr>
      <w:r>
        <w:rPr>
          <w:rFonts w:ascii="Calibri" w:cs="Calibri" w:eastAsia="Calibri" w:hAnsi="Calibri"/>
          <w:b w:val="false"/>
          <w:bCs w:val="false"/>
          <w:color w:val="000000"/>
          <w:sz w:val="22"/>
          <w:szCs w:val="22"/>
        </w:rPr>
        <w:t xml:space="preserve">CC7.1 requires that the organization detects and monitors system anomalies. CC7.2 requires that security incidents are identified and reported. The SIEM integration (Portkey logs + OpenAI Audit Logs + Vault audit + PAM + Falco) addresses CC7.1. The IR playbooks and escalation tree address CC7.2. The gap for CC7 compliance is the UEBA baseline — meaningful behavioral anomaly detection requires a 30-day baseline period after go-live, during which threshold-based alerting serves as the interim detection mechanism.</w:t>
      </w:r>
    </w:p>
    <w:p>
      <w:pPr>
        <w:spacing w:before="0" w:after="80"/>
      </w:pPr>
      <w:r>
        <w:t xml:space="preserve"/>
      </w:r>
    </w:p>
    <w:p>
      <w:pPr>
        <w:pStyle w:val="Heading2"/>
      </w:pPr>
      <w:r>
        <w:t xml:space="preserve">9.3 A1 — Availability</w:t>
      </w:r>
    </w:p>
    <w:p>
      <w:pPr>
        <w:spacing w:before="60" w:after="100"/>
      </w:pPr>
      <w:r>
        <w:rPr>
          <w:rFonts w:ascii="Calibri" w:cs="Calibri" w:eastAsia="Calibri" w:hAnsi="Calibri"/>
          <w:b w:val="false"/>
          <w:bCs w:val="false"/>
          <w:color w:val="000000"/>
          <w:sz w:val="22"/>
          <w:szCs w:val="22"/>
        </w:rPr>
        <w:t xml:space="preserve">If AI inference is a component of a service covered by SOC 2 availability commitments, Portkey's HA posture and RTO/RPO targets become audit evidence. The active-active Kubernetes deployment with multi-AZ and synthetic health monitoring supports A1 compliance. The gap is the absence of formally committed RTO/RPO SLAs. These must be documented and tested before the platform is included in any SOC 2-covered service.</w:t>
      </w:r>
    </w:p>
    <w:p>
      <w:pPr>
        <w:spacing w:before="0" w:after="80"/>
      </w:pPr>
      <w:r>
        <w:t xml:space="preserve"/>
      </w:r>
    </w:p>
    <w:p>
      <w:pPr>
        <w:pStyle w:val="Heading2"/>
      </w:pPr>
      <w:r>
        <w:t xml:space="preserve">9.4 C1 — Confidentiality</w:t>
      </w:r>
    </w:p>
    <w:p>
      <w:pPr>
        <w:spacing w:before="60" w:after="100"/>
      </w:pPr>
      <w:r>
        <w:rPr>
          <w:rFonts w:ascii="Calibri" w:cs="Calibri" w:eastAsia="Calibri" w:hAnsi="Calibri"/>
          <w:b w:val="false"/>
          <w:bCs w:val="false"/>
          <w:color w:val="000000"/>
          <w:sz w:val="22"/>
          <w:szCs w:val="22"/>
        </w:rPr>
        <w:t xml:space="preserve">C1.1 through C1.2 require that confidential information is protected and destroyed appropriately. ZDR addresses C1.2 (destruction — no retention by OpenAI). Portkey Guardrails and the AUP data classification policy address C1.1 (protection — preventing confidential data from entering the AI pipeline inappropriately). The key question for C1 auditors: how does the organization demonstrate that confidential information submitted to the AI gateway is not retained by the vendor? The answer is the ZDR contractual addendum and the technical verification artifact. Both must be in the audit evidence package.</w:t>
      </w:r>
    </w:p>
    <w:p>
      <w:r>
        <w:br w:type="page"/>
      </w:r>
    </w:p>
    <w:p>
      <w:pPr>
        <w:pStyle w:val="Heading1"/>
      </w:pPr>
      <w:r>
        <w:t xml:space="preserve">10. Findings and Priority Recommendations</w:t>
      </w:r>
    </w:p>
    <w:p>
      <w:pPr>
        <w:spacing w:before="60" w:after="100"/>
      </w:pPr>
      <w:r>
        <w:rPr>
          <w:rFonts w:ascii="Calibri" w:cs="Calibri" w:eastAsia="Calibri" w:hAnsi="Calibri"/>
          <w:b w:val="false"/>
          <w:bCs w:val="false"/>
          <w:color w:val="000000"/>
          <w:sz w:val="22"/>
          <w:szCs w:val="22"/>
        </w:rPr>
        <w:t xml:space="preserve">The following findings are organized by priority. Each finding is grounded in the framework assessments above. Findings are separated from generic best-practice recommendations — they represent specific, evidence-based observations about this deployment.</w:t>
      </w:r>
    </w:p>
    <w:p>
      <w:pPr>
        <w:spacing w:before="0" w:after="80"/>
      </w:pPr>
      <w:r>
        <w:t xml:space="preserve"/>
      </w:r>
    </w:p>
    <w:p>
      <w:pPr>
        <w:pStyle w:val="Heading2"/>
      </w:pPr>
      <w:r>
        <w:t xml:space="preserve">Finding 1 — CRITICAL: Real Key Material Concentration (R-01, R-02, VKY-001)</w:t>
      </w:r>
    </w:p>
    <w:p>
      <w:pPr>
        <w:pBdr>
          <w:left w:val="single" w:color="C00000" w:sz="16" w:space="8"/>
        </w:pBdr>
        <w:shd w:fill="FFE7E7" w:val="clear"/>
        <w:spacing w:before="80" w:after="80"/>
        <w:ind w:left="300"/>
      </w:pPr>
      <w:r>
        <w:rPr>
          <w:rFonts w:ascii="Calibri" w:cs="Calibri" w:eastAsia="Calibri" w:hAnsi="Calibri"/>
          <w:sz w:val="21"/>
          <w:szCs w:val="21"/>
        </w:rPr>
        <w:t xml:space="preserve">Portkey COTS is the single repository of real OpenAI API key material in this architecture. The virtual key model is the right abstraction, but the security of the entire platform depends on the integrity of the Portkey secrets backend. A single control failure at this layer has total blast radius — all real keys exposed simultaneously.</w:t>
      </w:r>
    </w:p>
    <w:p>
      <w:pPr>
        <w:spacing w:before="60" w:after="100"/>
      </w:pPr>
      <w:r>
        <w:rPr>
          <w:rFonts w:ascii="Calibri" w:cs="Calibri" w:eastAsia="Calibri" w:hAnsi="Calibri"/>
          <w:b w:val="false"/>
          <w:bCs w:val="false"/>
          <w:color w:val="000000"/>
          <w:sz w:val="22"/>
          <w:szCs w:val="22"/>
        </w:rPr>
        <w:t xml:space="preserve">Recommendation: Vault integration for real key storage is the highest-priority architectural decision after deployment hardening. If Vault is integrated, real key access generates an independent audit log, rotation can be automated, and the Portkey process itself never needs persistent access to the key material — it retrieves on demand. This reduces the exposure window from "entire key lifetime" to "duration of each request." Validate Portkey COTS external secrets backend support as the first technical validation item.</w:t>
      </w:r>
    </w:p>
    <w:p>
      <w:pPr>
        <w:spacing w:before="0" w:after="80"/>
      </w:pPr>
      <w:r>
        <w:t xml:space="preserve"/>
      </w:r>
    </w:p>
    <w:p>
      <w:pPr>
        <w:pStyle w:val="Heading2"/>
      </w:pPr>
      <w:r>
        <w:t xml:space="preserve">Finding 2 — HIGH: Prompt Injection Is Not a Configuration Problem</w:t>
      </w:r>
    </w:p>
    <w:p>
      <w:pPr>
        <w:pBdr>
          <w:left w:val="single" w:color="C55A11" w:sz="16" w:space="8"/>
        </w:pBdr>
        <w:shd w:fill="FFE7E7" w:val="clear"/>
        <w:spacing w:before="80" w:after="80"/>
        <w:ind w:left="300"/>
      </w:pPr>
      <w:r>
        <w:rPr>
          <w:rFonts w:ascii="Calibri" w:cs="Calibri" w:eastAsia="Calibri" w:hAnsi="Calibri"/>
          <w:sz w:val="21"/>
          <w:szCs w:val="21"/>
        </w:rPr>
        <w:t xml:space="preserve">Multiple stakeholders in AI platform deployments approach prompt injection as a problem that can be configured away. It cannot. OWASP LLM01 is rated HIGH residual in this assessment not because the controls are inadequate but because no reliable technical control exists at the inference layer for this attack class.</w:t>
      </w:r>
    </w:p>
    <w:p>
      <w:pPr>
        <w:spacing w:before="60" w:after="100"/>
      </w:pPr>
      <w:r>
        <w:rPr>
          <w:rFonts w:ascii="Calibri" w:cs="Calibri" w:eastAsia="Calibri" w:hAnsi="Calibri"/>
          <w:b w:val="false"/>
          <w:bCs w:val="false"/>
          <w:color w:val="000000"/>
          <w:sz w:val="22"/>
          <w:szCs w:val="22"/>
        </w:rPr>
        <w:t xml:space="preserve">Recommendation: Stop trying to solve prompt injection with gateway controls alone. The correct response is: (1) document which workflows process untrusted content, (2) require output validation in those workflows before the model output influences any downstream system, (3) prohibit agentic tool use in any workflow that processes untrusted content until a separate threat model is completed, and (4) formally accept the residual risk with a named risk owner. This is a design and policy problem, not a security tool problem.</w:t>
      </w:r>
    </w:p>
    <w:p>
      <w:pPr>
        <w:spacing w:before="0" w:after="80"/>
      </w:pPr>
      <w:r>
        <w:t xml:space="preserve"/>
      </w:r>
    </w:p>
    <w:p>
      <w:pPr>
        <w:pStyle w:val="Heading2"/>
      </w:pPr>
      <w:r>
        <w:t xml:space="preserve">Finding 3 — HIGH: ZDR Scope Is Not Fully Defined</w:t>
      </w:r>
    </w:p>
    <w:p>
      <w:pPr>
        <w:spacing w:before="60" w:after="100"/>
      </w:pPr>
      <w:r>
        <w:rPr>
          <w:rFonts w:ascii="Calibri" w:cs="Calibri" w:eastAsia="Calibri" w:hAnsi="Calibri"/>
          <w:b w:val="false"/>
          <w:bCs w:val="false"/>
          <w:color w:val="000000"/>
          <w:sz w:val="22"/>
          <w:szCs w:val="22"/>
        </w:rPr>
        <w:t xml:space="preserve">ZDR is contractually in place for inference payloads. What is not confirmed: whether ZDR covers system prompts submitted as part of API calls, fine-tuning data uploads, batch API requests, and assistant configuration data. The difference matters. A system prompt that contains proprietary business logic or confidential process documentation is not a user-generated inference payload — it is corporate IP embedded in OpenAI's infrastructure for as long as the system prompt is in use. The ZDR addendum must specify scope explicitly.</w:t>
      </w:r>
    </w:p>
    <w:p>
      <w:pPr>
        <w:spacing w:before="60" w:after="100"/>
      </w:pPr>
      <w:r>
        <w:rPr>
          <w:rFonts w:ascii="Calibri" w:cs="Calibri" w:eastAsia="Calibri" w:hAnsi="Calibri"/>
          <w:b w:val="false"/>
          <w:bCs w:val="false"/>
          <w:color w:val="000000"/>
          <w:sz w:val="22"/>
          <w:szCs w:val="22"/>
        </w:rPr>
        <w:t xml:space="preserve">Recommendation: Request written scope clarification from OpenAI on what data categories fall under ZDR. Until confirmed, treat system prompts as potentially retained and prohibit embedding confidential information in them. This is a legal/privacy task, not a technical one.</w:t>
      </w:r>
    </w:p>
    <w:p>
      <w:pPr>
        <w:spacing w:before="0" w:after="80"/>
      </w:pPr>
      <w:r>
        <w:t xml:space="preserve"/>
      </w:r>
    </w:p>
    <w:p>
      <w:pPr>
        <w:pStyle w:val="Heading2"/>
      </w:pPr>
      <w:r>
        <w:t xml:space="preserve">Finding 4 — HIGH: Portkey Model Override Behavior Must Be Validated Before Go-Live</w:t>
      </w:r>
    </w:p>
    <w:p>
      <w:pPr>
        <w:spacing w:before="60" w:after="100"/>
      </w:pPr>
      <w:r>
        <w:rPr>
          <w:rFonts w:ascii="Calibri" w:cs="Calibri" w:eastAsia="Calibri" w:hAnsi="Calibri"/>
          <w:b w:val="false"/>
          <w:bCs w:val="false"/>
          <w:color w:val="000000"/>
          <w:sz w:val="22"/>
          <w:szCs w:val="22"/>
        </w:rPr>
        <w:t xml:space="preserve">The model governance architecture assumes Portkey will override the consumer-specified model field in requests — routing a request that specifies model="o1" from a standard-tier virtual key to model="gpt-4o-mini" per the virtual key allowlist, or blocking it. If Portkey passes the model field through as-is and the virtual key allowlist is enforced via block-only (not override), the financial governance control depends on consumers specifying the correct model, which is a policy control, not a technical enforcement.</w:t>
      </w:r>
    </w:p>
    <w:p>
      <w:pPr>
        <w:spacing w:before="60" w:after="100"/>
      </w:pPr>
      <w:r>
        <w:rPr>
          <w:rFonts w:ascii="Calibri" w:cs="Calibri" w:eastAsia="Calibri" w:hAnsi="Calibri"/>
          <w:b w:val="false"/>
          <w:bCs w:val="false"/>
          <w:color w:val="000000"/>
          <w:sz w:val="22"/>
          <w:szCs w:val="22"/>
        </w:rPr>
        <w:t xml:space="preserve">This is a binary validation: either Portkey overrides/blocks the model field based on virtual key policy, or it does not. Test this before go-live with an adversarial request: assign a virtual key to gpt-4o-mini only, then make a request with model="o1" in the body. The expected result is a rejection or a rerouting to gpt-4o-mini. If the result is a successful o1 call, the model governance control requires architectural redesign.</w:t>
      </w:r>
    </w:p>
    <w:p>
      <w:pPr>
        <w:spacing w:before="0" w:after="80"/>
      </w:pPr>
      <w:r>
        <w:t xml:space="preserve"/>
      </w:r>
    </w:p>
    <w:p>
      <w:pPr>
        <w:pStyle w:val="Heading2"/>
      </w:pPr>
      <w:r>
        <w:t xml:space="preserve">Finding 5 — MEDIUM: AI Governance Body and Risk Tolerance Statement Are Absent</w:t>
      </w:r>
    </w:p>
    <w:p>
      <w:pPr>
        <w:spacing w:before="60" w:after="100"/>
      </w:pPr>
      <w:r>
        <w:rPr>
          <w:rFonts w:ascii="Calibri" w:cs="Calibri" w:eastAsia="Calibri" w:hAnsi="Calibri"/>
          <w:b w:val="false"/>
          <w:bCs w:val="false"/>
          <w:color w:val="000000"/>
          <w:sz w:val="22"/>
          <w:szCs w:val="22"/>
        </w:rPr>
        <w:t xml:space="preserve">The technical security controls in this deployment are well-designed. The governance infrastructure to sustain them as the platform grows is not yet in place. Specifically: there is no formal AI risk tolerance statement, no AI governance committee with decision authority, no AI integration registry to track what applications are using the API, and no EU AI Act classification assessment. These are not blockers for initial deployment, but they become blockers for Phase 2 expansion when the platform is opened to the broader enterprise.</w:t>
      </w:r>
    </w:p>
    <w:p>
      <w:pPr>
        <w:spacing w:before="60" w:after="100"/>
      </w:pPr>
      <w:r>
        <w:rPr>
          <w:rFonts w:ascii="Calibri" w:cs="Calibri" w:eastAsia="Calibri" w:hAnsi="Calibri"/>
          <w:b w:val="false"/>
          <w:bCs w:val="false"/>
          <w:color w:val="000000"/>
          <w:sz w:val="22"/>
          <w:szCs w:val="22"/>
        </w:rPr>
        <w:t xml:space="preserve">The practical consequence: as new use cases are proposed, individual teams or security engineers will make approval decisions without a governance framework. Some of those decisions will be wrong. The AI governance body should be constituted — even informally with a defined scope and meeting cadence — before Phase 2 begins.</w:t>
      </w:r>
    </w:p>
    <w:p>
      <w:pPr>
        <w:spacing w:before="0" w:after="80"/>
      </w:pPr>
      <w:r>
        <w:t xml:space="preserve"/>
      </w:r>
    </w:p>
    <w:p>
      <w:pPr>
        <w:pStyle w:val="Heading2"/>
      </w:pPr>
      <w:r>
        <w:t xml:space="preserve">Finding 6 — MEDIUM: Portkey COTS Vendor Assessment Is Incomplete</w:t>
      </w:r>
    </w:p>
    <w:p>
      <w:pPr>
        <w:spacing w:before="60" w:after="100"/>
      </w:pPr>
      <w:r>
        <w:rPr>
          <w:rFonts w:ascii="Calibri" w:cs="Calibri" w:eastAsia="Calibri" w:hAnsi="Calibri"/>
          <w:b w:val="false"/>
          <w:bCs w:val="false"/>
          <w:color w:val="000000"/>
          <w:sz w:val="22"/>
          <w:szCs w:val="22"/>
        </w:rPr>
        <w:t xml:space="preserve">Portkey is a COTS component running on enterprise infrastructure. Unlike SaaS, COTS software does not automatically inherit the vendor's security posture — the enterprise owns the deployment. What has not been validated: whether Portkey COTS makes external network connections (telemetry, license validation, update checks) and if so, to what endpoints; the Portkey vendor's vulnerability disclosure process and CVE notification mechanism; and the Portkey license terms for self-hosted deployments including any restrictions on air-gapped or restricted-network deployment scenarios.</w:t>
      </w:r>
    </w:p>
    <w:p>
      <w:pPr>
        <w:spacing w:before="60" w:after="100"/>
      </w:pPr>
      <w:r>
        <w:rPr>
          <w:rFonts w:ascii="Calibri" w:cs="Calibri" w:eastAsia="Calibri" w:hAnsi="Calibri"/>
          <w:b w:val="false"/>
          <w:bCs w:val="false"/>
          <w:color w:val="000000"/>
          <w:sz w:val="22"/>
          <w:szCs w:val="22"/>
        </w:rPr>
        <w:t xml:space="preserve">Every Portkey egress connection must be documented and intentional. An undocumented telemetry call from the gateway that controls all inference is a material risk, regardless of what the data contains.</w:t>
      </w:r>
    </w:p>
    <w:p>
      <w:r>
        <w:br w:type="page"/>
      </w:r>
    </w:p>
    <w:p>
      <w:pPr>
        <w:pStyle w:val="Heading1"/>
      </w:pPr>
      <w:r>
        <w:t xml:space="preserve">11. Risk Acceptance and Treatment Decisions Required</w:t>
      </w:r>
    </w:p>
    <w:p>
      <w:pPr>
        <w:spacing w:before="60" w:after="100"/>
      </w:pPr>
      <w:r>
        <w:rPr>
          <w:rFonts w:ascii="Calibri" w:cs="Calibri" w:eastAsia="Calibri" w:hAnsi="Calibri"/>
          <w:b w:val="false"/>
          <w:bCs w:val="false"/>
          <w:color w:val="000000"/>
          <w:sz w:val="22"/>
          <w:szCs w:val="22"/>
        </w:rPr>
        <w:t xml:space="preserve">The following risks require explicit acceptance decisions from named risk owners before go-live. Risk acceptance decisions should be documented with: the risk description, the accepting party (named individual with authority), the rationale, the conditions under which the acceptance would be revisited, and the date of acceptance. Undocumented risk acceptance is not acceptance.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720"/>
        <w:gridCol w:w="1600"/>
        <w:gridCol w:w="1800"/>
        <w:gridCol w:w="2060"/>
        <w:gridCol w:w="1600"/>
        <w:gridCol w:w="1200"/>
      </w:tblGrid>
      <w:tr>
        <w:tc>
          <w:tcPr>
            <w:tcW w:type="dxa" w:w="38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vAlign w:val="top"/>
          </w:tcPr>
          <w:p>
            <w:pPr>
              <w:spacing w:before="0" w:after="0"/>
            </w:pPr>
            <w:r>
              <w:rPr>
                <w:rFonts w:ascii="Calibri" w:cs="Calibri" w:eastAsia="Calibri" w:hAnsi="Calibri"/>
                <w:b/>
                <w:bCs/>
                <w:color w:val="FFFFFF"/>
                <w:sz w:val="19"/>
                <w:szCs w:val="19"/>
              </w:rPr>
              <w:t xml:space="preserve">Risk ID</w:t>
            </w:r>
          </w:p>
        </w:tc>
        <w:tc>
          <w:tcPr>
            <w:tcW w:type="dxa" w:w="72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vAlign w:val="top"/>
          </w:tcPr>
          <w:p>
            <w:pPr>
              <w:spacing w:before="0" w:after="0"/>
            </w:pPr>
            <w:r>
              <w:rPr>
                <w:rFonts w:ascii="Calibri" w:cs="Calibri" w:eastAsia="Calibri" w:hAnsi="Calibri"/>
                <w:b/>
                <w:bCs/>
                <w:color w:val="FFFFFF"/>
                <w:sz w:val="19"/>
                <w:szCs w:val="19"/>
              </w:rPr>
              <w:t xml:space="preserve">Rating</w:t>
            </w:r>
          </w:p>
        </w:tc>
        <w:tc>
          <w:tcPr>
            <w:tcW w:type="dxa" w:w="160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vAlign w:val="top"/>
          </w:tcPr>
          <w:p>
            <w:pPr>
              <w:spacing w:before="0" w:after="0"/>
            </w:pPr>
            <w:r>
              <w:rPr>
                <w:rFonts w:ascii="Calibri" w:cs="Calibri" w:eastAsia="Calibri" w:hAnsi="Calibri"/>
                <w:b/>
                <w:bCs/>
                <w:color w:val="FFFFFF"/>
                <w:sz w:val="19"/>
                <w:szCs w:val="19"/>
              </w:rPr>
              <w:t xml:space="preserve">Risk</w:t>
            </w:r>
          </w:p>
        </w:tc>
        <w:tc>
          <w:tcPr>
            <w:tcW w:type="dxa" w:w="180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vAlign w:val="top"/>
          </w:tcPr>
          <w:p>
            <w:pPr>
              <w:spacing w:before="0" w:after="0"/>
            </w:pPr>
            <w:r>
              <w:rPr>
                <w:rFonts w:ascii="Calibri" w:cs="Calibri" w:eastAsia="Calibri" w:hAnsi="Calibri"/>
                <w:b/>
                <w:bCs/>
                <w:color w:val="FFFFFF"/>
                <w:sz w:val="19"/>
                <w:szCs w:val="19"/>
              </w:rPr>
              <w:t xml:space="preserve">Recommended Treatment</w:t>
            </w:r>
          </w:p>
        </w:tc>
        <w:tc>
          <w:tcPr>
            <w:tcW w:type="dxa" w:w="206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vAlign w:val="top"/>
          </w:tcPr>
          <w:p>
            <w:pPr>
              <w:spacing w:before="0" w:after="0"/>
            </w:pPr>
            <w:r>
              <w:rPr>
                <w:rFonts w:ascii="Calibri" w:cs="Calibri" w:eastAsia="Calibri" w:hAnsi="Calibri"/>
                <w:b/>
                <w:bCs/>
                <w:color w:val="FFFFFF"/>
                <w:sz w:val="19"/>
                <w:szCs w:val="19"/>
              </w:rPr>
              <w:t xml:space="preserve">Residual After Treatment</w:t>
            </w:r>
          </w:p>
        </w:tc>
        <w:tc>
          <w:tcPr>
            <w:tcW w:type="dxa" w:w="160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vAlign w:val="top"/>
          </w:tcPr>
          <w:p>
            <w:pPr>
              <w:spacing w:before="0" w:after="0"/>
            </w:pPr>
            <w:r>
              <w:rPr>
                <w:rFonts w:ascii="Calibri" w:cs="Calibri" w:eastAsia="Calibri" w:hAnsi="Calibri"/>
                <w:b/>
                <w:bCs/>
                <w:color w:val="FFFFFF"/>
                <w:sz w:val="19"/>
                <w:szCs w:val="19"/>
              </w:rPr>
              <w:t xml:space="preserve">Required Approver</w:t>
            </w:r>
          </w:p>
        </w:tc>
        <w:tc>
          <w:tcPr>
            <w:tcW w:type="dxa" w:w="120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vAlign w:val="top"/>
          </w:tcPr>
          <w:p>
            <w:pPr>
              <w:spacing w:before="0" w:after="0"/>
            </w:pPr>
            <w:r>
              <w:rPr>
                <w:rFonts w:ascii="Calibri" w:cs="Calibri" w:eastAsia="Calibri" w:hAnsi="Calibri"/>
                <w:b/>
                <w:bCs/>
                <w:color w:val="FFFFFF"/>
                <w:sz w:val="19"/>
                <w:szCs w:val="19"/>
              </w:rPr>
              <w:t xml:space="preserve">Review Trigger</w:t>
            </w:r>
          </w:p>
        </w:tc>
      </w:tr>
      <w:tr>
        <w:tc>
          <w:tcPr>
            <w:tcW w:type="dxa" w:w="38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1F3864"/>
                <w:sz w:val="17"/>
                <w:szCs w:val="17"/>
              </w:rPr>
              <w:t xml:space="preserve">R-06</w:t>
            </w:r>
          </w:p>
        </w:tc>
        <w:tc>
          <w:tcPr>
            <w:tcW w:type="dxa" w:w="720"/>
            <w:tcBorders>
              <w:top w:val="single" w:color="CCCCCC" w:sz="1"/>
              <w:left w:val="single" w:color="CCCCCC" w:sz="1"/>
              <w:bottom w:val="single" w:color="CCCCCC" w:sz="1"/>
              <w:right w:val="single" w:color="CCCCCC" w:sz="1"/>
            </w:tcBorders>
            <w:shd w:fill="FDEBD0" w:val="clear"/>
            <w:tcMar>
              <w:top w:type="dxa" w:w="70"/>
              <w:left w:type="dxa" w:w="100"/>
              <w:bottom w:type="dxa" w:w="70"/>
              <w:right w:type="dxa" w:w="100"/>
            </w:tcMar>
            <w:vAlign w:val="top"/>
          </w:tcPr>
          <w:p>
            <w:pPr>
              <w:spacing w:before="0" w:after="0"/>
            </w:pPr>
            <w:r>
              <w:rPr>
                <w:rFonts w:ascii="Calibri" w:cs="Calibri" w:eastAsia="Calibri" w:hAnsi="Calibri"/>
                <w:b/>
                <w:bCs/>
                <w:color w:val="C55A11"/>
                <w:sz w:val="19"/>
                <w:szCs w:val="19"/>
              </w:rPr>
              <w:t xml:space="preserve">HIGH</w:t>
            </w:r>
          </w:p>
        </w:tc>
        <w:tc>
          <w:tcPr>
            <w:tcW w:type="dxa" w:w="16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7"/>
                <w:szCs w:val="17"/>
              </w:rPr>
              <w:t xml:space="preserve">Prompt Injection — no reliable technical mitigation at inference layer</w:t>
            </w:r>
          </w:p>
        </w:tc>
        <w:tc>
          <w:tcPr>
            <w:tcW w:type="dxa" w:w="18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7"/>
                <w:szCs w:val="17"/>
              </w:rPr>
              <w:t xml:space="preserve">Accept with controls: output review policy for regulated workflows; agentic tool use prohibited without separate threat model; annual reassessment</w:t>
            </w:r>
          </w:p>
        </w:tc>
        <w:tc>
          <w:tcPr>
            <w:tcW w:type="dxa" w:w="206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7"/>
                <w:szCs w:val="17"/>
              </w:rPr>
              <w:t xml:space="preserve">HIGH — Architecturally irreducible. Accept as inherent risk of LLM technology for current use cases.</w:t>
            </w:r>
          </w:p>
        </w:tc>
        <w:tc>
          <w:tcPr>
            <w:tcW w:type="dxa" w:w="16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1F3864"/>
                <w:sz w:val="17"/>
                <w:szCs w:val="17"/>
              </w:rPr>
              <w:t xml:space="preserve">CISO + Business Owner for each approved use case</w:t>
            </w:r>
          </w:p>
        </w:tc>
        <w:tc>
          <w:tcPr>
            <w:tcW w:type="dxa" w:w="12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7"/>
                <w:szCs w:val="17"/>
              </w:rPr>
              <w:t xml:space="preserve">New agentic capability enablement; significant new use case type</w:t>
            </w:r>
          </w:p>
        </w:tc>
      </w:tr>
      <w:tr>
        <w:tc>
          <w:tcPr>
            <w:tcW w:type="dxa" w:w="3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1F3864"/>
                <w:sz w:val="17"/>
                <w:szCs w:val="17"/>
              </w:rPr>
              <w:t xml:space="preserve">R-09</w:t>
            </w:r>
          </w:p>
        </w:tc>
        <w:tc>
          <w:tcPr>
            <w:tcW w:type="dxa" w:w="720"/>
            <w:tcBorders>
              <w:top w:val="single" w:color="CCCCCC" w:sz="1"/>
              <w:left w:val="single" w:color="CCCCCC" w:sz="1"/>
              <w:bottom w:val="single" w:color="CCCCCC" w:sz="1"/>
              <w:right w:val="single" w:color="CCCCCC" w:sz="1"/>
            </w:tcBorders>
            <w:shd w:fill="FDEBD0" w:val="clear"/>
            <w:tcMar>
              <w:top w:type="dxa" w:w="70"/>
              <w:left w:type="dxa" w:w="100"/>
              <w:bottom w:type="dxa" w:w="70"/>
              <w:right w:type="dxa" w:w="100"/>
            </w:tcMar>
            <w:vAlign w:val="top"/>
          </w:tcPr>
          <w:p>
            <w:pPr>
              <w:spacing w:before="0" w:after="0"/>
            </w:pPr>
            <w:r>
              <w:rPr>
                <w:rFonts w:ascii="Calibri" w:cs="Calibri" w:eastAsia="Calibri" w:hAnsi="Calibri"/>
                <w:b/>
                <w:bCs/>
                <w:color w:val="C55A11"/>
                <w:sz w:val="19"/>
                <w:szCs w:val="19"/>
              </w:rPr>
              <w:t xml:space="preserve">HIGH</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7"/>
                <w:szCs w:val="17"/>
              </w:rPr>
              <w:t xml:space="preserve">Model Misinformation / Hallucination in outputs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7"/>
                <w:szCs w:val="17"/>
              </w:rPr>
              <w:t xml:space="preserve">Accept with controls: AUP output review requirements; prohibited use case list; regulated-decision workflows prohibited without security+legal review</w:t>
            </w:r>
          </w:p>
        </w:tc>
        <w:tc>
          <w:tcPr>
            <w:tcW w:type="dxa" w:w="20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7"/>
                <w:szCs w:val="17"/>
              </w:rPr>
              <w:t xml:space="preserve">HIGH — Architecturally irreducible. Policy is the only control.</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1F3864"/>
                <w:sz w:val="17"/>
                <w:szCs w:val="17"/>
              </w:rPr>
              <w:t xml:space="preserve">CISO + Legal + relevant Business Owner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7"/>
                <w:szCs w:val="17"/>
              </w:rPr>
              <w:t xml:space="preserve">Any regulated-decision workflow proposed; EU AI Act classification triggers</w:t>
            </w:r>
          </w:p>
        </w:tc>
      </w:tr>
      <w:tr>
        <w:tc>
          <w:tcPr>
            <w:tcW w:type="dxa" w:w="38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1F3864"/>
                <w:sz w:val="17"/>
                <w:szCs w:val="17"/>
              </w:rPr>
              <w:t xml:space="preserve">R-03</w:t>
            </w:r>
          </w:p>
        </w:tc>
        <w:tc>
          <w:tcPr>
            <w:tcW w:type="dxa" w:w="720"/>
            <w:tcBorders>
              <w:top w:val="single" w:color="CCCCCC" w:sz="1"/>
              <w:left w:val="single" w:color="CCCCCC" w:sz="1"/>
              <w:bottom w:val="single" w:color="CCCCCC" w:sz="1"/>
              <w:right w:val="single" w:color="CCCCCC" w:sz="1"/>
            </w:tcBorders>
            <w:shd w:fill="FDEBD0" w:val="clear"/>
            <w:tcMar>
              <w:top w:type="dxa" w:w="70"/>
              <w:left w:type="dxa" w:w="100"/>
              <w:bottom w:type="dxa" w:w="70"/>
              <w:right w:type="dxa" w:w="100"/>
            </w:tcMar>
            <w:vAlign w:val="top"/>
          </w:tcPr>
          <w:p>
            <w:pPr>
              <w:spacing w:before="0" w:after="0"/>
            </w:pPr>
            <w:r>
              <w:rPr>
                <w:rFonts w:ascii="Calibri" w:cs="Calibri" w:eastAsia="Calibri" w:hAnsi="Calibri"/>
                <w:b/>
                <w:bCs/>
                <w:color w:val="C55A11"/>
                <w:sz w:val="19"/>
                <w:szCs w:val="19"/>
              </w:rPr>
              <w:t xml:space="preserve">HIGH</w:t>
            </w:r>
          </w:p>
        </w:tc>
        <w:tc>
          <w:tcPr>
            <w:tcW w:type="dxa" w:w="16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7"/>
                <w:szCs w:val="17"/>
              </w:rPr>
              <w:t xml:space="preserve">Regulated data transmitted to OpenAI via guardrail evasion</w:t>
            </w:r>
          </w:p>
        </w:tc>
        <w:tc>
          <w:tcPr>
            <w:tcW w:type="dxa" w:w="18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7"/>
                <w:szCs w:val="17"/>
              </w:rPr>
              <w:t xml:space="preserve">Mitigate (Portkey Guardrails) + Accept residual: acknowledge that encoding-based evasion cannot be fully prevented by regex; accept for current use cases within defined data classification policy</w:t>
            </w:r>
          </w:p>
        </w:tc>
        <w:tc>
          <w:tcPr>
            <w:tcW w:type="dxa" w:w="206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7"/>
                <w:szCs w:val="17"/>
              </w:rPr>
              <w:t xml:space="preserve">MEDIUM-HIGH — Accept based on: ZDR in place (no retention); AUP policy clearly prohibits; user training active</w:t>
            </w:r>
          </w:p>
        </w:tc>
        <w:tc>
          <w:tcPr>
            <w:tcW w:type="dxa" w:w="16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1F3864"/>
                <w:sz w:val="17"/>
                <w:szCs w:val="17"/>
              </w:rPr>
              <w:t xml:space="preserve">CISO + Privacy Officer</w:t>
            </w:r>
          </w:p>
        </w:tc>
        <w:tc>
          <w:tcPr>
            <w:tcW w:type="dxa" w:w="12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7"/>
                <w:szCs w:val="17"/>
              </w:rPr>
              <w:t xml:space="preserve">Any PHI use case proposal; any expansion to regulated industry vertical</w:t>
            </w:r>
          </w:p>
        </w:tc>
      </w:tr>
      <w:tr>
        <w:tc>
          <w:tcPr>
            <w:tcW w:type="dxa" w:w="3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1F3864"/>
                <w:sz w:val="17"/>
                <w:szCs w:val="17"/>
              </w:rPr>
              <w:t xml:space="preserve">R-11</w:t>
            </w:r>
          </w:p>
        </w:tc>
        <w:tc>
          <w:tcPr>
            <w:tcW w:type="dxa" w:w="720"/>
            <w:tcBorders>
              <w:top w:val="single" w:color="CCCCCC" w:sz="1"/>
              <w:left w:val="single" w:color="CCCCCC" w:sz="1"/>
              <w:bottom w:val="single" w:color="CCCCCC" w:sz="1"/>
              <w:right w:val="single" w:color="CCCCCC" w:sz="1"/>
            </w:tcBorders>
            <w:shd w:fill="FFF2CC" w:val="clear"/>
            <w:tcMar>
              <w:top w:type="dxa" w:w="70"/>
              <w:left w:type="dxa" w:w="100"/>
              <w:bottom w:type="dxa" w:w="70"/>
              <w:right w:type="dxa" w:w="100"/>
            </w:tcMar>
            <w:vAlign w:val="top"/>
          </w:tcPr>
          <w:p>
            <w:pPr>
              <w:spacing w:before="0" w:after="0"/>
            </w:pPr>
            <w:r>
              <w:rPr>
                <w:rFonts w:ascii="Calibri" w:cs="Calibri" w:eastAsia="Calibri" w:hAnsi="Calibri"/>
                <w:b/>
                <w:bCs/>
                <w:color w:val="7F6000"/>
                <w:sz w:val="19"/>
                <w:szCs w:val="19"/>
              </w:rPr>
              <w:t xml:space="preserve">MEDIUM</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7"/>
                <w:szCs w:val="17"/>
              </w:rPr>
              <w:t xml:space="preserve">Insider sustained IP exfiltration via authorized virtual key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7"/>
                <w:szCs w:val="17"/>
              </w:rPr>
              <w:t xml:space="preserve">Mitigate (UEBA, rate limits, SIEM) + Accept residual: acknowledge that low-volume sustained usage is indistinguishable from legitimate use</w:t>
            </w:r>
          </w:p>
        </w:tc>
        <w:tc>
          <w:tcPr>
            <w:tcW w:type="dxa" w:w="20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7"/>
                <w:szCs w:val="17"/>
              </w:rPr>
              <w:t xml:space="preserve">MEDIUM — Accept based on: access control minimization; UEBA monitoring; correlated with HR signals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bCs/>
                <w:color w:val="1F3864"/>
                <w:sz w:val="17"/>
                <w:szCs w:val="17"/>
              </w:rPr>
              <w:t xml:space="preserve">CISO + HR leadership (for UEBA monitoring legal basis)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7"/>
                <w:szCs w:val="17"/>
              </w:rPr>
              <w:t xml:space="preserve">New user groups added; any significant virtual key permission expansion</w:t>
            </w:r>
          </w:p>
        </w:tc>
      </w:tr>
      <w:tr>
        <w:tc>
          <w:tcPr>
            <w:tcW w:type="dxa" w:w="38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1F3864"/>
                <w:sz w:val="17"/>
                <w:szCs w:val="17"/>
              </w:rPr>
              <w:t xml:space="preserve">R-13</w:t>
            </w:r>
          </w:p>
        </w:tc>
        <w:tc>
          <w:tcPr>
            <w:tcW w:type="dxa" w:w="720"/>
            <w:tcBorders>
              <w:top w:val="single" w:color="CCCCCC" w:sz="1"/>
              <w:left w:val="single" w:color="CCCCCC" w:sz="1"/>
              <w:bottom w:val="single" w:color="CCCCCC" w:sz="1"/>
              <w:right w:val="single" w:color="CCCCCC" w:sz="1"/>
            </w:tcBorders>
            <w:shd w:fill="FFF2CC" w:val="clear"/>
            <w:tcMar>
              <w:top w:type="dxa" w:w="70"/>
              <w:left w:type="dxa" w:w="100"/>
              <w:bottom w:type="dxa" w:w="70"/>
              <w:right w:type="dxa" w:w="100"/>
            </w:tcMar>
            <w:vAlign w:val="top"/>
          </w:tcPr>
          <w:p>
            <w:pPr>
              <w:spacing w:before="0" w:after="0"/>
            </w:pPr>
            <w:r>
              <w:rPr>
                <w:rFonts w:ascii="Calibri" w:cs="Calibri" w:eastAsia="Calibri" w:hAnsi="Calibri"/>
                <w:b/>
                <w:bCs/>
                <w:color w:val="7F6000"/>
                <w:sz w:val="19"/>
                <w:szCs w:val="19"/>
              </w:rPr>
              <w:t xml:space="preserve">MEDIUM</w:t>
            </w:r>
          </w:p>
        </w:tc>
        <w:tc>
          <w:tcPr>
            <w:tcW w:type="dxa" w:w="16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7"/>
                <w:szCs w:val="17"/>
              </w:rPr>
              <w:t xml:space="preserve">OpenAI vendor security incident or service disruption</w:t>
            </w:r>
          </w:p>
        </w:tc>
        <w:tc>
          <w:tcPr>
            <w:tcW w:type="dxa" w:w="18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7"/>
                <w:szCs w:val="17"/>
              </w:rPr>
              <w:t xml:space="preserve">Accept with contractual controls (DPA, ZDR, breach notification SLA) + Contingency (evaluate alternate LLM provider as non-critical workload fallback)</w:t>
            </w:r>
          </w:p>
        </w:tc>
        <w:tc>
          <w:tcPr>
            <w:tcW w:type="dxa" w:w="206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7"/>
                <w:szCs w:val="17"/>
              </w:rPr>
              <w:t xml:space="preserve">MEDIUM — Cannot contractually prevent OpenAI-side incidents; can only govern response</w:t>
            </w:r>
          </w:p>
        </w:tc>
        <w:tc>
          <w:tcPr>
            <w:tcW w:type="dxa" w:w="16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bCs/>
                <w:color w:val="1F3864"/>
                <w:sz w:val="17"/>
                <w:szCs w:val="17"/>
              </w:rPr>
              <w:t xml:space="preserve">CISO + Legal</w:t>
            </w:r>
          </w:p>
        </w:tc>
        <w:tc>
          <w:tcPr>
            <w:tcW w:type="dxa" w:w="1200"/>
            <w:tcBorders>
              <w:top w:val="single" w:color="CCCCCC" w:sz="1"/>
              <w:left w:val="single" w:color="CCCCCC" w:sz="1"/>
              <w:bottom w:val="single" w:color="CCCCCC" w:sz="1"/>
              <w:right w:val="single" w:color="CCCCCC" w:sz="1"/>
            </w:tcBorders>
            <w:shd w:fill="F5F8FF" w:val="clear"/>
            <w:tcMar>
              <w:top w:type="dxa" w:w="70"/>
              <w:left w:type="dxa" w:w="100"/>
              <w:bottom w:type="dxa" w:w="70"/>
              <w:right w:type="dxa" w:w="100"/>
            </w:tcMar>
            <w:vAlign w:val="top"/>
          </w:tcPr>
          <w:p>
            <w:pPr>
              <w:spacing w:before="0" w:after="0"/>
            </w:pPr>
            <w:r>
              <w:rPr>
                <w:rFonts w:ascii="Calibri" w:cs="Calibri" w:eastAsia="Calibri" w:hAnsi="Calibri"/>
                <w:b w:val="false"/>
                <w:bCs w:val="false"/>
                <w:color w:val="111111"/>
                <w:sz w:val="17"/>
                <w:szCs w:val="17"/>
              </w:rPr>
              <w:t xml:space="preserve">Annual TPRA renewal; any OpenAI security advisory; material pricing or ToS change</w:t>
            </w:r>
          </w:p>
        </w:tc>
      </w:tr>
    </w:tbl>
    <w:p>
      <w:r>
        <w:br w:type="page"/>
      </w:r>
    </w:p>
    <w:p>
      <w:pPr>
        <w:pStyle w:val="Heading1"/>
      </w:pPr>
      <w:r>
        <w:t xml:space="preserve">12. Assessment Conclusion</w:t>
      </w:r>
    </w:p>
    <w:p>
      <w:pPr>
        <w:spacing w:before="60" w:after="100"/>
      </w:pPr>
      <w:r>
        <w:rPr>
          <w:rFonts w:ascii="Calibri" w:cs="Calibri" w:eastAsia="Calibri" w:hAnsi="Calibri"/>
          <w:b w:val="false"/>
          <w:bCs w:val="false"/>
          <w:color w:val="000000"/>
          <w:sz w:val="22"/>
          <w:szCs w:val="22"/>
        </w:rPr>
        <w:t xml:space="preserve">The OpenAI API Platform deployment, as architected with Portkey COTS as the mediation layer, ZDR as the data handling control, and admin-only console access via SSO+SCIM+PAM, represents a sound enterprise security posture for an initial API platform rollout. The architecture makes defensible choices: it keeps real OpenAI key material out of application code, it ensures users interact with an enterprise-controlled enforcement point rather than directly with OpenAI infrastructure, and it designs audit logging as a first-class requirement rather than an afterthought.</w:t>
      </w:r>
    </w:p>
    <w:p>
      <w:pPr>
        <w:spacing w:before="0" w:after="60"/>
      </w:pPr>
      <w:r>
        <w:t xml:space="preserve"/>
      </w:r>
    </w:p>
    <w:p>
      <w:pPr>
        <w:spacing w:before="60" w:after="100"/>
      </w:pPr>
      <w:r>
        <w:rPr>
          <w:rFonts w:ascii="Calibri" w:cs="Calibri" w:eastAsia="Calibri" w:hAnsi="Calibri"/>
          <w:b w:val="false"/>
          <w:bCs w:val="false"/>
          <w:color w:val="000000"/>
          <w:sz w:val="22"/>
          <w:szCs w:val="22"/>
        </w:rPr>
        <w:t xml:space="preserve">The residual risks that remain after controls are applied fall into two distinct categories. The first category — key exposure, Portkey compromise, ZDR scope ambiguity — are risks that can be meaningfully reduced through additional technical controls and contractual clarification. These should be treated as action items with owners and deadlines, not accepted as background noise. The second category — prompt injection and model misinformation — are properties of current LLM technology that cannot be engineered away. They must be addressed through policy, workflow design, and formal risk acceptance, not through the addition of more security tooling.</w:t>
      </w:r>
    </w:p>
    <w:p>
      <w:pPr>
        <w:spacing w:before="0" w:after="60"/>
      </w:pPr>
      <w:r>
        <w:t xml:space="preserve"/>
      </w:r>
    </w:p>
    <w:p>
      <w:pPr>
        <w:spacing w:before="60" w:after="100"/>
      </w:pPr>
      <w:r>
        <w:rPr>
          <w:rFonts w:ascii="Calibri" w:cs="Calibri" w:eastAsia="Calibri" w:hAnsi="Calibri"/>
          <w:b w:val="false"/>
          <w:bCs w:val="false"/>
          <w:color w:val="000000"/>
          <w:sz w:val="22"/>
          <w:szCs w:val="22"/>
        </w:rPr>
        <w:t xml:space="preserve">The most important pre-go-live validation items — in order of consequence if wrong — are: (1) ZDR technically active and scope confirmed for this organization's API usage; (2) Portkey Guardrails blocking credential patterns as configured; (3) network egress block on api.openai.com from non-Portkey hosts confirmed active and tested; (4) Portkey model routing enforcing virtual key allowlist via override or block; and (5) Portkey COTS vendor assessment completed for telemetry and external connectivity. If any of these five validations fails, deployment should be paused until resolved. The other pre-go-live items are important, but these five are the load-bearing assumptions of the security architecture.</w:t>
      </w:r>
    </w:p>
    <w:p>
      <w:pPr>
        <w:spacing w:before="0" w:after="60"/>
      </w:pPr>
      <w:r>
        <w:t xml:space="preserve"/>
      </w:r>
    </w:p>
    <w:p>
      <w:pPr>
        <w:spacing w:before="60" w:after="100"/>
      </w:pPr>
      <w:r>
        <w:rPr>
          <w:rFonts w:ascii="Calibri" w:cs="Calibri" w:eastAsia="Calibri" w:hAnsi="Calibri"/>
          <w:b w:val="false"/>
          <w:bCs w:val="false"/>
          <w:color w:val="000000"/>
          <w:sz w:val="22"/>
          <w:szCs w:val="22"/>
        </w:rPr>
        <w:t xml:space="preserve">Finally, this assessment reflects the platform as designed and intended. The gap between design and operational reality is where most enterprise security failures occur. The periodic review cadence — quarterly guardrail review, 90-day key rotation, annual TPRA renewal, annual ZDR verification — exists not because the design is expected to degrade, but because configurations drift, threat landscapes evolve, OpenAI releases new models and capabilities, and organizational context changes. A security assessment that is completed once and filed is not a security assessment — it is a historical document.</w:t>
      </w:r>
    </w:p>
    <w:p>
      <w:pPr>
        <w:spacing w:before="0" w:after="160"/>
      </w:pPr>
      <w:r>
        <w:t xml:space="preserve"/>
      </w:r>
    </w:p>
    <w:p>
      <w:pPr>
        <w:pBdr>
          <w:bottom w:val="single" w:color="2E75B6" w:sz="6" w:space="1"/>
        </w:pBdr>
        <w:spacing w:before="60" w:after="180"/>
      </w:pPr>
      <w:r>
        <w:t xml:space="preserve"/>
      </w:r>
    </w:p>
    <w:p>
      <w:pPr>
        <w:spacing w:before="80" w:after="40"/>
        <w:jc w:val="center"/>
      </w:pPr>
      <w:r>
        <w:rPr>
          <w:rFonts w:ascii="Calibri" w:cs="Calibri" w:eastAsia="Calibri" w:hAnsi="Calibri"/>
          <w:color w:val="595959"/>
          <w:sz w:val="17"/>
          <w:szCs w:val="17"/>
        </w:rPr>
        <w:t xml:space="preserve">END OF ASSESSMENT  |  v4.0  |  Frameworks: NIST CSF 2.0 · NIST SP 800-30 · OWASP LLM Top 10 (2025) · MITRE ATLAS · STRIDE · ISO 27001:2022 · NIST AI RMF · SOC 2 TSC</w:t>
      </w:r>
    </w:p>
    <w:p>
      <w:pPr>
        <w:spacing w:before="0" w:after="40"/>
        <w:jc w:val="center"/>
      </w:pPr>
      <w:r>
        <w:rPr>
          <w:rFonts w:ascii="Calibri" w:cs="Calibri" w:eastAsia="Calibri" w:hAnsi="Calibri"/>
          <w:b/>
          <w:bCs/>
          <w:color w:val="C00000"/>
          <w:sz w:val="17"/>
          <w:szCs w:val="17"/>
        </w:rPr>
        <w:t xml:space="preserve">CONFIDENTIAL — Distribution restricted to named stakeholders only.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after="0"/>
    </w:pPr>
    <w:r>
      <w:rPr>
        <w:rFonts w:ascii="Calibri" w:cs="Calibri" w:eastAsia="Calibri" w:hAnsi="Calibri"/>
        <w:color w:val="595959"/>
        <w:sz w:val="14"/>
        <w:szCs w:val="14"/>
      </w:rPr>
      <w:t xml:space="preserve">Enterprise Cybersecurity Architecture  |  v4.0  |  Frameworks: NIST CSF 2.0 · NIST SP 800-30 · OWASP LLM Top 10 (2025) · MITRE ATLAS · ISO 27001:2022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360"/>
      </w:tabs>
      <w:spacing w:before="0" w:after="100"/>
    </w:pPr>
    <w:r>
      <w:rPr>
        <w:rFonts w:ascii="Calibri" w:cs="Calibri" w:eastAsia="Calibri" w:hAnsi="Calibri"/>
        <w:color w:val="595959"/>
        <w:sz w:val="16"/>
        <w:szCs w:val="16"/>
      </w:rPr>
      <w:t xml:space="preserve">Security &amp; Risk Assessment  |  OpenAI API Platform  |  Version 4.0</w:t>
    </w:r>
    <w:r>
      <w:rPr>
        <w:sz w:val="16"/>
        <w:szCs w:val="16"/>
      </w:rPr>
      <w:t xml:space="preserve">	</w:t>
    </w:r>
    <w:r>
      <w:rPr>
        <w:rFonts w:ascii="Calibri" w:cs="Calibri" w:eastAsia="Calibri" w:hAnsi="Calibri"/>
        <w:b/>
        <w:bCs/>
        <w:color w:val="C00000"/>
        <w:sz w:val="16"/>
        <w:szCs w:val="16"/>
      </w:rPr>
      <w:t xml:space="preserve">CONFIDENTIAL  |  RESTRICTED DISTRIBUTION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lvl w:ilvl="1" w15:tentative="1">
      <w:start w:val="1"/>
      <w:numFmt w:val="bullet"/>
      <w:lvlText w:val="▪"/>
      <w:lvlJc w:val="left"/>
      <w:pPr>
        <w:ind w:left="100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6" w:space="4"/>
      </w:pBdr>
      <w:spacing w:before="360" w:after="120"/>
      <w:outlineLvl w:val="0"/>
    </w:pPr>
    <w:rPr>
      <w:rFonts w:ascii="Calibri" w:cs="Calibri" w:eastAsia="Calibri" w:hAnsi="Calibri"/>
      <w:b/>
      <w:bCs/>
      <w:color w:val="1F3864"/>
      <w:sz w:val="34"/>
      <w:szCs w:val="34"/>
    </w:rPr>
  </w:style>
  <w:style w:type="paragraph" w:styleId="Heading2">
    <w:name w:val="Heading 2"/>
    <w:basedOn w:val="Normal"/>
    <w:next w:val="Normal"/>
    <w:qFormat/>
    <w:pPr>
      <w:spacing w:before="280" w:after="100"/>
      <w:outlineLvl w:val="1"/>
    </w:pPr>
    <w:rPr>
      <w:rFonts w:ascii="Calibri" w:cs="Calibri" w:eastAsia="Calibri" w:hAnsi="Calibri"/>
      <w:b/>
      <w:bCs/>
      <w:color w:val="2E75B6"/>
      <w:sz w:val="26"/>
      <w:szCs w:val="26"/>
    </w:rPr>
  </w:style>
  <w:style w:type="paragraph" w:styleId="Heading3">
    <w:name w:val="Heading 3"/>
    <w:basedOn w:val="Normal"/>
    <w:next w:val="Normal"/>
    <w:qFormat/>
    <w:pPr>
      <w:spacing w:before="200" w:after="80"/>
      <w:outlineLvl w:val="2"/>
    </w:pPr>
    <w:rPr>
      <w:rFonts w:ascii="Calibri" w:cs="Calibri" w:eastAsia="Calibri" w:hAnsi="Calibri"/>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2026-03-09T01:45:40.128Z</dcterms:created>
  <dcterms:modified xsi:type="dcterms:W3CDTF">2026-03-09T01:45:40.129Z</dcterms:modified>
</cp:coreProperties>
</file>

<file path=docProps/custom.xml><?xml version="1.0" encoding="utf-8"?>
<Properties xmlns="http://schemas.openxmlformats.org/officeDocument/2006/custom-properties" xmlns:vt="http://schemas.openxmlformats.org/officeDocument/2006/docPropsVTypes"/>
</file>