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4E79"/>
          <w:sz w:val="32"/>
          <w:szCs w:val="32"/>
        </w:rPr>
        <w:t xml:space="preserve">Enabling Model Context Protocol (MCP) at the Enterprise</w:t>
      </w:r>
    </w:p>
    <w:p>
      <w:pPr>
        <w:spacing w:after="40" w:before="0"/>
      </w:pPr>
      <w:r>
        <w:rPr>
          <w:i/>
          <w:iCs/>
          <w:color w:val="595959"/>
          <w:sz w:val="22"/>
          <w:szCs w:val="22"/>
        </w:rPr>
        <w:t xml:space="preserve">Controlled Access Framework via Active Directory Group Authorization</w:t>
      </w:r>
    </w:p>
    <w:p>
      <w:pPr>
        <w:pBdr>
          <w:bottom w:val="single" w:color="1F4E79" w:sz="12" w:space="4"/>
        </w:pBdr>
        <w:spacing w:after="120" w:before="0"/>
      </w:pPr>
      <w:r>
        <w:rPr>
          <w:color w:val="595959"/>
          <w:sz w:val="18"/>
          <w:szCs w:val="18"/>
        </w:rPr>
        <w:t xml:space="preserve">Prepared for: Leadership Review   |   Domain: Security, Architecture, AI Enablement   |   Status: For Approval</w:t>
      </w:r>
    </w:p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1. Executive Summary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Model Context Protocol (MCP) has rapidly become the de-facto standard for connecting AI assistants and agents to enterprise tools, data, and APIs. Major IDEs and AI coding tools (Claude Code, Cursor, VS Code, JetBrains) and a growing list of internal use cases now depend on MCP servers.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Today, the enterprise blocks any package matching the *mcp* pattern at Nexus. This was a defensible interim control, but it now creates a hard ceiling on AI productivity and is generating a steady stream of exception requests.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Recommendation: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Replace the blanket pattern block with an Active Directory (AD) group-gated authorization model at Nexus. Two purpose-built groups — one for end users, one for CI/CD service identities — restrict MCP package access to vetted populations, preserve auditability, and unblock AI development without removing security controls. This is Phase 1 of a three-phase program; runtime and egress controls follow in Phases 2 and 3.</w:t>
      </w:r>
    </w:p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2. Current State and Problem Statement</w:t>
      </w:r>
    </w:p>
    <w:p>
      <w:pPr>
        <w:pStyle w:val="Heading2"/>
        <w:spacing w:after="60" w:before="140"/>
      </w:pPr>
      <w:r>
        <w:rPr>
          <w:b/>
          <w:bCs/>
          <w:color w:val="1F4E79"/>
          <w:sz w:val="22"/>
          <w:szCs w:val="22"/>
        </w:rPr>
        <w:t xml:space="preserve">Current Controls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Nexus is the single sanctioned source for npm, PyPI, and Maven artifacts; all packages are scanned and policy-validated before being made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Any artifact whose name matches the *mcp* pattern is blocked at the Nexus repository layer for all users and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End-user developer machines and GitLab CI/CD runners both pull exclusively from Nexus.</w:t>
      </w:r>
    </w:p>
    <w:p>
      <w:pPr>
        <w:pStyle w:val="Heading2"/>
        <w:spacing w:after="60" w:before="14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The blanket block prevents adoption of legitimate, business-approved AI tooling (e.g., MCP servers for Git, Jira, Confluence, internal APIs).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Exception volume is rising; ad-hoc exceptions are not scalable and fragment the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MCP-specific runtime monitoring, allowlisting, and egress controls do not yet exist in the enterprise — so simply unblocking is not safe either.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Tension: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blanket-block stalls AI velocity; blanket-allow exposes the enterprise to MCP-specific supply-chain, prompt-injection, and data-exfiltration risks. A scoped, identity-gated enablement is the minimum-viable path forward.</w:t>
      </w:r>
    </w:p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3. MCP-Specific Risk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(MCP-specific)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 Layer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Malicious or typosquatted MCP server packages on npm/PyPI; packages with hidden network calls or post-install scripts.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Nexus scanning + AD-group gate (Phase 1); approved MCP server allowlist (Phase 2).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Prompt / Tool Injection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MCP tool descriptions are read by the LLM as instructions; a hostile server can manipulate agent behavior or chain-call other tools.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Curated server allowlist; client-side tool-permission policies; user awareness.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Credential &amp; Token Leakage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MCP servers commonly hold OAuth tokens, API keys, and secrets; misconfigured scopes or token passthrough escalate access.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Vaulted secrets, scoped tokens, OAuth 2.1 enforcement on remote MCP.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calls can transmit source code, tickets, or customer data to external endpoints invoked by remote MCP servers.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Egress proxy / DLP inspection; outbound allowlist (Phase 3).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Local MCP Attack Surface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MCP servers run with the user's privileges and can read files, env vars, and credentials on the endpoint.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EDR coverage; least-privilege execution; approved-server registry.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Telemetry Gap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native MCP traffic logs; client-server JSON-RPC traffic is not yet ingested into SIEM.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MCP gateway / proxy with structured logging (Phase 3).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Spec &amp; Ecosystem Velocity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MCP specification and SDKs evolve frequently; controls can drift out of date.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Quarterly governance review; pinned SDK versions in Nexus.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4. Proposed Solution: AD Group-Gated Access at Nexus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Replace the *mcp* pattern block with a Nexus content-selector and role binding that authorizes MCP-named artifacts only to members of two purpose-built AD groups.</w:t>
      </w:r>
    </w:p>
    <w:p>
      <w:pPr>
        <w:pStyle w:val="Heading2"/>
        <w:spacing w:after="60" w:before="140"/>
      </w:pPr>
      <w:r>
        <w:rPr>
          <w:b/>
          <w:bCs/>
          <w:color w:val="1F4E79"/>
          <w:sz w:val="22"/>
          <w:szCs w:val="22"/>
        </w:rPr>
        <w:t xml:space="preserve">4.1 Active Directory Groups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i w:val="false"/>
          <w:iCs w:val="false"/>
          <w:sz w:val="20"/>
          <w:szCs w:val="20"/>
        </w:rPr>
        <w:t xml:space="preserve">End users (developers, AI engineers):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SG-GOZ-&lt;AssetID&gt;-AIExploration-MCP-Users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i w:val="false"/>
          <w:iCs w:val="false"/>
          <w:sz w:val="20"/>
          <w:szCs w:val="20"/>
        </w:rPr>
        <w:t xml:space="preserve">CI/CD service identities (GitLab runners, build agents):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SG-GOZ-&lt;AssetID&gt;-AIExploration-MCP-Pipeline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Membership granted via the standard access-request workflow with manager + asset-owner approval; quarterly recertification.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Service identities (e.g., GitLab runner SAs) are added to the Pipeline group only when the owning project has an approved AI use case.</w:t>
      </w:r>
    </w:p>
    <w:p>
      <w:pPr>
        <w:pStyle w:val="Heading2"/>
        <w:spacing w:after="60" w:before="140"/>
      </w:pPr>
      <w:r>
        <w:rPr>
          <w:b/>
          <w:bCs/>
          <w:color w:val="1F4E79"/>
          <w:sz w:val="22"/>
          <w:szCs w:val="22"/>
        </w:rPr>
        <w:t xml:space="preserve">4.2 Nexus Authorization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Define a Nexus content selector matching MCP artifact patterns across npm and PyPI repositories.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Bind a Nexus role with read privilege on that selector to both AD groups via the existing SAML/LDAP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Default-deny remains in place for everyone outside the two groups — replacing the blanket block, not loosening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pulls are logged at the Nexus layer with user/service ID, artifact, and timestamp; logs forwarded to SIEM.</w:t>
      </w:r>
    </w:p>
    <w:p>
      <w:pPr>
        <w:pStyle w:val="Heading2"/>
        <w:spacing w:after="60" w:before="140"/>
      </w:pPr>
      <w:r>
        <w:rPr>
          <w:b/>
          <w:bCs/>
          <w:color w:val="1F4E79"/>
          <w:sz w:val="22"/>
          <w:szCs w:val="22"/>
        </w:rPr>
        <w:t xml:space="preserve">4.3 End-to-End Access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/ Evidence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or project lead submits AI use case + access request.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ARM workflow; manager + asset owner approval recorded.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team adds approved user to MCP-Users group; pipeline SA added to MCP-Pipeline group.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 audit log; quarterly recertification.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 machine or GitLab runner requests MCP package from Nexus.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Nexus authenticates against AD; checks group-bound role.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Nexus serves package only to authorized identities; denies all others.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Nexus access log → SIEM.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 executes on endpoint or in pipeline; runtime controls apply.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EDR, egress proxy, secrets vault (Phase 2/3).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5. Defense-in-Depth and Phased Roadmap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Phase 1 — Enable (this proposal, ~2 weeks):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Create AD groups, configure Nexus content selector and role binding, retire the *mcp* blanket block, onboard initial AI exploration teams, forward Nexus logs to SIEM.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Phase 2 — Curate (30–60 days):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Stand up an internal approved-MCP-server registry; security review intake for new servers; pin SDK versions; publish a developer guardrails guide (no token passthrough, no broad filesystem servers, no untrusted remote MCP).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Phase 3 — Observe and Contain (60–90 days):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Deploy an MCP gateway/proxy for outbound remote MCP traffic with structured logging and DLP inspection; egress allowlisting for sanctioned remote servers; SIEM use cases for anomalous tool-call patterns.</w:t>
      </w:r>
    </w:p>
    <w:p>
      <w:pPr>
        <w:pStyle w:val="Heading1"/>
        <w:pBdr>
          <w:bottom w:val="single" w:color="1F4E79" w:sz="8" w:space="2"/>
        </w:pBdr>
        <w:spacing w:after="80" w:before="200"/>
      </w:pPr>
      <w:r>
        <w:rPr>
          <w:b/>
          <w:bCs/>
          <w:color w:val="1F4E79"/>
          <w:sz w:val="26"/>
          <w:szCs w:val="26"/>
        </w:rPr>
        <w:t xml:space="preserve">6. Recommendation and Decision Requested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i w:val="false"/>
          <w:iCs w:val="false"/>
          <w:sz w:val="20"/>
          <w:szCs w:val="20"/>
        </w:rPr>
        <w:t xml:space="preserve">Approve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creation of the two AD groups and the Nexus authorization change to replace the *mcp* blanket block.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i w:val="false"/>
          <w:iCs w:val="false"/>
          <w:sz w:val="20"/>
          <w:szCs w:val="20"/>
        </w:rPr>
        <w:t xml:space="preserve">Endorse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Phases 2 and 3 as funded follow-on work; Phase 1 is necessary but not sufficient on its 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i w:val="false"/>
          <w:iCs w:val="false"/>
          <w:sz w:val="20"/>
          <w:szCs w:val="20"/>
        </w:rPr>
        <w:t xml:space="preserve">Designate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an accountable owner for the MCP server registry and quarterly governance review.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sz w:val="20"/>
          <w:szCs w:val="20"/>
        </w:rPr>
        <w:t xml:space="preserve">Risk if not approved: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AI development velocity continues to degrade, exception volume grows, and shadow workarounds (personal devices, unofficial mirrors) become more likely — a worse security posture than a controlled enablement.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MCP Enablement — Confidential /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Enabling MCP at the Enterprise</dc:title>
  <dc:creator>Enterprise Security &amp; Architecture</dc:creator>
  <cp:lastModifiedBy>Un-named</cp:lastModifiedBy>
  <cp:revision>1</cp:revision>
  <dcterms:created xsi:type="dcterms:W3CDTF">2026-05-06T01:59:55.290Z</dcterms:created>
  <dcterms:modified xsi:type="dcterms:W3CDTF">2026-05-06T01:59:55.314Z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