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OpenAI API Platform Integration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74B5"/>
          <w:sz w:val="30"/>
          <w:szCs w:val="30"/>
        </w:rPr>
        <w:t xml:space="preserve">Security Domain Analysis — New Scope Only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Cybersecurity &amp; GenAI Security Architecture Review  |  March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Classification: INTERNAL — RESTRICTED</w:t>
      </w:r>
    </w:p>
    <w:p>
      <w:pPr>
        <w:pBdr>
          <w:bottom w:val="single" w:color="2E74B5" w:sz="8" w:space="6"/>
        </w:pBdr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Scope: Covers only the new OpenAI API Platform integration. Existing Bedrock inferencing, Guardrails, IRSA/IAM, AIKey/RBAC, and the current log pipeline are unchanged and excluded.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 Authentication &amp; Authorization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Two new trust relationships — Portkey to OpenAI via static API key, and PlatformTeam to OpenAI UI via SAML/PingFederate.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OpenAI API key auth — </w:t>
      </w:r>
      <w:r>
        <w:rPr>
          <w:rFonts w:ascii="Calibri" w:cs="Calibri" w:eastAsia="Calibri" w:hAnsi="Calibri"/>
          <w:sz w:val="22"/>
          <w:szCs w:val="22"/>
        </w:rPr>
        <w:t xml:space="preserve">Portkey authenticates to OpenAI using a long-lived static API key. Unlike IRSA, there is no automatic expiry — the key stays valid until manually revoked.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SAML SSO for PlatformTeam — </w:t>
      </w:r>
      <w:r>
        <w:rPr>
          <w:rFonts w:ascii="Calibri" w:cs="Calibri" w:eastAsia="Calibri" w:hAnsi="Calibri"/>
          <w:sz w:val="22"/>
          <w:szCs w:val="22"/>
        </w:rPr>
        <w:t xml:space="preserve">PingFederate acts as IdP. OpenAI validates the SAML assertion and grants UI access. OpenAI does not support SAML assertion encryption — assertions are signed but travel in plaintext 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projects, two key scopes — </w:t>
      </w:r>
      <w:r>
        <w:rPr>
          <w:rFonts w:ascii="Calibri" w:cs="Calibri" w:eastAsia="Calibri" w:hAnsi="Calibri"/>
          <w:sz w:val="22"/>
          <w:szCs w:val="22"/>
        </w:rPr>
        <w:t xml:space="preserve">Infosec project keys cover admin/audit log access only. PlatformTeam project keys cover model operations. These scopes are enforced by OpenAI's project RBAC and do not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Admin API key — </w:t>
      </w:r>
      <w:r>
        <w:rPr>
          <w:rFonts w:ascii="Calibri" w:cs="Calibri" w:eastAsia="Calibri" w:hAnsi="Calibri"/>
          <w:sz w:val="22"/>
          <w:szCs w:val="22"/>
        </w:rPr>
        <w:t xml:space="preserve">Lambda authenticates to OpenAI's Admin API using an Infosec project key with audit log read permissions. This key must be stored in AWS Secrets Manager, not in Lambda environment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MFA on the API key path — </w:t>
      </w:r>
      <w:r>
        <w:rPr>
          <w:rFonts w:ascii="Calibri" w:cs="Calibri" w:eastAsia="Calibri" w:hAnsi="Calibri"/>
          <w:sz w:val="22"/>
          <w:szCs w:val="22"/>
        </w:rPr>
        <w:t xml:space="preserve">The Portkey-to-OpenAI API key has no MFA or identity context. OpenAI IP allowlisting should be configured to restrict key usage to the enterprise egress IP range via ZScaler.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 Access Management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Covers PlatformTeam access to the OpenAI UI, project-level isolation, and key access governance.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SCIM provisioning for PlatformTeam — </w:t>
      </w:r>
      <w:r>
        <w:rPr>
          <w:rFonts w:ascii="Calibri" w:cs="Calibri" w:eastAsia="Calibri" w:hAnsi="Calibri"/>
          <w:sz w:val="22"/>
          <w:szCs w:val="22"/>
        </w:rPr>
        <w:t xml:space="preserve">SCIM should be connected to PingFederate so PlatformTeam member access to OpenAI is automatically provisioned and revoked. Manual deprovisioning is an offboarding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Infosec and PlatformTeam project isolation — </w:t>
      </w:r>
      <w:r>
        <w:rPr>
          <w:rFonts w:ascii="Calibri" w:cs="Calibri" w:eastAsia="Calibri" w:hAnsi="Calibri"/>
          <w:sz w:val="22"/>
          <w:szCs w:val="22"/>
        </w:rPr>
        <w:t xml:space="preserve">Project membership for Infosec and PlatformTeam should be mutually exclusive. No user should have access to both projects without an explicit documented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key access is implicit in possession — </w:t>
      </w:r>
      <w:r>
        <w:rPr>
          <w:rFonts w:ascii="Calibri" w:cs="Calibri" w:eastAsia="Calibri" w:hAnsi="Calibri"/>
          <w:sz w:val="22"/>
          <w:szCs w:val="22"/>
        </w:rPr>
        <w:t xml:space="preserve">The GPT-5 inference key has no identity context at OpenAI's side. Access control relies entirely on Portkey keeping the key secure — there is no secondary enterprise identity check on the OpenAI API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allowlisting at project level — </w:t>
      </w:r>
      <w:r>
        <w:rPr>
          <w:rFonts w:ascii="Calibri" w:cs="Calibri" w:eastAsia="Calibri" w:hAnsi="Calibri"/>
          <w:sz w:val="22"/>
          <w:szCs w:val="22"/>
        </w:rPr>
        <w:t xml:space="preserve">The PlatformTeam project should be restricted to approved GPT-5 model variants only. Defaulting to all available models is unnecessary and expands cost and data exposure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execution role scope — </w:t>
      </w:r>
      <w:r>
        <w:rPr>
          <w:rFonts w:ascii="Calibri" w:cs="Calibri" w:eastAsia="Calibri" w:hAnsi="Calibri"/>
          <w:sz w:val="22"/>
          <w:szCs w:val="22"/>
        </w:rPr>
        <w:t xml:space="preserve">Lambda's AWS execution role should cover only the permissions needed to write logs to CRIBL. No Bedrock, no Portkey admin, no OpenAI project modification permissions.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 Application Security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Focused on Portkey's handling of the OpenAI API key and the Lambda log extraction function.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5-minute in-memory key cache — </w:t>
      </w:r>
      <w:r>
        <w:rPr>
          <w:rFonts w:ascii="Calibri" w:cs="Calibri" w:eastAsia="Calibri" w:hAnsi="Calibri"/>
          <w:sz w:val="22"/>
          <w:szCs w:val="22"/>
        </w:rPr>
        <w:t xml:space="preserve">Portkey caches the OpenAI API key in process for 5 minutes. A compromised pod during that window can expose the key via memory inspection. Pod-level protections — seccomp, no ptrace, non-root — should be confirmed on the Portkey pod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rotation and cache lag — </w:t>
      </w:r>
      <w:r>
        <w:rPr>
          <w:rFonts w:ascii="Calibri" w:cs="Calibri" w:eastAsia="Calibri" w:hAnsi="Calibri"/>
          <w:sz w:val="22"/>
          <w:szCs w:val="22"/>
        </w:rPr>
        <w:t xml:space="preserve">When the key is rotated in Portkey's vault, the old key stays active in cache for up to 5 minutes. Revoke the old key in OpenAI only after the cache TTL has elapsed to avoid dropping in-flight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TLS inspection and ZScaler CA trust — </w:t>
      </w:r>
      <w:r>
        <w:rPr>
          <w:rFonts w:ascii="Calibri" w:cs="Calibri" w:eastAsia="Calibri" w:hAnsi="Calibri"/>
          <w:sz w:val="22"/>
          <w:szCs w:val="22"/>
        </w:rPr>
        <w:t xml:space="preserve">If ZScaler inspects TLS on the Portkey-to-OpenAI path, the ZScaler CA cert must be trusted by the Portkey container runtime. This needs to be confirmed before go-live or outbound calls will fail.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key handling — </w:t>
      </w:r>
      <w:r>
        <w:rPr>
          <w:rFonts w:ascii="Calibri" w:cs="Calibri" w:eastAsia="Calibri" w:hAnsi="Calibri"/>
          <w:sz w:val="22"/>
          <w:szCs w:val="22"/>
        </w:rPr>
        <w:t xml:space="preserve">Lambda must retrieve the OpenAI Admin API key from AWS Secrets Manager at invocation. Storing it as a plaintext environment variable is not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GPT-5 model name allowlist at Portkey — </w:t>
      </w:r>
      <w:r>
        <w:rPr>
          <w:rFonts w:ascii="Calibri" w:cs="Calibri" w:eastAsia="Calibri" w:hAnsi="Calibri"/>
          <w:sz w:val="22"/>
          <w:szCs w:val="22"/>
        </w:rPr>
        <w:t xml:space="preserve">Portkey should enforce an explicit allowlist of approved GPT-5 model identifiers on the OpenAI provider path to prevent access to unapproved models.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 Data Security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GPT-5 calls exit the AWS boundary. This is the most significant data security change in scope.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exits AWS on the GPT-5 path — </w:t>
      </w:r>
      <w:r>
        <w:rPr>
          <w:rFonts w:ascii="Calibri" w:cs="Calibri" w:eastAsia="Calibri" w:hAnsi="Calibri"/>
          <w:sz w:val="22"/>
          <w:szCs w:val="22"/>
        </w:rPr>
        <w:t xml:space="preserve">Prompts and responses travel to OpenAI's infrastructure. A DPA with OpenAI must be executed before production traffic flows — this governs OpenAI's role as data processor and confirms no model training on API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Zero data retention per project — </w:t>
      </w:r>
      <w:r>
        <w:rPr>
          <w:rFonts w:ascii="Calibri" w:cs="Calibri" w:eastAsia="Calibri" w:hAnsi="Calibri"/>
          <w:sz w:val="22"/>
          <w:szCs w:val="22"/>
        </w:rPr>
        <w:t xml:space="preserve">OpenAI supports ZDR per project, where prompts and responses are not persisted post-inference. ZDR status for both the Infosec and PlatformTeam projects should be confirmed before routing any regulated content through this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classification policy for GPT-5 routing — </w:t>
      </w:r>
      <w:r>
        <w:rPr>
          <w:rFonts w:ascii="Calibri" w:cs="Calibri" w:eastAsia="Calibri" w:hAnsi="Calibri"/>
          <w:sz w:val="22"/>
          <w:szCs w:val="22"/>
        </w:rPr>
        <w:t xml:space="preserve">A written policy defining what data classifications are permitted on the OpenAI path is needed. PII, Confidential, and regulated data should be excluded until a formal risk acceptance is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Prompt/response content in Portkey logs — </w:t>
      </w:r>
      <w:r>
        <w:rPr>
          <w:rFonts w:ascii="Calibri" w:cs="Calibri" w:eastAsia="Calibri" w:hAnsi="Calibri"/>
          <w:sz w:val="22"/>
          <w:szCs w:val="22"/>
        </w:rPr>
        <w:t xml:space="preserve">If Portkey logs full payload for GPT-5 calls, sensitive content sent to OpenAI gets replicated into Splunk. Logging scope for the OpenAI provider path should be reviewed — metadata-only vs. full content — before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residency region at project creation — </w:t>
      </w:r>
      <w:r>
        <w:rPr>
          <w:rFonts w:ascii="Calibri" w:cs="Calibri" w:eastAsia="Calibri" w:hAnsi="Calibri"/>
          <w:sz w:val="22"/>
          <w:szCs w:val="22"/>
        </w:rPr>
        <w:t xml:space="preserve">OpenAI data residency is configured per project at creation time and cannot be changed after. The correct region must be selected when the Infosec and PlatformTeam projects are created.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 Infrastructure Security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New infrastructure additions: outbound OpenAI API path via ZScaler, Portkey secrets manager for the key, and Lambda for log extraction.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ZScaler egress policy for OpenAI traffic — </w:t>
      </w:r>
      <w:r>
        <w:rPr>
          <w:rFonts w:ascii="Calibri" w:cs="Calibri" w:eastAsia="Calibri" w:hAnsi="Calibri"/>
          <w:sz w:val="22"/>
          <w:szCs w:val="22"/>
        </w:rPr>
        <w:t xml:space="preserve">ZScaler should permit only api.openai.com and platform.openai.com from the relevant source IPs. All other internet-bound traffic from Portkey pods should be blocked or restricted by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Portkey secrets manager access logging — </w:t>
      </w:r>
      <w:r>
        <w:rPr>
          <w:rFonts w:ascii="Calibri" w:cs="Calibri" w:eastAsia="Calibri" w:hAnsi="Calibri"/>
          <w:sz w:val="22"/>
          <w:szCs w:val="22"/>
        </w:rPr>
        <w:t xml:space="preserve">The secrets store holding the OpenAI API key should have access logging enabled. Any retrieval of the key — by Portkey at runtime or by any other process — should be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network path to CRIBL — </w:t>
      </w:r>
      <w:r>
        <w:rPr>
          <w:rFonts w:ascii="Calibri" w:cs="Calibri" w:eastAsia="Calibri" w:hAnsi="Calibri"/>
          <w:sz w:val="22"/>
          <w:szCs w:val="22"/>
        </w:rPr>
        <w:t xml:space="preserve">If CRIBL's inbound listener is on a private endpoint, Lambda needs VPC placement with correct routing. If Lambda runs outside a VPC, its outbound calls to the OpenAI Admin API traverse the public internet — confirm this is acceptable or route through ZScaler.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 allowlisting at OpenAI org level — </w:t>
      </w:r>
      <w:r>
        <w:rPr>
          <w:rFonts w:ascii="Calibri" w:cs="Calibri" w:eastAsia="Calibri" w:hAnsi="Calibri"/>
          <w:sz w:val="22"/>
          <w:szCs w:val="22"/>
        </w:rPr>
        <w:t xml:space="preserve">Set the enterprise egress IP range (via ZScaler) as the allowed source for OpenAI API key usage. This limits key usability to enterprise-controlled infrastructure even if the key is exfiltrated.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 CRIBL pipeline for OpenAI audit logs — </w:t>
      </w:r>
      <w:r>
        <w:rPr>
          <w:rFonts w:ascii="Calibri" w:cs="Calibri" w:eastAsia="Calibri" w:hAnsi="Calibri"/>
          <w:sz w:val="22"/>
          <w:szCs w:val="22"/>
        </w:rPr>
        <w:t xml:space="preserve">OpenAI audit log events should flow through a dedicated CRIBL pipeline, separate from the existing Bedrock/Portkey stream, to allow independent filtering and control.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 Logging &amp; Monitoring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New logging in scope: OpenAI Admin/Audit log extraction via Lambda into Splunk through CRIBL. Portkey GPT-5 call logs use the existing pipeline.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OpenAI Audit Logs cover — </w:t>
      </w:r>
      <w:r>
        <w:rPr>
          <w:rFonts w:ascii="Calibri" w:cs="Calibri" w:eastAsia="Calibri" w:hAnsi="Calibri"/>
          <w:sz w:val="22"/>
          <w:szCs w:val="22"/>
        </w:rPr>
        <w:t xml:space="preserve">Admin-level events only: API key creation/deletion, project membership changes, RBAC role assignments, SSO config changes, user invite/revoke. Inference-level logs (what was sent to GPT-5) come from Portkey, not from OpenAI's audit log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polling interval and key scope — </w:t>
      </w:r>
      <w:r>
        <w:rPr>
          <w:rFonts w:ascii="Calibri" w:cs="Calibri" w:eastAsia="Calibri" w:hAnsi="Calibri"/>
          <w:sz w:val="22"/>
          <w:szCs w:val="22"/>
        </w:rPr>
        <w:t xml:space="preserve">Lambda should poll the OpenAI Admin API every 5–15 minutes. The Admin API key used requires org-owner level permissions — it should be minimum scope that satisfies audit log read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CRIBL normalization for OpenAI audit events — </w:t>
      </w:r>
      <w:r>
        <w:rPr>
          <w:rFonts w:ascii="Calibri" w:cs="Calibri" w:eastAsia="Calibri" w:hAnsi="Calibri"/>
          <w:sz w:val="22"/>
          <w:szCs w:val="22"/>
        </w:rPr>
        <w:t xml:space="preserve">OpenAI audit events arrive as JSON. CRIBL should normalize timestamps, map event types to a consistent schema field, and strip any credential fragments before forwarding to Splunk.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Splunk alerts on high-risk org events — </w:t>
      </w:r>
      <w:r>
        <w:rPr>
          <w:rFonts w:ascii="Calibri" w:cs="Calibri" w:eastAsia="Calibri" w:hAnsi="Calibri"/>
          <w:sz w:val="22"/>
          <w:szCs w:val="22"/>
        </w:rPr>
        <w:t xml:space="preserve">Alerts should fire on: new API key creation outside expected projects, RBAC role escalation, SSO config changes, and new org member additions.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GPT-5 call logs in Portkey — </w:t>
      </w:r>
      <w:r>
        <w:rPr>
          <w:rFonts w:ascii="Calibri" w:cs="Calibri" w:eastAsia="Calibri" w:hAnsi="Calibri"/>
          <w:sz w:val="22"/>
          <w:szCs w:val="22"/>
        </w:rPr>
        <w:t xml:space="preserve">Portkey logs GPT-5 calls through the existing pipeline. Confirm that provider name and model name are captured in the log schema for OpenAI-routed requests, consistent with Bedrock-routed requests.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 Operational Security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Credential lifecycle for the new OpenAI keys and PlatformTeam user management within the OpenAI platform.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OpenAI API key rotation cadence — </w:t>
      </w:r>
      <w:r>
        <w:rPr>
          <w:rFonts w:ascii="Calibri" w:cs="Calibri" w:eastAsia="Calibri" w:hAnsi="Calibri"/>
          <w:sz w:val="22"/>
          <w:szCs w:val="22"/>
        </w:rPr>
        <w:t xml:space="preserve">Quarterly rotation at minimum, with an emergency rotation process for suspected compromise. Update the vault first, wait 5 minutes for the cache to expire, then revoke the old key in OpenAI.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PlatformTeam joiner/mover/leaver via SCIM — </w:t>
      </w:r>
      <w:r>
        <w:rPr>
          <w:rFonts w:ascii="Calibri" w:cs="Calibri" w:eastAsia="Calibri" w:hAnsi="Calibri"/>
          <w:sz w:val="22"/>
          <w:szCs w:val="22"/>
        </w:rPr>
        <w:t xml:space="preserve">SCIM removes the dependency on manual deprovisioning in the OpenAI dashboard when a PlatformTeam member offboards or changes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key inventory for both projects — </w:t>
      </w:r>
      <w:r>
        <w:rPr>
          <w:rFonts w:ascii="Calibri" w:cs="Calibri" w:eastAsia="Calibri" w:hAnsi="Calibri"/>
          <w:sz w:val="22"/>
          <w:szCs w:val="22"/>
        </w:rPr>
        <w:t xml:space="preserve">Maintain an inventory of all active keys across Infosec and PlatformTeam projects — purpose, owner, and creation date. Keys without a documented owner should be revoked.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control for OpenAI project settings — </w:t>
      </w:r>
      <w:r>
        <w:rPr>
          <w:rFonts w:ascii="Calibri" w:cs="Calibri" w:eastAsia="Calibri" w:hAnsi="Calibri"/>
          <w:sz w:val="22"/>
          <w:szCs w:val="22"/>
        </w:rPr>
        <w:t xml:space="preserve">Changes to project RBAC, model access, SSO config, or spend limits should follow a change control process — not be self-service.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Spend limits on both projects — </w:t>
      </w:r>
      <w:r>
        <w:rPr>
          <w:rFonts w:ascii="Calibri" w:cs="Calibri" w:eastAsia="Calibri" w:hAnsi="Calibri"/>
          <w:sz w:val="22"/>
          <w:szCs w:val="22"/>
        </w:rPr>
        <w:t xml:space="preserve">Monthly spend limits should be set on both projects in the OpenAI dashboard. Acts as a circuit breaker against API key abuse or runaway token consumption.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 AI / GenAI Security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GPT-5/OpenAI path currently has no enterprise guardrail coverage. This is the most significant GenAI security gap in this scope.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enterprise guardrail on the GPT-5 path — </w:t>
      </w:r>
      <w:r>
        <w:rPr>
          <w:rFonts w:ascii="Calibri" w:cs="Calibri" w:eastAsia="Calibri" w:hAnsi="Calibri"/>
          <w:sz w:val="22"/>
          <w:szCs w:val="22"/>
        </w:rPr>
        <w:t xml:space="preserve">Prompts and responses on the OpenAI path are not inspected by any enterprise-controlled policy layer. AWS ApplyGuardrail API supports third-party LLMs — it can wrap the OpenAI call with pre- and post-inference inspection using the same IAM role already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allowlisting for OpenAI provider in Portkey — </w:t>
      </w:r>
      <w:r>
        <w:rPr>
          <w:rFonts w:ascii="Calibri" w:cs="Calibri" w:eastAsia="Calibri" w:hAnsi="Calibri"/>
          <w:sz w:val="22"/>
          <w:szCs w:val="22"/>
        </w:rPr>
        <w:t xml:space="preserve">Only approved GPT-5 model identifiers should be listed in AIKey configs for the OpenAI path. Future OpenAI model releases should not be accessible until reviewed.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data classification gate on GPT-5 prompts — </w:t>
      </w:r>
      <w:r>
        <w:rPr>
          <w:rFonts w:ascii="Calibri" w:cs="Calibri" w:eastAsia="Calibri" w:hAnsi="Calibri"/>
          <w:sz w:val="22"/>
          <w:szCs w:val="22"/>
        </w:rPr>
        <w:t xml:space="preserve">Without guardrail inspection, there is no technical control preventing PII or Confidential data from being sent to OpenAI. Application-layer policy compliance is not a durable control for a production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OpenAI content policy is not a substitute for enterprise policy — </w:t>
      </w:r>
      <w:r>
        <w:rPr>
          <w:rFonts w:ascii="Calibri" w:cs="Calibri" w:eastAsia="Calibri" w:hAnsi="Calibri"/>
          <w:sz w:val="22"/>
          <w:szCs w:val="22"/>
        </w:rPr>
        <w:t xml:space="preserve">GPT-5 has OpenAI's safety layer active, but it does not enforce enterprise-specific denied topics, PII rules, or internal content policies configured for Bedrock.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 injection risk without pre-call inspection — </w:t>
      </w:r>
      <w:r>
        <w:rPr>
          <w:rFonts w:ascii="Calibri" w:cs="Calibri" w:eastAsia="Calibri" w:hAnsi="Calibri"/>
          <w:sz w:val="22"/>
          <w:szCs w:val="22"/>
        </w:rPr>
        <w:t xml:space="preserve">Without prompt inspection, jailbreak and injection attempts reach GPT-5 unfiltered. Bedrock Guardrails includes prompt attack detection — that coverage needs to extend to this path.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 Ports &amp; Protocols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All new traffic is HTTPS/TCP 443. No non-standard ports introduced.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Portkey → api.openai.com via ZScaler — </w:t>
      </w:r>
      <w:r>
        <w:rPr>
          <w:rFonts w:ascii="Calibri" w:cs="Calibri" w:eastAsia="Calibri" w:hAnsi="Calibri"/>
          <w:sz w:val="22"/>
          <w:szCs w:val="22"/>
        </w:rPr>
        <w:t xml:space="preserve">HTTPS/TLS 1.2+. GPT-5 inference calls. ZScaler sits in the egress path — TLS inspection requires ZScaler CA trust in the Portkey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PlatformTeam browser → platform.openai.com via ZIA — </w:t>
      </w:r>
      <w:r>
        <w:rPr>
          <w:rFonts w:ascii="Calibri" w:cs="Calibri" w:eastAsia="Calibri" w:hAnsi="Calibri"/>
          <w:sz w:val="22"/>
          <w:szCs w:val="22"/>
        </w:rPr>
        <w:t xml:space="preserve">HTTPS/TLS. SAML assertions posted during SSO. ZIA enforces URL filtering and DLP. Direct access bypassing ZIA should not be permitted.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→ OpenAI Admin API — </w:t>
      </w:r>
      <w:r>
        <w:rPr>
          <w:rFonts w:ascii="Calibri" w:cs="Calibri" w:eastAsia="Calibri" w:hAnsi="Calibri"/>
          <w:sz w:val="22"/>
          <w:szCs w:val="22"/>
        </w:rPr>
        <w:t xml:space="preserve">HTTPS/TLS. Audit log pull calls to api.openai.com/v1/organization/audit_logs, authenticated with the Infosec project API key. Source IP should fall within the enterprise allowlisted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→ CRIBL inbound listener — </w:t>
      </w:r>
      <w:r>
        <w:rPr>
          <w:rFonts w:ascii="Calibri" w:cs="Calibri" w:eastAsia="Calibri" w:hAnsi="Calibri"/>
          <w:sz w:val="22"/>
          <w:szCs w:val="22"/>
        </w:rPr>
        <w:t xml:space="preserve">HTTPS. Lambda forwards audit log events to CRIBL. CRIBL's inbound listener should require authentication — unauthenticated write access is not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CRIBL → Splunk Cloud HEC — </w:t>
      </w:r>
      <w:r>
        <w:rPr>
          <w:rFonts w:ascii="Calibri" w:cs="Calibri" w:eastAsia="Calibri" w:hAnsi="Calibri"/>
          <w:sz w:val="22"/>
          <w:szCs w:val="22"/>
        </w:rPr>
        <w:t xml:space="preserve">HTTPS/TCP 443. Normalized OpenAI audit events forwarded via Splunk HEC token. Should use a dedicated HEC token separate from the existing Bedrock/Portkey log stream.</w:t>
      </w:r>
    </w:p>
    <w:p>
      <w:pPr>
        <w:spacing w:after="40"/>
      </w:pPr>
      <w:r>
        <w:t xml:space="preserv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 Open &amp; Known Risks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Risks specific to the new OpenAI integration. All are grounded in the actual design.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GPT-5 path has no enterprise guardrail coverage (HIGH) — </w:t>
      </w:r>
      <w:r>
        <w:rPr>
          <w:rFonts w:ascii="Calibri" w:cs="Calibri" w:eastAsia="Calibri" w:hAnsi="Calibri"/>
          <w:sz w:val="22"/>
          <w:szCs w:val="22"/>
        </w:rPr>
        <w:t xml:space="preserve">No prompt or response inspection on the OpenAI path. AWS ApplyGuardrail supports third-party LLMs and can be extended to this path using the existing IAM role. Should be in place before production traffic is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Long-lived OpenAI API key with no automatic expiry (HIGH) — </w:t>
      </w:r>
      <w:r>
        <w:rPr>
          <w:rFonts w:ascii="Calibri" w:cs="Calibri" w:eastAsia="Calibri" w:hAnsi="Calibri"/>
          <w:sz w:val="22"/>
          <w:szCs w:val="22"/>
        </w:rPr>
        <w:t xml:space="preserve">Static key, no auto-rotation, valid indefinitely until manually revoked. IP allowlisting partially mitigates exfiltration risk but does not substitute for a rotation policy and emergency revocation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data classification enforcement on the GPT-5 path (HIGH) — </w:t>
      </w:r>
      <w:r>
        <w:rPr>
          <w:rFonts w:ascii="Calibri" w:cs="Calibri" w:eastAsia="Calibri" w:hAnsi="Calibri"/>
          <w:sz w:val="22"/>
          <w:szCs w:val="22"/>
        </w:rPr>
        <w:t xml:space="preserve">No technical control prevents PII or Confidential data from being sent to OpenAI. Combined with the guardrail gap, sensitive data can exit the AWS boundary undetected.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SAML assertions to OpenAI are unencrypted (MEDIUM) — </w:t>
      </w:r>
      <w:r>
        <w:rPr>
          <w:rFonts w:ascii="Calibri" w:cs="Calibri" w:eastAsia="Calibri" w:hAnsi="Calibri"/>
          <w:sz w:val="22"/>
          <w:szCs w:val="22"/>
        </w:rPr>
        <w:t xml:space="preserve">OpenAI does not support SAML response encryption — assertions are signed but not encrypted. This is a documented OpenAI platform limitation, not a configuration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Lambda Admin API key has no defined rotation cadence (MEDIUM) — </w:t>
      </w:r>
      <w:r>
        <w:rPr>
          <w:rFonts w:ascii="Calibri" w:cs="Calibri" w:eastAsia="Calibri" w:hAnsi="Calibri"/>
          <w:sz w:val="22"/>
          <w:szCs w:val="22"/>
        </w:rPr>
        <w:t xml:space="preserve">The Infosec project key used by Lambda for audit log extraction has no automatic expiry. Should be included in the same rotation policy as the Portkey inference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 GPT action publishing has no review gate today (MEDIUM) — </w:t>
      </w:r>
      <w:r>
        <w:rPr>
          <w:rFonts w:ascii="Calibri" w:cs="Calibri" w:eastAsia="Calibri" w:hAnsi="Calibri"/>
          <w:sz w:val="22"/>
          <w:szCs w:val="22"/>
        </w:rPr>
        <w:t xml:space="preserve">PlatformTeam members with publish rights can deploy Custom GPTs with external actions without a mandatory security review. A defined review step should be established alongside the RBAC configuration.</w:t>
      </w:r>
    </w:p>
    <w:p>
      <w:pPr>
        <w:spacing w:after="40"/>
      </w:pPr>
      <w:r>
        <w:t xml:space="preserve"/>
      </w:r>
    </w:p>
    <w:p>
      <w:pPr>
        <w:pBdr>
          <w:top w:val="single" w:color="2E74B5" w:sz="4" w:space="6"/>
        </w:pBdr>
        <w:spacing w:before="2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Scoped exclusively to the new OpenAI API Platform integration. Validated against Portkey, OpenAI API Platform, and AWS documentation as of March 2026.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INTERNAL — OpenAI Integration Security Review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2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2026-03-15T18:05:40.644Z</dcterms:created>
  <dcterms:modified xsi:type="dcterms:W3CDTF">2026-03-15T18:05:40.645Z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