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212121"/>
          <w:sz w:val="44"/>
          <w:szCs w:val="44"/>
        </w:rPr>
        <w:t xml:space="preserve">Cyber AI Platform (CAIP)</w:t>
      </w:r>
    </w:p>
    <w:p>
      <w:pPr>
        <w:spacing w:after="120" w:before="0"/>
      </w:pPr>
      <w:r>
        <w:rPr>
          <w:rFonts w:ascii="Arial" w:cs="Arial" w:eastAsia="Arial" w:hAnsi="Arial"/>
          <w:i/>
          <w:iCs/>
          <w:color w:val="1A4F8B"/>
          <w:sz w:val="22"/>
          <w:szCs w:val="22"/>
        </w:rPr>
        <w:t xml:space="preserve">Architecture Proposal: Dedicated AWS Account for Cyber Defense AI Workloads</w:t>
      </w:r>
    </w:p>
    <w:p>
      <w:pPr>
        <w:pBdr>
          <w:bottom w:val="single" w:color="BFC8D1" w:sz="6" w:space="6"/>
        </w:pBdr>
        <w:spacing w:after="40" w:before="0"/>
      </w:pPr>
      <w:r>
        <w:rPr>
          <w:rFonts w:ascii="Arial" w:cs="Arial" w:eastAsia="Arial" w:hAnsi="Arial"/>
          <w:b/>
          <w:bCs/>
          <w:color w:val="5f6368"/>
          <w:sz w:val="18"/>
          <w:szCs w:val="18"/>
        </w:rPr>
        <w:t xml:space="preserve">Owner: </w:t>
      </w:r>
      <w:r>
        <w:rPr>
          <w:rFonts w:ascii="Arial" w:cs="Arial" w:eastAsia="Arial" w:hAnsi="Arial"/>
          <w:color w:val="5f6368"/>
          <w:sz w:val="18"/>
          <w:szCs w:val="18"/>
        </w:rPr>
        <w:t xml:space="preserve">Cyber Defense Architecture</w:t>
      </w:r>
      <w:r>
        <w:rPr>
          <w:rFonts w:ascii="Arial" w:cs="Arial" w:eastAsia="Arial" w:hAnsi="Arial"/>
          <w:color w:val="5f6368"/>
          <w:sz w:val="18"/>
          <w:szCs w:val="18"/>
        </w:rPr>
        <w:t xml:space="preserve">     |     </w:t>
      </w:r>
      <w:r>
        <w:rPr>
          <w:rFonts w:ascii="Arial" w:cs="Arial" w:eastAsia="Arial" w:hAnsi="Arial"/>
          <w:b/>
          <w:bCs/>
          <w:color w:val="5f6368"/>
          <w:sz w:val="18"/>
          <w:szCs w:val="18"/>
        </w:rPr>
        <w:t xml:space="preserve">Status: </w:t>
      </w:r>
      <w:r>
        <w:rPr>
          <w:rFonts w:ascii="Arial" w:cs="Arial" w:eastAsia="Arial" w:hAnsi="Arial"/>
          <w:color w:val="5f6368"/>
          <w:sz w:val="18"/>
          <w:szCs w:val="18"/>
        </w:rPr>
        <w:t xml:space="preserve">Draft for Architecture Review</w:t>
      </w:r>
      <w:r>
        <w:rPr>
          <w:rFonts w:ascii="Arial" w:cs="Arial" w:eastAsia="Arial" w:hAnsi="Arial"/>
          <w:color w:val="5f6368"/>
          <w:sz w:val="18"/>
          <w:szCs w:val="18"/>
        </w:rPr>
        <w:t xml:space="preserve">     |     </w:t>
      </w:r>
      <w:r>
        <w:rPr>
          <w:rFonts w:ascii="Arial" w:cs="Arial" w:eastAsia="Arial" w:hAnsi="Arial"/>
          <w:b/>
          <w:bCs/>
          <w:color w:val="5f6368"/>
          <w:sz w:val="18"/>
          <w:szCs w:val="18"/>
        </w:rPr>
        <w:t xml:space="preserve">Date: </w:t>
      </w:r>
      <w:r>
        <w:rPr>
          <w:rFonts w:ascii="Arial" w:cs="Arial" w:eastAsia="Arial" w:hAnsi="Arial"/>
          <w:color w:val="5f6368"/>
          <w:sz w:val="18"/>
          <w:szCs w:val="18"/>
        </w:rPr>
        <w:t xml:space="preserve">April 2026</w:t>
      </w:r>
    </w:p>
    <w:p>
      <w:pPr>
        <w:pStyle w:val="Heading2"/>
        <w:pBdr>
          <w:bottom w:val="single" w:color="1A4F8B" w:sz="6" w:space="4"/>
        </w:pBdr>
        <w:spacing w:after="100" w:before="240"/>
      </w:pPr>
      <w:r>
        <w:rPr>
          <w:rFonts w:ascii="Arial" w:cs="Arial" w:eastAsia="Arial" w:hAnsi="Arial"/>
          <w:b/>
          <w:bCs/>
          <w:color w:val="1A4F8B"/>
          <w:sz w:val="26"/>
          <w:szCs w:val="26"/>
        </w:rPr>
        <w:t xml:space="preserve">1.  </w:t>
      </w:r>
      <w:r>
        <w:rPr>
          <w:rFonts w:ascii="Arial" w:cs="Arial" w:eastAsia="Arial" w:hAnsi="Arial"/>
          <w:b/>
          <w:bCs/>
          <w:color w:val="212121"/>
          <w:sz w:val="26"/>
          <w:szCs w:val="26"/>
        </w:rPr>
        <w:t xml:space="preserve">Overview</w:t>
      </w:r>
    </w:p>
    <w:p>
      <w:pPr>
        <w:spacing w:after="80" w:before="80" w:line="300"/>
        <w:jc w:val="left"/>
      </w:pPr>
      <w:r>
        <w:rPr>
          <w:rFonts w:ascii="Arial" w:cs="Arial" w:eastAsia="Arial" w:hAnsi="Arial"/>
          <w:b w:val="false"/>
          <w:bCs w:val="false"/>
          <w:i w:val="false"/>
          <w:iCs w:val="false"/>
          <w:color w:val="212121"/>
          <w:sz w:val="20"/>
          <w:szCs w:val="20"/>
        </w:rPr>
        <w:t xml:space="preserve">CAIP is an AWS account dedicated to Cyber Defense for running LLM analysis against vulnerability scans, pentest output, malware samples, and our internally deployed AI services. The work is defensive in purpose. It uses offensive techniques because that is what defensive testing requires.</w:t>
      </w:r>
    </w:p>
    <w:p>
      <w:pPr>
        <w:spacing w:after="80" w:before="80" w:line="300"/>
        <w:jc w:val="left"/>
      </w:pPr>
      <w:r>
        <w:rPr>
          <w:rFonts w:ascii="Arial" w:cs="Arial" w:eastAsia="Arial" w:hAnsi="Arial"/>
          <w:b w:val="false"/>
          <w:bCs w:val="false"/>
          <w:i w:val="false"/>
          <w:iCs w:val="false"/>
          <w:color w:val="212121"/>
          <w:sz w:val="20"/>
          <w:szCs w:val="20"/>
        </w:rPr>
        <w:t xml:space="preserve">AI Dome (AI Platform) stays the default route for all general-purpose LLM traffic in the company. CAIP only handles the specific Cyber Defense workloads listed in Section 6, where AI Dome’s payload limits, content filters, or shared rate budgets get in the way.</w:t>
      </w:r>
    </w:p>
    <w:p>
      <w:pPr>
        <w:pStyle w:val="Heading2"/>
        <w:pBdr>
          <w:bottom w:val="single" w:color="1A4F8B" w:sz="6" w:space="4"/>
        </w:pBdr>
        <w:spacing w:after="100" w:before="240"/>
      </w:pPr>
      <w:r>
        <w:rPr>
          <w:rFonts w:ascii="Arial" w:cs="Arial" w:eastAsia="Arial" w:hAnsi="Arial"/>
          <w:b/>
          <w:bCs/>
          <w:color w:val="1A4F8B"/>
          <w:sz w:val="26"/>
          <w:szCs w:val="26"/>
        </w:rPr>
        <w:t xml:space="preserve">2.  </w:t>
      </w:r>
      <w:r>
        <w:rPr>
          <w:rFonts w:ascii="Arial" w:cs="Arial" w:eastAsia="Arial" w:hAnsi="Arial"/>
          <w:b/>
          <w:bCs/>
          <w:color w:val="212121"/>
          <w:sz w:val="26"/>
          <w:szCs w:val="26"/>
        </w:rPr>
        <w:t xml:space="preserve">Platform Capabilities</w:t>
      </w:r>
    </w:p>
    <w:p>
      <w:pPr>
        <w:spacing w:after="80" w:before="80" w:line="300"/>
        <w:jc w:val="left"/>
      </w:pPr>
      <w:r>
        <w:rPr>
          <w:rFonts w:ascii="Arial" w:cs="Arial" w:eastAsia="Arial" w:hAnsi="Arial"/>
          <w:b w:val="false"/>
          <w:bCs w:val="false"/>
          <w:i w:val="false"/>
          <w:iCs w:val="false"/>
          <w:color w:val="212121"/>
          <w:sz w:val="20"/>
          <w:szCs w:val="20"/>
        </w:rPr>
        <w:t xml:space="preserve">The platform provides:</w:t>
      </w:r>
    </w:p>
    <w:p>
      <w:pPr>
        <w:pStyle w:val="ListParagraph"/>
        <w:numPr>
          <w:ilvl w:val="0"/>
          <w:numId w:val="2"/>
        </w:numPr>
        <w:spacing w:after="40" w:before="40" w:line="280"/>
      </w:pPr>
      <w:r>
        <w:rPr>
          <w:rFonts w:ascii="Arial" w:cs="Arial" w:eastAsia="Arial" w:hAnsi="Arial"/>
          <w:b/>
          <w:bCs/>
          <w:color w:val="212121"/>
          <w:sz w:val="20"/>
          <w:szCs w:val="20"/>
        </w:rPr>
        <w:t xml:space="preserve">Bedrock inference, </w:t>
      </w:r>
      <w:r>
        <w:rPr>
          <w:rFonts w:ascii="Arial" w:cs="Arial" w:eastAsia="Arial" w:hAnsi="Arial"/>
          <w:b w:val="false"/>
          <w:bCs w:val="false"/>
          <w:color w:val="212121"/>
          <w:sz w:val="20"/>
          <w:szCs w:val="20"/>
        </w:rPr>
        <w:t xml:space="preserve">called directly in-account over IAM. No API keys on this path, and no internet egress.</w:t>
      </w:r>
    </w:p>
    <w:p>
      <w:pPr>
        <w:pStyle w:val="ListParagraph"/>
        <w:numPr>
          <w:ilvl w:val="0"/>
          <w:numId w:val="2"/>
        </w:numPr>
        <w:spacing w:after="40" w:before="40" w:line="280"/>
      </w:pPr>
      <w:r>
        <w:rPr>
          <w:rFonts w:ascii="Arial" w:cs="Arial" w:eastAsia="Arial" w:hAnsi="Arial"/>
          <w:b/>
          <w:bCs/>
          <w:color w:val="212121"/>
          <w:sz w:val="20"/>
          <w:szCs w:val="20"/>
        </w:rPr>
        <w:t xml:space="preserve">A controlled route to non-Bedrock providers </w:t>
      </w:r>
      <w:r>
        <w:rPr>
          <w:rFonts w:ascii="Arial" w:cs="Arial" w:eastAsia="Arial" w:hAnsi="Arial"/>
          <w:b w:val="false"/>
          <w:bCs w:val="false"/>
          <w:color w:val="212121"/>
          <w:sz w:val="20"/>
          <w:szCs w:val="20"/>
        </w:rPr>
        <w:t xml:space="preserve">(OpenAI, Anthropic API direct, Gemini, others) where API keys are needed. Keys live in AWS Secrets Manager. Outbound traffic is allowlisted at AWS Network Firewall.</w:t>
      </w:r>
    </w:p>
    <w:p>
      <w:pPr>
        <w:pStyle w:val="ListParagraph"/>
        <w:numPr>
          <w:ilvl w:val="0"/>
          <w:numId w:val="2"/>
        </w:numPr>
        <w:spacing w:after="40" w:before="40" w:line="280"/>
      </w:pPr>
      <w:r>
        <w:rPr>
          <w:rFonts w:ascii="Arial" w:cs="Arial" w:eastAsia="Arial" w:hAnsi="Arial"/>
          <w:b/>
          <w:bCs/>
          <w:color w:val="212121"/>
          <w:sz w:val="20"/>
          <w:szCs w:val="20"/>
        </w:rPr>
        <w:t xml:space="preserve">A Cyber Defense-owned screening layer on both paths. </w:t>
      </w:r>
      <w:r>
        <w:rPr>
          <w:rFonts w:ascii="Arial" w:cs="Arial" w:eastAsia="Arial" w:hAnsi="Arial"/>
          <w:b w:val="false"/>
          <w:bCs w:val="false"/>
          <w:color w:val="212121"/>
          <w:sz w:val="20"/>
          <w:szCs w:val="20"/>
        </w:rPr>
        <w:t xml:space="preserve">Bedrock calls go through a Guardrails profile tuned for security operations. Non-Bedrock calls use a matching pre/post-processing library invoked by the calling tool.</w:t>
      </w:r>
    </w:p>
    <w:p>
      <w:pPr>
        <w:pStyle w:val="ListParagraph"/>
        <w:numPr>
          <w:ilvl w:val="0"/>
          <w:numId w:val="2"/>
        </w:numPr>
        <w:spacing w:after="40" w:before="40" w:line="280"/>
      </w:pPr>
      <w:r>
        <w:rPr>
          <w:rFonts w:ascii="Arial" w:cs="Arial" w:eastAsia="Arial" w:hAnsi="Arial"/>
          <w:b/>
          <w:bCs/>
          <w:color w:val="212121"/>
          <w:sz w:val="20"/>
          <w:szCs w:val="20"/>
        </w:rPr>
        <w:t xml:space="preserve">S3-based batch inference </w:t>
      </w:r>
      <w:r>
        <w:rPr>
          <w:rFonts w:ascii="Arial" w:cs="Arial" w:eastAsia="Arial" w:hAnsi="Arial"/>
          <w:b w:val="false"/>
          <w:bCs w:val="false"/>
          <w:color w:val="212121"/>
          <w:sz w:val="20"/>
          <w:szCs w:val="20"/>
        </w:rPr>
        <w:t xml:space="preserve">for scan outputs that are too large for synchronous calls on either path.</w:t>
      </w:r>
    </w:p>
    <w:p>
      <w:pPr>
        <w:pStyle w:val="ListParagraph"/>
        <w:numPr>
          <w:ilvl w:val="0"/>
          <w:numId w:val="2"/>
        </w:numPr>
        <w:spacing w:after="40" w:before="40" w:line="280"/>
      </w:pPr>
      <w:r>
        <w:rPr>
          <w:rFonts w:ascii="Arial" w:cs="Arial" w:eastAsia="Arial" w:hAnsi="Arial"/>
          <w:b/>
          <w:bCs/>
          <w:color w:val="212121"/>
          <w:sz w:val="20"/>
          <w:szCs w:val="20"/>
        </w:rPr>
        <w:t xml:space="preserve">Cross-account IAM patterns </w:t>
      </w:r>
      <w:r>
        <w:rPr>
          <w:rFonts w:ascii="Arial" w:cs="Arial" w:eastAsia="Arial" w:hAnsi="Arial"/>
          <w:b w:val="false"/>
          <w:bCs w:val="false"/>
          <w:color w:val="212121"/>
          <w:sz w:val="20"/>
          <w:szCs w:val="20"/>
        </w:rPr>
        <w:t xml:space="preserve">so the Cyber Defense tools we already run (scanners, pentest platforms, AI red-team frameworks) can reach the platform without being moved.</w:t>
      </w:r>
    </w:p>
    <w:p>
      <w:pPr>
        <w:pStyle w:val="ListParagraph"/>
        <w:numPr>
          <w:ilvl w:val="0"/>
          <w:numId w:val="2"/>
        </w:numPr>
        <w:spacing w:after="40" w:before="40" w:line="280"/>
      </w:pPr>
      <w:r>
        <w:rPr>
          <w:rFonts w:ascii="Arial" w:cs="Arial" w:eastAsia="Arial" w:hAnsi="Arial"/>
          <w:b/>
          <w:bCs/>
          <w:color w:val="212121"/>
          <w:sz w:val="20"/>
          <w:szCs w:val="20"/>
        </w:rPr>
        <w:t xml:space="preserve">Full observability: </w:t>
      </w:r>
      <w:r>
        <w:rPr>
          <w:rFonts w:ascii="Arial" w:cs="Arial" w:eastAsia="Arial" w:hAnsi="Arial"/>
          <w:b w:val="false"/>
          <w:bCs w:val="false"/>
          <w:color w:val="212121"/>
          <w:sz w:val="20"/>
          <w:szCs w:val="20"/>
        </w:rPr>
        <w:t xml:space="preserve">prompt-and-response capture, network flow logs, secrets retrieval logs, and cost attribution into the same FinOps and SIEM pipelines we use elsewhere.</w:t>
      </w:r>
    </w:p>
    <w:p>
      <w:pPr>
        <w:pStyle w:val="Heading2"/>
        <w:pBdr>
          <w:bottom w:val="single" w:color="1A4F8B" w:sz="6" w:space="4"/>
        </w:pBdr>
        <w:spacing w:after="100" w:before="240"/>
      </w:pPr>
      <w:r>
        <w:rPr>
          <w:rFonts w:ascii="Arial" w:cs="Arial" w:eastAsia="Arial" w:hAnsi="Arial"/>
          <w:b/>
          <w:bCs/>
          <w:color w:val="1A4F8B"/>
          <w:sz w:val="26"/>
          <w:szCs w:val="26"/>
        </w:rPr>
        <w:t xml:space="preserve">3.  </w:t>
      </w:r>
      <w:r>
        <w:rPr>
          <w:rFonts w:ascii="Arial" w:cs="Arial" w:eastAsia="Arial" w:hAnsi="Arial"/>
          <w:b/>
          <w:bCs/>
          <w:color w:val="212121"/>
          <w:sz w:val="26"/>
          <w:szCs w:val="26"/>
        </w:rPr>
        <w:t xml:space="preserve">Rationale</w:t>
      </w:r>
    </w:p>
    <w:p>
      <w:pPr>
        <w:spacing w:after="80" w:before="80" w:line="300"/>
        <w:jc w:val="left"/>
      </w:pPr>
      <w:r>
        <w:rPr>
          <w:rFonts w:ascii="Arial" w:cs="Arial" w:eastAsia="Arial" w:hAnsi="Arial"/>
          <w:b w:val="false"/>
          <w:bCs w:val="false"/>
          <w:i w:val="false"/>
          <w:iCs w:val="false"/>
          <w:color w:val="212121"/>
          <w:sz w:val="20"/>
          <w:szCs w:val="20"/>
        </w:rPr>
        <w:t xml:space="preserve">AI Dome is the right default for the company. It is the wrong path for the workloads in Section 4, and we cannot change that without breaking AI Dome for the rest of the organization. The reasons are concrete, not theoretical.</w:t>
      </w:r>
    </w:p>
    <w:p>
      <w:pPr>
        <w:spacing w:after="80" w:before="80" w:line="300"/>
        <w:jc w:val="left"/>
      </w:pPr>
      <w:r>
        <w:rPr>
          <w:rFonts w:ascii="Arial" w:cs="Arial" w:eastAsia="Arial" w:hAnsi="Arial"/>
          <w:b/>
          <w:bCs/>
          <w:i w:val="false"/>
          <w:iCs w:val="false"/>
          <w:color w:val="212121"/>
          <w:sz w:val="20"/>
          <w:szCs w:val="20"/>
        </w:rPr>
        <w:t xml:space="preserve">Payload. </w:t>
      </w:r>
      <w:r>
        <w:rPr>
          <w:rFonts w:ascii="Arial" w:cs="Arial" w:eastAsia="Arial" w:hAnsi="Arial"/>
          <w:b w:val="false"/>
          <w:bCs w:val="false"/>
          <w:i w:val="false"/>
          <w:iCs w:val="false"/>
          <w:color w:val="212121"/>
          <w:sz w:val="20"/>
          <w:szCs w:val="20"/>
        </w:rPr>
        <w:t xml:space="preserve">APIGEE Edge enforces a 10 MB request body by default and 30 MB at the hybrid maximum. The Portkey gateway behind AI Dome relies on buffered policies for routing, key handling, and PII screening, which means streaming around the limit isn’t a safe global option. Our scan outputs routinely cross 30 MB before the prompt envelope is added: Nessus exports of mid-sized scopes, network scans with banner data, aggregated SAST runs. Bedrock supports requests up to 32 MB at the Anthropic provider tier, and OpenAI’s standard endpoints support comparable sizes. The model can take it. AI Dome cannot, with policies engaged. Truncating a 200 MB scan export to fit a 30 MB ceiling means the model triages a sample. The findings the model never sees are findings we never act on.</w:t>
      </w:r>
    </w:p>
    <w:p>
      <w:pPr>
        <w:spacing w:after="80" w:before="80" w:line="300"/>
        <w:jc w:val="left"/>
      </w:pPr>
      <w:r>
        <w:rPr>
          <w:rFonts w:ascii="Arial" w:cs="Arial" w:eastAsia="Arial" w:hAnsi="Arial"/>
          <w:b/>
          <w:bCs/>
          <w:i w:val="false"/>
          <w:iCs w:val="false"/>
          <w:color w:val="212121"/>
          <w:sz w:val="20"/>
          <w:szCs w:val="20"/>
        </w:rPr>
        <w:t xml:space="preserve">Content-filter mismatch. </w:t>
      </w:r>
      <w:r>
        <w:rPr>
          <w:rFonts w:ascii="Arial" w:cs="Arial" w:eastAsia="Arial" w:hAnsi="Arial"/>
          <w:b w:val="false"/>
          <w:bCs w:val="false"/>
          <w:i w:val="false"/>
          <w:iCs w:val="false"/>
          <w:color w:val="212121"/>
          <w:sz w:val="20"/>
          <w:szCs w:val="20"/>
        </w:rPr>
        <w:t xml:space="preserve">AI Dome’s filters are tuned for customer-facing applications. They refuse much of what defensive testing requires: walking through a buffer overflow in disassembly, generating an adversarial prompt to harden our own AI services, breaking down a phishing email’s social-engineering tactics. None of those are abuse. They are the work. CAIP runs a separate filter profile authored for security operations, permissive on exploit detail and strict on production secrets and customer identifiers in outputs. We cannot loosen AI Dome’s filters without changing them for every other team, which is not a trade we should make.</w:t>
      </w:r>
    </w:p>
    <w:p>
      <w:pPr>
        <w:spacing w:after="80" w:before="80" w:line="300"/>
        <w:jc w:val="left"/>
      </w:pPr>
      <w:r>
        <w:rPr>
          <w:rFonts w:ascii="Arial" w:cs="Arial" w:eastAsia="Arial" w:hAnsi="Arial"/>
          <w:b/>
          <w:bCs/>
          <w:i w:val="false"/>
          <w:iCs w:val="false"/>
          <w:color w:val="212121"/>
          <w:sz w:val="20"/>
          <w:szCs w:val="20"/>
        </w:rPr>
        <w:t xml:space="preserve">Cost and rate contention. </w:t>
      </w:r>
      <w:r>
        <w:rPr>
          <w:rFonts w:ascii="Arial" w:cs="Arial" w:eastAsia="Arial" w:hAnsi="Arial"/>
          <w:b w:val="false"/>
          <w:bCs w:val="false"/>
          <w:i w:val="false"/>
          <w:iCs w:val="false"/>
          <w:color w:val="212121"/>
          <w:sz w:val="20"/>
          <w:szCs w:val="20"/>
        </w:rPr>
        <w:t xml:space="preserve">Reasoning models with extended thinking burn far more tokens per call than the previous generation. Routing high-volume security batches through AI Dome stacks gateway processing cost on top of inference cost and makes our jobs share a rate budget with the rest of the company. The worst time to discover that contention is during an incident, when the IR team is competing for tokens with the marketing chatbot and the engineering copilot. A direct in-account path removes the contention entirely.</w:t>
      </w:r>
    </w:p>
    <w:p>
      <w:pPr>
        <w:spacing w:after="80" w:before="80" w:line="300"/>
        <w:jc w:val="left"/>
      </w:pPr>
      <w:r>
        <w:rPr>
          <w:rFonts w:ascii="Arial" w:cs="Arial" w:eastAsia="Arial" w:hAnsi="Arial"/>
          <w:b/>
          <w:bCs/>
          <w:i w:val="false"/>
          <w:iCs w:val="false"/>
          <w:color w:val="212121"/>
          <w:sz w:val="20"/>
          <w:szCs w:val="20"/>
        </w:rPr>
        <w:t xml:space="preserve">Data sensitivity and blast radius. </w:t>
      </w:r>
      <w:r>
        <w:rPr>
          <w:rFonts w:ascii="Arial" w:cs="Arial" w:eastAsia="Arial" w:hAnsi="Arial"/>
          <w:b w:val="false"/>
          <w:bCs w:val="false"/>
          <w:i w:val="false"/>
          <w:iCs w:val="false"/>
          <w:color w:val="212121"/>
          <w:sz w:val="20"/>
          <w:szCs w:val="20"/>
        </w:rPr>
        <w:t xml:space="preserve">What we send names vulnerable hosts, exposed credentials, and exploit paths. Every payload through AI Dome is a payload that lands in shared logs and shared cost views, available to whoever has read on AI Dome’s operational data. A separate AWS account is the cleanest blast-radius boundary AWS gives us, and the only one that scales as the team grows.</w:t>
      </w:r>
    </w:p>
    <w:p>
      <w:pPr>
        <w:spacing w:after="80" w:before="80" w:line="300"/>
        <w:jc w:val="left"/>
      </w:pPr>
      <w:r>
        <w:rPr>
          <w:rFonts w:ascii="Arial" w:cs="Arial" w:eastAsia="Arial" w:hAnsi="Arial"/>
          <w:b/>
          <w:bCs/>
          <w:i w:val="false"/>
          <w:iCs w:val="false"/>
          <w:color w:val="212121"/>
          <w:sz w:val="20"/>
          <w:szCs w:val="20"/>
        </w:rPr>
        <w:t xml:space="preserve">Audit, retention, and attribution. </w:t>
      </w:r>
      <w:r>
        <w:rPr>
          <w:rFonts w:ascii="Arial" w:cs="Arial" w:eastAsia="Arial" w:hAnsi="Arial"/>
          <w:b w:val="false"/>
          <w:bCs w:val="false"/>
          <w:i w:val="false"/>
          <w:iCs w:val="false"/>
          <w:color w:val="212121"/>
          <w:sz w:val="20"/>
          <w:szCs w:val="20"/>
        </w:rPr>
        <w:t xml:space="preserve">Security log policy requires 7 years. AI Dome’s invocation logs follow app-tier retention, typically 18 months. Same conversation, different retention; that is an audit finding waiting to happen. Cost attribution is the same problem in reverse: when reasoning-model bills come in, blended traffic makes it impossible to tell whose query drove the spike. CAIP retains for 7 years natively and reports its spend as a discrete cost category.</w:t>
      </w:r>
    </w:p>
    <w:p>
      <w:pPr>
        <w:spacing w:after="80" w:before="80" w:line="300"/>
        <w:jc w:val="left"/>
      </w:pPr>
      <w:r>
        <w:rPr>
          <w:rFonts w:ascii="Arial" w:cs="Arial" w:eastAsia="Arial" w:hAnsi="Arial"/>
          <w:b/>
          <w:bCs/>
          <w:i w:val="false"/>
          <w:iCs w:val="false"/>
          <w:color w:val="212121"/>
          <w:sz w:val="20"/>
          <w:szCs w:val="20"/>
        </w:rPr>
        <w:t xml:space="preserve">Business case. </w:t>
      </w:r>
      <w:r>
        <w:rPr>
          <w:rFonts w:ascii="Arial" w:cs="Arial" w:eastAsia="Arial" w:hAnsi="Arial"/>
          <w:b w:val="false"/>
          <w:bCs w:val="false"/>
          <w:i w:val="false"/>
          <w:iCs w:val="false"/>
          <w:color w:val="212121"/>
          <w:sz w:val="20"/>
          <w:szCs w:val="20"/>
        </w:rPr>
        <w:t xml:space="preserve">IBM’s Cost of a Data Breach Report 2025 puts the global average breach at $4.44M and the US average at $10.22M. Organizations using AI extensively in security operations save $1.9M per breach on average and shorten the breach lifecycle by 80 days. Breaches contained in under 200 days averaged $3.61M; over 200 days, $5.49M (a $1.88M gap per incident). The same report finds that 97% of AI-related breaches involved systems without proper access controls. CAIP is how we close both gaps in our environment.</w:t>
      </w:r>
    </w:p>
    <w:p>
      <w:pPr>
        <w:spacing w:after="80" w:before="160" w:line="300"/>
        <w:jc w:val="left"/>
      </w:pPr>
      <w:r>
        <w:rPr>
          <w:rFonts w:ascii="Arial" w:cs="Arial" w:eastAsia="Arial" w:hAnsi="Arial"/>
          <w:b/>
          <w:bCs/>
          <w:i w:val="false"/>
          <w:iCs w:val="false"/>
          <w:color w:val="212121"/>
          <w:sz w:val="20"/>
          <w:szCs w:val="20"/>
        </w:rPr>
        <w:t xml:space="preserve">What we considered first. </w:t>
      </w:r>
      <w:r>
        <w:rPr>
          <w:rFonts w:ascii="Arial" w:cs="Arial" w:eastAsia="Arial" w:hAnsi="Arial"/>
          <w:b w:val="false"/>
          <w:bCs w:val="false"/>
          <w:i w:val="false"/>
          <w:iCs w:val="false"/>
          <w:color w:val="212121"/>
          <w:sz w:val="20"/>
          <w:szCs w:val="20"/>
        </w:rPr>
        <w:t xml:space="preserve">Before proposing a dedicated account, three lighter-weight options were on the table:</w:t>
      </w:r>
    </w:p>
    <w:p>
      <w:pPr>
        <w:pStyle w:val="ListParagraph"/>
        <w:numPr>
          <w:ilvl w:val="0"/>
          <w:numId w:val="2"/>
        </w:numPr>
        <w:spacing w:after="40" w:before="40" w:line="280"/>
      </w:pPr>
      <w:r>
        <w:rPr>
          <w:rFonts w:ascii="Arial" w:cs="Arial" w:eastAsia="Arial" w:hAnsi="Arial"/>
          <w:b/>
          <w:bCs/>
          <w:color w:val="212121"/>
          <w:sz w:val="20"/>
          <w:szCs w:val="20"/>
        </w:rPr>
        <w:t xml:space="preserve">Raise APIGEE’s request body limit to 100 MB. </w:t>
      </w:r>
      <w:r>
        <w:rPr>
          <w:rFonts w:ascii="Arial" w:cs="Arial" w:eastAsia="Arial" w:hAnsi="Arial"/>
          <w:b w:val="false"/>
          <w:bCs w:val="false"/>
          <w:color w:val="212121"/>
          <w:sz w:val="20"/>
          <w:szCs w:val="20"/>
        </w:rPr>
        <w:t xml:space="preserve">Doesn’t fix filters, rate budgets, retention, or attribution. Increases the ingress attack surface for every workload in the company, not only ours.</w:t>
      </w:r>
    </w:p>
    <w:p>
      <w:pPr>
        <w:pStyle w:val="ListParagraph"/>
        <w:numPr>
          <w:ilvl w:val="0"/>
          <w:numId w:val="2"/>
        </w:numPr>
        <w:spacing w:after="40" w:before="40" w:line="280"/>
      </w:pPr>
      <w:r>
        <w:rPr>
          <w:rFonts w:ascii="Arial" w:cs="Arial" w:eastAsia="Arial" w:hAnsi="Arial"/>
          <w:b/>
          <w:bCs/>
          <w:color w:val="212121"/>
          <w:sz w:val="20"/>
          <w:szCs w:val="20"/>
        </w:rPr>
        <w:t xml:space="preserve">Add a dedicated rate budget for Cyber Defense on AI Dome. </w:t>
      </w:r>
      <w:r>
        <w:rPr>
          <w:rFonts w:ascii="Arial" w:cs="Arial" w:eastAsia="Arial" w:hAnsi="Arial"/>
          <w:b w:val="false"/>
          <w:bCs w:val="false"/>
          <w:color w:val="212121"/>
          <w:sz w:val="20"/>
          <w:szCs w:val="20"/>
        </w:rPr>
        <w:t xml:space="preserve">Solves rate contention. Leaves payload, filters, retention, attribution, and egress controls untouched.</w:t>
      </w:r>
    </w:p>
    <w:p>
      <w:pPr>
        <w:pStyle w:val="ListParagraph"/>
        <w:numPr>
          <w:ilvl w:val="0"/>
          <w:numId w:val="2"/>
        </w:numPr>
        <w:spacing w:after="40" w:before="40" w:line="280"/>
      </w:pPr>
      <w:r>
        <w:rPr>
          <w:rFonts w:ascii="Arial" w:cs="Arial" w:eastAsia="Arial" w:hAnsi="Arial"/>
          <w:b/>
          <w:bCs/>
          <w:color w:val="212121"/>
          <w:sz w:val="20"/>
          <w:szCs w:val="20"/>
        </w:rPr>
        <w:t xml:space="preserve">Stand up direct provider API keys inside the existing security tooling accounts. </w:t>
      </w:r>
      <w:r>
        <w:rPr>
          <w:rFonts w:ascii="Arial" w:cs="Arial" w:eastAsia="Arial" w:hAnsi="Arial"/>
          <w:b w:val="false"/>
          <w:bCs w:val="false"/>
          <w:color w:val="212121"/>
          <w:sz w:val="20"/>
          <w:szCs w:val="20"/>
        </w:rPr>
        <w:t xml:space="preserve">Eliminates governance entirely. CAIP exists in part to prevent this from becoming the path of least resistance when individual tools get blocked by AI Dome.</w:t>
      </w:r>
    </w:p>
    <w:p>
      <w:pPr>
        <w:spacing w:after="80" w:before="80" w:line="300"/>
        <w:jc w:val="left"/>
      </w:pPr>
      <w:r>
        <w:rPr>
          <w:rFonts w:ascii="Arial" w:cs="Arial" w:eastAsia="Arial" w:hAnsi="Arial"/>
          <w:b w:val="false"/>
          <w:bCs w:val="false"/>
          <w:i w:val="false"/>
          <w:iCs w:val="false"/>
          <w:color w:val="212121"/>
          <w:sz w:val="20"/>
          <w:szCs w:val="20"/>
        </w:rPr>
        <w:t xml:space="preserve">None of the three solves the problem on its own. CAIP does, and it does so under the same governance model AI Dome runs under — the controls are replicated, not abandoned (Section 7).</w:t>
      </w:r>
    </w:p>
    <w:p>
      <w:pPr>
        <w:pStyle w:val="Heading2"/>
        <w:pBdr>
          <w:bottom w:val="single" w:color="1A4F8B" w:sz="6" w:space="4"/>
        </w:pBdr>
        <w:spacing w:after="100" w:before="240"/>
      </w:pPr>
      <w:r>
        <w:rPr>
          <w:rFonts w:ascii="Arial" w:cs="Arial" w:eastAsia="Arial" w:hAnsi="Arial"/>
          <w:b/>
          <w:bCs/>
          <w:color w:val="1A4F8B"/>
          <w:sz w:val="26"/>
          <w:szCs w:val="26"/>
        </w:rPr>
        <w:t xml:space="preserve">4.  </w:t>
      </w:r>
      <w:r>
        <w:rPr>
          <w:rFonts w:ascii="Arial" w:cs="Arial" w:eastAsia="Arial" w:hAnsi="Arial"/>
          <w:b/>
          <w:bCs/>
          <w:color w:val="212121"/>
          <w:sz w:val="26"/>
          <w:szCs w:val="26"/>
        </w:rPr>
        <w:t xml:space="preserve">Representative Use Cases</w:t>
      </w:r>
    </w:p>
    <w:p>
      <w:pPr>
        <w:spacing w:after="80" w:before="80" w:line="300"/>
        <w:jc w:val="left"/>
      </w:pPr>
      <w:r>
        <w:rPr>
          <w:rFonts w:ascii="Arial" w:cs="Arial" w:eastAsia="Arial" w:hAnsi="Arial"/>
          <w:b w:val="false"/>
          <w:bCs w:val="false"/>
          <w:i w:val="false"/>
          <w:iCs w:val="false"/>
          <w:color w:val="212121"/>
          <w:sz w:val="20"/>
          <w:szCs w:val="20"/>
        </w:rPr>
        <w:t xml:space="preserve">These are the workloads on the runway for the next two quarters. Each is the kind of work CAIP is built to support, and each is a workload AI Dome cannot serve well today.</w:t>
      </w:r>
    </w:p>
    <w:p>
      <w:pPr>
        <w:spacing w:after="80" w:before="160" w:line="300"/>
        <w:jc w:val="left"/>
      </w:pPr>
      <w:r>
        <w:rPr>
          <w:rFonts w:ascii="Arial" w:cs="Arial" w:eastAsia="Arial" w:hAnsi="Arial"/>
          <w:b/>
          <w:bCs/>
          <w:i w:val="false"/>
          <w:iCs w:val="false"/>
          <w:color w:val="212121"/>
          <w:sz w:val="20"/>
          <w:szCs w:val="20"/>
        </w:rPr>
        <w:t xml:space="preserve">4.1  Vulnerability scan triage at scale. </w:t>
      </w:r>
      <w:r>
        <w:rPr>
          <w:rFonts w:ascii="Arial" w:cs="Arial" w:eastAsia="Arial" w:hAnsi="Arial"/>
          <w:b w:val="false"/>
          <w:bCs w:val="false"/>
          <w:i w:val="false"/>
          <w:iCs w:val="false"/>
          <w:color w:val="212121"/>
          <w:sz w:val="20"/>
          <w:szCs w:val="20"/>
        </w:rPr>
        <w:t xml:space="preserve">Full Nessus, Qualys, and Rapid7 exports run 50–500 MB per scan cycle, with multiple scopes scanned weekly. The model deduplicates findings across hosts, scores them by exploitability and asset criticality, correlates to ATT&amp;CK techniques, and proposes a remediation order. Single exports cross AI Dome’s 30 MB ceiling, so routing through the gateway means the model triages a sample instead of the data — the findings the model never sees are findings we never act on. Done in CAIP, this work shortens scan-to-patch cycles and addresses the $1.88M cost gap IBM measures between breaches contained in under 200 days versus over 200 days.</w:t>
      </w:r>
    </w:p>
    <w:p>
      <w:pPr>
        <w:spacing w:after="80" w:before="80" w:line="300"/>
        <w:jc w:val="left"/>
      </w:pPr>
      <w:r>
        <w:rPr>
          <w:rFonts w:ascii="Arial" w:cs="Arial" w:eastAsia="Arial" w:hAnsi="Arial"/>
          <w:b/>
          <w:bCs/>
          <w:i w:val="false"/>
          <w:iCs w:val="false"/>
          <w:color w:val="212121"/>
          <w:sz w:val="20"/>
          <w:szCs w:val="20"/>
        </w:rPr>
        <w:t xml:space="preserve">4.2  Pentest report synthesis across engagements. </w:t>
      </w:r>
      <w:r>
        <w:rPr>
          <w:rFonts w:ascii="Arial" w:cs="Arial" w:eastAsia="Arial" w:hAnsi="Arial"/>
          <w:b w:val="false"/>
          <w:bCs w:val="false"/>
          <w:i w:val="false"/>
          <w:iCs w:val="false"/>
          <w:color w:val="212121"/>
          <w:sz w:val="20"/>
          <w:szCs w:val="20"/>
        </w:rPr>
        <w:t xml:space="preserve">Internal red-team and external vendor pentest reports often run 50–200 pages each, and we accumulate dozens per quarter. The model performs cross-engagement correlation — finding the systemic weaknesses that recur across multiple engagements, distinguishing them from one-off findings, mapping them to our control framework, and surfacing the gaps that single-report reviewers miss. Reports name internal systems and remediation status, so the data is sensitive enough that shared logs are not acceptable. Concatenated context for a quarterly review crosses 50 MB. The defensive outcome is sharper prioritization across the org instead of remediation by individual report.</w:t>
      </w:r>
    </w:p>
    <w:p>
      <w:pPr>
        <w:spacing w:after="80" w:before="80" w:line="300"/>
        <w:jc w:val="left"/>
      </w:pPr>
      <w:r>
        <w:rPr>
          <w:rFonts w:ascii="Arial" w:cs="Arial" w:eastAsia="Arial" w:hAnsi="Arial"/>
          <w:b/>
          <w:bCs/>
          <w:i w:val="false"/>
          <w:iCs w:val="false"/>
          <w:color w:val="212121"/>
          <w:sz w:val="20"/>
          <w:szCs w:val="20"/>
        </w:rPr>
        <w:t xml:space="preserve">4.3  Detection engineering and rule authoring. </w:t>
      </w:r>
      <w:r>
        <w:rPr>
          <w:rFonts w:ascii="Arial" w:cs="Arial" w:eastAsia="Arial" w:hAnsi="Arial"/>
          <w:b w:val="false"/>
          <w:bCs w:val="false"/>
          <w:i w:val="false"/>
          <w:iCs w:val="false"/>
          <w:color w:val="212121"/>
          <w:sz w:val="20"/>
          <w:szCs w:val="20"/>
        </w:rPr>
        <w:t xml:space="preserve">Inputs include MITRE ATT&amp;CK framework excerpts, telemetry samples from our SIEM, recent threat intelligence, and our existing detection coverage map. The model identifies coverage gaps, generates Sigma, SPL, or KQL rules to close them, and proposes evasion variants we can use to test the new detections against our own logs. AI Dome’s filters refuse most of this on principle — “evasion” is a flagged term whether the request is to attack us or to harden us. CAIP’s security profile permits the discussion. The defensive outcome is faster detection coverage for emerging threats, validated rather than aspirational.</w:t>
      </w:r>
    </w:p>
    <w:p>
      <w:pPr>
        <w:spacing w:after="80" w:before="80" w:line="300"/>
        <w:jc w:val="left"/>
      </w:pPr>
      <w:r>
        <w:rPr>
          <w:rFonts w:ascii="Arial" w:cs="Arial" w:eastAsia="Arial" w:hAnsi="Arial"/>
          <w:b/>
          <w:bCs/>
          <w:i w:val="false"/>
          <w:iCs w:val="false"/>
          <w:color w:val="212121"/>
          <w:sz w:val="20"/>
          <w:szCs w:val="20"/>
        </w:rPr>
        <w:t xml:space="preserve">4.4  Malware static-analysis assistance. </w:t>
      </w:r>
      <w:r>
        <w:rPr>
          <w:rFonts w:ascii="Arial" w:cs="Arial" w:eastAsia="Arial" w:hAnsi="Arial"/>
          <w:b w:val="false"/>
          <w:bCs w:val="false"/>
          <w:i w:val="false"/>
          <w:iCs w:val="false"/>
          <w:color w:val="212121"/>
          <w:sz w:val="20"/>
          <w:szCs w:val="20"/>
        </w:rPr>
        <w:t xml:space="preserve">When a sample lands in our hands — from an IR engagement, a phishing report, or a threat-intel feed — the analyst pulls disassembly from Ghidra or IDA, plus strings, IOCs, and behavioral artifacts from sandbox runs. The model explains what suspicious code does, identifies obfuscation patterns, maps to known malware families, and proposes detection signatures. Disassembly output is large and the discussion of exploit mechanics is exactly what AI Dome’s filters are tuned to refuse. CAIP shortens analyst time per sample and produces detections informed by what the malware actually does, not what the family is rumored to do.</w:t>
      </w:r>
    </w:p>
    <w:p>
      <w:pPr>
        <w:spacing w:after="80" w:before="80" w:line="300"/>
        <w:jc w:val="left"/>
      </w:pPr>
      <w:r>
        <w:rPr>
          <w:rFonts w:ascii="Arial" w:cs="Arial" w:eastAsia="Arial" w:hAnsi="Arial"/>
          <w:b/>
          <w:bCs/>
          <w:i w:val="false"/>
          <w:iCs w:val="false"/>
          <w:color w:val="212121"/>
          <w:sz w:val="20"/>
          <w:szCs w:val="20"/>
        </w:rPr>
        <w:t xml:space="preserve">4.5  AI red-teaming of internally deployed AI services. </w:t>
      </w:r>
      <w:r>
        <w:rPr>
          <w:rFonts w:ascii="Arial" w:cs="Arial" w:eastAsia="Arial" w:hAnsi="Arial"/>
          <w:b w:val="false"/>
          <w:bCs w:val="false"/>
          <w:i w:val="false"/>
          <w:iCs w:val="false"/>
          <w:color w:val="212121"/>
          <w:sz w:val="20"/>
          <w:szCs w:val="20"/>
        </w:rPr>
        <w:t xml:space="preserve">We are deploying AI in our own products. Adversaries will test it; we should test it first. Inputs include adversarial prompt corpora (jailbreaks, prompt injections, data-exfiltration attempts), the target service’s API specification, and any documented restrictions. The model generates adversarial prompts at scale, evaluates target responses for policy violations, documents successful attack chains, and suggests mitigations. This work is, by definition, the testing of jailbreaks and content-filter bypasses, which AI Dome’s filters refuse on principle. CAIP’s Guardrails profile is configured permissively on input and strictly on output, which is what the work needs. The defensive outcome is direct: hardening the AI we ship before customers find the holes — a direct mitigation for the 97% control-gap finding in IBM’s 2025 report.</w:t>
      </w:r>
    </w:p>
    <w:p>
      <w:pPr>
        <w:pStyle w:val="Heading2"/>
        <w:pBdr>
          <w:bottom w:val="single" w:color="1A4F8B" w:sz="6" w:space="4"/>
        </w:pBdr>
        <w:spacing w:after="100" w:before="240"/>
      </w:pPr>
      <w:r>
        <w:rPr>
          <w:rFonts w:ascii="Arial" w:cs="Arial" w:eastAsia="Arial" w:hAnsi="Arial"/>
          <w:b/>
          <w:bCs/>
          <w:color w:val="1A4F8B"/>
          <w:sz w:val="26"/>
          <w:szCs w:val="26"/>
        </w:rPr>
        <w:t xml:space="preserve">5.  </w:t>
      </w:r>
      <w:r>
        <w:rPr>
          <w:rFonts w:ascii="Arial" w:cs="Arial" w:eastAsia="Arial" w:hAnsi="Arial"/>
          <w:b/>
          <w:bCs/>
          <w:color w:val="212121"/>
          <w:sz w:val="26"/>
          <w:szCs w:val="26"/>
        </w:rPr>
        <w:t xml:space="preserve">Solution Architecture</w:t>
      </w:r>
    </w:p>
    <w:p>
      <w:pPr>
        <w:spacing w:after="80" w:before="80" w:line="300"/>
        <w:jc w:val="left"/>
      </w:pPr>
      <w:r>
        <w:rPr>
          <w:rFonts w:ascii="Arial" w:cs="Arial" w:eastAsia="Arial" w:hAnsi="Arial"/>
          <w:b w:val="false"/>
          <w:bCs w:val="false"/>
          <w:i w:val="false"/>
          <w:iCs w:val="false"/>
          <w:color w:val="212121"/>
          <w:sz w:val="20"/>
          <w:szCs w:val="20"/>
        </w:rPr>
        <w:t xml:space="preserve">CAIP is an AWS account in the Security OU, vended through Control Tower. SCPs deny public S3, IAM users (federated only), and uncontrolled internet gateway creation. There are two inference paths inside the account, and they share the same governance and logging plane.</w:t>
      </w:r>
    </w:p>
    <w:p>
      <w:pPr>
        <w:spacing w:after="160" w:before="120"/>
        <w:jc w:val="center"/>
      </w:pPr>
      <w:r>
        <w:drawing>
          <wp:inline distT="0" distB="0" distL="0" distR="0">
            <wp:extent cx="40957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305050"/>
                    </a:xfrm>
                    <a:prstGeom prst="rect">
                      <a:avLst/>
                    </a:prstGeom>
                  </pic:spPr>
                </pic:pic>
              </a:graphicData>
            </a:graphic>
          </wp:inline>
        </w:drawing>
      </w:r>
      <w:r>
        <w:br/>
      </w:r>
      <w:r>
        <w:rPr>
          <w:rFonts w:ascii="Arial" w:cs="Arial" w:eastAsia="Arial" w:hAnsi="Arial"/>
          <w:i/>
          <w:iCs/>
          <w:color w:val="5f6368"/>
          <w:sz w:val="17"/>
          <w:szCs w:val="17"/>
        </w:rPr>
        <w:t xml:space="preserve">Figure 1. CAIP within the enterprise inference landscape.</w:t>
      </w:r>
    </w:p>
    <w:p>
      <w:pPr>
        <w:spacing w:after="80" w:before="80" w:line="300"/>
        <w:jc w:val="left"/>
      </w:pPr>
      <w:r>
        <w:rPr>
          <w:rFonts w:ascii="Arial" w:cs="Arial" w:eastAsia="Arial" w:hAnsi="Arial"/>
          <w:b/>
          <w:bCs/>
          <w:i w:val="false"/>
          <w:iCs w:val="false"/>
          <w:color w:val="212121"/>
          <w:sz w:val="20"/>
          <w:szCs w:val="20"/>
        </w:rPr>
        <w:t xml:space="preserve">Bedrock path. </w:t>
      </w:r>
      <w:r>
        <w:rPr>
          <w:rFonts w:ascii="Arial" w:cs="Arial" w:eastAsia="Arial" w:hAnsi="Arial"/>
          <w:b w:val="false"/>
          <w:bCs w:val="false"/>
          <w:i w:val="false"/>
          <w:iCs w:val="false"/>
          <w:color w:val="212121"/>
          <w:sz w:val="20"/>
          <w:szCs w:val="20"/>
        </w:rPr>
        <w:t xml:space="preserve">The calling tool authenticates with IAM and reaches Bedrock through a VPC endpoint. No API keys, no internet. Bedrock Guardrails (security profile) run on every call.</w:t>
      </w:r>
    </w:p>
    <w:p>
      <w:pPr>
        <w:spacing w:after="80" w:before="80" w:line="300"/>
        <w:jc w:val="left"/>
      </w:pPr>
      <w:r>
        <w:rPr>
          <w:rFonts w:ascii="Arial" w:cs="Arial" w:eastAsia="Arial" w:hAnsi="Arial"/>
          <w:b/>
          <w:bCs/>
          <w:i w:val="false"/>
          <w:iCs w:val="false"/>
          <w:color w:val="212121"/>
          <w:sz w:val="20"/>
          <w:szCs w:val="20"/>
        </w:rPr>
        <w:t xml:space="preserve">External provider path. </w:t>
      </w:r>
      <w:r>
        <w:rPr>
          <w:rFonts w:ascii="Arial" w:cs="Arial" w:eastAsia="Arial" w:hAnsi="Arial"/>
          <w:b w:val="false"/>
          <w:bCs w:val="false"/>
          <w:i w:val="false"/>
          <w:iCs w:val="false"/>
          <w:color w:val="212121"/>
          <w:sz w:val="20"/>
          <w:szCs w:val="20"/>
        </w:rPr>
        <w:t xml:space="preserve">The calling tool retrieves the provider’s API key from Secrets Manager, runs the Cyber Defense screening library, and sends the request out through Network Firewall. The firewall’s FQDN allowlist limits where calls can go. We do not break TLS on this path because the data in flight is sensitive.</w:t>
      </w:r>
    </w:p>
    <w:p>
      <w:pPr>
        <w:spacing w:after="80" w:before="80" w:line="300"/>
        <w:jc w:val="left"/>
      </w:pPr>
      <w:r>
        <w:rPr>
          <w:rFonts w:ascii="Arial" w:cs="Arial" w:eastAsia="Arial" w:hAnsi="Arial"/>
          <w:b/>
          <w:bCs/>
          <w:i w:val="false"/>
          <w:iCs w:val="false"/>
          <w:color w:val="212121"/>
          <w:sz w:val="20"/>
          <w:szCs w:val="20"/>
        </w:rPr>
        <w:t xml:space="preserve">Secrets and key management. </w:t>
      </w:r>
      <w:r>
        <w:rPr>
          <w:rFonts w:ascii="Arial" w:cs="Arial" w:eastAsia="Arial" w:hAnsi="Arial"/>
          <w:b w:val="false"/>
          <w:bCs w:val="false"/>
          <w:i w:val="false"/>
          <w:iCs w:val="false"/>
          <w:color w:val="212121"/>
          <w:sz w:val="20"/>
          <w:szCs w:val="20"/>
        </w:rPr>
        <w:t xml:space="preserve">Provider API keys live in Secrets Manager, encrypted with a customer-managed KMS key. Rotation is automated where the provider supports it (manual otherwise) on a 90-day cycle. IAM grants access to specific tool roles. Every retrieval shows up in CloudTrail.</w:t>
      </w:r>
    </w:p>
    <w:p>
      <w:pPr>
        <w:spacing w:after="80" w:before="80" w:line="300"/>
        <w:jc w:val="left"/>
      </w:pPr>
      <w:r>
        <w:rPr>
          <w:rFonts w:ascii="Arial" w:cs="Arial" w:eastAsia="Arial" w:hAnsi="Arial"/>
          <w:b/>
          <w:bCs/>
          <w:i w:val="false"/>
          <w:iCs w:val="false"/>
          <w:color w:val="212121"/>
          <w:sz w:val="20"/>
          <w:szCs w:val="20"/>
        </w:rPr>
        <w:t xml:space="preserve">Data plane. </w:t>
      </w:r>
      <w:r>
        <w:rPr>
          <w:rFonts w:ascii="Arial" w:cs="Arial" w:eastAsia="Arial" w:hAnsi="Arial"/>
          <w:b w:val="false"/>
          <w:bCs w:val="false"/>
          <w:i w:val="false"/>
          <w:iCs w:val="false"/>
          <w:color w:val="212121"/>
          <w:sz w:val="20"/>
          <w:szCs w:val="20"/>
        </w:rPr>
        <w:t xml:space="preserve">Two S3 buckets, one for batch input and one for output, both encrypted with the same KMS key. Bucket policies require aws:SourceVpce to match. Retention is 7 years to line up with our security log policy.</w:t>
      </w:r>
    </w:p>
    <w:p>
      <w:pPr>
        <w:spacing w:after="80" w:before="80" w:line="300"/>
        <w:jc w:val="left"/>
      </w:pPr>
      <w:r>
        <w:rPr>
          <w:rFonts w:ascii="Arial" w:cs="Arial" w:eastAsia="Arial" w:hAnsi="Arial"/>
          <w:b/>
          <w:bCs/>
          <w:i w:val="false"/>
          <w:iCs w:val="false"/>
          <w:color w:val="212121"/>
          <w:sz w:val="20"/>
          <w:szCs w:val="20"/>
        </w:rPr>
        <w:t xml:space="preserve">Identity. </w:t>
      </w:r>
      <w:r>
        <w:rPr>
          <w:rFonts w:ascii="Arial" w:cs="Arial" w:eastAsia="Arial" w:hAnsi="Arial"/>
          <w:b w:val="false"/>
          <w:bCs w:val="false"/>
          <w:i w:val="false"/>
          <w:iCs w:val="false"/>
          <w:color w:val="212121"/>
          <w:sz w:val="20"/>
          <w:szCs w:val="20"/>
        </w:rPr>
        <w:t xml:space="preserve">Federated through the IdP. No IAM users. There are three roles: Admin (break-glass, MFA required), Engineer, and Reader. Cross-account callers from each tool assume a per-tool role rather than a single shared service principal.</w:t>
      </w:r>
    </w:p>
    <w:p>
      <w:pPr>
        <w:spacing w:after="80" w:before="80" w:line="300"/>
        <w:jc w:val="left"/>
      </w:pPr>
      <w:r>
        <w:rPr>
          <w:rFonts w:ascii="Arial" w:cs="Arial" w:eastAsia="Arial" w:hAnsi="Arial"/>
          <w:b/>
          <w:bCs/>
          <w:i w:val="false"/>
          <w:iCs w:val="false"/>
          <w:color w:val="212121"/>
          <w:sz w:val="20"/>
          <w:szCs w:val="20"/>
        </w:rPr>
        <w:t xml:space="preserve">Screening. </w:t>
      </w:r>
      <w:r>
        <w:rPr>
          <w:rFonts w:ascii="Arial" w:cs="Arial" w:eastAsia="Arial" w:hAnsi="Arial"/>
          <w:b w:val="false"/>
          <w:bCs w:val="false"/>
          <w:i w:val="false"/>
          <w:iCs w:val="false"/>
          <w:color w:val="212121"/>
          <w:sz w:val="20"/>
          <w:szCs w:val="20"/>
        </w:rPr>
        <w:t xml:space="preserve">The Bedrock Guardrails security profile is tuned to allow legitimate vulnerability and exploit discussion (otherwise the model refuses to do the work) and tightened to block production secrets and customer identifiers in outputs. The non-Bedrock screening library uses the same denylist and writes equivalent logs. Direct provider SDK use is blocked at the egress firewall.</w:t>
      </w:r>
    </w:p>
    <w:p>
      <w:pPr>
        <w:spacing w:after="80" w:before="80" w:line="300"/>
        <w:jc w:val="left"/>
      </w:pPr>
      <w:r>
        <w:rPr>
          <w:rFonts w:ascii="Arial" w:cs="Arial" w:eastAsia="Arial" w:hAnsi="Arial"/>
          <w:b/>
          <w:bCs/>
          <w:i w:val="false"/>
          <w:iCs w:val="false"/>
          <w:color w:val="212121"/>
          <w:sz w:val="20"/>
          <w:szCs w:val="20"/>
        </w:rPr>
        <w:t xml:space="preserve">Observability. </w:t>
      </w:r>
      <w:r>
        <w:rPr>
          <w:rFonts w:ascii="Arial" w:cs="Arial" w:eastAsia="Arial" w:hAnsi="Arial"/>
          <w:b w:val="false"/>
          <w:bCs w:val="false"/>
          <w:i w:val="false"/>
          <w:iCs w:val="false"/>
          <w:color w:val="212121"/>
          <w:sz w:val="20"/>
          <w:szCs w:val="20"/>
        </w:rPr>
        <w:t xml:space="preserve">CloudTrail data events on Bedrock, S3, and Secrets Manager flow to LogArchive. Bedrock invocation logging captures full prompts and responses; the screening library does the same for non-Bedrock calls. Network Firewall flow logs cover every outbound provider connection. Bedrock spend lands in a CUR cost category. Non-Bedrock spend reconciles monthly from provider billing APIs into the same FinOps view.</w:t>
      </w:r>
    </w:p>
    <w:p>
      <w:pPr>
        <w:pStyle w:val="Heading2"/>
        <w:pBdr>
          <w:bottom w:val="single" w:color="1A4F8B" w:sz="6" w:space="4"/>
        </w:pBdr>
        <w:spacing w:after="100" w:before="240"/>
      </w:pPr>
      <w:r>
        <w:rPr>
          <w:rFonts w:ascii="Arial" w:cs="Arial" w:eastAsia="Arial" w:hAnsi="Arial"/>
          <w:b/>
          <w:bCs/>
          <w:color w:val="1A4F8B"/>
          <w:sz w:val="26"/>
          <w:szCs w:val="26"/>
        </w:rPr>
        <w:t xml:space="preserve">6.  </w:t>
      </w:r>
      <w:r>
        <w:rPr>
          <w:rFonts w:ascii="Arial" w:cs="Arial" w:eastAsia="Arial" w:hAnsi="Arial"/>
          <w:b/>
          <w:bCs/>
          <w:color w:val="212121"/>
          <w:sz w:val="26"/>
          <w:szCs w:val="26"/>
        </w:rPr>
        <w:t xml:space="preserve">Scope and Eligibility</w:t>
      </w:r>
    </w:p>
    <w:p>
      <w:pPr>
        <w:spacing w:after="80" w:before="80" w:line="300"/>
        <w:jc w:val="left"/>
      </w:pPr>
      <w:r>
        <w:rPr>
          <w:rFonts w:ascii="Arial" w:cs="Arial" w:eastAsia="Arial" w:hAnsi="Arial"/>
          <w:b w:val="false"/>
          <w:bCs w:val="false"/>
          <w:i w:val="false"/>
          <w:iCs w:val="false"/>
          <w:color w:val="212121"/>
          <w:sz w:val="20"/>
          <w:szCs w:val="20"/>
        </w:rPr>
        <w:t xml:space="preserve">Anything not in the table below stays on AI Dome. A workload qualifies for CAIP only if it is defensive security work owned by Cyber Defense and meets at least one of these conditions: it exceeds AI Dome’s payload limits, it has a token profile that disrupts the shared rate budget, or it needs filter tuning AI Dome cannot provide. New use cases need a one-page intake approved by the Cyber Defense lead before they are onboarded.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FD6DD" w:sz="4"/>
              <w:left w:val="single" w:color="CFD6DD" w:sz="4"/>
              <w:bottom w:val="single" w:color="CFD6DD" w:sz="4"/>
              <w:right w:val="single" w:color="CFD6DD" w:sz="4"/>
            </w:tcBorders>
            <w:shd w:fill="1A4F8B" w:color="auto"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In Scope (CAIP)</w:t>
            </w:r>
          </w:p>
        </w:tc>
        <w:tc>
          <w:tcPr>
            <w:tcW w:type="dxa" w:w="4680"/>
            <w:tcBorders>
              <w:top w:val="single" w:color="CFD6DD" w:sz="4"/>
              <w:left w:val="single" w:color="CFD6DD" w:sz="4"/>
              <w:bottom w:val="single" w:color="CFD6DD" w:sz="4"/>
              <w:right w:val="single" w:color="CFD6DD" w:sz="4"/>
            </w:tcBorders>
            <w:shd w:fill="1A4F8B" w:color="auto"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Out of Scope (stays on AI Dome)</w:t>
            </w:r>
          </w:p>
        </w:tc>
      </w:tr>
      <w:tr>
        <w:tc>
          <w:tcPr>
            <w:tcW w:type="dxa" w:w="4680"/>
            <w:tcBorders>
              <w:top w:val="single" w:color="CFD6DD" w:sz="4"/>
              <w:left w:val="single" w:color="CFD6DD" w:sz="4"/>
              <w:bottom w:val="single" w:color="CFD6DD" w:sz="4"/>
              <w:right w:val="single" w:color="CFD6DD" w:sz="4"/>
            </w:tcBorders>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VM vulnerability scan triage and false-positive reduction</w:t>
            </w:r>
          </w:p>
        </w:tc>
        <w:tc>
          <w:tcPr>
            <w:tcW w:type="dxa" w:w="4680"/>
            <w:tcBorders>
              <w:top w:val="single" w:color="CFD6DD" w:sz="4"/>
              <w:left w:val="single" w:color="CFD6DD" w:sz="4"/>
              <w:bottom w:val="single" w:color="CFD6DD" w:sz="4"/>
              <w:right w:val="single" w:color="CFD6DD" w:sz="4"/>
            </w:tcBorders>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SOC alert triage</w:t>
            </w:r>
          </w:p>
        </w:tc>
      </w:tr>
      <w:tr>
        <w:tc>
          <w:tcPr>
            <w:tcW w:type="dxa" w:w="4680"/>
            <w:tcBorders>
              <w:top w:val="single" w:color="CFD6DD" w:sz="4"/>
              <w:left w:val="single" w:color="CFD6DD" w:sz="4"/>
              <w:bottom w:val="single" w:color="CFD6DD" w:sz="4"/>
              <w:right w:val="single" w:color="CFD6DD" w:sz="4"/>
            </w:tcBorders>
            <w:shd w:fill="F4F6F9" w:color="auto" w:val="clear"/>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Network scan and reconnaissance output analysis</w:t>
            </w:r>
          </w:p>
        </w:tc>
        <w:tc>
          <w:tcPr>
            <w:tcW w:type="dxa" w:w="4680"/>
            <w:tcBorders>
              <w:top w:val="single" w:color="CFD6DD" w:sz="4"/>
              <w:left w:val="single" w:color="CFD6DD" w:sz="4"/>
              <w:bottom w:val="single" w:color="CFD6DD" w:sz="4"/>
              <w:right w:val="single" w:color="CFD6DD" w:sz="4"/>
            </w:tcBorders>
            <w:shd w:fill="F4F6F9" w:color="auto" w:val="clear"/>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IR co-pilot</w:t>
            </w:r>
          </w:p>
        </w:tc>
      </w:tr>
      <w:tr>
        <w:tc>
          <w:tcPr>
            <w:tcW w:type="dxa" w:w="4680"/>
            <w:tcBorders>
              <w:top w:val="single" w:color="CFD6DD" w:sz="4"/>
              <w:left w:val="single" w:color="CFD6DD" w:sz="4"/>
              <w:bottom w:val="single" w:color="CFD6DD" w:sz="4"/>
              <w:right w:val="single" w:color="CFD6DD" w:sz="4"/>
            </w:tcBorders>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Pentest report synthesis and cross-engagement correlation</w:t>
            </w:r>
          </w:p>
        </w:tc>
        <w:tc>
          <w:tcPr>
            <w:tcW w:type="dxa" w:w="4680"/>
            <w:tcBorders>
              <w:top w:val="single" w:color="CFD6DD" w:sz="4"/>
              <w:left w:val="single" w:color="CFD6DD" w:sz="4"/>
              <w:bottom w:val="single" w:color="CFD6DD" w:sz="4"/>
              <w:right w:val="single" w:color="CFD6DD" w:sz="4"/>
            </w:tcBorders>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General application LLM use</w:t>
            </w:r>
          </w:p>
        </w:tc>
      </w:tr>
      <w:tr>
        <w:tc>
          <w:tcPr>
            <w:tcW w:type="dxa" w:w="4680"/>
            <w:tcBorders>
              <w:top w:val="single" w:color="CFD6DD" w:sz="4"/>
              <w:left w:val="single" w:color="CFD6DD" w:sz="4"/>
              <w:bottom w:val="single" w:color="CFD6DD" w:sz="4"/>
              <w:right w:val="single" w:color="CFD6DD" w:sz="4"/>
            </w:tcBorders>
            <w:shd w:fill="F4F6F9" w:color="auto" w:val="clear"/>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SAST and DAST findings reduction</w:t>
            </w:r>
          </w:p>
        </w:tc>
        <w:tc>
          <w:tcPr>
            <w:tcW w:type="dxa" w:w="4680"/>
            <w:tcBorders>
              <w:top w:val="single" w:color="CFD6DD" w:sz="4"/>
              <w:left w:val="single" w:color="CFD6DD" w:sz="4"/>
              <w:bottom w:val="single" w:color="CFD6DD" w:sz="4"/>
              <w:right w:val="single" w:color="CFD6DD" w:sz="4"/>
            </w:tcBorders>
            <w:shd w:fill="F4F6F9" w:color="auto" w:val="clear"/>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Customer-facing AI features</w:t>
            </w:r>
          </w:p>
        </w:tc>
      </w:tr>
      <w:tr>
        <w:tc>
          <w:tcPr>
            <w:tcW w:type="dxa" w:w="4680"/>
            <w:tcBorders>
              <w:top w:val="single" w:color="CFD6DD" w:sz="4"/>
              <w:left w:val="single" w:color="CFD6DD" w:sz="4"/>
              <w:bottom w:val="single" w:color="CFD6DD" w:sz="4"/>
              <w:right w:val="single" w:color="CFD6DD" w:sz="4"/>
            </w:tcBorders>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AI red-teaming of internally deployed AI services</w:t>
            </w:r>
          </w:p>
        </w:tc>
        <w:tc>
          <w:tcPr>
            <w:tcW w:type="dxa" w:w="4680"/>
            <w:tcBorders>
              <w:top w:val="single" w:color="CFD6DD" w:sz="4"/>
              <w:left w:val="single" w:color="CFD6DD" w:sz="4"/>
              <w:bottom w:val="single" w:color="CFD6DD" w:sz="4"/>
              <w:right w:val="single" w:color="CFD6DD" w:sz="4"/>
            </w:tcBorders>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Internal chat assistants</w:t>
            </w:r>
          </w:p>
        </w:tc>
      </w:tr>
      <w:tr>
        <w:tc>
          <w:tcPr>
            <w:tcW w:type="dxa" w:w="4680"/>
            <w:tcBorders>
              <w:top w:val="single" w:color="CFD6DD" w:sz="4"/>
              <w:left w:val="single" w:color="CFD6DD" w:sz="4"/>
              <w:bottom w:val="single" w:color="CFD6DD" w:sz="4"/>
              <w:right w:val="single" w:color="CFD6DD" w:sz="4"/>
            </w:tcBorders>
            <w:shd w:fill="F4F6F9" w:color="auto" w:val="clear"/>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Malware static-analysis assistance</w:t>
            </w:r>
          </w:p>
        </w:tc>
        <w:tc>
          <w:tcPr>
            <w:tcW w:type="dxa" w:w="4680"/>
            <w:tcBorders>
              <w:top w:val="single" w:color="CFD6DD" w:sz="4"/>
              <w:left w:val="single" w:color="CFD6DD" w:sz="4"/>
              <w:bottom w:val="single" w:color="CFD6DD" w:sz="4"/>
              <w:right w:val="single" w:color="CFD6DD" w:sz="4"/>
            </w:tcBorders>
            <w:shd w:fill="F4F6F9" w:color="auto" w:val="clear"/>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Compliance and policy summarization</w:t>
            </w:r>
          </w:p>
        </w:tc>
      </w:tr>
    </w:tbl>
    <w:p>
      <w:pPr>
        <w:pStyle w:val="Heading2"/>
        <w:pBdr>
          <w:bottom w:val="single" w:color="1A4F8B" w:sz="6" w:space="4"/>
        </w:pBdr>
        <w:spacing w:after="100" w:before="240"/>
      </w:pPr>
      <w:r>
        <w:rPr>
          <w:rFonts w:ascii="Arial" w:cs="Arial" w:eastAsia="Arial" w:hAnsi="Arial"/>
          <w:b/>
          <w:bCs/>
          <w:color w:val="1A4F8B"/>
          <w:sz w:val="26"/>
          <w:szCs w:val="26"/>
        </w:rPr>
        <w:t xml:space="preserve">7.  </w:t>
      </w:r>
      <w:r>
        <w:rPr>
          <w:rFonts w:ascii="Arial" w:cs="Arial" w:eastAsia="Arial" w:hAnsi="Arial"/>
          <w:b/>
          <w:bCs/>
          <w:color w:val="212121"/>
          <w:sz w:val="26"/>
          <w:szCs w:val="26"/>
        </w:rPr>
        <w:t xml:space="preserve">Compensating Controls</w:t>
      </w:r>
    </w:p>
    <w:p>
      <w:pPr>
        <w:spacing w:after="80" w:before="80" w:line="300"/>
        <w:jc w:val="left"/>
      </w:pPr>
      <w:r>
        <w:rPr>
          <w:rFonts w:ascii="Arial" w:cs="Arial" w:eastAsia="Arial" w:hAnsi="Arial"/>
          <w:b w:val="false"/>
          <w:bCs w:val="false"/>
          <w:i w:val="false"/>
          <w:iCs w:val="false"/>
          <w:color w:val="212121"/>
          <w:sz w:val="20"/>
          <w:szCs w:val="20"/>
        </w:rPr>
        <w:t xml:space="preserve">Stepping outside AI Dome means giving up some of what AI Dome gives the rest of the company. We replicate those controls inside CAIP rather than leave them gone. The security-tier policy is intentionally different from the app-tier policy: it allows exploit discussion, captures full prompts and responses, controls its own egress, and retains for 7 years. One shared infrastructure cannot serve both well, which is the point of having a second account in the first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rPr>
          <w:tblHeader/>
        </w:trPr>
        <w:tc>
          <w:tcPr>
            <w:tcW w:type="dxa" w:w="3960"/>
            <w:tcBorders>
              <w:top w:val="single" w:color="CFD6DD" w:sz="4"/>
              <w:left w:val="single" w:color="CFD6DD" w:sz="4"/>
              <w:bottom w:val="single" w:color="CFD6DD" w:sz="4"/>
              <w:right w:val="single" w:color="CFD6DD" w:sz="4"/>
            </w:tcBorders>
            <w:shd w:fill="1A4F8B" w:color="auto"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Capability provided by AI Dome</w:t>
            </w:r>
          </w:p>
        </w:tc>
        <w:tc>
          <w:tcPr>
            <w:tcW w:type="dxa" w:w="5400"/>
            <w:tcBorders>
              <w:top w:val="single" w:color="CFD6DD" w:sz="4"/>
              <w:left w:val="single" w:color="CFD6DD" w:sz="4"/>
              <w:bottom w:val="single" w:color="CFD6DD" w:sz="4"/>
              <w:right w:val="single" w:color="CFD6DD" w:sz="4"/>
            </w:tcBorders>
            <w:shd w:fill="1A4F8B" w:color="auto"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Compensating control in CAIP</w:t>
            </w:r>
          </w:p>
        </w:tc>
      </w:tr>
      <w:tr>
        <w:tc>
          <w:tcPr>
            <w:tcW w:type="dxa" w:w="3960"/>
            <w:tcBorders>
              <w:top w:val="single" w:color="CFD6DD" w:sz="4"/>
              <w:left w:val="single" w:color="CFD6DD" w:sz="4"/>
              <w:bottom w:val="single" w:color="CFD6DD" w:sz="4"/>
              <w:right w:val="single" w:color="CFD6DD" w:sz="4"/>
            </w:tcBorders>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Centralized cost attribution (all providers)</w:t>
            </w:r>
          </w:p>
        </w:tc>
        <w:tc>
          <w:tcPr>
            <w:tcW w:type="dxa" w:w="5400"/>
            <w:tcBorders>
              <w:top w:val="single" w:color="CFD6DD" w:sz="4"/>
              <w:left w:val="single" w:color="CFD6DD" w:sz="4"/>
              <w:bottom w:val="single" w:color="CFD6DD" w:sz="4"/>
              <w:right w:val="single" w:color="CFD6DD" w:sz="4"/>
            </w:tcBorders>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CUR for Bedrock, plus monthly reconciliation from external provider billing APIs into FinOps.</w:t>
            </w:r>
          </w:p>
        </w:tc>
      </w:tr>
      <w:tr>
        <w:tc>
          <w:tcPr>
            <w:tcW w:type="dxa" w:w="3960"/>
            <w:tcBorders>
              <w:top w:val="single" w:color="CFD6DD" w:sz="4"/>
              <w:left w:val="single" w:color="CFD6DD" w:sz="4"/>
              <w:bottom w:val="single" w:color="CFD6DD" w:sz="4"/>
              <w:right w:val="single" w:color="CFD6DD" w:sz="4"/>
            </w:tcBorders>
            <w:shd w:fill="F4F6F9" w:color="auto" w:val="clear"/>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Centralized rate limiting</w:t>
            </w:r>
          </w:p>
        </w:tc>
        <w:tc>
          <w:tcPr>
            <w:tcW w:type="dxa" w:w="5400"/>
            <w:tcBorders>
              <w:top w:val="single" w:color="CFD6DD" w:sz="4"/>
              <w:left w:val="single" w:color="CFD6DD" w:sz="4"/>
              <w:bottom w:val="single" w:color="CFD6DD" w:sz="4"/>
              <w:right w:val="single" w:color="CFD6DD" w:sz="4"/>
            </w:tcBorders>
            <w:shd w:fill="F4F6F9" w:color="auto" w:val="clear"/>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Bedrock account quotas and per-role token budgets via IAM session policies. Per-provider rate caps in the screening library.</w:t>
            </w:r>
          </w:p>
        </w:tc>
      </w:tr>
      <w:tr>
        <w:tc>
          <w:tcPr>
            <w:tcW w:type="dxa" w:w="3960"/>
            <w:tcBorders>
              <w:top w:val="single" w:color="CFD6DD" w:sz="4"/>
              <w:left w:val="single" w:color="CFD6DD" w:sz="4"/>
              <w:bottom w:val="single" w:color="CFD6DD" w:sz="4"/>
              <w:right w:val="single" w:color="CFD6DD" w:sz="4"/>
            </w:tcBorders>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PII redaction in flight</w:t>
            </w:r>
          </w:p>
        </w:tc>
        <w:tc>
          <w:tcPr>
            <w:tcW w:type="dxa" w:w="5400"/>
            <w:tcBorders>
              <w:top w:val="single" w:color="CFD6DD" w:sz="4"/>
              <w:left w:val="single" w:color="CFD6DD" w:sz="4"/>
              <w:bottom w:val="single" w:color="CFD6DD" w:sz="4"/>
              <w:right w:val="single" w:color="CFD6DD" w:sz="4"/>
            </w:tcBorders>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Bedrock Guardrails on the Bedrock path. Cyber Defense screening library on the non-Bedrock path. Same denylist on both.</w:t>
            </w:r>
          </w:p>
        </w:tc>
      </w:tr>
      <w:tr>
        <w:tc>
          <w:tcPr>
            <w:tcW w:type="dxa" w:w="3960"/>
            <w:tcBorders>
              <w:top w:val="single" w:color="CFD6DD" w:sz="4"/>
              <w:left w:val="single" w:color="CFD6DD" w:sz="4"/>
              <w:bottom w:val="single" w:color="CFD6DD" w:sz="4"/>
              <w:right w:val="single" w:color="CFD6DD" w:sz="4"/>
            </w:tcBorders>
            <w:shd w:fill="F4F6F9" w:color="auto" w:val="clear"/>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Provider key management</w:t>
            </w:r>
          </w:p>
        </w:tc>
        <w:tc>
          <w:tcPr>
            <w:tcW w:type="dxa" w:w="5400"/>
            <w:tcBorders>
              <w:top w:val="single" w:color="CFD6DD" w:sz="4"/>
              <w:left w:val="single" w:color="CFD6DD" w:sz="4"/>
              <w:bottom w:val="single" w:color="CFD6DD" w:sz="4"/>
              <w:right w:val="single" w:color="CFD6DD" w:sz="4"/>
            </w:tcBorders>
            <w:shd w:fill="F4F6F9" w:color="auto" w:val="clear"/>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AWS Secrets Manager with KMS encryption, 90-day rotation, scoped IAM access, and CloudTrail-logged retrieval.</w:t>
            </w:r>
          </w:p>
        </w:tc>
      </w:tr>
      <w:tr>
        <w:tc>
          <w:tcPr>
            <w:tcW w:type="dxa" w:w="3960"/>
            <w:tcBorders>
              <w:top w:val="single" w:color="CFD6DD" w:sz="4"/>
              <w:left w:val="single" w:color="CFD6DD" w:sz="4"/>
              <w:bottom w:val="single" w:color="CFD6DD" w:sz="4"/>
              <w:right w:val="single" w:color="CFD6DD" w:sz="4"/>
            </w:tcBorders>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Egress control to external providers</w:t>
            </w:r>
          </w:p>
        </w:tc>
        <w:tc>
          <w:tcPr>
            <w:tcW w:type="dxa" w:w="5400"/>
            <w:tcBorders>
              <w:top w:val="single" w:color="CFD6DD" w:sz="4"/>
              <w:left w:val="single" w:color="CFD6DD" w:sz="4"/>
              <w:bottom w:val="single" w:color="CFD6DD" w:sz="4"/>
              <w:right w:val="single" w:color="CFD6DD" w:sz="4"/>
            </w:tcBorders>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AWS Network Firewall with FQDN allowlist. Flow logs to LogArchive.</w:t>
            </w:r>
          </w:p>
        </w:tc>
      </w:tr>
      <w:tr>
        <w:tc>
          <w:tcPr>
            <w:tcW w:type="dxa" w:w="3960"/>
            <w:tcBorders>
              <w:top w:val="single" w:color="CFD6DD" w:sz="4"/>
              <w:left w:val="single" w:color="CFD6DD" w:sz="4"/>
              <w:bottom w:val="single" w:color="CFD6DD" w:sz="4"/>
              <w:right w:val="single" w:color="CFD6DD" w:sz="4"/>
            </w:tcBorders>
            <w:shd w:fill="F4F6F9" w:color="auto" w:val="clear"/>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Prompt-injection screening</w:t>
            </w:r>
          </w:p>
        </w:tc>
        <w:tc>
          <w:tcPr>
            <w:tcW w:type="dxa" w:w="5400"/>
            <w:tcBorders>
              <w:top w:val="single" w:color="CFD6DD" w:sz="4"/>
              <w:left w:val="single" w:color="CFD6DD" w:sz="4"/>
              <w:bottom w:val="single" w:color="CFD6DD" w:sz="4"/>
              <w:right w:val="single" w:color="CFD6DD" w:sz="4"/>
            </w:tcBorders>
            <w:shd w:fill="F4F6F9" w:color="auto" w:val="clear"/>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Pattern matching at the calling-tool ingress. Anomalies forwarded to SIEM.</w:t>
            </w:r>
          </w:p>
        </w:tc>
      </w:tr>
      <w:tr>
        <w:tc>
          <w:tcPr>
            <w:tcW w:type="dxa" w:w="3960"/>
            <w:tcBorders>
              <w:top w:val="single" w:color="CFD6DD" w:sz="4"/>
              <w:left w:val="single" w:color="CFD6DD" w:sz="4"/>
              <w:bottom w:val="single" w:color="CFD6DD" w:sz="4"/>
              <w:right w:val="single" w:color="CFD6DD" w:sz="4"/>
            </w:tcBorders>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Centralized audit trail</w:t>
            </w:r>
          </w:p>
        </w:tc>
        <w:tc>
          <w:tcPr>
            <w:tcW w:type="dxa" w:w="5400"/>
            <w:tcBorders>
              <w:top w:val="single" w:color="CFD6DD" w:sz="4"/>
              <w:left w:val="single" w:color="CFD6DD" w:sz="4"/>
              <w:bottom w:val="single" w:color="CFD6DD" w:sz="4"/>
              <w:right w:val="single" w:color="CFD6DD" w:sz="4"/>
            </w:tcBorders>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CloudTrail, Bedrock invocation logs, and screening-library logs to LogArchive at the same retention as AI Dome logs.</w:t>
            </w:r>
          </w:p>
        </w:tc>
      </w:tr>
    </w:tbl>
    <w:p>
      <w:pPr>
        <w:pStyle w:val="Heading2"/>
        <w:pBdr>
          <w:bottom w:val="single" w:color="1A4F8B" w:sz="6" w:space="4"/>
        </w:pBdr>
        <w:spacing w:after="100" w:before="240"/>
      </w:pPr>
      <w:r>
        <w:rPr>
          <w:rFonts w:ascii="Arial" w:cs="Arial" w:eastAsia="Arial" w:hAnsi="Arial"/>
          <w:b/>
          <w:bCs/>
          <w:color w:val="1A4F8B"/>
          <w:sz w:val="26"/>
          <w:szCs w:val="26"/>
        </w:rPr>
        <w:t xml:space="preserve">8.  </w:t>
      </w:r>
      <w:r>
        <w:rPr>
          <w:rFonts w:ascii="Arial" w:cs="Arial" w:eastAsia="Arial" w:hAnsi="Arial"/>
          <w:b/>
          <w:bCs/>
          <w:color w:val="212121"/>
          <w:sz w:val="26"/>
          <w:szCs w:val="26"/>
        </w:rPr>
        <w:t xml:space="preserve">Delivery Roadmap</w:t>
      </w:r>
    </w:p>
    <w:p>
      <w:pPr>
        <w:spacing w:after="80" w:before="80" w:line="300"/>
        <w:jc w:val="left"/>
      </w:pPr>
      <w:r>
        <w:rPr>
          <w:rFonts w:ascii="Arial" w:cs="Arial" w:eastAsia="Arial" w:hAnsi="Arial"/>
          <w:b/>
          <w:bCs/>
          <w:i w:val="false"/>
          <w:iCs w:val="false"/>
          <w:color w:val="212121"/>
          <w:sz w:val="20"/>
          <w:szCs w:val="20"/>
        </w:rPr>
        <w:t xml:space="preserve">Approval requested: </w:t>
      </w:r>
      <w:r>
        <w:rPr>
          <w:rFonts w:ascii="Arial" w:cs="Arial" w:eastAsia="Arial" w:hAnsi="Arial"/>
          <w:b w:val="false"/>
          <w:bCs w:val="false"/>
          <w:i w:val="false"/>
          <w:iCs w:val="false"/>
          <w:color w:val="212121"/>
          <w:sz w:val="20"/>
          <w:szCs w:val="20"/>
        </w:rPr>
        <w:t xml:space="preserve">architecture review board sign-off to begin Phase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6840"/>
        <w:gridCol w:w="1440"/>
      </w:tblGrid>
      <w:tr>
        <w:trPr>
          <w:tblHeader/>
        </w:trPr>
        <w:tc>
          <w:tcPr>
            <w:tcW w:type="dxa" w:w="1080"/>
            <w:tcBorders>
              <w:top w:val="single" w:color="CFD6DD" w:sz="4"/>
              <w:left w:val="single" w:color="CFD6DD" w:sz="4"/>
              <w:bottom w:val="single" w:color="CFD6DD" w:sz="4"/>
              <w:right w:val="single" w:color="CFD6DD" w:sz="4"/>
            </w:tcBorders>
            <w:shd w:fill="1A4F8B" w:color="auto"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Phase</w:t>
            </w:r>
          </w:p>
        </w:tc>
        <w:tc>
          <w:tcPr>
            <w:tcW w:type="dxa" w:w="6840"/>
            <w:tcBorders>
              <w:top w:val="single" w:color="CFD6DD" w:sz="4"/>
              <w:left w:val="single" w:color="CFD6DD" w:sz="4"/>
              <w:bottom w:val="single" w:color="CFD6DD" w:sz="4"/>
              <w:right w:val="single" w:color="CFD6DD" w:sz="4"/>
            </w:tcBorders>
            <w:shd w:fill="1A4F8B" w:color="auto"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Scope</w:t>
            </w:r>
          </w:p>
        </w:tc>
        <w:tc>
          <w:tcPr>
            <w:tcW w:type="dxa" w:w="1440"/>
            <w:tcBorders>
              <w:top w:val="single" w:color="CFD6DD" w:sz="4"/>
              <w:left w:val="single" w:color="CFD6DD" w:sz="4"/>
              <w:bottom w:val="single" w:color="CFD6DD" w:sz="4"/>
              <w:right w:val="single" w:color="CFD6DD" w:sz="4"/>
            </w:tcBorders>
            <w:shd w:fill="1A4F8B" w:color="auto"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Duration</w:t>
            </w:r>
          </w:p>
        </w:tc>
      </w:tr>
      <w:tr>
        <w:tc>
          <w:tcPr>
            <w:tcW w:type="dxa" w:w="1080"/>
            <w:tcBorders>
              <w:top w:val="single" w:color="CFD6DD" w:sz="4"/>
              <w:left w:val="single" w:color="CFD6DD" w:sz="4"/>
              <w:bottom w:val="single" w:color="CFD6DD" w:sz="4"/>
              <w:right w:val="single" w:color="CFD6DD" w:sz="4"/>
            </w:tcBorders>
            <w:tcMar>
              <w:top w:type="dxa" w:w="90"/>
              <w:left w:type="dxa" w:w="140"/>
              <w:bottom w:type="dxa" w:w="90"/>
              <w:right w:type="dxa" w:w="140"/>
            </w:tcMar>
          </w:tcPr>
          <w:p>
            <w:pPr>
              <w:spacing w:after="0" w:before="0" w:line="280"/>
            </w:pPr>
            <w:r>
              <w:rPr>
                <w:rFonts w:ascii="Arial" w:cs="Arial" w:eastAsia="Arial" w:hAnsi="Arial"/>
                <w:b/>
                <w:bCs/>
                <w:color w:val="212121"/>
                <w:sz w:val="19"/>
                <w:szCs w:val="19"/>
              </w:rPr>
              <w:t xml:space="preserve">0</w:t>
            </w:r>
          </w:p>
        </w:tc>
        <w:tc>
          <w:tcPr>
            <w:tcW w:type="dxa" w:w="6840"/>
            <w:tcBorders>
              <w:top w:val="single" w:color="CFD6DD" w:sz="4"/>
              <w:left w:val="single" w:color="CFD6DD" w:sz="4"/>
              <w:bottom w:val="single" w:color="CFD6DD" w:sz="4"/>
              <w:right w:val="single" w:color="CFD6DD" w:sz="4"/>
            </w:tcBorders>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Account vending. VPC, Network Firewall, IAM, KMS, Secrets Manager scaffolding.</w:t>
            </w:r>
          </w:p>
        </w:tc>
        <w:tc>
          <w:tcPr>
            <w:tcW w:type="dxa" w:w="1440"/>
            <w:tcBorders>
              <w:top w:val="single" w:color="CFD6DD" w:sz="4"/>
              <w:left w:val="single" w:color="CFD6DD" w:sz="4"/>
              <w:bottom w:val="single" w:color="CFD6DD" w:sz="4"/>
              <w:right w:val="single" w:color="CFD6DD" w:sz="4"/>
            </w:tcBorders>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2 weeks</w:t>
            </w:r>
          </w:p>
        </w:tc>
      </w:tr>
      <w:tr>
        <w:tc>
          <w:tcPr>
            <w:tcW w:type="dxa" w:w="1080"/>
            <w:tcBorders>
              <w:top w:val="single" w:color="CFD6DD" w:sz="4"/>
              <w:left w:val="single" w:color="CFD6DD" w:sz="4"/>
              <w:bottom w:val="single" w:color="CFD6DD" w:sz="4"/>
              <w:right w:val="single" w:color="CFD6DD" w:sz="4"/>
            </w:tcBorders>
            <w:shd w:fill="F4F6F9" w:color="auto" w:val="clear"/>
            <w:tcMar>
              <w:top w:type="dxa" w:w="90"/>
              <w:left w:type="dxa" w:w="140"/>
              <w:bottom w:type="dxa" w:w="90"/>
              <w:right w:type="dxa" w:w="140"/>
            </w:tcMar>
          </w:tcPr>
          <w:p>
            <w:pPr>
              <w:spacing w:after="0" w:before="0" w:line="280"/>
            </w:pPr>
            <w:r>
              <w:rPr>
                <w:rFonts w:ascii="Arial" w:cs="Arial" w:eastAsia="Arial" w:hAnsi="Arial"/>
                <w:b/>
                <w:bCs/>
                <w:color w:val="212121"/>
                <w:sz w:val="19"/>
                <w:szCs w:val="19"/>
              </w:rPr>
              <w:t xml:space="preserve">1</w:t>
            </w:r>
          </w:p>
        </w:tc>
        <w:tc>
          <w:tcPr>
            <w:tcW w:type="dxa" w:w="6840"/>
            <w:tcBorders>
              <w:top w:val="single" w:color="CFD6DD" w:sz="4"/>
              <w:left w:val="single" w:color="CFD6DD" w:sz="4"/>
              <w:bottom w:val="single" w:color="CFD6DD" w:sz="4"/>
              <w:right w:val="single" w:color="CFD6DD" w:sz="4"/>
            </w:tcBorders>
            <w:shd w:fill="F4F6F9" w:color="auto" w:val="clear"/>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Bedrock path live. First production workload: VM scan triage batch.</w:t>
            </w:r>
          </w:p>
        </w:tc>
        <w:tc>
          <w:tcPr>
            <w:tcW w:type="dxa" w:w="1440"/>
            <w:tcBorders>
              <w:top w:val="single" w:color="CFD6DD" w:sz="4"/>
              <w:left w:val="single" w:color="CFD6DD" w:sz="4"/>
              <w:bottom w:val="single" w:color="CFD6DD" w:sz="4"/>
              <w:right w:val="single" w:color="CFD6DD" w:sz="4"/>
            </w:tcBorders>
            <w:shd w:fill="F4F6F9" w:color="auto" w:val="clear"/>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4 weeks</w:t>
            </w:r>
          </w:p>
        </w:tc>
      </w:tr>
      <w:tr>
        <w:tc>
          <w:tcPr>
            <w:tcW w:type="dxa" w:w="1080"/>
            <w:tcBorders>
              <w:top w:val="single" w:color="CFD6DD" w:sz="4"/>
              <w:left w:val="single" w:color="CFD6DD" w:sz="4"/>
              <w:bottom w:val="single" w:color="CFD6DD" w:sz="4"/>
              <w:right w:val="single" w:color="CFD6DD" w:sz="4"/>
            </w:tcBorders>
            <w:tcMar>
              <w:top w:type="dxa" w:w="90"/>
              <w:left w:type="dxa" w:w="140"/>
              <w:bottom w:type="dxa" w:w="90"/>
              <w:right w:type="dxa" w:w="140"/>
            </w:tcMar>
          </w:tcPr>
          <w:p>
            <w:pPr>
              <w:spacing w:after="0" w:before="0" w:line="280"/>
            </w:pPr>
            <w:r>
              <w:rPr>
                <w:rFonts w:ascii="Arial" w:cs="Arial" w:eastAsia="Arial" w:hAnsi="Arial"/>
                <w:b/>
                <w:bCs/>
                <w:color w:val="212121"/>
                <w:sz w:val="19"/>
                <w:szCs w:val="19"/>
              </w:rPr>
              <w:t xml:space="preserve">2</w:t>
            </w:r>
          </w:p>
        </w:tc>
        <w:tc>
          <w:tcPr>
            <w:tcW w:type="dxa" w:w="6840"/>
            <w:tcBorders>
              <w:top w:val="single" w:color="CFD6DD" w:sz="4"/>
              <w:left w:val="single" w:color="CFD6DD" w:sz="4"/>
              <w:bottom w:val="single" w:color="CFD6DD" w:sz="4"/>
              <w:right w:val="single" w:color="CFD6DD" w:sz="4"/>
            </w:tcBorders>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Non-Bedrock path live (Secrets Manager, screening library, egress allowlist). Network scan and SAST/DAST workloads onboarded.</w:t>
            </w:r>
          </w:p>
        </w:tc>
        <w:tc>
          <w:tcPr>
            <w:tcW w:type="dxa" w:w="1440"/>
            <w:tcBorders>
              <w:top w:val="single" w:color="CFD6DD" w:sz="4"/>
              <w:left w:val="single" w:color="CFD6DD" w:sz="4"/>
              <w:bottom w:val="single" w:color="CFD6DD" w:sz="4"/>
              <w:right w:val="single" w:color="CFD6DD" w:sz="4"/>
            </w:tcBorders>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4 weeks</w:t>
            </w:r>
          </w:p>
        </w:tc>
      </w:tr>
      <w:tr>
        <w:tc>
          <w:tcPr>
            <w:tcW w:type="dxa" w:w="1080"/>
            <w:tcBorders>
              <w:top w:val="single" w:color="CFD6DD" w:sz="4"/>
              <w:left w:val="single" w:color="CFD6DD" w:sz="4"/>
              <w:bottom w:val="single" w:color="CFD6DD" w:sz="4"/>
              <w:right w:val="single" w:color="CFD6DD" w:sz="4"/>
            </w:tcBorders>
            <w:shd w:fill="F4F6F9" w:color="auto" w:val="clear"/>
            <w:tcMar>
              <w:top w:type="dxa" w:w="90"/>
              <w:left w:type="dxa" w:w="140"/>
              <w:bottom w:type="dxa" w:w="90"/>
              <w:right w:type="dxa" w:w="140"/>
            </w:tcMar>
          </w:tcPr>
          <w:p>
            <w:pPr>
              <w:spacing w:after="0" w:before="0" w:line="280"/>
            </w:pPr>
            <w:r>
              <w:rPr>
                <w:rFonts w:ascii="Arial" w:cs="Arial" w:eastAsia="Arial" w:hAnsi="Arial"/>
                <w:b/>
                <w:bCs/>
                <w:color w:val="212121"/>
                <w:sz w:val="19"/>
                <w:szCs w:val="19"/>
              </w:rPr>
              <w:t xml:space="preserve">3</w:t>
            </w:r>
          </w:p>
        </w:tc>
        <w:tc>
          <w:tcPr>
            <w:tcW w:type="dxa" w:w="6840"/>
            <w:tcBorders>
              <w:top w:val="single" w:color="CFD6DD" w:sz="4"/>
              <w:left w:val="single" w:color="CFD6DD" w:sz="4"/>
              <w:bottom w:val="single" w:color="CFD6DD" w:sz="4"/>
              <w:right w:val="single" w:color="CFD6DD" w:sz="4"/>
            </w:tcBorders>
            <w:shd w:fill="F4F6F9" w:color="auto" w:val="clear"/>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AI red-team workload. Privacy-reviewed Guardrails profile and screening library v1 in production.</w:t>
            </w:r>
          </w:p>
        </w:tc>
        <w:tc>
          <w:tcPr>
            <w:tcW w:type="dxa" w:w="1440"/>
            <w:tcBorders>
              <w:top w:val="single" w:color="CFD6DD" w:sz="4"/>
              <w:left w:val="single" w:color="CFD6DD" w:sz="4"/>
              <w:bottom w:val="single" w:color="CFD6DD" w:sz="4"/>
              <w:right w:val="single" w:color="CFD6DD" w:sz="4"/>
            </w:tcBorders>
            <w:shd w:fill="F4F6F9" w:color="auto" w:val="clear"/>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4 weeks</w:t>
            </w:r>
          </w:p>
        </w:tc>
      </w:tr>
    </w:tbl>
    <w:p>
      <w:pPr>
        <w:spacing w:after="80" w:before="200" w:line="300"/>
        <w:jc w:val="left"/>
      </w:pPr>
      <w:r>
        <w:rPr>
          <w:rFonts w:ascii="Arial" w:cs="Arial" w:eastAsia="Arial" w:hAnsi="Arial"/>
          <w:b/>
          <w:bCs/>
          <w:i w:val="false"/>
          <w:iCs w:val="false"/>
          <w:color w:val="212121"/>
          <w:sz w:val="20"/>
          <w:szCs w:val="20"/>
        </w:rPr>
        <w:t xml:space="preserve">Dependencies. </w:t>
      </w:r>
      <w:r>
        <w:rPr>
          <w:rFonts w:ascii="Arial" w:cs="Arial" w:eastAsia="Arial" w:hAnsi="Arial"/>
          <w:b w:val="false"/>
          <w:bCs w:val="false"/>
          <w:i w:val="false"/>
          <w:iCs w:val="false"/>
          <w:color w:val="212121"/>
          <w:sz w:val="20"/>
          <w:szCs w:val="20"/>
        </w:rPr>
        <w:t xml:space="preserve">Privacy sign-off on the Guardrails profile and the non-Bedrock screening library (drafting starts in Phase 0). FinOps sign-off on the cost attribution model, including external provider reconciliation. Cloud Platform approval on the SCPs and the egress firewall ruleset. Network Security review of the FQDN allowlist.</w:t>
      </w:r>
    </w:p>
    <w:p>
      <w:pPr>
        <w:spacing w:after="80" w:before="80" w:line="300"/>
        <w:jc w:val="left"/>
      </w:pPr>
      <w:r>
        <w:rPr>
          <w:rFonts w:ascii="Arial" w:cs="Arial" w:eastAsia="Arial" w:hAnsi="Arial"/>
          <w:b/>
          <w:bCs/>
          <w:i w:val="false"/>
          <w:iCs w:val="false"/>
          <w:color w:val="212121"/>
          <w:sz w:val="20"/>
          <w:szCs w:val="20"/>
        </w:rPr>
        <w:t xml:space="preserve">Sponsors. </w:t>
      </w:r>
      <w:r>
        <w:rPr>
          <w:rFonts w:ascii="Arial" w:cs="Arial" w:eastAsia="Arial" w:hAnsi="Arial"/>
          <w:b w:val="false"/>
          <w:bCs w:val="false"/>
          <w:i w:val="false"/>
          <w:iCs w:val="false"/>
          <w:color w:val="212121"/>
          <w:sz w:val="20"/>
          <w:szCs w:val="20"/>
        </w:rPr>
        <w:t xml:space="preserve">CISO, Cloud Platform Lead, Privacy Lead, Network Security Lead.     </w:t>
      </w:r>
      <w:r>
        <w:rPr>
          <w:rFonts w:ascii="Arial" w:cs="Arial" w:eastAsia="Arial" w:hAnsi="Arial"/>
          <w:b/>
          <w:bCs/>
          <w:i w:val="false"/>
          <w:iCs w:val="false"/>
          <w:color w:val="212121"/>
          <w:sz w:val="20"/>
          <w:szCs w:val="20"/>
        </w:rPr>
        <w:t xml:space="preserve">Owner. </w:t>
      </w:r>
      <w:r>
        <w:rPr>
          <w:rFonts w:ascii="Arial" w:cs="Arial" w:eastAsia="Arial" w:hAnsi="Arial"/>
          <w:b w:val="false"/>
          <w:bCs w:val="false"/>
          <w:i w:val="false"/>
          <w:iCs w:val="false"/>
          <w:color w:val="212121"/>
          <w:sz w:val="20"/>
          <w:szCs w:val="20"/>
        </w:rPr>
        <w:t xml:space="preserve">Cyber Defense Architecture.</w:t>
      </w:r>
    </w:p>
    <w:p>
      <w:pPr>
        <w:pStyle w:val="Heading2"/>
        <w:pBdr>
          <w:bottom w:val="single" w:color="1A4F8B" w:sz="6" w:space="4"/>
        </w:pBdr>
        <w:spacing w:after="100" w:before="240"/>
      </w:pPr>
      <w:r>
        <w:rPr>
          <w:rFonts w:ascii="Arial" w:cs="Arial" w:eastAsia="Arial" w:hAnsi="Arial"/>
          <w:b/>
          <w:bCs/>
          <w:color w:val="1A4F8B"/>
          <w:sz w:val="26"/>
          <w:szCs w:val="26"/>
        </w:rPr>
        <w:t xml:space="preserve">9.  </w:t>
      </w:r>
      <w:r>
        <w:rPr>
          <w:rFonts w:ascii="Arial" w:cs="Arial" w:eastAsia="Arial" w:hAnsi="Arial"/>
          <w:b/>
          <w:bCs/>
          <w:color w:val="212121"/>
          <w:sz w:val="26"/>
          <w:szCs w:val="26"/>
        </w:rPr>
        <w:t xml:space="preserve">References</w:t>
      </w:r>
    </w:p>
    <w:p>
      <w:pPr>
        <w:pStyle w:val="ListParagraph"/>
        <w:numPr>
          <w:ilvl w:val="0"/>
          <w:numId w:val="2"/>
        </w:numPr>
        <w:spacing w:after="40" w:before="40" w:line="280"/>
      </w:pPr>
      <w:r>
        <w:rPr>
          <w:rFonts w:ascii="Arial" w:cs="Arial" w:eastAsia="Arial" w:hAnsi="Arial"/>
          <w:b/>
          <w:bCs/>
          <w:color w:val="212121"/>
          <w:sz w:val="20"/>
          <w:szCs w:val="20"/>
        </w:rPr>
        <w:t xml:space="preserve">IBM Security. </w:t>
      </w:r>
      <w:r>
        <w:rPr>
          <w:rFonts w:ascii="Arial" w:cs="Arial" w:eastAsia="Arial" w:hAnsi="Arial"/>
          <w:b w:val="false"/>
          <w:bCs w:val="false"/>
          <w:color w:val="212121"/>
          <w:sz w:val="20"/>
          <w:szCs w:val="20"/>
        </w:rPr>
        <w:t xml:space="preserve">Cost of a Data Breach Report 2025. https://www.ibm.com/reports/data-breach</w:t>
      </w:r>
    </w:p>
    <w:p>
      <w:pPr>
        <w:pStyle w:val="ListParagraph"/>
        <w:numPr>
          <w:ilvl w:val="0"/>
          <w:numId w:val="2"/>
        </w:numPr>
        <w:spacing w:after="40" w:before="40" w:line="280"/>
      </w:pPr>
      <w:r>
        <w:rPr>
          <w:rFonts w:ascii="Arial" w:cs="Arial" w:eastAsia="Arial" w:hAnsi="Arial"/>
          <w:b/>
          <w:bCs/>
          <w:color w:val="212121"/>
          <w:sz w:val="20"/>
          <w:szCs w:val="20"/>
        </w:rPr>
        <w:t xml:space="preserve">AWS. </w:t>
      </w:r>
      <w:r>
        <w:rPr>
          <w:rFonts w:ascii="Arial" w:cs="Arial" w:eastAsia="Arial" w:hAnsi="Arial"/>
          <w:b w:val="false"/>
          <w:bCs w:val="false"/>
          <w:color w:val="212121"/>
          <w:sz w:val="20"/>
          <w:szCs w:val="20"/>
        </w:rPr>
        <w:t xml:space="preserve">Amazon Bedrock API restrictions (request size limits per model provider). https://docs.aws.amazon.com/bedrock/latest/userguide/inference-api-restrictions.html</w:t>
      </w:r>
    </w:p>
    <w:p>
      <w:pPr>
        <w:pStyle w:val="ListParagraph"/>
        <w:numPr>
          <w:ilvl w:val="0"/>
          <w:numId w:val="2"/>
        </w:numPr>
        <w:spacing w:after="40" w:before="40" w:line="280"/>
      </w:pPr>
      <w:r>
        <w:rPr>
          <w:rFonts w:ascii="Arial" w:cs="Arial" w:eastAsia="Arial" w:hAnsi="Arial"/>
          <w:b/>
          <w:bCs/>
          <w:color w:val="212121"/>
          <w:sz w:val="20"/>
          <w:szCs w:val="20"/>
        </w:rPr>
        <w:t xml:space="preserve">AWS. </w:t>
      </w:r>
      <w:r>
        <w:rPr>
          <w:rFonts w:ascii="Arial" w:cs="Arial" w:eastAsia="Arial" w:hAnsi="Arial"/>
          <w:b w:val="false"/>
          <w:bCs w:val="false"/>
          <w:color w:val="212121"/>
          <w:sz w:val="20"/>
          <w:szCs w:val="20"/>
        </w:rPr>
        <w:t xml:space="preserve">Amazon Bedrock service quotas and endpoints. https://docs.aws.amazon.com/general/latest/gr/bedrock.html</w:t>
      </w:r>
    </w:p>
    <w:p>
      <w:pPr>
        <w:pStyle w:val="ListParagraph"/>
        <w:numPr>
          <w:ilvl w:val="0"/>
          <w:numId w:val="2"/>
        </w:numPr>
        <w:spacing w:after="40" w:before="40" w:line="280"/>
      </w:pPr>
      <w:r>
        <w:rPr>
          <w:rFonts w:ascii="Arial" w:cs="Arial" w:eastAsia="Arial" w:hAnsi="Arial"/>
          <w:b/>
          <w:bCs/>
          <w:color w:val="212121"/>
          <w:sz w:val="20"/>
          <w:szCs w:val="20"/>
        </w:rPr>
        <w:t xml:space="preserve">Google Cloud. </w:t>
      </w:r>
      <w:r>
        <w:rPr>
          <w:rFonts w:ascii="Arial" w:cs="Arial" w:eastAsia="Arial" w:hAnsi="Arial"/>
          <w:b w:val="false"/>
          <w:bCs w:val="false"/>
          <w:color w:val="212121"/>
          <w:sz w:val="20"/>
          <w:szCs w:val="20"/>
        </w:rPr>
        <w:t xml:space="preserve">Apigee streaming requests and payload limits. https://cloud.google.com/apigee/docs/api-platform/develop/enabling-streaming</w:t>
      </w:r>
    </w:p>
    <w:p>
      <w:pPr>
        <w:pStyle w:val="ListParagraph"/>
        <w:numPr>
          <w:ilvl w:val="0"/>
          <w:numId w:val="2"/>
        </w:numPr>
        <w:spacing w:after="40" w:before="40" w:line="280"/>
      </w:pPr>
      <w:r>
        <w:rPr>
          <w:rFonts w:ascii="Arial" w:cs="Arial" w:eastAsia="Arial" w:hAnsi="Arial"/>
          <w:b/>
          <w:bCs/>
          <w:color w:val="212121"/>
          <w:sz w:val="20"/>
          <w:szCs w:val="20"/>
        </w:rPr>
        <w:t xml:space="preserve">AWS. </w:t>
      </w:r>
      <w:r>
        <w:rPr>
          <w:rFonts w:ascii="Arial" w:cs="Arial" w:eastAsia="Arial" w:hAnsi="Arial"/>
          <w:b w:val="false"/>
          <w:bCs w:val="false"/>
          <w:color w:val="212121"/>
          <w:sz w:val="20"/>
          <w:szCs w:val="20"/>
        </w:rPr>
        <w:t xml:space="preserve">AWS Network Firewall stateful rule groups (FQDN domain filtering). https://docs.aws.amazon.com/network-firewall/latest/developerguide/stateful-rule-groups-domain-names.html</w:t>
      </w:r>
    </w:p>
    <w:p>
      <w:pPr>
        <w:pStyle w:val="Heading2"/>
        <w:pBdr>
          <w:bottom w:val="single" w:color="1A4F8B" w:sz="6" w:space="4"/>
        </w:pBdr>
        <w:spacing w:after="100" w:before="240"/>
      </w:pPr>
      <w:r>
        <w:rPr>
          <w:rFonts w:ascii="Arial" w:cs="Arial" w:eastAsia="Arial" w:hAnsi="Arial"/>
          <w:b/>
          <w:bCs/>
          <w:color w:val="1A4F8B"/>
          <w:sz w:val="26"/>
          <w:szCs w:val="26"/>
        </w:rPr>
        <w:t xml:space="preserve">10.  </w:t>
      </w:r>
      <w:r>
        <w:rPr>
          <w:rFonts w:ascii="Arial" w:cs="Arial" w:eastAsia="Arial" w:hAnsi="Arial"/>
          <w:b/>
          <w:bCs/>
          <w:color w:val="212121"/>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620"/>
        <w:gridCol w:w="2160"/>
        <w:gridCol w:w="4500"/>
      </w:tblGrid>
      <w:tr>
        <w:trPr>
          <w:tblHeader/>
        </w:trPr>
        <w:tc>
          <w:tcPr>
            <w:tcW w:type="dxa" w:w="1080"/>
            <w:tcBorders>
              <w:top w:val="single" w:color="CFD6DD" w:sz="4"/>
              <w:left w:val="single" w:color="CFD6DD" w:sz="4"/>
              <w:bottom w:val="single" w:color="CFD6DD" w:sz="4"/>
              <w:right w:val="single" w:color="CFD6DD" w:sz="4"/>
            </w:tcBorders>
            <w:shd w:fill="1A4F8B" w:color="auto"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Version</w:t>
            </w:r>
          </w:p>
        </w:tc>
        <w:tc>
          <w:tcPr>
            <w:tcW w:type="dxa" w:w="1620"/>
            <w:tcBorders>
              <w:top w:val="single" w:color="CFD6DD" w:sz="4"/>
              <w:left w:val="single" w:color="CFD6DD" w:sz="4"/>
              <w:bottom w:val="single" w:color="CFD6DD" w:sz="4"/>
              <w:right w:val="single" w:color="CFD6DD" w:sz="4"/>
            </w:tcBorders>
            <w:shd w:fill="1A4F8B" w:color="auto"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Date</w:t>
            </w:r>
          </w:p>
        </w:tc>
        <w:tc>
          <w:tcPr>
            <w:tcW w:type="dxa" w:w="2160"/>
            <w:tcBorders>
              <w:top w:val="single" w:color="CFD6DD" w:sz="4"/>
              <w:left w:val="single" w:color="CFD6DD" w:sz="4"/>
              <w:bottom w:val="single" w:color="CFD6DD" w:sz="4"/>
              <w:right w:val="single" w:color="CFD6DD" w:sz="4"/>
            </w:tcBorders>
            <w:shd w:fill="1A4F8B" w:color="auto"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Author</w:t>
            </w:r>
          </w:p>
        </w:tc>
        <w:tc>
          <w:tcPr>
            <w:tcW w:type="dxa" w:w="4500"/>
            <w:tcBorders>
              <w:top w:val="single" w:color="CFD6DD" w:sz="4"/>
              <w:left w:val="single" w:color="CFD6DD" w:sz="4"/>
              <w:bottom w:val="single" w:color="CFD6DD" w:sz="4"/>
              <w:right w:val="single" w:color="CFD6DD" w:sz="4"/>
            </w:tcBorders>
            <w:shd w:fill="1A4F8B" w:color="auto"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Notes</w:t>
            </w:r>
          </w:p>
        </w:tc>
      </w:tr>
      <w:tr>
        <w:tc>
          <w:tcPr>
            <w:tcW w:type="dxa" w:w="1080"/>
            <w:tcBorders>
              <w:top w:val="single" w:color="CFD6DD" w:sz="4"/>
              <w:left w:val="single" w:color="CFD6DD" w:sz="4"/>
              <w:bottom w:val="single" w:color="CFD6DD" w:sz="4"/>
              <w:right w:val="single" w:color="CFD6DD" w:sz="4"/>
            </w:tcBorders>
            <w:tcMar>
              <w:top w:type="dxa" w:w="90"/>
              <w:left w:type="dxa" w:w="140"/>
              <w:bottom w:type="dxa" w:w="90"/>
              <w:right w:type="dxa" w:w="140"/>
            </w:tcMar>
          </w:tcPr>
          <w:p>
            <w:pPr>
              <w:spacing w:after="0" w:before="0" w:line="280"/>
            </w:pPr>
            <w:r>
              <w:rPr>
                <w:rFonts w:ascii="Arial" w:cs="Arial" w:eastAsia="Arial" w:hAnsi="Arial"/>
                <w:b/>
                <w:bCs/>
                <w:color w:val="212121"/>
                <w:sz w:val="19"/>
                <w:szCs w:val="19"/>
              </w:rPr>
              <w:t xml:space="preserve">0.1</w:t>
            </w:r>
          </w:p>
        </w:tc>
        <w:tc>
          <w:tcPr>
            <w:tcW w:type="dxa" w:w="1620"/>
            <w:tcBorders>
              <w:top w:val="single" w:color="CFD6DD" w:sz="4"/>
              <w:left w:val="single" w:color="CFD6DD" w:sz="4"/>
              <w:bottom w:val="single" w:color="CFD6DD" w:sz="4"/>
              <w:right w:val="single" w:color="CFD6DD" w:sz="4"/>
            </w:tcBorders>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April 2026</w:t>
            </w:r>
          </w:p>
        </w:tc>
        <w:tc>
          <w:tcPr>
            <w:tcW w:type="dxa" w:w="2160"/>
            <w:tcBorders>
              <w:top w:val="single" w:color="CFD6DD" w:sz="4"/>
              <w:left w:val="single" w:color="CFD6DD" w:sz="4"/>
              <w:bottom w:val="single" w:color="CFD6DD" w:sz="4"/>
              <w:right w:val="single" w:color="CFD6DD" w:sz="4"/>
            </w:tcBorders>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Cyber Defense Architecture</w:t>
            </w:r>
          </w:p>
        </w:tc>
        <w:tc>
          <w:tcPr>
            <w:tcW w:type="dxa" w:w="4500"/>
            <w:tcBorders>
              <w:top w:val="single" w:color="CFD6DD" w:sz="4"/>
              <w:left w:val="single" w:color="CFD6DD" w:sz="4"/>
              <w:bottom w:val="single" w:color="CFD6DD" w:sz="4"/>
              <w:right w:val="single" w:color="CFD6DD" w:sz="4"/>
            </w:tcBorders>
            <w:tcMar>
              <w:top w:type="dxa" w:w="90"/>
              <w:left w:type="dxa" w:w="140"/>
              <w:bottom w:type="dxa" w:w="90"/>
              <w:right w:type="dxa" w:w="140"/>
            </w:tcMar>
          </w:tcPr>
          <w:p>
            <w:pPr>
              <w:spacing w:after="0" w:before="0" w:line="280"/>
            </w:pPr>
            <w:r>
              <w:rPr>
                <w:rFonts w:ascii="Arial" w:cs="Arial" w:eastAsia="Arial" w:hAnsi="Arial"/>
                <w:color w:val="212121"/>
                <w:sz w:val="19"/>
                <w:szCs w:val="19"/>
              </w:rPr>
              <w:t xml:space="preserve">Initial draft for architecture review board.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240"/>
      <w:outlineLvl w:val="1"/>
    </w:pPr>
    <w:rPr>
      <w:rFonts w:ascii="Arial" w:cs="Arial" w:eastAsia="Arial" w:hAnsi="Arial"/>
      <w:b/>
      <w:bCs/>
      <w:color w:val="21212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b11c2aea803e3b172f4b70fc6db166063c57f5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AI Platform (CAIP) - Architecture Proposal</dc:title>
  <dc:creator>Cyber Defense Architecture</dc:creator>
  <cp:lastModifiedBy>Un-named</cp:lastModifiedBy>
  <cp:revision>1</cp:revision>
  <dcterms:created xsi:type="dcterms:W3CDTF">2026-04-26T18:42:43.219Z</dcterms:created>
  <dcterms:modified xsi:type="dcterms:W3CDTF">2026-04-26T18:42:43.221Z</dcterms:modified>
</cp:coreProperties>
</file>

<file path=docProps/custom.xml><?xml version="1.0" encoding="utf-8"?>
<Properties xmlns="http://schemas.openxmlformats.org/officeDocument/2006/custom-properties" xmlns:vt="http://schemas.openxmlformats.org/officeDocument/2006/docPropsVTypes"/>
</file>