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Agentic AI Security Strategy</w:t>
      </w:r>
    </w:p>
    <w:p>
      <w:pPr>
        <w:pStyle w:val="Subtitle"/>
      </w:pPr>
      <w:r>
        <w:t xml:space="preserve">A Comprehensive Framework for Risk Management and Control Implementation</w:t>
      </w:r>
    </w:p>
    <w:p>
      <w:pPr>
        <w:spacing w:before="240" w:after="120"/>
        <w:jc w:val="center"/>
      </w:pPr>
      <w:r>
        <w:rPr>
          <w:b/>
          <w:bCs/>
          <w:color w:val="666666"/>
          <w:sz w:val="26"/>
          <w:szCs w:val="26"/>
        </w:rPr>
        <w:t xml:space="preserve">Build Agents &amp; Buy Agents Security Guidance</w:t>
      </w:r>
    </w:p>
    <w:p>
      <w:pPr>
        <w:spacing w:before="120" w:after="360"/>
        <w:jc w:val="center"/>
      </w:pPr>
      <w:r>
        <w:rPr>
          <w:color w:val="666666"/>
          <w:sz w:val="24"/>
          <w:szCs w:val="24"/>
        </w:rPr>
        <w:t xml:space="preserve">Enterprise Architecture &amp; Security Guidance</w:t>
      </w:r>
    </w:p>
    <w:p>
      <w:pPr>
        <w:spacing w:before="1200"/>
        <w:jc w:val="center"/>
      </w:pPr>
      <w:r>
        <w:rPr>
          <w:color w:val="888888"/>
          <w:sz w:val="22"/>
          <w:szCs w:val="22"/>
        </w:rPr>
        <w:t xml:space="preserve">November 2025</w:t>
      </w:r>
    </w:p>
    <w:p>
      <w:r>
        <w:br w:type="page"/>
      </w:r>
    </w:p>
    <w:p>
      <w:pPr>
        <w:pStyle w:val="Heading1"/>
      </w:pPr>
      <w:r>
        <w:t xml:space="preserve">Executive Summary</w:t>
      </w:r>
    </w:p>
    <w:p>
      <w:pPr>
        <w:pStyle w:val="BodyText"/>
      </w:pPr>
      <w:r>
        <w:t xml:space="preserve">The evolution from monolithic AI applications to autonomous agentic systems represents a fundamental shift in how organizations deploy and manage artificial intelligence. Agentic AI introduces new architectural patterns where intelligent agents operate with varying degrees of autonomy, make decisions based on contextual understanding, and interact with multiple systems and data sources. This transformation creates unprecedented security, risk, and governance challenges that require a systematic and comprehensive approach.</w:t>
      </w:r>
    </w:p>
    <w:p>
      <w:pPr>
        <w:pStyle w:val="BodyText"/>
      </w:pPr>
      <w:r>
        <w:t xml:space="preserve">This white paper provides a strategic framework for securing agentic AI deployments across enterprise environments, addressing two distinct deployment models: Build Agents that organizations develop and host on their own infrastructure, and Buy Agents deployed through third-party SaaS platforms like ChatGPT and Microsoft Copilot. Both agent types are consumed by human personas within the organization but differ fundamentally in control, infrastructure ownership, and security implementation approaches.</w:t>
      </w:r>
    </w:p>
    <w:p>
      <w:pPr>
        <w:pStyle w:val="BodyText"/>
      </w:pPr>
      <w:r>
        <w:t xml:space="preserve">The framework covers the full spectrum of agent capabilities from informational agents to fully autonomous decision-making systems. Key areas of focus include identity and access management for both build and buy scenarios, comprehensive inventory and use case governance, safeguards for autonomous operations, network segmentation strategies, and specialized controls addressing cybersecurity, data management, fraud prevention, and compliance requirements. Organizations transitioning from traditional AI Gateway architectures to agentic frameworks will find practical guidance on implementing layered security controls while maintaining operational flexibility and innovation velocity.</w:t>
      </w:r>
    </w:p>
    <w:p>
      <w:r>
        <w:br w:type="page"/>
      </w:r>
    </w:p>
    <w:p>
      <w:pPr>
        <w:pStyle w:val="Heading1"/>
      </w:pPr>
      <w:r>
        <w:t xml:space="preserve">1. Introduction</w:t>
      </w:r>
    </w:p>
    <w:p>
      <w:pPr>
        <w:pStyle w:val="Heading2"/>
      </w:pPr>
      <w:r>
        <w:t xml:space="preserve">1.1 The Agentic AI Paradigm Shift</w:t>
      </w:r>
    </w:p>
    <w:p>
      <w:pPr>
        <w:pStyle w:val="BodyText"/>
      </w:pPr>
      <w:r>
        <w:t xml:space="preserve">Traditional AI implementations have predominantly followed a centralized, uniform pattern where applications interact with large language models through standardized API gateways. These monolithic AI agents operate within well-defined boundaries, executing predictable workflows with explicit human oversight at each decision point. While this architecture has served organizations well for initial AI adoption, it fundamentally limits the transformative potential of artificial intelligence.</w:t>
      </w:r>
    </w:p>
    <w:p>
      <w:pPr>
        <w:pStyle w:val="BodyText"/>
      </w:pPr>
      <w:r>
        <w:t xml:space="preserve">Agentic AI represents a fundamental architectural evolution where intelligent systems operate as semi-autonomous or fully autonomous entities capable of multi-step reasoning, dynamic decision-making, and complex task orchestration. These agents can analyze context across multiple data sources, plan sequences of actions, execute workflows with minimal human intervention, and adapt their behavior based on outcomes and feedback. This shift from reactive AI systems to proactive, goal-oriented agents creates both tremendous business value and significant security complexity.</w:t>
      </w:r>
    </w:p>
    <w:p>
      <w:pPr>
        <w:pStyle w:val="Heading2"/>
      </w:pPr>
      <w:r>
        <w:t xml:space="preserve">1.2 Scope and Objectives</w:t>
      </w:r>
    </w:p>
    <w:p>
      <w:pPr>
        <w:pStyle w:val="BodyText"/>
      </w:pPr>
      <w:r>
        <w:t xml:space="preserve">This white paper establishes a comprehensive security strategy for agentic AI systems across enterprise environments. The framework addresses organizations currently operating AI Gateway infrastructures for LLM inferencing and planning to transition toward agentic architectures. The primary objectives are to identify and categorize risks unique to agentic systems, define security requirements across all control domains, provide implementable controls mapped to agent types and deployment models, and establish governance frameworks for safe autonomous operations.</w:t>
      </w:r>
    </w:p>
    <w:p>
      <w:pPr>
        <w:pStyle w:val="BodyText"/>
      </w:pPr>
      <w:r>
        <w:t xml:space="preserve">The strategy encompasses both technical security controls and organizational governance mechanisms, recognizing that effective agentic AI security requires a holistic approach spanning technology, process, and people dimensions. Special attention is given to the differences between Build and Buy agent deployments, ensuring appropriate controls for each model while maintaining consistent security outcomes.</w:t>
      </w:r>
    </w:p>
    <w:p>
      <w:r>
        <w:br w:type="page"/>
      </w:r>
    </w:p>
    <w:p>
      <w:pPr>
        <w:pStyle w:val="Heading1"/>
      </w:pPr>
      <w:r>
        <w:t xml:space="preserve">2. Understanding Agentic AI</w:t>
      </w:r>
    </w:p>
    <w:p>
      <w:pPr>
        <w:pStyle w:val="Heading2"/>
      </w:pPr>
      <w:r>
        <w:t xml:space="preserve">2.1 Agent Deployment Models: Build vs Buy</w:t>
      </w:r>
    </w:p>
    <w:p>
      <w:pPr>
        <w:pStyle w:val="BodyText"/>
      </w:pPr>
      <w:r>
        <w:t xml:space="preserve">Agentic AI systems manifest through two distinct deployment models, each with fundamentally different security implications, control requirements, and operational considerations. Understanding these deployment patterns and their differences is essential for implementing appropriate security architectures. Critically, both models involve agents that are consumed by human personas within the organization, but they differ dramatically in infrastructure ownership, control depth, and implementation approaches.</w:t>
      </w:r>
    </w:p>
    <w:p>
      <w:pPr>
        <w:pStyle w:val="Heading3"/>
      </w:pPr>
      <w:r>
        <w:t xml:space="preserve">Build Agents: Company-Built and Server-Hosted</w:t>
      </w:r>
    </w:p>
    <w:p>
      <w:pPr>
        <w:pStyle w:val="BodyText"/>
      </w:pPr>
      <w:r>
        <w:t xml:space="preserve">Build Agents are developed internally by the organization and deployed on company-controlled infrastructure, whether on-premises data centers or organization-managed cloud environments. These agents are architected, coded, tested, and maintained by internal teams, providing complete control over the agent's behavior, data access patterns, integration points, and security implementations. Build Agents are consumed by human personas through corporate applications, internal platforms, or custom interfaces.</w:t>
      </w:r>
    </w:p>
    <w:p>
      <w:pPr>
        <w:pStyle w:val="BodyText"/>
      </w:pPr>
      <w:r>
        <w:t xml:space="preserve">The defining characteristic of Build Agents is infrastructure ownership and control. The organization owns the compute resources, manages the runtime environment, controls network connectivity, implements security controls at all layers, and has complete visibility into agent operations. This control enables fine-grained customization of security measures but also creates full responsibility for security implementation, maintenance, and incident response. Examples include custom chatbots embedded in internal applications, specialized document processing agents, workflow automation systems, and proprietary analytical agents tailored to specific business processes.</w:t>
      </w:r>
    </w:p>
    <w:p>
      <w:pPr>
        <w:pStyle w:val="BodyText"/>
      </w:pPr>
      <w:r>
        <w:t xml:space="preserve">Security advantages of Build Agents include complete control over data residency and handling, ability to implement organization-specific security controls, full audit trail access and control, customizable authentication and authorization mechanisms, and direct integration with corporate security infrastructure. Challenges include full responsibility for security implementation, need for specialized development and security expertise, ongoing maintenance and patching burden, and requirement to build and maintain supporting infrastructure.</w:t>
      </w:r>
    </w:p>
    <w:p>
      <w:pPr>
        <w:pStyle w:val="Heading3"/>
      </w:pPr>
      <w:r>
        <w:t xml:space="preserve">Buy Agents: SaaS Platform-Based</w:t>
      </w:r>
    </w:p>
    <w:p>
      <w:pPr>
        <w:pStyle w:val="BodyText"/>
      </w:pPr>
      <w:r>
        <w:t xml:space="preserve">Buy Agents are deployed through third-party SaaS platforms such as ChatGPT custom GPTs, Microsoft Copilot agents, or other enterprise AI platforms. These agents run on vendor-controlled infrastructure with the organization configuring and customizing agent behavior within the constraints and capabilities provided by the platform. Buy Agents are consumed by human personas through the vendor's interface, typically via web browsers, mobile apps, or platform-native integrations.</w:t>
      </w:r>
    </w:p>
    <w:p>
      <w:pPr>
        <w:pStyle w:val="BodyText"/>
      </w:pPr>
      <w:r>
        <w:t xml:space="preserve">The defining characteristic of Buy Agents is reliance on third-party infrastructure and security implementations. The vendor owns and operates the compute resources, manages the platform security, controls the underlying agent capabilities, and sets the boundaries for customization. Organizations configure agents through vendor-provided interfaces, manage access through platform identity systems, and depend on vendor security controls and compliance certifications. Examples include ChatGPT custom GPTs configured for specific organizational use cases, Microsoft 365 Copilot agents tailored to business processes, and enterprise AI assistant platforms with organization-specific knowledge bases.</w:t>
      </w:r>
    </w:p>
    <w:p>
      <w:pPr>
        <w:pStyle w:val="BodyText"/>
      </w:pPr>
      <w:r>
        <w:t xml:space="preserve">Security advantages of Buy Agents include vendor responsibility for platform security and compliance, rapid deployment without infrastructure development, automatic updates and security patches, and leveraging vendor security expertise and resources. Challenges include limited control over security implementation details, dependency on vendor security posture, potential data residency and sovereignty concerns, constraints on customization and integration options, reduced visibility into agent operations and audit trails, and vendor lock-in risks.</w:t>
      </w:r>
    </w:p>
    <w:p>
      <w:pPr>
        <w:pStyle w:val="Heading3"/>
      </w:pPr>
      <w:r>
        <w:t xml:space="preserve">Key Differences and Security Implications</w:t>
      </w:r>
    </w:p>
    <w:p>
      <w:pPr>
        <w:pStyle w:val="BodyText"/>
      </w:pPr>
      <w:r>
        <w:t xml:space="preserve">The fundamental difference between Build and Buy Agents centers on the control-versus-convenience tradeoff. Build Agents offer maximum control and customization at the cost of complexity and responsibility. Buy Agents offer rapid deployment and reduced operational burden at the cost of limited control and vendor dependency. From a security perspective, Build Agents require organizations to implement all security controls directly, while Buy Agents require organizations to validate vendor controls, configure available security features appropriately, and implement compensating controls for gaps in vendor capabilities.</w:t>
      </w:r>
    </w:p>
    <w:p>
      <w:pPr>
        <w:pStyle w:val="BodyText"/>
      </w:pPr>
      <w:r>
        <w:t xml:space="preserve">Both deployment models require robust governance, clear policies for acceptable use, comprehensive monitoring of agent activities, and processes for managing risks. However, the implementation of these requirements differs significantly. Build Agents enable organizations to implement controls at the code level, infrastructure level, and operational level. Buy Agents require organizations to work within platform constraints, using configuration options, API integrations, and external monitoring tools to achieve security objectives. A mature agentic AI security program must address both models with tailored approaches while maintaining consistent security outcomes.</w:t>
      </w:r>
    </w:p>
    <w:p>
      <w:pPr>
        <w:pStyle w:val="Heading2"/>
      </w:pPr>
      <w:r>
        <w:t xml:space="preserve">2.2 Agent Capability Classifications</w:t>
      </w:r>
    </w:p>
    <w:p>
      <w:pPr>
        <w:pStyle w:val="BodyText"/>
      </w:pPr>
      <w:r>
        <w:t xml:space="preserve">Beyond deployment models, agents are classified by their operational capabilities and autonomy levels. This classification system applies to both Build and Buy Agents and enables risk-appropriate security controls mapped to agent functionality. Each agent type presents distinct risk profiles and requires specific control implementations that vary based on whether the agent is built or bought.</w:t>
      </w:r>
    </w:p>
    <w:p>
      <w:pPr>
        <w:pStyle w:val="Heading3"/>
      </w:pPr>
      <w:r>
        <w:t xml:space="preserve">Type A: Informational Agents</w:t>
      </w:r>
    </w:p>
    <w:p>
      <w:pPr>
        <w:pStyle w:val="BodyText"/>
      </w:pPr>
      <w:r>
        <w:t xml:space="preserve">Informational agents operate in a strictly read-only capacity, retrieving and synthesizing information without the ability to modify data or execute actions. These agents answer questions, generate summaries, and provide explanations based on accessible data sources. Security concerns center on data access controls, preventing information disclosure, and ensuring agents cannot be manipulated to exfiltrate sensitive information through engineered queries.</w:t>
      </w:r>
    </w:p>
    <w:p>
      <w:pPr>
        <w:pStyle w:val="BodyText"/>
      </w:pPr>
      <w:r>
        <w:t xml:space="preserve">For Build Agents, organizations implement direct data access controls at the database and API level, deploy query monitoring and filtering, and maintain complete audit logs of information requests. For Buy Agents, organizations must configure platform-level data access restrictions, rely on vendor security features for query monitoring, and potentially implement external DLP solutions to monitor agent outputs. Both require robust data classification enforcement, but implementation mechanisms differ significantly.</w:t>
      </w:r>
    </w:p>
    <w:p>
      <w:pPr>
        <w:pStyle w:val="Heading3"/>
      </w:pPr>
      <w:r>
        <w:t xml:space="preserve">Type B: Transactional Agents</w:t>
      </w:r>
    </w:p>
    <w:p>
      <w:pPr>
        <w:pStyle w:val="BodyText"/>
      </w:pPr>
      <w:r>
        <w:t xml:space="preserve">Transactional agents possess both read and write capabilities, automating structured tasks within well-defined workflows. These agents can update records, submit forms, trigger processes, and perform bounded operations that follow predetermined business logic. Examples include agents that process expense reports, schedule meetings based on availability, or update customer records following standardized procedures.</w:t>
      </w:r>
    </w:p>
    <w:p>
      <w:pPr>
        <w:pStyle w:val="BodyText"/>
      </w:pPr>
      <w:r>
        <w:t xml:space="preserve">Build Agents enable organizations to implement precise transaction validation logic, workflow boundary enforcement at the application level, and deep integration with corporate authorization systems. Buy Agents require organizations to work within platform transaction capabilities, configure available workflow controls, and potentially implement external validation layers through API gateways or middleware. Both require strong authorization controls and comprehensive transaction logging, but the depth of control and integration options differ.</w:t>
      </w:r>
    </w:p>
    <w:p>
      <w:pPr>
        <w:pStyle w:val="Heading3"/>
      </w:pPr>
      <w:r>
        <w:t xml:space="preserve">Type C: Analytical and Recommendation Agents</w:t>
      </w:r>
    </w:p>
    <w:p>
      <w:pPr>
        <w:pStyle w:val="BodyText"/>
      </w:pPr>
      <w:r>
        <w:t xml:space="preserve">Analytical and recommendation agents perform complex analysis across multiple data sources and provide decision support to human operators. These agents analyze contextual information, identify patterns, generate insights, and present recommendations with supporting rationale. Use cases include financial analysis agents that evaluate investment opportunities, risk assessment agents that analyze contract terms, and strategic planning agents that synthesize market intelligence.</w:t>
      </w:r>
    </w:p>
    <w:p>
      <w:pPr>
        <w:pStyle w:val="BodyText"/>
      </w:pPr>
      <w:r>
        <w:t xml:space="preserve">Build Agents allow organizations to implement custom analytical frameworks, integrate proprietary data sources directly, and deploy organization-specific validation logic. Buy Agents leverage platform analytical capabilities while requiring careful configuration of data access, reliance on vendor explainability features, and potentially external validation of recommendations. The human-in-the-loop nature provides a control point for both models, but visibility into reasoning processes differs based on vendor transparency.</w:t>
      </w:r>
    </w:p>
    <w:p>
      <w:pPr>
        <w:pStyle w:val="Heading3"/>
      </w:pPr>
      <w:r>
        <w:t xml:space="preserve">Type D: Autonomous Agents</w:t>
      </w:r>
    </w:p>
    <w:p>
      <w:pPr>
        <w:pStyle w:val="BodyText"/>
      </w:pPr>
      <w:r>
        <w:t xml:space="preserve">Autonomous agents represent the highest capability and risk level, making independent decisions and executing complete workflows with minimal human oversight. These agents can adapt strategies based on outcomes, orchestrate multi-step processes across systems, and trigger downstream effects that cascade through organizational operations. Examples include supply chain optimization agents, security incident response agents, and customer engagement agents that independently manage entire customer journeys.</w:t>
      </w:r>
    </w:p>
    <w:p>
      <w:pPr>
        <w:pStyle w:val="BodyText"/>
      </w:pPr>
      <w:r>
        <w:t xml:space="preserve">Build Agents provide maximum control over autonomous behavior through custom safety constraints, detailed workflow orchestration logic, and comprehensive monitoring implementations. Buy Agents introduce additional complexity as organizations must rely on vendor safety mechanisms, work within platform autonomy constraints, and implement robust external monitoring to compensate for limited platform visibility. Both require defense-in-depth strategies with multiple control layers, extensive testing, and fail-safe mechanisms, but implementation approaches differ dramatically. Organizations should exercise extreme caution with autonomous Buy Agents given reduced control over agent behavior and decision-making processes.</w:t>
      </w:r>
    </w:p>
    <w:p>
      <w:r>
        <w:br w:type="page"/>
      </w:r>
    </w:p>
    <w:p>
      <w:pPr>
        <w:pStyle w:val="Heading1"/>
      </w:pPr>
      <w:r>
        <w:t xml:space="preserve">3. Security Landscape and Threat Model</w:t>
      </w:r>
    </w:p>
    <w:p>
      <w:pPr>
        <w:pStyle w:val="Heading2"/>
      </w:pPr>
      <w:r>
        <w:t xml:space="preserve">3.1 Unique Threat Vectors in Agentic AI</w:t>
      </w:r>
    </w:p>
    <w:p>
      <w:pPr>
        <w:pStyle w:val="BodyText"/>
      </w:pPr>
      <w:r>
        <w:t xml:space="preserve">Agentic AI systems introduce threat vectors that differ fundamentally from traditional applications and even from monolithic AI implementations. The autonomous nature of agents, their ability to chain multiple actions, and their operation across system boundaries create attack surfaces that require specialized security considerations. These threats manifest differently for Build and Buy Agents, requiring tailored mitigation strategies.</w:t>
      </w:r>
    </w:p>
    <w:p>
      <w:pPr>
        <w:pStyle w:val="BodyText"/>
      </w:pPr>
      <w:r>
        <w:t xml:space="preserve">Prompt injection and jailbreaking attacks take on new dimensions when agents can execute actions rather than merely generate text. For Build Agents, organizations can implement custom input validation, prompt filtering, and sandboxing at the application level. For Buy Agents, organizations depend on vendor protections and must implement compensating controls through external monitoring and output validation. An attacker who successfully manipulates an agent's behavior can potentially orchestrate complex, multi-step attacks that traverse system boundaries and escalate privileges across platforms.</w:t>
      </w:r>
    </w:p>
    <w:p>
      <w:pPr>
        <w:pStyle w:val="BodyText"/>
      </w:pPr>
      <w:r>
        <w:t xml:space="preserve">Agent impersonation and identity spoofing become critical concerns as agents interact with multiple systems. Build Agents can implement custom cryptographic identity verification and integration with corporate PKI infrastructure. Buy Agents rely on vendor identity mechanisms, requiring organizations to carefully configure platform authentication settings and potentially implement additional verification layers for high-risk operations. Data poisoning and model manipulation attacks pose risks in both models but with different mitigation approaches - Build Agents enable direct control over training data and model updates, while Buy Agents require trust in vendor data governance and model security practices.</w:t>
      </w:r>
    </w:p>
    <w:p>
      <w:pPr>
        <w:pStyle w:val="Heading2"/>
      </w:pPr>
      <w:r>
        <w:t xml:space="preserve">3.2 Infrastructure-Specific Risks</w:t>
      </w:r>
    </w:p>
    <w:p>
      <w:pPr>
        <w:pStyle w:val="BodyText"/>
      </w:pPr>
      <w:r>
        <w:t xml:space="preserve">Build Agents and Buy Agents face distinct infrastructure-level risks stemming from their deployment models. Understanding these differences is essential for implementing appropriate security controls and managing organizational risk exposure.</w:t>
      </w:r>
    </w:p>
    <w:p>
      <w:pPr>
        <w:pStyle w:val="Heading3"/>
      </w:pPr>
      <w:r>
        <w:t xml:space="preserve">Build Agent Infrastructure Risks</w:t>
      </w:r>
    </w:p>
    <w:p>
      <w:pPr>
        <w:pStyle w:val="BodyText"/>
      </w:pPr>
      <w:r>
        <w:t xml:space="preserve">Build Agents face traditional infrastructure security challenges amplified by AI-specific considerations. Server and container security vulnerabilities in the agent runtime environment can provide attackers with direct access to agent code, configuration, and data. Organizations bear full responsibility for patch management, security hardening, and vulnerability remediation. Network security becomes complex when agents need to integrate with multiple backend systems, requiring careful firewall configuration, network segmentation, and monitoring. Misconfigurations in deployment pipelines, orchestration platforms, or cloud infrastructure can expose agents to compromise.</w:t>
      </w:r>
    </w:p>
    <w:p>
      <w:pPr>
        <w:pStyle w:val="BodyText"/>
      </w:pPr>
      <w:r>
        <w:t xml:space="preserve">Resource management and denial-of-service vulnerabilities require attention as agents may consume significant compute and memory resources. Organizations must implement resource quotas, auto-scaling with limits, and monitoring for resource exhaustion attacks. Secrets management for API keys, database credentials, and integration tokens requires robust vaulting solutions and rotation policies. Code security and supply chain risks emerge from dependencies on third-party libraries, frameworks, and model components that may contain vulnerabilities or malicious code.</w:t>
      </w:r>
    </w:p>
    <w:p>
      <w:pPr>
        <w:pStyle w:val="Heading3"/>
      </w:pPr>
      <w:r>
        <w:t xml:space="preserve">Buy Agent Platform Risks</w:t>
      </w:r>
    </w:p>
    <w:p>
      <w:pPr>
        <w:pStyle w:val="BodyText"/>
      </w:pPr>
      <w:r>
        <w:t xml:space="preserve">Buy Agents introduce vendor-dependency risks that differ fundamentally from traditional SaaS concerns. Organizations have limited visibility into vendor infrastructure security, relying on certifications, audits, and vendor assurances. Platform security incidents affecting the vendor can impact all customer agents simultaneously, potentially exposing organizational data across multiple agents. Vendor vulnerability in authentication mechanisms, API security, or platform isolation could enable cross-tenant attacks where one organization's agents are compromised through exploits targeting another customer.</w:t>
      </w:r>
    </w:p>
    <w:p>
      <w:pPr>
        <w:pStyle w:val="BodyText"/>
      </w:pPr>
      <w:r>
        <w:t xml:space="preserve">Data residency and sovereignty concerns arise as organizational data flows through vendor infrastructure, potentially crossing geographic boundaries or regulatory jurisdictions. Service availability and business continuity depend entirely on vendor uptime and disaster recovery capabilities. Vendor changes to platform capabilities, pricing models, or terms of service can disrupt operations or force architectural changes. Platform lock-in creates migration challenges if organizations need to move away from a vendor due to security concerns, cost, or strategic reasons.</w:t>
      </w:r>
    </w:p>
    <w:p>
      <w:pPr>
        <w:pStyle w:val="Heading2"/>
      </w:pPr>
      <w:r>
        <w:t xml:space="preserve">3.3 Attack Surface Analysis</w:t>
      </w:r>
    </w:p>
    <w:p>
      <w:pPr>
        <w:pStyle w:val="BodyText"/>
      </w:pPr>
      <w:r>
        <w:t xml:space="preserve">The attack surface of agentic AI systems extends across multiple dimensions, with different exposure profiles for Build and Buy Agents. At the agent identity layer, Build Agents face risks of credential theft from server compromise or secrets exposure, while Buy Agents face account takeover through platform credential compromise or phishing. The agent-to-system interface layer presents API abuse risks for both models, but Build Agents enable organizations to implement custom API security, while Buy Agents require working within platform integration constraints.</w:t>
      </w:r>
    </w:p>
    <w:p>
      <w:pPr>
        <w:pStyle w:val="BodyText"/>
      </w:pPr>
      <w:r>
        <w:t xml:space="preserve">The data access layer encompasses information disclosure risks that manifest differently across deployment models. Build Agents can exfiltrate data through custom code vulnerabilities or misconfigured access controls. Buy Agents may leak data through platform vulnerabilities, inadequate vendor access controls, or through user-configured agents that bypass organizational policies. The decision-making layer is vulnerable to manipulation through prompt injection for both models, but Build Agents enable custom validation logic while Buy Agents depend on vendor safeguards.</w:t>
      </w:r>
    </w:p>
    <w:p>
      <w:r>
        <w:br w:type="page"/>
      </w:r>
    </w:p>
    <w:p>
      <w:pPr>
        <w:pStyle w:val="Heading1"/>
      </w:pPr>
      <w:r>
        <w:t xml:space="preserve">4. Security Requirements and Control Framework</w:t>
      </w:r>
    </w:p>
    <w:p>
      <w:pPr>
        <w:pStyle w:val="BodyText"/>
      </w:pPr>
      <w:r>
        <w:t xml:space="preserve">The following comprehensive matrix maps security control domains to specific risks, mitigation strategies, applicable agent types, and implementation approaches for both Build and Buy Agents. This framework provides the foundation for implementing risk-based security controls across agentic AI deployments.</w:t>
      </w:r>
    </w:p>
    <w:p>
      <w:pPr>
        <w:spacing w:before="240"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700"/>
        <w:gridCol w:w="2100"/>
        <w:gridCol w:w="2400"/>
        <w:gridCol w:w="1100"/>
        <w:gridCol w:w="2060"/>
      </w:tblGrid>
      <w:tr>
        <w:trPr>
          <w:tblHeader/>
        </w:trPr>
        <w:tc>
          <w:tcPr>
            <w:tcW w:type="dxa" w:w="17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Control Domain</w:t>
            </w:r>
          </w:p>
        </w:tc>
        <w:tc>
          <w:tcPr>
            <w:tcW w:type="dxa" w:w="2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Risk Consideration</w:t>
            </w:r>
          </w:p>
        </w:tc>
        <w:tc>
          <w:tcPr>
            <w:tcW w:type="dxa" w:w="24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Mitigating Control</w:t>
            </w:r>
          </w:p>
        </w:tc>
        <w:tc>
          <w:tcPr>
            <w:tcW w:type="dxa" w:w="1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Agent Types</w:t>
            </w:r>
          </w:p>
        </w:tc>
        <w:tc>
          <w:tcPr>
            <w:tcW w:type="dxa" w:w="206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Implementation: Build vs Buy</w:t>
            </w:r>
          </w:p>
        </w:tc>
      </w:tr>
      <w:tr>
        <w:tc>
          <w:tcPr>
            <w:tcW w:type="dxa" w:w="1700"/>
            <w:vMerge w:val="restart"/>
            <w:tcBorders>
              <w:top w:val="single" w:color="CCCCCC" w:sz="1"/>
              <w:left w:val="single" w:color="CCCCCC" w:sz="1"/>
              <w:bottom w:val="single" w:color="CCCCCC" w:sz="1"/>
              <w:right w:val="single" w:color="CCCCCC" w:sz="1"/>
            </w:tcBorders>
            <w:shd w:fill="E8F0F8" w:val="clear"/>
          </w:tcPr>
          <w:p>
            <w:pPr>
              <w:jc w:val="center"/>
            </w:pPr>
            <w:r>
              <w:rPr>
                <w:b/>
                <w:bCs/>
                <w:sz w:val="19"/>
                <w:szCs w:val="19"/>
              </w:rPr>
              <w:t xml:space="preserve">Agentic Identity &amp; Access Management</w:t>
            </w:r>
          </w:p>
        </w:tc>
        <w:tc>
          <w:tcPr>
            <w:tcW w:type="dxa" w:w="2100"/>
            <w:tcBorders>
              <w:top w:val="single" w:color="CCCCCC" w:sz="1"/>
              <w:left w:val="single" w:color="CCCCCC" w:sz="1"/>
              <w:bottom w:val="single" w:color="CCCCCC" w:sz="1"/>
              <w:right w:val="single" w:color="CCCCCC" w:sz="1"/>
            </w:tcBorders>
          </w:tcPr>
          <w:p>
            <w:r>
              <w:rPr>
                <w:sz w:val="19"/>
                <w:szCs w:val="19"/>
              </w:rPr>
              <w:t xml:space="preserve">Excessive or unintended access to corporate systems and data, potentially compromising confidentiality, integrity, or availability.</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Policy-Based Access Control (PBAC) with fine-grained permissions. Enforce least-privilege principles with regular access reviews. Deploy just-in-time access provisioning.</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PBAC in application code, direct IAM integration</w:t>
            </w:r>
          </w:p>
          <w:p>
            <w:r>
              <w:rPr>
                <w:b/>
                <w:bCs/>
                <w:sz w:val="19"/>
                <w:szCs w:val="19"/>
              </w:rPr>
              <w:t xml:space="preserve">Buy: </w:t>
            </w:r>
            <w:r>
              <w:rPr>
                <w:sz w:val="19"/>
                <w:szCs w:val="19"/>
              </w:rPr>
              <w:t xml:space="preserve">Configure platform RBAC/ABAC, use platform admin controls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Agents do not securely store or transmit credentials, potentially enabling credential theft and impersonation attacks.</w:t>
            </w:r>
          </w:p>
        </w:tc>
        <w:tc>
          <w:tcPr>
            <w:tcW w:type="dxa" w:w="2400"/>
            <w:tcBorders>
              <w:top w:val="single" w:color="CCCCCC" w:sz="1"/>
              <w:left w:val="single" w:color="CCCCCC" w:sz="1"/>
              <w:bottom w:val="single" w:color="CCCCCC" w:sz="1"/>
              <w:right w:val="single" w:color="CCCCCC" w:sz="1"/>
            </w:tcBorders>
          </w:tcPr>
          <w:p>
            <w:r>
              <w:rPr>
                <w:sz w:val="19"/>
                <w:szCs w:val="19"/>
              </w:rPr>
              <w:t xml:space="preserve">Utilize federated identity (OAuth 2.0, OIDC, SAML). Implement automated credential provisioning and rotation. Enforce TLS 1.3+ encryption. Deploy credential vaulting with HSM.</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HashiCorp Vault, AWS Secrets Manager, custom credential rotation</w:t>
            </w:r>
          </w:p>
          <w:p>
            <w:r>
              <w:rPr>
                <w:b/>
                <w:bCs/>
                <w:sz w:val="19"/>
                <w:szCs w:val="19"/>
              </w:rPr>
              <w:t xml:space="preserve">Buy: </w:t>
            </w:r>
            <w:r>
              <w:rPr>
                <w:sz w:val="19"/>
                <w:szCs w:val="19"/>
              </w:rPr>
              <w:t xml:space="preserve">Platform OAuth integration, rely on vendor credential management</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Downstream consumers gain unauthorized access through agents, bypassing organizational controls.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PBAC for agent consumers with authentication checks. Deploy content filtering and DLP. Enforce user-context passthrough. Implement query logging and anomaly detection.</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Application-level user auth, custom DLP, direct SIEM integration</w:t>
            </w:r>
          </w:p>
          <w:p>
            <w:r>
              <w:rPr>
                <w:b/>
                <w:bCs/>
                <w:sz w:val="19"/>
                <w:szCs w:val="19"/>
              </w:rPr>
              <w:t xml:space="preserve">Buy: </w:t>
            </w:r>
            <w:r>
              <w:rPr>
                <w:sz w:val="19"/>
                <w:szCs w:val="19"/>
              </w:rPr>
              <w:t xml:space="preserve">Platform user permissions, external DLP via API, platform audit logs</w:t>
            </w:r>
          </w:p>
        </w:tc>
      </w:tr>
      <w:tr>
        <w:tc>
          <w:tcPr>
            <w:tcW w:type="dxa" w:w="1700"/>
            <w:vMerge w:val="restart"/>
            <w:tcBorders>
              <w:top w:val="single" w:color="CCCCCC" w:sz="1"/>
              <w:left w:val="single" w:color="CCCCCC" w:sz="1"/>
              <w:bottom w:val="single" w:color="CCCCCC" w:sz="1"/>
              <w:right w:val="single" w:color="CCCCCC" w:sz="1"/>
            </w:tcBorders>
            <w:shd w:fill="FFF4E6" w:val="clear"/>
          </w:tcPr>
          <w:p>
            <w:pPr>
              <w:jc w:val="center"/>
            </w:pPr>
            <w:r>
              <w:rPr>
                <w:b/>
                <w:bCs/>
                <w:sz w:val="19"/>
                <w:szCs w:val="19"/>
              </w:rPr>
              <w:t xml:space="preserve">Agent &amp; Use Case Inventory</w:t>
            </w:r>
          </w:p>
        </w:tc>
        <w:tc>
          <w:tcPr>
            <w:tcW w:type="dxa" w:w="2100"/>
            <w:tcBorders>
              <w:top w:val="single" w:color="CCCCCC" w:sz="1"/>
              <w:left w:val="single" w:color="CCCCCC" w:sz="1"/>
              <w:bottom w:val="single" w:color="CCCCCC" w:sz="1"/>
              <w:right w:val="single" w:color="CCCCCC" w:sz="1"/>
            </w:tcBorders>
          </w:tcPr>
          <w:p>
            <w:r>
              <w:rPr>
                <w:sz w:val="19"/>
                <w:szCs w:val="19"/>
              </w:rPr>
              <w:t xml:space="preserve">Incomplete inventory of agents causing controls to be omitted, creating blind spots in security posture.</w:t>
            </w:r>
          </w:p>
        </w:tc>
        <w:tc>
          <w:tcPr>
            <w:tcW w:type="dxa" w:w="2400"/>
            <w:tcBorders>
              <w:top w:val="single" w:color="CCCCCC" w:sz="1"/>
              <w:left w:val="single" w:color="CCCCCC" w:sz="1"/>
              <w:bottom w:val="single" w:color="CCCCCC" w:sz="1"/>
              <w:right w:val="single" w:color="CCCCCC" w:sz="1"/>
            </w:tcBorders>
          </w:tcPr>
          <w:p>
            <w:r>
              <w:rPr>
                <w:sz w:val="19"/>
                <w:szCs w:val="19"/>
              </w:rPr>
              <w:t xml:space="preserve">Maintain centralized agent registry with metadata. Implement automated discovery and registration. Enforce mandatory registration before deployment with approval workflows.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CMDB integration, deployment pipeline gates, automated discovery</w:t>
            </w:r>
          </w:p>
          <w:p>
            <w:r>
              <w:rPr>
                <w:b/>
                <w:bCs/>
                <w:sz w:val="19"/>
                <w:szCs w:val="19"/>
              </w:rPr>
              <w:t xml:space="preserve">Buy: </w:t>
            </w:r>
            <w:r>
              <w:rPr>
                <w:sz w:val="19"/>
                <w:szCs w:val="19"/>
              </w:rPr>
              <w:t xml:space="preserve">Platform APIs for agent enumeration, manual registry, governance portal</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Incomplete inventory of use cases causing agents to operate outside approved boundaries.</w:t>
            </w:r>
          </w:p>
        </w:tc>
        <w:tc>
          <w:tcPr>
            <w:tcW w:type="dxa" w:w="2400"/>
            <w:tcBorders>
              <w:top w:val="single" w:color="CCCCCC" w:sz="1"/>
              <w:left w:val="single" w:color="CCCCCC" w:sz="1"/>
              <w:bottom w:val="single" w:color="CCCCCC" w:sz="1"/>
              <w:right w:val="single" w:color="CCCCCC" w:sz="1"/>
            </w:tcBorders>
          </w:tcPr>
          <w:p>
            <w:r>
              <w:rPr>
                <w:sz w:val="19"/>
                <w:szCs w:val="19"/>
              </w:rPr>
              <w:t xml:space="preserve">Document central inventory of approved use cases with constraints. Implement runtime enforcement through policy engines. Conduct regular reviews and recertification.</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Code-level constraints, custom policy engine, detailed documentation</w:t>
            </w:r>
          </w:p>
          <w:p>
            <w:r>
              <w:rPr>
                <w:b/>
                <w:bCs/>
                <w:sz w:val="19"/>
                <w:szCs w:val="19"/>
              </w:rPr>
              <w:t xml:space="preserve">Buy: </w:t>
            </w:r>
            <w:r>
              <w:rPr>
                <w:sz w:val="19"/>
                <w:szCs w:val="19"/>
              </w:rPr>
              <w:t xml:space="preserve">Platform configuration limits, documented guidelines, approval workflows</w:t>
            </w:r>
          </w:p>
        </w:tc>
      </w:tr>
      <w:tr>
        <w:tc>
          <w:tcPr>
            <w:tcW w:type="dxa" w:w="1700"/>
            <w:tcBorders>
              <w:top w:val="single" w:color="CCCCCC" w:sz="1"/>
              <w:left w:val="single" w:color="CCCCCC" w:sz="1"/>
              <w:bottom w:val="single" w:color="CCCCCC" w:sz="1"/>
              <w:right w:val="single" w:color="CCCCCC" w:sz="1"/>
            </w:tcBorders>
            <w:shd w:fill="FFE6E6" w:val="clear"/>
          </w:tcPr>
          <w:p>
            <w:pPr>
              <w:jc w:val="center"/>
            </w:pPr>
            <w:r>
              <w:rPr>
                <w:b/>
                <w:bCs/>
                <w:sz w:val="19"/>
                <w:szCs w:val="19"/>
              </w:rPr>
              <w:t xml:space="preserve">No Human in the Loop</w:t>
            </w:r>
          </w:p>
        </w:tc>
        <w:tc>
          <w:tcPr>
            <w:tcW w:type="dxa" w:w="2100"/>
            <w:tcBorders>
              <w:top w:val="single" w:color="CCCCCC" w:sz="1"/>
              <w:left w:val="single" w:color="CCCCCC" w:sz="1"/>
              <w:bottom w:val="single" w:color="CCCCCC" w:sz="1"/>
              <w:right w:val="single" w:color="CCCCCC" w:sz="1"/>
            </w:tcBorders>
          </w:tcPr>
          <w:p>
            <w:r>
              <w:rPr>
                <w:sz w:val="19"/>
                <w:szCs w:val="19"/>
              </w:rPr>
              <w:t xml:space="preserve">Agents acting autonomously produce inaccurate outputs or hallucinations, causing operational disruption or financial losses.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large-sample outcome-based testing. Deploy runtime anomaly detection. Implement confidence scoring with escalation. Use multi-agent validation. Deploy circuit breakers.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testing framework, code-level circuit breakers, detailed telemetry</w:t>
            </w:r>
          </w:p>
          <w:p>
            <w:r>
              <w:rPr>
                <w:b/>
                <w:bCs/>
                <w:sz w:val="19"/>
                <w:szCs w:val="19"/>
              </w:rPr>
              <w:t xml:space="preserve">Buy: </w:t>
            </w:r>
            <w:r>
              <w:rPr>
                <w:sz w:val="19"/>
                <w:szCs w:val="19"/>
              </w:rPr>
              <w:t xml:space="preserve">Platform testing tools, external monitoring, rely on vendor safety features</w:t>
            </w:r>
          </w:p>
        </w:tc>
      </w:tr>
      <w:tr>
        <w:tc>
          <w:tcPr>
            <w:tcW w:type="dxa" w:w="1700"/>
            <w:tcBorders>
              <w:top w:val="single" w:color="CCCCCC" w:sz="1"/>
              <w:left w:val="single" w:color="CCCCCC" w:sz="1"/>
              <w:bottom w:val="single" w:color="CCCCCC" w:sz="1"/>
              <w:right w:val="single" w:color="CCCCCC" w:sz="1"/>
            </w:tcBorders>
            <w:shd w:fill="E6F7FF" w:val="clear"/>
          </w:tcPr>
          <w:p>
            <w:pPr>
              <w:jc w:val="center"/>
            </w:pPr>
            <w:r>
              <w:rPr>
                <w:b/>
                <w:bCs/>
                <w:sz w:val="19"/>
                <w:szCs w:val="19"/>
              </w:rPr>
              <w:t xml:space="preserve">Inter-connectivity</w:t>
            </w:r>
          </w:p>
        </w:tc>
        <w:tc>
          <w:tcPr>
            <w:tcW w:type="dxa" w:w="2100"/>
            <w:tcBorders>
              <w:top w:val="single" w:color="CCCCCC" w:sz="1"/>
              <w:left w:val="single" w:color="CCCCCC" w:sz="1"/>
              <w:bottom w:val="single" w:color="CCCCCC" w:sz="1"/>
              <w:right w:val="single" w:color="CCCCCC" w:sz="1"/>
            </w:tcBorders>
          </w:tcPr>
          <w:p>
            <w:r>
              <w:rPr>
                <w:sz w:val="19"/>
                <w:szCs w:val="19"/>
              </w:rPr>
              <w:t xml:space="preserve">Interconnecting many systems creates large blast radius where compromise spills over into other systems.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network segmentation (macro/micro). Deploy zero-trust architecture. Use API gateways with rate limiting. Deploy agent sandboxing. Enforce least connectivity.</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VPC/VNET segmentation, service mesh, custom API gateway</w:t>
            </w:r>
          </w:p>
          <w:p>
            <w:r>
              <w:rPr>
                <w:b/>
                <w:bCs/>
                <w:sz w:val="19"/>
                <w:szCs w:val="19"/>
              </w:rPr>
              <w:t xml:space="preserve">Buy: </w:t>
            </w:r>
            <w:r>
              <w:rPr>
                <w:sz w:val="19"/>
                <w:szCs w:val="19"/>
              </w:rPr>
              <w:t xml:space="preserve">Platform connector controls, external API gateway, whitelist IPs</w:t>
            </w:r>
          </w:p>
        </w:tc>
      </w:tr>
    </w:tbl>
    <w:p>
      <w:r>
        <w:br w:type="page"/>
      </w:r>
    </w:p>
    <w:p>
      <w:pPr>
        <w:pStyle w:val="Heading2"/>
      </w:pPr>
      <w:r>
        <w:t xml:space="preserve">4.1 Operational Risk Controls (Continued)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700"/>
        <w:gridCol w:w="2100"/>
        <w:gridCol w:w="2400"/>
        <w:gridCol w:w="1100"/>
        <w:gridCol w:w="2060"/>
      </w:tblGrid>
      <w:tr>
        <w:trPr>
          <w:tblHeader/>
        </w:trPr>
        <w:tc>
          <w:tcPr>
            <w:tcW w:type="dxa" w:w="17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Control Domain</w:t>
            </w:r>
          </w:p>
        </w:tc>
        <w:tc>
          <w:tcPr>
            <w:tcW w:type="dxa" w:w="2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Risk Consideration</w:t>
            </w:r>
          </w:p>
        </w:tc>
        <w:tc>
          <w:tcPr>
            <w:tcW w:type="dxa" w:w="24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Mitigating Control</w:t>
            </w:r>
          </w:p>
        </w:tc>
        <w:tc>
          <w:tcPr>
            <w:tcW w:type="dxa" w:w="110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Agent Types</w:t>
            </w:r>
          </w:p>
        </w:tc>
        <w:tc>
          <w:tcPr>
            <w:tcW w:type="dxa" w:w="2060"/>
            <w:tcBorders>
              <w:top w:val="single" w:color="2E5090" w:sz="2"/>
              <w:left w:val="single" w:color="2E5090" w:sz="2"/>
              <w:bottom w:val="single" w:color="2E5090" w:sz="2"/>
              <w:right w:val="single" w:color="2E5090" w:sz="2"/>
            </w:tcBorders>
            <w:shd w:fill="2E5090" w:val="clear"/>
          </w:tcPr>
          <w:p>
            <w:pPr>
              <w:jc w:val="center"/>
            </w:pPr>
            <w:r>
              <w:rPr>
                <w:b/>
                <w:bCs/>
                <w:color w:val="FFFFFF"/>
                <w:sz w:val="19"/>
                <w:szCs w:val="19"/>
              </w:rPr>
              <w:t xml:space="preserve">Implementation: Build vs Buy</w:t>
            </w:r>
          </w:p>
        </w:tc>
      </w:tr>
      <w:tr>
        <w:tc>
          <w:tcPr>
            <w:tcW w:type="dxa" w:w="1700"/>
            <w:vMerge w:val="restart"/>
            <w:tcBorders>
              <w:top w:val="single" w:color="CCCCCC" w:sz="1"/>
              <w:left w:val="single" w:color="CCCCCC" w:sz="1"/>
              <w:bottom w:val="single" w:color="CCCCCC" w:sz="1"/>
              <w:right w:val="single" w:color="CCCCCC" w:sz="1"/>
            </w:tcBorders>
            <w:shd w:fill="FFE6E6" w:val="clear"/>
          </w:tcPr>
          <w:p>
            <w:pPr>
              <w:jc w:val="center"/>
            </w:pPr>
            <w:r>
              <w:rPr>
                <w:b/>
                <w:bCs/>
                <w:sz w:val="19"/>
                <w:szCs w:val="19"/>
              </w:rPr>
              <w:t xml:space="preserve">Cybersecurity</w:t>
            </w:r>
          </w:p>
        </w:tc>
        <w:tc>
          <w:tcPr>
            <w:tcW w:type="dxa" w:w="2100"/>
            <w:tcBorders>
              <w:top w:val="single" w:color="CCCCCC" w:sz="1"/>
              <w:left w:val="single" w:color="CCCCCC" w:sz="1"/>
              <w:bottom w:val="single" w:color="CCCCCC" w:sz="1"/>
              <w:right w:val="single" w:color="CCCCCC" w:sz="1"/>
            </w:tcBorders>
          </w:tcPr>
          <w:p>
            <w:r>
              <w:rPr>
                <w:sz w:val="19"/>
                <w:szCs w:val="19"/>
              </w:rPr>
              <w:t xml:space="preserve">Prompt injection attacks manipulating agent behavior, bypassing security controls, or extracting sensitive information.</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input validation and sanitization. Deploy prompt injection detection. Use structured prompting with clear separation. Implement constitutional AI. Deploy output filtering.</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input validators, code-level prompt templates, proprietary detection</w:t>
            </w:r>
          </w:p>
          <w:p>
            <w:r>
              <w:rPr>
                <w:b/>
                <w:bCs/>
                <w:sz w:val="19"/>
                <w:szCs w:val="19"/>
              </w:rPr>
              <w:t xml:space="preserve">Buy: </w:t>
            </w:r>
            <w:r>
              <w:rPr>
                <w:sz w:val="19"/>
                <w:szCs w:val="19"/>
              </w:rPr>
              <w:t xml:space="preserve">Rely on vendor protections, configure safety settings, external output monitoring</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Unauthorized access to agent infrastructure enabling compromise of operations or use as attack vectors.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vulnerability management with regular patching. Deploy RASP. Use container security. Implement agent isolation. Deploy SIEM integration. Conduct penetration testing.</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Full infrastructure control, custom security tools, direct patching</w:t>
            </w:r>
          </w:p>
          <w:p>
            <w:r>
              <w:rPr>
                <w:b/>
                <w:bCs/>
                <w:sz w:val="19"/>
                <w:szCs w:val="19"/>
              </w:rPr>
              <w:t xml:space="preserve">Buy: </w:t>
            </w:r>
            <w:r>
              <w:rPr>
                <w:sz w:val="19"/>
                <w:szCs w:val="19"/>
              </w:rPr>
              <w:t xml:space="preserve">Rely on vendor security, validate certifications, monitor vendor advisories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Supply chain attacks targeting dependencies, libraries, or third-party components. Compromised agent marketplaces.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marketplace vetting with code review. Deploy SCA for dependencies. Use cryptographic signing. Implement runtime integrity monitoring. Deploy behavior monitoring.</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SCA tools (Snyk, Sonatype), SBOM generation, internal review process</w:t>
            </w:r>
          </w:p>
          <w:p>
            <w:r>
              <w:rPr>
                <w:b/>
                <w:bCs/>
                <w:sz w:val="19"/>
                <w:szCs w:val="19"/>
              </w:rPr>
              <w:t xml:space="preserve">Buy: </w:t>
            </w:r>
            <w:r>
              <w:rPr>
                <w:sz w:val="19"/>
                <w:szCs w:val="19"/>
              </w:rPr>
              <w:t xml:space="preserve">Vet platform marketplace, review agent configs, monitor behavior post-deployment</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Denial of service attacks or resource exhaustion causing business disruption and availability impacts.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rate limiting and throttling. Deploy resource quotas and circuit breakers. Use auto-scaling with limits. Deploy DDoS protection. Monitor resource consumption.</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rate limiters, Kubernetes resource limits, CloudFlare/AWS Shield</w:t>
            </w:r>
          </w:p>
          <w:p>
            <w:r>
              <w:rPr>
                <w:b/>
                <w:bCs/>
                <w:sz w:val="19"/>
                <w:szCs w:val="19"/>
              </w:rPr>
              <w:t xml:space="preserve">Buy: </w:t>
            </w:r>
            <w:r>
              <w:rPr>
                <w:sz w:val="19"/>
                <w:szCs w:val="19"/>
              </w:rPr>
              <w:t xml:space="preserve">Configure platform rate limits, monitor usage quotas, rely on vendor DDoS protection</w:t>
            </w:r>
          </w:p>
        </w:tc>
      </w:tr>
      <w:tr>
        <w:tc>
          <w:tcPr>
            <w:tcW w:type="dxa" w:w="1700"/>
            <w:vMerge w:val="restart"/>
            <w:tcBorders>
              <w:top w:val="single" w:color="CCCCCC" w:sz="1"/>
              <w:left w:val="single" w:color="CCCCCC" w:sz="1"/>
              <w:bottom w:val="single" w:color="CCCCCC" w:sz="1"/>
              <w:right w:val="single" w:color="CCCCCC" w:sz="1"/>
            </w:tcBorders>
            <w:shd w:fill="FFF4E6" w:val="clear"/>
          </w:tcPr>
          <w:p>
            <w:pPr>
              <w:jc w:val="center"/>
            </w:pPr>
            <w:r>
              <w:rPr>
                <w:b/>
                <w:bCs/>
                <w:sz w:val="19"/>
                <w:szCs w:val="19"/>
              </w:rPr>
              <w:t xml:space="preserve">Data Management</w:t>
            </w:r>
          </w:p>
        </w:tc>
        <w:tc>
          <w:tcPr>
            <w:tcW w:type="dxa" w:w="2100"/>
            <w:tcBorders>
              <w:top w:val="single" w:color="CCCCCC" w:sz="1"/>
              <w:left w:val="single" w:color="CCCCCC" w:sz="1"/>
              <w:bottom w:val="single" w:color="CCCCCC" w:sz="1"/>
              <w:right w:val="single" w:color="CCCCCC" w:sz="1"/>
            </w:tcBorders>
          </w:tcPr>
          <w:p>
            <w:r>
              <w:rPr>
                <w:sz w:val="19"/>
                <w:szCs w:val="19"/>
              </w:rPr>
              <w:t xml:space="preserve">Inadequate data retention controls and excessive data aggregation creating privacy risks.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data retention policies at agent access layer. Deploy automated lifecycle management. Implement data minimization. Use purpose limitation controls. Deploy data lineage tracking.</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Code-level retention logic, direct database controls, custom lineage tracking</w:t>
            </w:r>
          </w:p>
          <w:p>
            <w:r>
              <w:rPr>
                <w:b/>
                <w:bCs/>
                <w:sz w:val="19"/>
                <w:szCs w:val="19"/>
              </w:rPr>
              <w:t xml:space="preserve">Buy: </w:t>
            </w:r>
            <w:r>
              <w:rPr>
                <w:sz w:val="19"/>
                <w:szCs w:val="19"/>
              </w:rPr>
              <w:t xml:space="preserve">Configure platform retention settings, data residency controls, vendor compliance</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Data privacy violations where agents process personal information in violation of regulations (GDPR, CCPA).</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privacy by design. Deploy data classification and handling controls. Use data masking and tokenization. Implement consent management. Deploy PIAs. Ensure data subject rights.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PII detection, application-level masking, direct consent integration</w:t>
            </w:r>
          </w:p>
          <w:p>
            <w:r>
              <w:rPr>
                <w:b/>
                <w:bCs/>
                <w:sz w:val="19"/>
                <w:szCs w:val="19"/>
              </w:rPr>
              <w:t xml:space="preserve">Buy: </w:t>
            </w:r>
            <w:r>
              <w:rPr>
                <w:sz w:val="19"/>
                <w:szCs w:val="19"/>
              </w:rPr>
              <w:t xml:space="preserve">Configure platform data controls, validate vendor DPA, rely on vendor GDPR compliance</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Data quality issues and hallucinations leading to poor decisions or error propagation. Training data poisoning.</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data quality validation. Deploy hallucination detection. Use data provenance tracking. Implement adversarial data detection. Use RAG with verified knowledge bases.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validation logic, internal knowledge base, model fine-tuning control</w:t>
            </w:r>
          </w:p>
          <w:p>
            <w:r>
              <w:rPr>
                <w:b/>
                <w:bCs/>
                <w:sz w:val="19"/>
                <w:szCs w:val="19"/>
              </w:rPr>
              <w:t xml:space="preserve">Buy: </w:t>
            </w:r>
            <w:r>
              <w:rPr>
                <w:sz w:val="19"/>
                <w:szCs w:val="19"/>
              </w:rPr>
              <w:t xml:space="preserve">Configure platform RAG, curated knowledge bases, rely on vendor model quality</w:t>
            </w:r>
          </w:p>
        </w:tc>
      </w:tr>
      <w:tr>
        <w:tc>
          <w:tcPr>
            <w:tcW w:type="dxa" w:w="1700"/>
            <w:vMerge w:val="restart"/>
            <w:tcBorders>
              <w:top w:val="single" w:color="CCCCCC" w:sz="1"/>
              <w:left w:val="single" w:color="CCCCCC" w:sz="1"/>
              <w:bottom w:val="single" w:color="CCCCCC" w:sz="1"/>
              <w:right w:val="single" w:color="CCCCCC" w:sz="1"/>
            </w:tcBorders>
            <w:shd w:fill="FFE6F2" w:val="clear"/>
          </w:tcPr>
          <w:p>
            <w:pPr>
              <w:jc w:val="center"/>
            </w:pPr>
            <w:r>
              <w:rPr>
                <w:b/>
                <w:bCs/>
                <w:sz w:val="19"/>
                <w:szCs w:val="19"/>
              </w:rPr>
              <w:t xml:space="preserve">Third-Party Risk</w:t>
            </w:r>
          </w:p>
        </w:tc>
        <w:tc>
          <w:tcPr>
            <w:tcW w:type="dxa" w:w="2100"/>
            <w:tcBorders>
              <w:top w:val="single" w:color="CCCCCC" w:sz="1"/>
              <w:left w:val="single" w:color="CCCCCC" w:sz="1"/>
              <w:bottom w:val="single" w:color="CCCCCC" w:sz="1"/>
              <w:right w:val="single" w:color="CCCCCC" w:sz="1"/>
            </w:tcBorders>
          </w:tcPr>
          <w:p>
            <w:r>
              <w:rPr>
                <w:sz w:val="19"/>
                <w:szCs w:val="19"/>
              </w:rPr>
              <w:t xml:space="preserve">Risks from embedded third-party products, model dependencies, or external platforms. Lack of control over behaviors and security.</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third-party risk assessment. Deploy vendor security questionnaires and audits. Establish contractual security requirements. Implement continuous monitoring. Use sandboxing.</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Assess model providers (OpenAI, Anthropic), API security, model versioning</w:t>
            </w:r>
          </w:p>
          <w:p>
            <w:r>
              <w:rPr>
                <w:b/>
                <w:bCs/>
                <w:sz w:val="19"/>
                <w:szCs w:val="19"/>
              </w:rPr>
              <w:t xml:space="preserve">Buy: </w:t>
            </w:r>
            <w:r>
              <w:rPr>
                <w:sz w:val="19"/>
                <w:szCs w:val="19"/>
              </w:rPr>
              <w:t xml:space="preserve">CRITICAL - Platform IS third-party. Comprehensive vendor assessment, SOC 2/ISO certs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Need to update standards for third parties that provide or use agentic AI. Contractual gaps in security and liability.</w:t>
            </w:r>
          </w:p>
        </w:tc>
        <w:tc>
          <w:tcPr>
            <w:tcW w:type="dxa" w:w="2400"/>
            <w:tcBorders>
              <w:top w:val="single" w:color="CCCCCC" w:sz="1"/>
              <w:left w:val="single" w:color="CCCCCC" w:sz="1"/>
              <w:bottom w:val="single" w:color="CCCCCC" w:sz="1"/>
              <w:right w:val="single" w:color="CCCCCC" w:sz="1"/>
            </w:tcBorders>
          </w:tcPr>
          <w:p>
            <w:r>
              <w:rPr>
                <w:sz w:val="19"/>
                <w:szCs w:val="19"/>
              </w:rPr>
              <w:t xml:space="preserve">Update procurement standards for agentic AI. Establish security, privacy, operational requirements. Define incident notification. Implement liability clauses. Require approval processes.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Contracts for LLM API providers, model hosting vendors</w:t>
            </w:r>
          </w:p>
          <w:p>
            <w:r>
              <w:rPr>
                <w:b/>
                <w:bCs/>
                <w:sz w:val="19"/>
                <w:szCs w:val="19"/>
              </w:rPr>
              <w:t xml:space="preserve">Buy: </w:t>
            </w:r>
            <w:r>
              <w:rPr>
                <w:sz w:val="19"/>
                <w:szCs w:val="19"/>
              </w:rPr>
              <w:t xml:space="preserve">Master agreements with platform vendors, DPAs, SLAs, liability limits</w:t>
            </w:r>
          </w:p>
        </w:tc>
      </w:tr>
      <w:tr>
        <w:tc>
          <w:tcPr>
            <w:tcW w:type="dxa" w:w="1700"/>
            <w:vMerge w:val="restart"/>
            <w:tcBorders>
              <w:top w:val="single" w:color="CCCCCC" w:sz="1"/>
              <w:left w:val="single" w:color="CCCCCC" w:sz="1"/>
              <w:bottom w:val="single" w:color="CCCCCC" w:sz="1"/>
              <w:right w:val="single" w:color="CCCCCC" w:sz="1"/>
            </w:tcBorders>
            <w:shd w:fill="E8F0F8" w:val="clear"/>
          </w:tcPr>
          <w:p>
            <w:pPr>
              <w:jc w:val="center"/>
            </w:pPr>
            <w:r>
              <w:rPr>
                <w:b/>
                <w:bCs/>
                <w:sz w:val="19"/>
                <w:szCs w:val="19"/>
              </w:rPr>
              <w:t xml:space="preserve">Model Risk</w:t>
            </w:r>
          </w:p>
        </w:tc>
        <w:tc>
          <w:tcPr>
            <w:tcW w:type="dxa" w:w="2100"/>
            <w:tcBorders>
              <w:top w:val="single" w:color="CCCCCC" w:sz="1"/>
              <w:left w:val="single" w:color="CCCCCC" w:sz="1"/>
              <w:bottom w:val="single" w:color="CCCCCC" w:sz="1"/>
              <w:right w:val="single" w:color="CCCCCC" w:sz="1"/>
            </w:tcBorders>
          </w:tcPr>
          <w:p>
            <w:r>
              <w:rPr>
                <w:sz w:val="19"/>
                <w:szCs w:val="19"/>
              </w:rPr>
              <w:t xml:space="preserve">Lack of explainability preventing effective audit and accountability. Inability to understand agent decisions.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explainable AI techniques. Deploy chain-of-thought logging. Use attention mechanisms. Implement model cards. Deploy interpretability tools. Require explanations for critical decisions.</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logging, SHAP/LIME integration, proprietary interpretability</w:t>
            </w:r>
          </w:p>
          <w:p>
            <w:r>
              <w:rPr>
                <w:b/>
                <w:bCs/>
                <w:sz w:val="19"/>
                <w:szCs w:val="19"/>
              </w:rPr>
              <w:t xml:space="preserve">Buy: </w:t>
            </w:r>
            <w:r>
              <w:rPr>
                <w:sz w:val="19"/>
                <w:szCs w:val="19"/>
              </w:rPr>
              <w:t xml:space="preserve">Use platform explainability features, limited visibility, external audit tools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Model accuracy degradation, bias, concept drift. Insufficient model monitoring creating discriminatory outcomes.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continuous model monitoring with drift detection. Deploy bias detection and fairness metrics. Conduct regular retraining. Implement model governance with version control.</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Full model control, custom monitoring, own retraining cycles</w:t>
            </w:r>
          </w:p>
          <w:p>
            <w:r>
              <w:rPr>
                <w:b/>
                <w:bCs/>
                <w:sz w:val="19"/>
                <w:szCs w:val="19"/>
              </w:rPr>
              <w:t xml:space="preserve">Buy: </w:t>
            </w:r>
            <w:r>
              <w:rPr>
                <w:sz w:val="19"/>
                <w:szCs w:val="19"/>
              </w:rPr>
              <w:t xml:space="preserve">Monitor outputs only, rely on vendor model updates, limited control</w:t>
            </w:r>
          </w:p>
        </w:tc>
      </w:tr>
      <w:tr>
        <w:tc>
          <w:tcPr>
            <w:tcW w:type="dxa" w:w="1700"/>
            <w:vMerge w:val="restart"/>
            <w:tcBorders>
              <w:top w:val="single" w:color="CCCCCC" w:sz="1"/>
              <w:left w:val="single" w:color="CCCCCC" w:sz="1"/>
              <w:bottom w:val="single" w:color="CCCCCC" w:sz="1"/>
              <w:right w:val="single" w:color="CCCCCC" w:sz="1"/>
            </w:tcBorders>
            <w:shd w:fill="FFF4E6" w:val="clear"/>
          </w:tcPr>
          <w:p>
            <w:pPr>
              <w:jc w:val="center"/>
            </w:pPr>
            <w:r>
              <w:rPr>
                <w:b/>
                <w:bCs/>
                <w:sz w:val="19"/>
                <w:szCs w:val="19"/>
              </w:rPr>
              <w:t xml:space="preserve">Compliance &amp; Legal</w:t>
            </w:r>
          </w:p>
        </w:tc>
        <w:tc>
          <w:tcPr>
            <w:tcW w:type="dxa" w:w="2100"/>
            <w:tcBorders>
              <w:top w:val="single" w:color="CCCCCC" w:sz="1"/>
              <w:left w:val="single" w:color="CCCCCC" w:sz="1"/>
              <w:bottom w:val="single" w:color="CCCCCC" w:sz="1"/>
              <w:right w:val="single" w:color="CCCCCC" w:sz="1"/>
            </w:tcBorders>
          </w:tcPr>
          <w:p>
            <w:r>
              <w:rPr>
                <w:sz w:val="19"/>
                <w:szCs w:val="19"/>
              </w:rPr>
              <w:t xml:space="preserve">Insufficient copyright and IP protections. Agents generating content that infringes on copyrights or IP rights.</w:t>
            </w:r>
          </w:p>
        </w:tc>
        <w:tc>
          <w:tcPr>
            <w:tcW w:type="dxa" w:w="2400"/>
            <w:tcBorders>
              <w:top w:val="single" w:color="CCCCCC" w:sz="1"/>
              <w:left w:val="single" w:color="CCCCCC" w:sz="1"/>
              <w:bottom w:val="single" w:color="CCCCCC" w:sz="1"/>
              <w:right w:val="single" w:color="CCCCCC" w:sz="1"/>
            </w:tcBorders>
          </w:tcPr>
          <w:p>
            <w:r>
              <w:rPr>
                <w:sz w:val="19"/>
                <w:szCs w:val="19"/>
              </w:rPr>
              <w:t xml:space="preserve">Implement content filtering. Use licensed training data. Deploy plagiarism detection. Implement content provenance tracking. Establish terms of use. Deploy watermarking.</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Custom content filters, control training data sources, watermarking</w:t>
            </w:r>
          </w:p>
          <w:p>
            <w:r>
              <w:rPr>
                <w:b/>
                <w:bCs/>
                <w:sz w:val="19"/>
                <w:szCs w:val="19"/>
              </w:rPr>
              <w:t xml:space="preserve">Buy: </w:t>
            </w:r>
            <w:r>
              <w:rPr>
                <w:sz w:val="19"/>
                <w:szCs w:val="19"/>
              </w:rPr>
              <w:t xml:space="preserve">Rely on vendor IP protections, review vendor indemnification, usage policies</w:t>
            </w:r>
          </w:p>
        </w:tc>
      </w:tr>
      <w:tr>
        <w:tc>
          <w:tcPr>
            <w:vMerge w:val="continue"/>
            <w:tcBorders>
              <w:top w:val="single" w:color="CCCCCC" w:sz="1"/>
              <w:left w:val="single" w:color="CCCCCC" w:sz="1"/>
              <w:bottom w:val="single" w:color="CCCCCC" w:sz="1"/>
              <w:right w:val="single" w:color="CCCCCC" w:sz="1"/>
            </w:tcBorders>
          </w:tcPr>
          <w:p/>
        </w:tc>
        <w:tc>
          <w:tcPr>
            <w:tcW w:type="dxa" w:w="2100"/>
            <w:tcBorders>
              <w:top w:val="single" w:color="CCCCCC" w:sz="1"/>
              <w:left w:val="single" w:color="CCCCCC" w:sz="1"/>
              <w:bottom w:val="single" w:color="CCCCCC" w:sz="1"/>
              <w:right w:val="single" w:color="CCCCCC" w:sz="1"/>
            </w:tcBorders>
          </w:tcPr>
          <w:p>
            <w:r>
              <w:rPr>
                <w:sz w:val="19"/>
                <w:szCs w:val="19"/>
              </w:rPr>
              <w:t xml:space="preserve">Inadequate governance frameworks, policies, training. Lack of accountability for agent actions. Insufficient audit trails.</w:t>
            </w:r>
          </w:p>
        </w:tc>
        <w:tc>
          <w:tcPr>
            <w:tcW w:type="dxa" w:w="2400"/>
            <w:tcBorders>
              <w:top w:val="single" w:color="CCCCCC" w:sz="1"/>
              <w:left w:val="single" w:color="CCCCCC" w:sz="1"/>
              <w:bottom w:val="single" w:color="CCCCCC" w:sz="1"/>
              <w:right w:val="single" w:color="CCCCCC" w:sz="1"/>
            </w:tcBorders>
          </w:tcPr>
          <w:p>
            <w:r>
              <w:rPr>
                <w:sz w:val="19"/>
                <w:szCs w:val="19"/>
              </w:rPr>
              <w:t xml:space="preserve">Establish AI governance framework. Develop and enforce usage policies. Implement mandatory training. Establish accountability structures. Deploy comprehensive audit logging.</w:t>
            </w:r>
          </w:p>
        </w:tc>
        <w:tc>
          <w:tcPr>
            <w:tcW w:type="dxa" w:w="1100"/>
            <w:tcBorders>
              <w:top w:val="single" w:color="CCCCCC" w:sz="1"/>
              <w:left w:val="single" w:color="CCCCCC" w:sz="1"/>
              <w:bottom w:val="single" w:color="CCCCCC" w:sz="1"/>
              <w:right w:val="single" w:color="CCCCCC" w:sz="1"/>
            </w:tcBorders>
          </w:tcPr>
          <w:p>
            <w:pPr>
              <w:jc w:val="center"/>
            </w:pPr>
            <w:r>
              <w:rPr>
                <w:sz w:val="19"/>
                <w:szCs w:val="19"/>
              </w:rPr>
              <w:t xml:space="preserve">A, B, C, D</w:t>
            </w:r>
          </w:p>
        </w:tc>
        <w:tc>
          <w:tcPr>
            <w:tcW w:type="dxa" w:w="2060"/>
            <w:tcBorders>
              <w:top w:val="single" w:color="CCCCCC" w:sz="1"/>
              <w:left w:val="single" w:color="CCCCCC" w:sz="1"/>
              <w:bottom w:val="single" w:color="CCCCCC" w:sz="1"/>
              <w:right w:val="single" w:color="CCCCCC" w:sz="1"/>
            </w:tcBorders>
          </w:tcPr>
          <w:p>
            <w:r>
              <w:rPr>
                <w:b/>
                <w:bCs/>
                <w:sz w:val="19"/>
                <w:szCs w:val="19"/>
              </w:rPr>
              <w:t xml:space="preserve">Build: </w:t>
            </w:r>
            <w:r>
              <w:rPr>
                <w:sz w:val="19"/>
                <w:szCs w:val="19"/>
              </w:rPr>
              <w:t xml:space="preserve">Full audit control, custom governance tools, detailed logging</w:t>
            </w:r>
          </w:p>
          <w:p>
            <w:r>
              <w:rPr>
                <w:b/>
                <w:bCs/>
                <w:sz w:val="19"/>
                <w:szCs w:val="19"/>
              </w:rPr>
              <w:t xml:space="preserve">Buy: </w:t>
            </w:r>
            <w:r>
              <w:rPr>
                <w:sz w:val="19"/>
                <w:szCs w:val="19"/>
              </w:rPr>
              <w:t xml:space="preserve">Platform audit logs via API, governance through admin console, training for users</w:t>
            </w:r>
          </w:p>
        </w:tc>
      </w:tr>
    </w:tbl>
    <w:p>
      <w:r>
        <w:br w:type="page"/>
      </w:r>
    </w:p>
    <w:p>
      <w:pPr>
        <w:pStyle w:val="Heading1"/>
      </w:pPr>
      <w:r>
        <w:t xml:space="preserve">5. Implementation Roadmap and Considerations</w:t>
      </w:r>
    </w:p>
    <w:p>
      <w:pPr>
        <w:pStyle w:val="Heading2"/>
      </w:pPr>
      <w:r>
        <w:t xml:space="preserve">5.1 Build Agent Implementation Strategy</w:t>
      </w:r>
    </w:p>
    <w:p>
      <w:pPr>
        <w:pStyle w:val="BodyText"/>
      </w:pPr>
      <w:r>
        <w:t xml:space="preserve">Organizations developing Build Agents must establish comprehensive development and deployment frameworks that integrate security from inception. The secure development lifecycle for agentic systems extends traditional software security practices to address AI-specific concerns including model security, prompt engineering safety, and autonomous behavior validation.</w:t>
      </w:r>
    </w:p>
    <w:p>
      <w:pPr>
        <w:pStyle w:val="BodyText"/>
      </w:pPr>
      <w:r>
        <w:t xml:space="preserve">Infrastructure setup requires establishing secure compute environments with network segmentation isolating agent workloads from general application infrastructure. Organizations should implement container orchestration platforms (Kubernetes, ECS) with security hardening, secrets management systems (HashiCorp Vault, AWS Secrets Manager), comprehensive logging and monitoring infrastructure (ELK, Splunk, Datadog), and API gateway solutions providing centralized security policy enforcement. Development teams need access to secure development environments, testing frameworks for AI systems, and continuous integration/continuous deployment pipelines with security gates.</w:t>
      </w:r>
    </w:p>
    <w:p>
      <w:pPr>
        <w:pStyle w:val="BodyText"/>
      </w:pPr>
      <w:r>
        <w:t xml:space="preserve">Security controls must be implemented at multiple layers. Application-level controls include input validation frameworks preventing prompt injection, output sanitization preventing data leakage, custom authorization logic enforcing least privilege, and agent behavior monitoring detecting anomalies. Infrastructure-level controls encompass network policies restricting agent connectivity, resource quotas preventing resource exhaustion, container security scanning, and runtime protection mechanisms. Operational controls include comprehensive audit logging, incident response procedures specific to agent operations, and regular security assessments including penetration testing.</w:t>
      </w:r>
    </w:p>
    <w:p>
      <w:pPr>
        <w:pStyle w:val="BodyText"/>
      </w:pPr>
      <w:r>
        <w:t xml:space="preserve">Testing strategies for Build Agents must be comprehensive, covering functional testing of agent capabilities, security testing including adversarial scenarios, performance and scalability testing, integration testing with backend systems, and regression testing for model updates. Organizations should establish baseline security requirements that all agents must meet before production deployment, with automated testing in CI/CD pipelines and manual security review for high-risk agents.</w:t>
      </w:r>
    </w:p>
    <w:p>
      <w:pPr>
        <w:pStyle w:val="Heading2"/>
      </w:pPr>
      <w:r>
        <w:t xml:space="preserve">5.2 Buy Agent Implementation Strategy</w:t>
      </w:r>
    </w:p>
    <w:p>
      <w:pPr>
        <w:pStyle w:val="BodyText"/>
      </w:pPr>
      <w:r>
        <w:t xml:space="preserve">Organizations deploying Buy Agents through SaaS platforms face a fundamentally different implementation challenge focused on vendor selection, configuration management, and compensating controls for platform limitations. The implementation strategy must balance rapid deployment capabilities with thorough risk assessment and control validation.</w:t>
      </w:r>
    </w:p>
    <w:p>
      <w:pPr>
        <w:pStyle w:val="BodyText"/>
      </w:pPr>
      <w:r>
        <w:t xml:space="preserve">Vendor selection and assessment represents the critical first step. Organizations should evaluate platform security posture through SOC 2 Type II reports, ISO 27001 certifications, and security questionnaire responses. Key evaluation criteria include data residency and sovereignty capabilities, security feature richness and configurability, integration capabilities with corporate security tools, audit logging and monitoring capabilities, vendor incident response track record, and contractual terms addressing security responsibilities and liabilities. Organizations should establish approved vendor lists and standardize on platforms that meet organizational security requirements.</w:t>
      </w:r>
    </w:p>
    <w:p>
      <w:pPr>
        <w:pStyle w:val="BodyText"/>
      </w:pPr>
      <w:r>
        <w:t xml:space="preserve">Configuration management becomes paramount for Buy Agents as security depends heavily on proper platform configuration. Organizations must document baseline security configurations for each platform, implement configuration-as-code where possible, establish approval workflows for agent deployment, and conduct regular configuration audits. Critical configurations include user authentication and authorization settings, data access controls and sensitivity labels, agent permission scopes and limitations, integration endpoint configurations, and logging and monitoring settings. Configuration drift detection and automated remediation help maintain security posture over time.</w:t>
      </w:r>
    </w:p>
    <w:p>
      <w:pPr>
        <w:pStyle w:val="BodyText"/>
      </w:pPr>
      <w:r>
        <w:t xml:space="preserve">Compensating controls address gaps in platform capabilities. Organizations should implement external data loss prevention monitoring agent outputs, API gateways providing additional policy enforcement for agent integrations, user behavior analytics detecting anomalous agent usage, backup and archival systems for agent-created content, and external audit log aggregation and analysis. These compensating controls provide defense-in-depth while acknowledging limited ability to control vendor infrastructure directly.</w:t>
      </w:r>
    </w:p>
    <w:p>
      <w:pPr>
        <w:pStyle w:val="BodyText"/>
      </w:pPr>
      <w:r>
        <w:t xml:space="preserve">User enablement and governance prove critical for Buy Agents as individual users can deploy agents. Organizations must implement mandatory training programs covering appropriate agent usage, agent marketplace governance with approval workflows, clear policies defining acceptable and prohibited use cases, monitoring systems detecting policy violations, and user feedback mechanisms for reporting issues. The governance framework must balance user autonomy enabling innovation with organizational risk management preventing unauthorized or dangerous agent deployments.</w:t>
      </w:r>
    </w:p>
    <w:p>
      <w:pPr>
        <w:pStyle w:val="Heading2"/>
      </w:pPr>
      <w:r>
        <w:t xml:space="preserve">5.3 Hybrid Deployment Considerations</w:t>
      </w:r>
    </w:p>
    <w:p>
      <w:pPr>
        <w:pStyle w:val="BodyText"/>
      </w:pPr>
      <w:r>
        <w:t xml:space="preserve">Most organizations will deploy both Build and Buy Agents, creating hybrid environments requiring unified governance frameworks while acknowledging implementation differences. Successful hybrid deployments require consistent policy frameworks that apply regardless of deployment model, centralized agent registries tracking both Build and Buy agents, unified monitoring and alerting across deployment models, common incident response procedures, and consistent risk classification and approval processes.</w:t>
      </w:r>
    </w:p>
    <w:p>
      <w:pPr>
        <w:pStyle w:val="BodyText"/>
      </w:pPr>
      <w:r>
        <w:t xml:space="preserve">Integration between Build and Buy Agents introduces additional complexity requiring careful security consideration. Organizations should implement secure communication channels when Build agents interact with Buy agent outputs, clear data flow boundaries preventing sensitive data exposure to Buy platforms, monitoring detecting unusual interaction patterns, and architectural patterns minimizing cross-model dependencies. The principle of least privilege applies to inter-agent communication, with explicit authorization required for cross-model interactions.</w:t>
      </w:r>
    </w:p>
    <w:p>
      <w:pPr>
        <w:pStyle w:val="BodyText"/>
      </w:pPr>
      <w:r>
        <w:t xml:space="preserve">Cost-benefit analysis should inform Build versus Buy decisions for new agent use cases. Build Agents offer maximum control and customization at higher development and operational costs. Buy Agents offer rapid deployment and reduced operational burden at the cost of limited control and vendor dependency. Organizations should establish decision frameworks considering use case sensitivity, required customization depth, integration complexity, regulatory requirements, organizational capabilities, and long-term strategic alignment. High-sensitivity use cases requiring deep customization typically favor Build, while lower-risk use cases benefiting from rapid deployment favor Buy.</w:t>
      </w:r>
    </w:p>
    <w:p>
      <w:r>
        <w:br w:type="page"/>
      </w:r>
    </w:p>
    <w:p>
      <w:pPr>
        <w:pStyle w:val="Heading1"/>
      </w:pPr>
      <w:r>
        <w:t xml:space="preserve">6. Governance and Oversight Framework</w:t>
      </w:r>
    </w:p>
    <w:p>
      <w:pPr>
        <w:pStyle w:val="Heading2"/>
      </w:pPr>
      <w:r>
        <w:t xml:space="preserve">6.1 Unified Governance Structure</w:t>
      </w:r>
    </w:p>
    <w:p>
      <w:pPr>
        <w:pStyle w:val="BodyText"/>
      </w:pPr>
      <w:r>
        <w:t xml:space="preserve">Effective governance of agentic AI systems requires organizational structures that span both Build and Buy deployments while maintaining appropriate control depth for each model. The governance framework operates at strategic, tactical, and operational levels with clear roles and escalation paths.</w:t>
      </w:r>
    </w:p>
    <w:p>
      <w:pPr>
        <w:pStyle w:val="BodyText"/>
      </w:pPr>
      <w:r>
        <w:t xml:space="preserve">At the strategic level, an AI Steering Committee comprising executive leadership establishes organizational policies applicable to all agent deployments, approves high-risk use cases regardless of deployment model, oversees compliance with regulatory requirements, allocates resources for security and governance capabilities, and provides direction on Build versus Buy strategy. This executive oversight ensures consistent risk appetite and strategic alignment across the agentic AI portfolio.</w:t>
      </w:r>
    </w:p>
    <w:p>
      <w:pPr>
        <w:pStyle w:val="BodyText"/>
      </w:pPr>
      <w:r>
        <w:t xml:space="preserve">At the tactical level, an Agentic AI Governance Council with cross-functional membership manages operational governance processes. Council responsibilities include reviewing and approving agent deployments for both Build and Buy models, conducting risk assessments using unified frameworks, maintaining the centralized agent registry, managing vendor relationships for Buy platforms, overseeing security control implementation, and serving as escalation point for operational issues. The council ensures consistent application of governance principles while adapting to deployment-specific constraints.</w:t>
      </w:r>
    </w:p>
    <w:p>
      <w:pPr>
        <w:pStyle w:val="Heading2"/>
      </w:pPr>
      <w:r>
        <w:t xml:space="preserve">6.2 Build Agent Governance Specifics</w:t>
      </w:r>
    </w:p>
    <w:p>
      <w:pPr>
        <w:pStyle w:val="BodyText"/>
      </w:pPr>
      <w:r>
        <w:t xml:space="preserve">Build Agent governance focuses on development lifecycle controls, code security, and infrastructure management. Agent Product Owners are accountable for specific agent implementations, ensuring they meet security requirements, operate within approved boundaries, and maintain required controls. Development teams must follow secure coding practices, conduct code reviews with security participation, implement automated security testing, and maintain comprehensive documentation.</w:t>
      </w:r>
    </w:p>
    <w:p>
      <w:pPr>
        <w:pStyle w:val="BodyText"/>
      </w:pPr>
      <w:r>
        <w:t xml:space="preserve">Deployment approval processes for Build Agents include security architecture review, penetration testing results, compliance assessment, operational readiness verification, and executive approval for high-risk agents. Post-deployment, continuous monitoring tracks agent behavior, security events, performance metrics, and business outcomes. Regular security assessments validate ongoing control effectiveness.</w:t>
      </w:r>
    </w:p>
    <w:p>
      <w:pPr>
        <w:pStyle w:val="Heading2"/>
      </w:pPr>
      <w:r>
        <w:t xml:space="preserve">6.3 Buy Agent Governance Specifics</w:t>
      </w:r>
    </w:p>
    <w:p>
      <w:pPr>
        <w:pStyle w:val="BodyText"/>
      </w:pPr>
      <w:r>
        <w:t xml:space="preserve">Buy Agent governance emphasizes vendor management, configuration control, and user enablement. Platform administrators are accountable for baseline security configurations, user access management, and compliance monitoring. Organizations must establish approved platform lists, conduct regular vendor assessments, and maintain vendor relationship management processes.</w:t>
      </w:r>
    </w:p>
    <w:p>
      <w:pPr>
        <w:pStyle w:val="BodyText"/>
      </w:pPr>
      <w:r>
        <w:t xml:space="preserve">Agent marketplace governance proves critical for user-deployed Buy Agents. Organizations should implement approval workflows where agents must be reviewed before deployment, establish agent templates meeting security requirements, provide self-service capabilities with guardrails, and monitor deployed agents for policy compliance. User training programs ensure individuals understand their responsibilities when deploying agents, recognize security risks, and know when to escalate concerns.</w:t>
      </w:r>
    </w:p>
    <w:p>
      <w:pPr>
        <w:pStyle w:val="Heading2"/>
      </w:pPr>
      <w:r>
        <w:t xml:space="preserve">6.4 Continuous Monitoring and Improvement</w:t>
      </w:r>
    </w:p>
    <w:p>
      <w:pPr>
        <w:pStyle w:val="BodyText"/>
      </w:pPr>
      <w:r>
        <w:t xml:space="preserve">Continuous monitoring frameworks must cover both Build and Buy agents with unified observability. Key metrics include agent activity levels, security events and policy violations, data access patterns, user interactions, performance indicators, and business outcomes. Anomaly detection systems identify unusual patterns warranting investigation regardless of deployment model.</w:t>
      </w:r>
    </w:p>
    <w:p>
      <w:pPr>
        <w:pStyle w:val="BodyText"/>
      </w:pPr>
      <w:r>
        <w:t xml:space="preserve">Regular governance reviews assess framework effectiveness, identify emerging risks, validate control implementation, and drive continuous improvement. Organizations should conduct quarterly governance assessments, annual comprehensive audits, and periodic benchmarking against industry best practices. Incident retrospectives provide valuable learning opportunities, identifying systemic issues and informing governance enhancements. The governance framework must evolve as agentic AI capabilities mature, new risks emerge, and organizational maturity increases.</w:t>
      </w:r>
    </w:p>
    <w:p>
      <w:r>
        <w:br w:type="page"/>
      </w:r>
    </w:p>
    <w:p>
      <w:pPr>
        <w:pStyle w:val="Heading1"/>
      </w:pPr>
      <w:r>
        <w:t xml:space="preserve">7. Conclusion</w:t>
      </w:r>
    </w:p>
    <w:p>
      <w:pPr>
        <w:pStyle w:val="BodyText"/>
      </w:pPr>
      <w:r>
        <w:t xml:space="preserve">The transition to agentic AI systems represents a fundamental shift in how organizations deploy and manage artificial intelligence, creating substantial opportunities alongside significant security challenges. Organizations must navigate two distinct deployment paths: Build Agents offering maximum control and customization on company-owned infrastructure, and Buy Agents providing rapid deployment through SaaS platforms with vendor-managed security. Both models serve human personas within organizations but require fundamentally different implementation approaches and control strategies.</w:t>
      </w:r>
    </w:p>
    <w:p>
      <w:pPr>
        <w:pStyle w:val="BodyText"/>
      </w:pPr>
      <w:r>
        <w:t xml:space="preserve">This white paper has established a comprehensive security framework applicable across both deployment models and all agent capability types. The detailed control matrix provides practical guidance for implementing layered defenses addressing identity management, operational boundaries, cybersecurity threats, data protection, compliance obligations, and infrastructure-specific risks. Organizations can adapt this framework to their specific contexts while maintaining robust security postures enabling innovation.</w:t>
      </w:r>
    </w:p>
    <w:p>
      <w:pPr>
        <w:pStyle w:val="BodyText"/>
      </w:pPr>
      <w:r>
        <w:t xml:space="preserve">Success requires more than technical controls. Organizations must cultivate mature governance structures spanning both Build and Buy deployments, invest in specialized capabilities and tooling, foster cross-functional collaboration, make informed Build-versus-Buy decisions based on use case requirements, and maintain organizational commitment to responsible AI deployment. The phased implementation approaches outlined provide pathways for building capabilities progressively while managing risks appropriately.</w:t>
      </w:r>
    </w:p>
    <w:p>
      <w:pPr>
        <w:pStyle w:val="BodyText"/>
      </w:pPr>
      <w:r>
        <w:t xml:space="preserve">Understanding the fundamental differences between Build and Buy models proves essential. Build Agents demand comprehensive development capabilities, full security implementation responsibility, and significant operational investment while providing maximum flexibility and control. Buy Agents enable rapid deployment with reduced operational burden but introduce vendor dependency, limited customization options, and requirements for trust in vendor security practices. Most organizations will deploy hybrid environments requiring unified governance while adapting controls to deployment-specific constraints.</w:t>
      </w:r>
    </w:p>
    <w:p>
      <w:pPr>
        <w:pStyle w:val="BodyText"/>
      </w:pPr>
      <w:r>
        <w:t xml:space="preserve">Looking forward, agentic AI security will continue evolving as capabilities advance, threat actors adapt, and regulatory frameworks mature. Organizations must remain vigilant, continuously learning and adapting their strategies for both Build and Buy deployments. The principles and practices outlined provide solid foundations, but implementation must be viewed as ongoing journeys rather than destinations. By approaching agentic AI with appropriate rigor across both deployment models while maintaining agility to innovate, organizations can harness transformative capabilities while protecting stakeholder interests and maintaining public trust.</w:t>
      </w:r>
    </w:p>
    <w:p>
      <w:r>
        <w:br w:type="page"/>
      </w:r>
    </w:p>
    <w:p>
      <w:pPr>
        <w:pStyle w:val="Heading1"/>
      </w:pPr>
      <w:r>
        <w:t xml:space="preserve">Appendix: Quick Reference Guides</w:t>
      </w:r>
    </w:p>
    <w:p>
      <w:pPr>
        <w:pStyle w:val="Heading2"/>
      </w:pPr>
      <w:r>
        <w:t xml:space="preserve">A.1 Build vs Buy Agent Comparison</w:t>
      </w:r>
    </w:p>
    <w:p>
      <w:pPr>
        <w:spacing w:before="120"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40"/>
        <w:gridCol w:w="3510"/>
        <w:gridCol w:w="3510"/>
      </w:tblGrid>
      <w:tr>
        <w:trPr>
          <w:tblHeader/>
        </w:trPr>
        <w:tc>
          <w:tcPr>
            <w:tcW w:type="dxa" w:w="2340"/>
            <w:tcBorders>
              <w:top w:val="single" w:color="2E5090" w:sz="2"/>
              <w:left w:val="single" w:color="2E5090" w:sz="2"/>
              <w:bottom w:val="single" w:color="2E5090" w:sz="2"/>
              <w:right w:val="single" w:color="2E5090" w:sz="2"/>
            </w:tcBorders>
            <w:shd w:fill="2E5090" w:val="clear"/>
          </w:tcPr>
          <w:p>
            <w:pPr>
              <w:jc w:val="center"/>
            </w:pPr>
            <w:r>
              <w:rPr>
                <w:b/>
                <w:bCs/>
                <w:color w:val="FFFFFF"/>
                <w:sz w:val="20"/>
                <w:szCs w:val="20"/>
              </w:rPr>
              <w:t xml:space="preserve">Characteristic</w:t>
            </w:r>
          </w:p>
        </w:tc>
        <w:tc>
          <w:tcPr>
            <w:tcW w:type="dxa" w:w="3510"/>
            <w:tcBorders>
              <w:top w:val="single" w:color="2E5090" w:sz="2"/>
              <w:left w:val="single" w:color="2E5090" w:sz="2"/>
              <w:bottom w:val="single" w:color="2E5090" w:sz="2"/>
              <w:right w:val="single" w:color="2E5090" w:sz="2"/>
            </w:tcBorders>
            <w:shd w:fill="2E5090" w:val="clear"/>
          </w:tcPr>
          <w:p>
            <w:pPr>
              <w:jc w:val="center"/>
            </w:pPr>
            <w:r>
              <w:rPr>
                <w:b/>
                <w:bCs/>
                <w:color w:val="FFFFFF"/>
                <w:sz w:val="20"/>
                <w:szCs w:val="20"/>
              </w:rPr>
              <w:t xml:space="preserve">Build Agents</w:t>
            </w:r>
          </w:p>
        </w:tc>
        <w:tc>
          <w:tcPr>
            <w:tcW w:type="dxa" w:w="3510"/>
            <w:tcBorders>
              <w:top w:val="single" w:color="2E5090" w:sz="2"/>
              <w:left w:val="single" w:color="2E5090" w:sz="2"/>
              <w:bottom w:val="single" w:color="2E5090" w:sz="2"/>
              <w:right w:val="single" w:color="2E5090" w:sz="2"/>
            </w:tcBorders>
            <w:shd w:fill="2E5090" w:val="clear"/>
          </w:tcPr>
          <w:p>
            <w:pPr>
              <w:jc w:val="center"/>
            </w:pPr>
            <w:r>
              <w:rPr>
                <w:b/>
                <w:bCs/>
                <w:color w:val="FFFFFF"/>
                <w:sz w:val="20"/>
                <w:szCs w:val="20"/>
              </w:rPr>
              <w:t xml:space="preserve">Buy Agents</w:t>
            </w:r>
          </w:p>
        </w:tc>
      </w:tr>
      <w:tr>
        <w:tc>
          <w:tcPr>
            <w:tcW w:type="dxa" w:w="2340"/>
            <w:tcBorders>
              <w:top w:val="single" w:color="CCCCCC" w:sz="1"/>
              <w:left w:val="single" w:color="CCCCCC" w:sz="1"/>
              <w:bottom w:val="single" w:color="CCCCCC" w:sz="1"/>
              <w:right w:val="single" w:color="CCCCCC" w:sz="1"/>
            </w:tcBorders>
            <w:shd w:fill="F0F0F0" w:val="clear"/>
          </w:tcPr>
          <w:p>
            <w:r>
              <w:rPr>
                <w:b/>
                <w:bCs/>
                <w:sz w:val="20"/>
                <w:szCs w:val="20"/>
              </w:rPr>
              <w:t xml:space="preserve">Infrastructure</w:t>
            </w:r>
          </w:p>
        </w:tc>
        <w:tc>
          <w:tcPr>
            <w:tcW w:type="dxa" w:w="3510"/>
            <w:tcBorders>
              <w:top w:val="single" w:color="CCCCCC" w:sz="1"/>
              <w:left w:val="single" w:color="CCCCCC" w:sz="1"/>
              <w:bottom w:val="single" w:color="CCCCCC" w:sz="1"/>
              <w:right w:val="single" w:color="CCCCCC" w:sz="1"/>
            </w:tcBorders>
          </w:tcPr>
          <w:p>
            <w:r>
              <w:rPr>
                <w:sz w:val="20"/>
                <w:szCs w:val="20"/>
              </w:rPr>
              <w:t xml:space="preserve">Company-owned servers (on-prem or cloud)</w:t>
            </w:r>
          </w:p>
        </w:tc>
        <w:tc>
          <w:tcPr>
            <w:tcW w:type="dxa" w:w="3510"/>
            <w:tcBorders>
              <w:top w:val="single" w:color="CCCCCC" w:sz="1"/>
              <w:left w:val="single" w:color="CCCCCC" w:sz="1"/>
              <w:bottom w:val="single" w:color="CCCCCC" w:sz="1"/>
              <w:right w:val="single" w:color="CCCCCC" w:sz="1"/>
            </w:tcBorders>
          </w:tcPr>
          <w:p>
            <w:r>
              <w:rPr>
                <w:sz w:val="20"/>
                <w:szCs w:val="20"/>
              </w:rPr>
              <w:t xml:space="preserve">Vendor SaaS platforms (ChatGPT, Copilot)</w:t>
            </w:r>
          </w:p>
        </w:tc>
      </w:tr>
      <w:tr>
        <w:tc>
          <w:tcPr>
            <w:tcW w:type="dxa" w:w="2340"/>
            <w:tcBorders>
              <w:top w:val="single" w:color="CCCCCC" w:sz="1"/>
              <w:left w:val="single" w:color="CCCCCC" w:sz="1"/>
              <w:bottom w:val="single" w:color="CCCCCC" w:sz="1"/>
              <w:right w:val="single" w:color="CCCCCC" w:sz="1"/>
            </w:tcBorders>
            <w:shd w:fill="F0F0F0" w:val="clear"/>
          </w:tcPr>
          <w:p>
            <w:r>
              <w:rPr>
                <w:b/>
                <w:bCs/>
                <w:sz w:val="20"/>
                <w:szCs w:val="20"/>
              </w:rPr>
              <w:t xml:space="preserve">Control Level</w:t>
            </w:r>
          </w:p>
        </w:tc>
        <w:tc>
          <w:tcPr>
            <w:tcW w:type="dxa" w:w="3510"/>
            <w:tcBorders>
              <w:top w:val="single" w:color="CCCCCC" w:sz="1"/>
              <w:left w:val="single" w:color="CCCCCC" w:sz="1"/>
              <w:bottom w:val="single" w:color="CCCCCC" w:sz="1"/>
              <w:right w:val="single" w:color="CCCCCC" w:sz="1"/>
            </w:tcBorders>
          </w:tcPr>
          <w:p>
            <w:r>
              <w:rPr>
                <w:sz w:val="20"/>
                <w:szCs w:val="20"/>
              </w:rPr>
              <w:t xml:space="preserve">Full control over code, data, security</w:t>
            </w:r>
          </w:p>
        </w:tc>
        <w:tc>
          <w:tcPr>
            <w:tcW w:type="dxa" w:w="3510"/>
            <w:tcBorders>
              <w:top w:val="single" w:color="CCCCCC" w:sz="1"/>
              <w:left w:val="single" w:color="CCCCCC" w:sz="1"/>
              <w:bottom w:val="single" w:color="CCCCCC" w:sz="1"/>
              <w:right w:val="single" w:color="CCCCCC" w:sz="1"/>
            </w:tcBorders>
          </w:tcPr>
          <w:p>
            <w:r>
              <w:rPr>
                <w:sz w:val="20"/>
                <w:szCs w:val="20"/>
              </w:rPr>
              <w:t xml:space="preserve">Limited to platform configuration options</w:t>
            </w:r>
          </w:p>
        </w:tc>
      </w:tr>
      <w:tr>
        <w:tc>
          <w:tcPr>
            <w:tcW w:type="dxa" w:w="2340"/>
            <w:tcBorders>
              <w:top w:val="single" w:color="CCCCCC" w:sz="1"/>
              <w:left w:val="single" w:color="CCCCCC" w:sz="1"/>
              <w:bottom w:val="single" w:color="CCCCCC" w:sz="1"/>
              <w:right w:val="single" w:color="CCCCCC" w:sz="1"/>
            </w:tcBorders>
            <w:shd w:fill="F0F0F0" w:val="clear"/>
          </w:tcPr>
          <w:p>
            <w:r>
              <w:rPr>
                <w:b/>
                <w:bCs/>
                <w:sz w:val="20"/>
                <w:szCs w:val="20"/>
              </w:rPr>
              <w:t xml:space="preserve">Development</w:t>
            </w:r>
          </w:p>
        </w:tc>
        <w:tc>
          <w:tcPr>
            <w:tcW w:type="dxa" w:w="3510"/>
            <w:tcBorders>
              <w:top w:val="single" w:color="CCCCCC" w:sz="1"/>
              <w:left w:val="single" w:color="CCCCCC" w:sz="1"/>
              <w:bottom w:val="single" w:color="CCCCCC" w:sz="1"/>
              <w:right w:val="single" w:color="CCCCCC" w:sz="1"/>
            </w:tcBorders>
          </w:tcPr>
          <w:p>
            <w:r>
              <w:rPr>
                <w:sz w:val="20"/>
                <w:szCs w:val="20"/>
              </w:rPr>
              <w:t xml:space="preserve">Internal development required</w:t>
            </w:r>
          </w:p>
        </w:tc>
        <w:tc>
          <w:tcPr>
            <w:tcW w:type="dxa" w:w="3510"/>
            <w:tcBorders>
              <w:top w:val="single" w:color="CCCCCC" w:sz="1"/>
              <w:left w:val="single" w:color="CCCCCC" w:sz="1"/>
              <w:bottom w:val="single" w:color="CCCCCC" w:sz="1"/>
              <w:right w:val="single" w:color="CCCCCC" w:sz="1"/>
            </w:tcBorders>
          </w:tcPr>
          <w:p>
            <w:r>
              <w:rPr>
                <w:sz w:val="20"/>
                <w:szCs w:val="20"/>
              </w:rPr>
              <w:t xml:space="preserve">Configuration through platform interface</w:t>
            </w:r>
          </w:p>
        </w:tc>
      </w:tr>
      <w:tr>
        <w:tc>
          <w:tcPr>
            <w:tcW w:type="dxa" w:w="2340"/>
            <w:tcBorders>
              <w:top w:val="single" w:color="CCCCCC" w:sz="1"/>
              <w:left w:val="single" w:color="CCCCCC" w:sz="1"/>
              <w:bottom w:val="single" w:color="CCCCCC" w:sz="1"/>
              <w:right w:val="single" w:color="CCCCCC" w:sz="1"/>
            </w:tcBorders>
            <w:shd w:fill="F0F0F0" w:val="clear"/>
          </w:tcPr>
          <w:p>
            <w:r>
              <w:rPr>
                <w:b/>
                <w:bCs/>
                <w:sz w:val="20"/>
                <w:szCs w:val="20"/>
              </w:rPr>
              <w:t xml:space="preserve">Security Implementation</w:t>
            </w:r>
          </w:p>
        </w:tc>
        <w:tc>
          <w:tcPr>
            <w:tcW w:type="dxa" w:w="3510"/>
            <w:tcBorders>
              <w:top w:val="single" w:color="CCCCCC" w:sz="1"/>
              <w:left w:val="single" w:color="CCCCCC" w:sz="1"/>
              <w:bottom w:val="single" w:color="CCCCCC" w:sz="1"/>
              <w:right w:val="single" w:color="CCCCCC" w:sz="1"/>
            </w:tcBorders>
          </w:tcPr>
          <w:p>
            <w:r>
              <w:rPr>
                <w:sz w:val="20"/>
                <w:szCs w:val="20"/>
              </w:rPr>
              <w:t xml:space="preserve">Full responsibility for all security layers</w:t>
            </w:r>
          </w:p>
        </w:tc>
        <w:tc>
          <w:tcPr>
            <w:tcW w:type="dxa" w:w="3510"/>
            <w:tcBorders>
              <w:top w:val="single" w:color="CCCCCC" w:sz="1"/>
              <w:left w:val="single" w:color="CCCCCC" w:sz="1"/>
              <w:bottom w:val="single" w:color="CCCCCC" w:sz="1"/>
              <w:right w:val="single" w:color="CCCCCC" w:sz="1"/>
            </w:tcBorders>
          </w:tcPr>
          <w:p>
            <w:r>
              <w:rPr>
                <w:sz w:val="20"/>
                <w:szCs w:val="20"/>
              </w:rPr>
              <w:t xml:space="preserve">Rely on vendor security + compensating controls</w:t>
            </w:r>
          </w:p>
        </w:tc>
      </w:tr>
      <w:tr>
        <w:tc>
          <w:tcPr>
            <w:tcW w:type="dxa" w:w="2340"/>
            <w:tcBorders>
              <w:top w:val="single" w:color="CCCCCC" w:sz="1"/>
              <w:left w:val="single" w:color="CCCCCC" w:sz="1"/>
              <w:bottom w:val="single" w:color="CCCCCC" w:sz="1"/>
              <w:right w:val="single" w:color="CCCCCC" w:sz="1"/>
            </w:tcBorders>
            <w:shd w:fill="F0F0F0" w:val="clear"/>
          </w:tcPr>
          <w:p>
            <w:r>
              <w:rPr>
                <w:b/>
                <w:bCs/>
                <w:sz w:val="20"/>
                <w:szCs w:val="20"/>
              </w:rPr>
              <w:t xml:space="preserve">Time to Deploy</w:t>
            </w:r>
          </w:p>
        </w:tc>
        <w:tc>
          <w:tcPr>
            <w:tcW w:type="dxa" w:w="3510"/>
            <w:tcBorders>
              <w:top w:val="single" w:color="CCCCCC" w:sz="1"/>
              <w:left w:val="single" w:color="CCCCCC" w:sz="1"/>
              <w:bottom w:val="single" w:color="CCCCCC" w:sz="1"/>
              <w:right w:val="single" w:color="CCCCCC" w:sz="1"/>
            </w:tcBorders>
          </w:tcPr>
          <w:p>
            <w:r>
              <w:rPr>
                <w:sz w:val="20"/>
                <w:szCs w:val="20"/>
              </w:rPr>
              <w:t xml:space="preserve">Months (development + testing + deployment)</w:t>
            </w:r>
          </w:p>
        </w:tc>
        <w:tc>
          <w:tcPr>
            <w:tcW w:type="dxa" w:w="3510"/>
            <w:tcBorders>
              <w:top w:val="single" w:color="CCCCCC" w:sz="1"/>
              <w:left w:val="single" w:color="CCCCCC" w:sz="1"/>
              <w:bottom w:val="single" w:color="CCCCCC" w:sz="1"/>
              <w:right w:val="single" w:color="CCCCCC" w:sz="1"/>
            </w:tcBorders>
          </w:tcPr>
          <w:p>
            <w:r>
              <w:rPr>
                <w:sz w:val="20"/>
                <w:szCs w:val="20"/>
              </w:rPr>
              <w:t xml:space="preserve">Days to weeks (configuration + approval)</w:t>
            </w:r>
          </w:p>
        </w:tc>
      </w:tr>
      <w:tr>
        <w:tc>
          <w:tcPr>
            <w:tcW w:type="dxa" w:w="2340"/>
            <w:tcBorders>
              <w:top w:val="single" w:color="CCCCCC" w:sz="1"/>
              <w:left w:val="single" w:color="CCCCCC" w:sz="1"/>
              <w:bottom w:val="single" w:color="CCCCCC" w:sz="1"/>
              <w:right w:val="single" w:color="CCCCCC" w:sz="1"/>
            </w:tcBorders>
            <w:shd w:fill="F0F0F0" w:val="clear"/>
          </w:tcPr>
          <w:p>
            <w:r>
              <w:rPr>
                <w:b/>
                <w:bCs/>
                <w:sz w:val="20"/>
                <w:szCs w:val="20"/>
              </w:rPr>
              <w:t xml:space="preserve">Customization</w:t>
            </w:r>
          </w:p>
        </w:tc>
        <w:tc>
          <w:tcPr>
            <w:tcW w:type="dxa" w:w="3510"/>
            <w:tcBorders>
              <w:top w:val="single" w:color="CCCCCC" w:sz="1"/>
              <w:left w:val="single" w:color="CCCCCC" w:sz="1"/>
              <w:bottom w:val="single" w:color="CCCCCC" w:sz="1"/>
              <w:right w:val="single" w:color="CCCCCC" w:sz="1"/>
            </w:tcBorders>
          </w:tcPr>
          <w:p>
            <w:r>
              <w:rPr>
                <w:sz w:val="20"/>
                <w:szCs w:val="20"/>
              </w:rPr>
              <w:t xml:space="preserve">Unlimited customization possible</w:t>
            </w:r>
          </w:p>
        </w:tc>
        <w:tc>
          <w:tcPr>
            <w:tcW w:type="dxa" w:w="3510"/>
            <w:tcBorders>
              <w:top w:val="single" w:color="CCCCCC" w:sz="1"/>
              <w:left w:val="single" w:color="CCCCCC" w:sz="1"/>
              <w:bottom w:val="single" w:color="CCCCCC" w:sz="1"/>
              <w:right w:val="single" w:color="CCCCCC" w:sz="1"/>
            </w:tcBorders>
          </w:tcPr>
          <w:p>
            <w:r>
              <w:rPr>
                <w:sz w:val="20"/>
                <w:szCs w:val="20"/>
              </w:rPr>
              <w:t xml:space="preserve">Limited to platform capabilities</w:t>
            </w:r>
          </w:p>
        </w:tc>
      </w:tr>
      <w:tr>
        <w:tc>
          <w:tcPr>
            <w:tcW w:type="dxa" w:w="2340"/>
            <w:tcBorders>
              <w:top w:val="single" w:color="CCCCCC" w:sz="1"/>
              <w:left w:val="single" w:color="CCCCCC" w:sz="1"/>
              <w:bottom w:val="single" w:color="CCCCCC" w:sz="1"/>
              <w:right w:val="single" w:color="CCCCCC" w:sz="1"/>
            </w:tcBorders>
            <w:shd w:fill="F0F0F0" w:val="clear"/>
          </w:tcPr>
          <w:p>
            <w:r>
              <w:rPr>
                <w:b/>
                <w:bCs/>
                <w:sz w:val="20"/>
                <w:szCs w:val="20"/>
              </w:rPr>
              <w:t xml:space="preserve">Data Residency</w:t>
            </w:r>
          </w:p>
        </w:tc>
        <w:tc>
          <w:tcPr>
            <w:tcW w:type="dxa" w:w="3510"/>
            <w:tcBorders>
              <w:top w:val="single" w:color="CCCCCC" w:sz="1"/>
              <w:left w:val="single" w:color="CCCCCC" w:sz="1"/>
              <w:bottom w:val="single" w:color="CCCCCC" w:sz="1"/>
              <w:right w:val="single" w:color="CCCCCC" w:sz="1"/>
            </w:tcBorders>
          </w:tcPr>
          <w:p>
            <w:r>
              <w:rPr>
                <w:sz w:val="20"/>
                <w:szCs w:val="20"/>
              </w:rPr>
              <w:t xml:space="preserve">Full control over data location</w:t>
            </w:r>
          </w:p>
        </w:tc>
        <w:tc>
          <w:tcPr>
            <w:tcW w:type="dxa" w:w="3510"/>
            <w:tcBorders>
              <w:top w:val="single" w:color="CCCCCC" w:sz="1"/>
              <w:left w:val="single" w:color="CCCCCC" w:sz="1"/>
              <w:bottom w:val="single" w:color="CCCCCC" w:sz="1"/>
              <w:right w:val="single" w:color="CCCCCC" w:sz="1"/>
            </w:tcBorders>
          </w:tcPr>
          <w:p>
            <w:r>
              <w:rPr>
                <w:sz w:val="20"/>
                <w:szCs w:val="20"/>
              </w:rPr>
              <w:t xml:space="preserve">Dependent on vendor data centers</w:t>
            </w:r>
          </w:p>
        </w:tc>
      </w:tr>
      <w:tr>
        <w:tc>
          <w:tcPr>
            <w:tcW w:type="dxa" w:w="2340"/>
            <w:tcBorders>
              <w:top w:val="single" w:color="CCCCCC" w:sz="1"/>
              <w:left w:val="single" w:color="CCCCCC" w:sz="1"/>
              <w:bottom w:val="single" w:color="CCCCCC" w:sz="1"/>
              <w:right w:val="single" w:color="CCCCCC" w:sz="1"/>
            </w:tcBorders>
            <w:shd w:fill="F0F0F0" w:val="clear"/>
          </w:tcPr>
          <w:p>
            <w:r>
              <w:rPr>
                <w:b/>
                <w:bCs/>
                <w:sz w:val="20"/>
                <w:szCs w:val="20"/>
              </w:rPr>
              <w:t xml:space="preserve">Operational Burden</w:t>
            </w:r>
          </w:p>
        </w:tc>
        <w:tc>
          <w:tcPr>
            <w:tcW w:type="dxa" w:w="3510"/>
            <w:tcBorders>
              <w:top w:val="single" w:color="CCCCCC" w:sz="1"/>
              <w:left w:val="single" w:color="CCCCCC" w:sz="1"/>
              <w:bottom w:val="single" w:color="CCCCCC" w:sz="1"/>
              <w:right w:val="single" w:color="CCCCCC" w:sz="1"/>
            </w:tcBorders>
          </w:tcPr>
          <w:p>
            <w:r>
              <w:rPr>
                <w:sz w:val="20"/>
                <w:szCs w:val="20"/>
              </w:rPr>
              <w:t xml:space="preserve">High - full lifecycle management</w:t>
            </w:r>
          </w:p>
        </w:tc>
        <w:tc>
          <w:tcPr>
            <w:tcW w:type="dxa" w:w="3510"/>
            <w:tcBorders>
              <w:top w:val="single" w:color="CCCCCC" w:sz="1"/>
              <w:left w:val="single" w:color="CCCCCC" w:sz="1"/>
              <w:bottom w:val="single" w:color="CCCCCC" w:sz="1"/>
              <w:right w:val="single" w:color="CCCCCC" w:sz="1"/>
            </w:tcBorders>
          </w:tcPr>
          <w:p>
            <w:r>
              <w:rPr>
                <w:sz w:val="20"/>
                <w:szCs w:val="20"/>
              </w:rPr>
              <w:t xml:space="preserve">Low - vendor manages infrastructure</w:t>
            </w:r>
          </w:p>
        </w:tc>
      </w:tr>
      <w:tr>
        <w:tc>
          <w:tcPr>
            <w:tcW w:type="dxa" w:w="2340"/>
            <w:tcBorders>
              <w:top w:val="single" w:color="CCCCCC" w:sz="1"/>
              <w:left w:val="single" w:color="CCCCCC" w:sz="1"/>
              <w:bottom w:val="single" w:color="CCCCCC" w:sz="1"/>
              <w:right w:val="single" w:color="CCCCCC" w:sz="1"/>
            </w:tcBorders>
            <w:shd w:fill="F0F0F0" w:val="clear"/>
          </w:tcPr>
          <w:p>
            <w:r>
              <w:rPr>
                <w:b/>
                <w:bCs/>
                <w:sz w:val="20"/>
                <w:szCs w:val="20"/>
              </w:rPr>
              <w:t xml:space="preserve">Best For</w:t>
            </w:r>
          </w:p>
        </w:tc>
        <w:tc>
          <w:tcPr>
            <w:tcW w:type="dxa" w:w="3510"/>
            <w:tcBorders>
              <w:top w:val="single" w:color="CCCCCC" w:sz="1"/>
              <w:left w:val="single" w:color="CCCCCC" w:sz="1"/>
              <w:bottom w:val="single" w:color="CCCCCC" w:sz="1"/>
              <w:right w:val="single" w:color="CCCCCC" w:sz="1"/>
            </w:tcBorders>
          </w:tcPr>
          <w:p>
            <w:r>
              <w:rPr>
                <w:sz w:val="20"/>
                <w:szCs w:val="20"/>
              </w:rPr>
              <w:t xml:space="preserve">High-sensitivity use cases, deep integration needs, regulatory requirements</w:t>
            </w:r>
          </w:p>
        </w:tc>
        <w:tc>
          <w:tcPr>
            <w:tcW w:type="dxa" w:w="3510"/>
            <w:tcBorders>
              <w:top w:val="single" w:color="CCCCCC" w:sz="1"/>
              <w:left w:val="single" w:color="CCCCCC" w:sz="1"/>
              <w:bottom w:val="single" w:color="CCCCCC" w:sz="1"/>
              <w:right w:val="single" w:color="CCCCCC" w:sz="1"/>
            </w:tcBorders>
          </w:tcPr>
          <w:p>
            <w:r>
              <w:rPr>
                <w:sz w:val="20"/>
                <w:szCs w:val="20"/>
              </w:rPr>
              <w:t xml:space="preserve">Rapid deployment, standard use cases, lower sensitivity</w:t>
            </w:r>
          </w:p>
        </w:tc>
      </w:tr>
    </w:tbl>
    <w:p>
      <w:pPr>
        <w:spacing w:before="480"/>
      </w:pPr>
    </w:p>
    <w:p>
      <w:pPr>
        <w:pStyle w:val="Heading2"/>
      </w:pPr>
      <w:r>
        <w:t xml:space="preserve">A.2 Agent Type Classification</w:t>
      </w:r>
    </w:p>
    <w:p>
      <w:pPr>
        <w:spacing w:before="120"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2200"/>
        <w:gridCol w:w="2200"/>
        <w:gridCol w:w="2960"/>
      </w:tblGrid>
      <w:tr>
        <w:trPr>
          <w:tblHeader/>
        </w:trPr>
        <w:tc>
          <w:tcPr>
            <w:tcW w:type="dxa" w:w="2000"/>
            <w:tcBorders>
              <w:top w:val="single" w:color="2E5090" w:sz="2"/>
              <w:left w:val="single" w:color="2E5090" w:sz="2"/>
              <w:bottom w:val="single" w:color="2E5090" w:sz="2"/>
              <w:right w:val="single" w:color="2E5090" w:sz="2"/>
            </w:tcBorders>
            <w:shd w:fill="2E5090" w:val="clear"/>
          </w:tcPr>
          <w:p>
            <w:pPr>
              <w:jc w:val="center"/>
            </w:pPr>
            <w:r>
              <w:rPr>
                <w:b/>
                <w:bCs/>
                <w:color w:val="FFFFFF"/>
                <w:sz w:val="20"/>
                <w:szCs w:val="20"/>
              </w:rPr>
              <w:t xml:space="preserve">Agent Type</w:t>
            </w:r>
          </w:p>
        </w:tc>
        <w:tc>
          <w:tcPr>
            <w:tcW w:type="dxa" w:w="2200"/>
            <w:tcBorders>
              <w:top w:val="single" w:color="2E5090" w:sz="2"/>
              <w:left w:val="single" w:color="2E5090" w:sz="2"/>
              <w:bottom w:val="single" w:color="2E5090" w:sz="2"/>
              <w:right w:val="single" w:color="2E5090" w:sz="2"/>
            </w:tcBorders>
            <w:shd w:fill="2E5090" w:val="clear"/>
          </w:tcPr>
          <w:p>
            <w:pPr>
              <w:jc w:val="center"/>
            </w:pPr>
            <w:r>
              <w:rPr>
                <w:b/>
                <w:bCs/>
                <w:color w:val="FFFFFF"/>
                <w:sz w:val="20"/>
                <w:szCs w:val="20"/>
              </w:rPr>
              <w:t xml:space="preserve">Capabilities</w:t>
            </w:r>
          </w:p>
        </w:tc>
        <w:tc>
          <w:tcPr>
            <w:tcW w:type="dxa" w:w="2200"/>
            <w:tcBorders>
              <w:top w:val="single" w:color="2E5090" w:sz="2"/>
              <w:left w:val="single" w:color="2E5090" w:sz="2"/>
              <w:bottom w:val="single" w:color="2E5090" w:sz="2"/>
              <w:right w:val="single" w:color="2E5090" w:sz="2"/>
            </w:tcBorders>
            <w:shd w:fill="2E5090" w:val="clear"/>
          </w:tcPr>
          <w:p>
            <w:pPr>
              <w:jc w:val="center"/>
            </w:pPr>
            <w:r>
              <w:rPr>
                <w:b/>
                <w:bCs/>
                <w:color w:val="FFFFFF"/>
                <w:sz w:val="20"/>
                <w:szCs w:val="20"/>
              </w:rPr>
              <w:t xml:space="preserve">Primary Use Cases</w:t>
            </w:r>
          </w:p>
        </w:tc>
        <w:tc>
          <w:tcPr>
            <w:tcW w:type="dxa" w:w="2960"/>
            <w:tcBorders>
              <w:top w:val="single" w:color="2E5090" w:sz="2"/>
              <w:left w:val="single" w:color="2E5090" w:sz="2"/>
              <w:bottom w:val="single" w:color="2E5090" w:sz="2"/>
              <w:right w:val="single" w:color="2E5090" w:sz="2"/>
            </w:tcBorders>
            <w:shd w:fill="2E5090" w:val="clear"/>
          </w:tcPr>
          <w:p>
            <w:pPr>
              <w:jc w:val="center"/>
            </w:pPr>
            <w:r>
              <w:rPr>
                <w:b/>
                <w:bCs/>
                <w:color w:val="FFFFFF"/>
                <w:sz w:val="20"/>
                <w:szCs w:val="20"/>
              </w:rPr>
              <w:t xml:space="preserve">Risk Level</w:t>
            </w:r>
          </w:p>
        </w:tc>
      </w:tr>
      <w:tr>
        <w:tc>
          <w:tcPr>
            <w:tcW w:type="dxa" w:w="2000"/>
            <w:tcBorders>
              <w:top w:val="single" w:color="CCCCCC" w:sz="1"/>
              <w:left w:val="single" w:color="CCCCCC" w:sz="1"/>
              <w:bottom w:val="single" w:color="CCCCCC" w:sz="1"/>
              <w:right w:val="single" w:color="CCCCCC" w:sz="1"/>
            </w:tcBorders>
            <w:shd w:fill="E8F0F8" w:val="clear"/>
          </w:tcPr>
          <w:p>
            <w:r>
              <w:rPr>
                <w:b/>
                <w:bCs/>
                <w:sz w:val="20"/>
                <w:szCs w:val="20"/>
              </w:rPr>
              <w:t xml:space="preserve">Type A: Informational</w:t>
            </w:r>
          </w:p>
        </w:tc>
        <w:tc>
          <w:tcPr>
            <w:tcW w:type="dxa" w:w="2200"/>
            <w:tcBorders>
              <w:top w:val="single" w:color="CCCCCC" w:sz="1"/>
              <w:left w:val="single" w:color="CCCCCC" w:sz="1"/>
              <w:bottom w:val="single" w:color="CCCCCC" w:sz="1"/>
              <w:right w:val="single" w:color="CCCCCC" w:sz="1"/>
            </w:tcBorders>
          </w:tcPr>
          <w:p>
            <w:r>
              <w:rPr>
                <w:sz w:val="20"/>
                <w:szCs w:val="20"/>
              </w:rPr>
              <w:t xml:space="preserve">Read-only access, information retrieval, summarization, explanation</w:t>
            </w:r>
          </w:p>
        </w:tc>
        <w:tc>
          <w:tcPr>
            <w:tcW w:type="dxa" w:w="2200"/>
            <w:tcBorders>
              <w:top w:val="single" w:color="CCCCCC" w:sz="1"/>
              <w:left w:val="single" w:color="CCCCCC" w:sz="1"/>
              <w:bottom w:val="single" w:color="CCCCCC" w:sz="1"/>
              <w:right w:val="single" w:color="CCCCCC" w:sz="1"/>
            </w:tcBorders>
          </w:tcPr>
          <w:p>
            <w:r>
              <w:rPr>
                <w:sz w:val="20"/>
                <w:szCs w:val="20"/>
              </w:rPr>
              <w:t xml:space="preserve">Q&amp;A systems, documentation assistants, knowledge retrieval</w:t>
            </w:r>
          </w:p>
        </w:tc>
        <w:tc>
          <w:tcPr>
            <w:tcW w:type="dxa" w:w="2960"/>
            <w:tcBorders>
              <w:top w:val="single" w:color="CCCCCC" w:sz="1"/>
              <w:left w:val="single" w:color="CCCCCC" w:sz="1"/>
              <w:bottom w:val="single" w:color="CCCCCC" w:sz="1"/>
              <w:right w:val="single" w:color="CCCCCC" w:sz="1"/>
            </w:tcBorders>
          </w:tcPr>
          <w:p>
            <w:r>
              <w:rPr>
                <w:b/>
                <w:bCs/>
                <w:color w:val="4CAF50"/>
                <w:sz w:val="20"/>
                <w:szCs w:val="20"/>
              </w:rPr>
              <w:t xml:space="preserve">Low - Limited to information disclosure</w:t>
            </w:r>
          </w:p>
        </w:tc>
      </w:tr>
      <w:tr>
        <w:tc>
          <w:tcPr>
            <w:tcW w:type="dxa" w:w="2000"/>
            <w:tcBorders>
              <w:top w:val="single" w:color="CCCCCC" w:sz="1"/>
              <w:left w:val="single" w:color="CCCCCC" w:sz="1"/>
              <w:bottom w:val="single" w:color="CCCCCC" w:sz="1"/>
              <w:right w:val="single" w:color="CCCCCC" w:sz="1"/>
            </w:tcBorders>
            <w:shd w:fill="E8F0F8" w:val="clear"/>
          </w:tcPr>
          <w:p>
            <w:r>
              <w:rPr>
                <w:b/>
                <w:bCs/>
                <w:sz w:val="20"/>
                <w:szCs w:val="20"/>
              </w:rPr>
              <w:t xml:space="preserve">Type B: Transactional</w:t>
            </w:r>
          </w:p>
        </w:tc>
        <w:tc>
          <w:tcPr>
            <w:tcW w:type="dxa" w:w="2200"/>
            <w:tcBorders>
              <w:top w:val="single" w:color="CCCCCC" w:sz="1"/>
              <w:left w:val="single" w:color="CCCCCC" w:sz="1"/>
              <w:bottom w:val="single" w:color="CCCCCC" w:sz="1"/>
              <w:right w:val="single" w:color="CCCCCC" w:sz="1"/>
            </w:tcBorders>
          </w:tcPr>
          <w:p>
            <w:r>
              <w:rPr>
                <w:sz w:val="20"/>
                <w:szCs w:val="20"/>
              </w:rPr>
              <w:t xml:space="preserve">Read and write within defined workflows, structured task automation</w:t>
            </w:r>
          </w:p>
        </w:tc>
        <w:tc>
          <w:tcPr>
            <w:tcW w:type="dxa" w:w="2200"/>
            <w:tcBorders>
              <w:top w:val="single" w:color="CCCCCC" w:sz="1"/>
              <w:left w:val="single" w:color="CCCCCC" w:sz="1"/>
              <w:bottom w:val="single" w:color="CCCCCC" w:sz="1"/>
              <w:right w:val="single" w:color="CCCCCC" w:sz="1"/>
            </w:tcBorders>
          </w:tcPr>
          <w:p>
            <w:r>
              <w:rPr>
                <w:sz w:val="20"/>
                <w:szCs w:val="20"/>
              </w:rPr>
              <w:t xml:space="preserve">Form processing, record updates, workflow automation</w:t>
            </w:r>
          </w:p>
        </w:tc>
        <w:tc>
          <w:tcPr>
            <w:tcW w:type="dxa" w:w="2960"/>
            <w:tcBorders>
              <w:top w:val="single" w:color="CCCCCC" w:sz="1"/>
              <w:left w:val="single" w:color="CCCCCC" w:sz="1"/>
              <w:bottom w:val="single" w:color="CCCCCC" w:sz="1"/>
              <w:right w:val="single" w:color="CCCCCC" w:sz="1"/>
            </w:tcBorders>
          </w:tcPr>
          <w:p>
            <w:r>
              <w:rPr>
                <w:b/>
                <w:bCs/>
                <w:color w:val="FF9800"/>
                <w:sz w:val="20"/>
                <w:szCs w:val="20"/>
              </w:rPr>
              <w:t xml:space="preserve">Medium - Data modification within boundaries</w:t>
            </w:r>
          </w:p>
        </w:tc>
      </w:tr>
      <w:tr>
        <w:tc>
          <w:tcPr>
            <w:tcW w:type="dxa" w:w="2000"/>
            <w:tcBorders>
              <w:top w:val="single" w:color="CCCCCC" w:sz="1"/>
              <w:left w:val="single" w:color="CCCCCC" w:sz="1"/>
              <w:bottom w:val="single" w:color="CCCCCC" w:sz="1"/>
              <w:right w:val="single" w:color="CCCCCC" w:sz="1"/>
            </w:tcBorders>
            <w:shd w:fill="E8F0F8" w:val="clear"/>
          </w:tcPr>
          <w:p>
            <w:r>
              <w:rPr>
                <w:b/>
                <w:bCs/>
                <w:sz w:val="20"/>
                <w:szCs w:val="20"/>
              </w:rPr>
              <w:t xml:space="preserve">Type C: Analytical</w:t>
            </w:r>
          </w:p>
        </w:tc>
        <w:tc>
          <w:tcPr>
            <w:tcW w:type="dxa" w:w="2200"/>
            <w:tcBorders>
              <w:top w:val="single" w:color="CCCCCC" w:sz="1"/>
              <w:left w:val="single" w:color="CCCCCC" w:sz="1"/>
              <w:bottom w:val="single" w:color="CCCCCC" w:sz="1"/>
              <w:right w:val="single" w:color="CCCCCC" w:sz="1"/>
            </w:tcBorders>
          </w:tcPr>
          <w:p>
            <w:r>
              <w:rPr>
                <w:sz w:val="20"/>
                <w:szCs w:val="20"/>
              </w:rPr>
              <w:t xml:space="preserve">Complex analysis, pattern recognition, recommendation generation</w:t>
            </w:r>
          </w:p>
        </w:tc>
        <w:tc>
          <w:tcPr>
            <w:tcW w:type="dxa" w:w="2200"/>
            <w:tcBorders>
              <w:top w:val="single" w:color="CCCCCC" w:sz="1"/>
              <w:left w:val="single" w:color="CCCCCC" w:sz="1"/>
              <w:bottom w:val="single" w:color="CCCCCC" w:sz="1"/>
              <w:right w:val="single" w:color="CCCCCC" w:sz="1"/>
            </w:tcBorders>
          </w:tcPr>
          <w:p>
            <w:r>
              <w:rPr>
                <w:sz w:val="20"/>
                <w:szCs w:val="20"/>
              </w:rPr>
              <w:t xml:space="preserve">Financial analysis, risk assessment, strategic planning</w:t>
            </w:r>
          </w:p>
        </w:tc>
        <w:tc>
          <w:tcPr>
            <w:tcW w:type="dxa" w:w="2960"/>
            <w:tcBorders>
              <w:top w:val="single" w:color="CCCCCC" w:sz="1"/>
              <w:left w:val="single" w:color="CCCCCC" w:sz="1"/>
              <w:bottom w:val="single" w:color="CCCCCC" w:sz="1"/>
              <w:right w:val="single" w:color="CCCCCC" w:sz="1"/>
            </w:tcBorders>
          </w:tcPr>
          <w:p>
            <w:r>
              <w:rPr>
                <w:b/>
                <w:bCs/>
                <w:color w:val="FF9800"/>
                <w:sz w:val="20"/>
                <w:szCs w:val="20"/>
              </w:rPr>
              <w:t xml:space="preserve">Medium-High - Influences critical decisions</w:t>
            </w:r>
          </w:p>
        </w:tc>
      </w:tr>
      <w:tr>
        <w:tc>
          <w:tcPr>
            <w:tcW w:type="dxa" w:w="2000"/>
            <w:tcBorders>
              <w:top w:val="single" w:color="CCCCCC" w:sz="1"/>
              <w:left w:val="single" w:color="CCCCCC" w:sz="1"/>
              <w:bottom w:val="single" w:color="CCCCCC" w:sz="1"/>
              <w:right w:val="single" w:color="CCCCCC" w:sz="1"/>
            </w:tcBorders>
            <w:shd w:fill="E8F0F8" w:val="clear"/>
          </w:tcPr>
          <w:p>
            <w:r>
              <w:rPr>
                <w:b/>
                <w:bCs/>
                <w:sz w:val="20"/>
                <w:szCs w:val="20"/>
              </w:rPr>
              <w:t xml:space="preserve">Type D: Autonomous</w:t>
            </w:r>
          </w:p>
        </w:tc>
        <w:tc>
          <w:tcPr>
            <w:tcW w:type="dxa" w:w="2200"/>
            <w:tcBorders>
              <w:top w:val="single" w:color="CCCCCC" w:sz="1"/>
              <w:left w:val="single" w:color="CCCCCC" w:sz="1"/>
              <w:bottom w:val="single" w:color="CCCCCC" w:sz="1"/>
              <w:right w:val="single" w:color="CCCCCC" w:sz="1"/>
            </w:tcBorders>
          </w:tcPr>
          <w:p>
            <w:r>
              <w:rPr>
                <w:sz w:val="20"/>
                <w:szCs w:val="20"/>
              </w:rPr>
              <w:t xml:space="preserve">Independent decision-making, workflow orchestration, minimal oversight</w:t>
            </w:r>
          </w:p>
        </w:tc>
        <w:tc>
          <w:tcPr>
            <w:tcW w:type="dxa" w:w="2200"/>
            <w:tcBorders>
              <w:top w:val="single" w:color="CCCCCC" w:sz="1"/>
              <w:left w:val="single" w:color="CCCCCC" w:sz="1"/>
              <w:bottom w:val="single" w:color="CCCCCC" w:sz="1"/>
              <w:right w:val="single" w:color="CCCCCC" w:sz="1"/>
            </w:tcBorders>
          </w:tcPr>
          <w:p>
            <w:r>
              <w:rPr>
                <w:sz w:val="20"/>
                <w:szCs w:val="20"/>
              </w:rPr>
              <w:t xml:space="preserve">Supply chain optimization, incident response, customer journeys</w:t>
            </w:r>
          </w:p>
        </w:tc>
        <w:tc>
          <w:tcPr>
            <w:tcW w:type="dxa" w:w="2960"/>
            <w:tcBorders>
              <w:top w:val="single" w:color="CCCCCC" w:sz="1"/>
              <w:left w:val="single" w:color="CCCCCC" w:sz="1"/>
              <w:bottom w:val="single" w:color="CCCCCC" w:sz="1"/>
              <w:right w:val="single" w:color="CCCCCC" w:sz="1"/>
            </w:tcBorders>
          </w:tcPr>
          <w:p>
            <w:r>
              <w:rPr>
                <w:b/>
                <w:bCs/>
                <w:color w:val="F44336"/>
                <w:sz w:val="20"/>
                <w:szCs w:val="20"/>
              </w:rPr>
              <w:t xml:space="preserve">High - Full autonomy with cascading impacts</w:t>
            </w:r>
          </w:p>
        </w:tc>
      </w:tr>
    </w:tbl>
    <w:p>
      <w:pPr>
        <w:spacing w:before="360"/>
      </w:pPr>
    </w:p>
    <w:p>
      <w:pPr>
        <w:pStyle w:val="Heading2"/>
      </w:pPr>
      <w:r>
        <w:t xml:space="preserve">Document Information</w:t>
      </w:r>
    </w:p>
    <w:p>
      <w:pPr>
        <w:pStyle w:val="BodyText"/>
      </w:pPr>
      <w:r>
        <w:rPr>
          <w:b/>
          <w:bCs/>
          <w:sz w:val="20"/>
          <w:szCs w:val="20"/>
        </w:rPr>
        <w:t xml:space="preserve">Document Version: 2.0 (Build vs Buy Edition)</w:t>
      </w:r>
    </w:p>
    <w:p>
      <w:pPr>
        <w:pStyle w:val="BodyText"/>
      </w:pPr>
      <w:r>
        <w:rPr>
          <w:sz w:val="20"/>
          <w:szCs w:val="20"/>
        </w:rPr>
        <w:t xml:space="preserve">Publication Date: November 2025</w:t>
      </w:r>
    </w:p>
    <w:p>
      <w:pPr>
        <w:pStyle w:val="BodyText"/>
      </w:pPr>
      <w:r>
        <w:rPr>
          <w:sz w:val="20"/>
          <w:szCs w:val="20"/>
        </w:rPr>
        <w:t xml:space="preserve">Classification: Internal Use - Confidential</w:t>
      </w:r>
    </w:p>
    <w:p>
      <w:pPr>
        <w:pStyle w:val="BodyText"/>
      </w:pPr>
      <w:r>
        <w:rPr>
          <w:sz w:val="20"/>
          <w:szCs w:val="20"/>
        </w:rPr>
        <w:t xml:space="preserve">Next Review Date: Q2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Arial" w:cs="Arial" w:eastAsia="Arial" w:hAnsi="Arial"/>
      <w:b/>
      <w:bCs/>
      <w:color w:val="2E5090"/>
      <w:sz w:val="56"/>
      <w:szCs w:val="56"/>
    </w:rPr>
  </w:style>
  <w:style w:type="paragraph" w:styleId="Subtitle">
    <w:name w:val="Subtitle"/>
    <w:basedOn w:val="Normal"/>
    <w:pPr>
      <w:spacing w:before="120" w:after="360"/>
      <w:jc w:val="center"/>
    </w:pPr>
    <w:rPr>
      <w:rFonts w:ascii="Arial" w:cs="Arial" w:eastAsia="Arial" w:hAnsi="Arial"/>
      <w:color w:val="4A4A4A"/>
      <w:sz w:val="32"/>
      <w:szCs w:val="32"/>
    </w:rPr>
  </w:style>
  <w:style w:type="paragraph" w:styleId="Heading1">
    <w:name w:val="Heading 1"/>
    <w:basedOn w:val="Normal"/>
    <w:next w:val="Normal"/>
    <w:qFormat/>
    <w:pPr>
      <w:spacing w:before="360" w:after="240"/>
      <w:outlineLvl w:val="0"/>
    </w:pPr>
    <w:rPr>
      <w:rFonts w:ascii="Arial" w:cs="Arial" w:eastAsia="Arial" w:hAnsi="Arial"/>
      <w:b/>
      <w:bCs/>
      <w:color w:val="2E5090"/>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5090"/>
      <w:sz w:val="24"/>
      <w:szCs w:val="24"/>
    </w:rPr>
  </w:style>
  <w:style w:type="paragraph" w:styleId="BodyText">
    <w:name w:val="Body Text"/>
    <w:basedOn w:val="Normal"/>
    <w:pPr>
      <w:spacing w:after="160"/>
      <w:jc w:val="both"/>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2025-11-18T03:29:01.461Z</dcterms:created>
  <dcterms:modified xsi:type="dcterms:W3CDTF">2025-11-18T03:29:01.462Z</dcterms:modified>
</cp:coreProperties>
</file>

<file path=docProps/custom.xml><?xml version="1.0" encoding="utf-8"?>
<Properties xmlns="http://schemas.openxmlformats.org/officeDocument/2006/custom-properties" xmlns:vt="http://schemas.openxmlformats.org/officeDocument/2006/docPropsVTypes"/>
</file>