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Agentic AI Security Strategy</w:t>
      </w:r>
    </w:p>
    <w:p>
      <w:pPr>
        <w:pStyle w:val="Subtitle"/>
      </w:pPr>
      <w:r>
        <w:t xml:space="preserve">A Comprehensive Framework for Risk Management and Control Implementation</w:t>
      </w:r>
    </w:p>
    <w:p>
      <w:pPr>
        <w:spacing w:before="240" w:after="120"/>
        <w:jc w:val="center"/>
      </w:pPr>
      <w:r>
        <w:rPr>
          <w:b/>
          <w:bCs/>
          <w:color w:val="666666"/>
          <w:sz w:val="26"/>
          <w:szCs w:val="26"/>
        </w:rPr>
        <w:t xml:space="preserve">Build Agents &amp; Buy Agents Security Guidance</w:t>
      </w:r>
    </w:p>
    <w:p>
      <w:pPr>
        <w:spacing w:before="120" w:after="360"/>
        <w:jc w:val="center"/>
      </w:pPr>
      <w:r>
        <w:rPr>
          <w:color w:val="666666"/>
          <w:sz w:val="24"/>
          <w:szCs w:val="24"/>
        </w:rPr>
        <w:t xml:space="preserve">Enterprise Architecture &amp; Security Guidance</w:t>
      </w:r>
    </w:p>
    <w:p>
      <w:pPr>
        <w:spacing w:before="1200"/>
        <w:jc w:val="center"/>
      </w:pPr>
      <w:r>
        <w:rPr>
          <w:b/>
          <w:bCs/>
          <w:color w:val="888888"/>
          <w:sz w:val="22"/>
          <w:szCs w:val="22"/>
        </w:rPr>
        <w:t xml:space="preserve">November 2025 - Version 3.0</w:t>
      </w:r>
    </w:p>
    <w:p>
      <w:r>
        <w:br w:type="page"/>
      </w:r>
    </w:p>
    <w:p>
      <w:pPr>
        <w:pStyle w:val="Heading1"/>
      </w:pPr>
      <w:r>
        <w:t xml:space="preserve">Executive Summary</w:t>
      </w:r>
    </w:p>
    <w:p>
      <w:pPr>
        <w:pStyle w:val="BodyText"/>
      </w:pPr>
      <w:r>
        <w:t xml:space="preserve">The evolution from monolithic AI applications to autonomous agentic systems represents a fundamental shift in how organizations deploy and manage artificial intelligence. Agentic AI introduces new architectural patterns where intelligent agents operate with varying degrees of autonomy, make decisions based on contextual understanding, and interact with multiple systems and data sources. This transformation creates unprecedented security, risk, and governance challenges that require a systematic and comprehensive approach.</w:t>
      </w:r>
    </w:p>
    <w:p>
      <w:pPr>
        <w:pStyle w:val="BodyText"/>
      </w:pPr>
      <w:r>
        <w:t xml:space="preserve">This white paper provides a strategic framework for securing agentic AI deployments across enterprise environments, addressing two distinct deployment models: Build Agents that organizations develop and host on their own infrastructure, and Buy Agents deployed through third-party SaaS platforms like ChatGPT and Microsoft Copilot. Both agent types are consumed by human personas within the organization but differ fundamentally in control, infrastructure ownership, and security implementation approaches.</w:t>
      </w:r>
    </w:p>
    <w:p>
      <w:pPr>
        <w:pStyle w:val="BodyText"/>
      </w:pPr>
      <w:r>
        <w:t xml:space="preserve">The framework covers the full spectrum of agent capabilities from informational agents to fully autonomous decision-making systems. This version incorporates comprehensive operational risk controls including data retention and quality management, technology infrastructure considerations, model lifecycle management, fraud prevention across multiple vectors, skills and talent requirements, and configuration security. Organizations transitioning from traditional AI Gateway architectures to agentic frameworks will find practical guidance on implementing layered security controls while maintaining operational flexibility and innovation velocity.</w:t>
      </w:r>
    </w:p>
    <w:p>
      <w:r>
        <w:br w:type="page"/>
      </w:r>
    </w:p>
    <w:p>
      <w:pPr>
        <w:pStyle w:val="Heading1"/>
      </w:pPr>
      <w:r>
        <w:t xml:space="preserve">1. Introduction</w:t>
      </w:r>
    </w:p>
    <w:p>
      <w:pPr>
        <w:pStyle w:val="Heading2"/>
      </w:pPr>
      <w:r>
        <w:t xml:space="preserve">1.1 The Agentic AI Paradigm Shift</w:t>
      </w:r>
    </w:p>
    <w:p>
      <w:pPr>
        <w:pStyle w:val="BodyText"/>
      </w:pPr>
      <w:r>
        <w:t xml:space="preserve">Traditional AI implementations have predominantly followed a centralized, uniform pattern where applications interact with large language models through standardized API gateways. These monolithic AI agents operate within well-defined boundaries, executing predictable workflows with explicit human oversight at each decision point. While this architecture has served organizations well for initial AI adoption, it fundamentally limits the transformative potential of artificial intelligence.</w:t>
      </w:r>
    </w:p>
    <w:p>
      <w:pPr>
        <w:pStyle w:val="BodyText"/>
      </w:pPr>
      <w:r>
        <w:t xml:space="preserve">Agentic AI represents a fundamental architectural evolution where intelligent systems operate as semi-autonomous or fully autonomous entities capable of multi-step reasoning, dynamic decision-making, and complex task orchestration. These agents can analyze context across multiple data sources, plan sequences of actions, execute workflows with minimal human intervention, and adapt their behavior based on outcomes and feedback. This shift from reactive AI systems to proactive, goal-oriented agents creates both tremendous business value and significant security complexity.</w:t>
      </w:r>
    </w:p>
    <w:p>
      <w:pPr>
        <w:pStyle w:val="Heading2"/>
      </w:pPr>
      <w:r>
        <w:t xml:space="preserve">1.2 Scope and Objectives</w:t>
      </w:r>
    </w:p>
    <w:p>
      <w:pPr>
        <w:pStyle w:val="BodyText"/>
      </w:pPr>
      <w:r>
        <w:t xml:space="preserve">This white paper establishes a comprehensive security strategy for agentic AI systems across enterprise environments. The framework addresses organizations currently operating AI Gateway infrastructures for LLM inferencing and planning to transition toward agentic architectures. The primary objectives are to identify and categorize risks unique to agentic systems across all operational dimensions, define security requirements across all control domains with specific attention to operational risks, provide implementable controls mapped to agent types and deployment models, and establish governance frameworks for safe autonomous operations.</w:t>
      </w:r>
    </w:p>
    <w:p>
      <w:pPr>
        <w:pStyle w:val="BodyText"/>
      </w:pPr>
      <w:r>
        <w:t xml:space="preserve">The strategy encompasses both technical security controls and organizational governance mechanisms, recognizing that effective agentic AI security requires a holistic approach spanning technology, process, and people dimensions. This version provides expanded coverage of operational risks including data management challenges, technology infrastructure requirements, model lifecycle considerations, fraud prevention strategies, and skills management. Special attention is given to the differences between Build and Buy agent deployments, ensuring appropriate controls for each model while maintaining consistent security outcomes.</w:t>
      </w:r>
    </w:p>
    <w:p>
      <w:r>
        <w:br w:type="page"/>
      </w:r>
    </w:p>
    <w:p>
      <w:pPr>
        <w:pStyle w:val="Heading1"/>
      </w:pPr>
      <w:r>
        <w:t xml:space="preserve">2. Understanding Agentic AI</w:t>
      </w:r>
    </w:p>
    <w:p>
      <w:pPr>
        <w:pStyle w:val="Heading2"/>
      </w:pPr>
      <w:r>
        <w:t xml:space="preserve">2.1 Agent Deployment Models: Build vs Buy</w:t>
      </w:r>
    </w:p>
    <w:p>
      <w:pPr>
        <w:pStyle w:val="BodyText"/>
      </w:pPr>
      <w:r>
        <w:t xml:space="preserve">Agentic AI systems manifest through two distinct deployment models, each with fundamentally different security implications, control requirements, and operational considerations. Understanding these deployment patterns and their differences is essential for implementing appropriate security architectures. Critically, both models involve agents that are consumed by human personas within the organization, but they differ dramatically in infrastructure ownership, control depth, and implementation approaches.</w:t>
      </w:r>
    </w:p>
    <w:p>
      <w:pPr>
        <w:pStyle w:val="Heading3"/>
      </w:pPr>
      <w:r>
        <w:t xml:space="preserve">Build Agents: Company-Built and Server-Hosted</w:t>
      </w:r>
    </w:p>
    <w:p>
      <w:pPr>
        <w:pStyle w:val="BodyText"/>
      </w:pPr>
      <w:r>
        <w:t xml:space="preserve">Build Agents are developed internally by the organization and deployed on company-controlled infrastructure, whether on-premises data centers or organization-managed cloud environments. These agents are architected, coded, tested, and maintained by internal teams, providing complete control over the agent's behavior, data access patterns, integration points, and security implementations. Build Agents are consumed by human personas through corporate applications, internal platforms, or custom interfaces.</w:t>
      </w:r>
    </w:p>
    <w:p>
      <w:pPr>
        <w:pStyle w:val="BodyText"/>
      </w:pPr>
      <w:r>
        <w:t xml:space="preserve">The defining characteristic of Build Agents is infrastructure ownership and control. The organization owns the compute resources, manages the runtime environment, controls network connectivity, implements security controls at all layers, and has complete visibility into agent operations. This control enables fine-grained customization of security measures but also creates full responsibility for security implementation, maintenance, and incident response.</w:t>
      </w:r>
    </w:p>
    <w:p>
      <w:pPr>
        <w:pStyle w:val="Heading3"/>
      </w:pPr>
      <w:r>
        <w:t xml:space="preserve">Buy Agents: SaaS Platform-Based</w:t>
      </w:r>
    </w:p>
    <w:p>
      <w:pPr>
        <w:pStyle w:val="BodyText"/>
      </w:pPr>
      <w:r>
        <w:t xml:space="preserve">Buy Agents are deployed through third-party SaaS platforms such as ChatGPT custom GPTs, Microsoft Copilot agents, or other enterprise AI platforms. These agents run on vendor-controlled infrastructure with the organization configuring and customizing agent behavior within the constraints and capabilities provided by the platform. Buy Agents are consumed by human personas through the vendor's interface, typically via web browsers, mobile apps, or platform-native integrations.</w:t>
      </w:r>
    </w:p>
    <w:p>
      <w:pPr>
        <w:pStyle w:val="BodyText"/>
      </w:pPr>
      <w:r>
        <w:t xml:space="preserve">The defining characteristic of Buy Agents is reliance on third-party infrastructure and security implementations. The vendor owns and operates the compute resources, manages the platform security, controls the underlying agent capabilities, and sets the boundaries for customization. Organizations configure agents through vendor-provided interfaces, manage access through platform identity systems, and depend on vendor security controls and compliance certifications.</w:t>
      </w:r>
    </w:p>
    <w:p>
      <w:pPr>
        <w:pStyle w:val="Heading2"/>
      </w:pPr>
      <w:r>
        <w:t xml:space="preserve">2.2 Agent Capability Classifications</w:t>
      </w:r>
    </w:p>
    <w:p>
      <w:pPr>
        <w:pStyle w:val="BodyText"/>
      </w:pPr>
      <w:r>
        <w:t xml:space="preserve">Beyond deployment models, agents are classified by their operational capabilities and autonomy levels. This classification system applies to both Build and Buy Agents and enables risk-appropriate security controls mapped to agent functionality. Each agent type presents distinct risk profiles and requires specific control implementations that vary based on whether the agent is built or bought.</w:t>
      </w:r>
    </w:p>
    <w:p>
      <w:pPr>
        <w:pStyle w:val="Heading3"/>
      </w:pPr>
      <w:r>
        <w:t xml:space="preserve">Type A: Informational Agents</w:t>
      </w:r>
    </w:p>
    <w:p>
      <w:pPr>
        <w:pStyle w:val="BodyText"/>
      </w:pPr>
      <w:r>
        <w:t xml:space="preserve">Informational agents operate in a strictly read-only capacity, retrieving and synthesizing information without the ability to modify data or execute actions. These agents answer questions, generate summaries, and provide explanations based on accessible data sources.</w:t>
      </w:r>
    </w:p>
    <w:p>
      <w:pPr>
        <w:pStyle w:val="Heading3"/>
      </w:pPr>
      <w:r>
        <w:t xml:space="preserve">Type B: Transactional Agents</w:t>
      </w:r>
    </w:p>
    <w:p>
      <w:pPr>
        <w:pStyle w:val="BodyText"/>
      </w:pPr>
      <w:r>
        <w:t xml:space="preserve">Transactional agents possess both read and write capabilities, automating structured tasks within well-defined workflows. These agents can update records, submit forms, trigger processes, and perform bounded operations that follow predetermined business logic.</w:t>
      </w:r>
    </w:p>
    <w:p>
      <w:pPr>
        <w:pStyle w:val="Heading3"/>
      </w:pPr>
      <w:r>
        <w:t xml:space="preserve">Type C: Analytical and Recommendation Agents</w:t>
      </w:r>
    </w:p>
    <w:p>
      <w:pPr>
        <w:pStyle w:val="BodyText"/>
      </w:pPr>
      <w:r>
        <w:t xml:space="preserve">Analytical and recommendation agents perform complex analysis across multiple data sources and provide decision support to human operators. These agents analyze contextual information, identify patterns, generate insights, and present recommendations with supporting rationale.</w:t>
      </w:r>
    </w:p>
    <w:p>
      <w:pPr>
        <w:pStyle w:val="Heading3"/>
      </w:pPr>
      <w:r>
        <w:t xml:space="preserve">Type D: Autonomous Agents</w:t>
      </w:r>
    </w:p>
    <w:p>
      <w:pPr>
        <w:pStyle w:val="BodyText"/>
      </w:pPr>
      <w:r>
        <w:t xml:space="preserve">Autonomous agents represent the highest capability and risk level, making independent decisions and executing complete workflows with minimal human oversight. These agents can adapt strategies based on outcomes, orchestrate multi-step processes across systems, and trigger downstream effects that cascade through organizational operations.</w:t>
      </w:r>
    </w:p>
    <w:p>
      <w:r>
        <w:br w:type="page"/>
      </w:r>
    </w:p>
    <w:p>
      <w:pPr>
        <w:pStyle w:val="Heading1"/>
      </w:pPr>
      <w:r>
        <w:t xml:space="preserve">3. Security Requirements and Control Framework</w:t>
      </w:r>
    </w:p>
    <w:p>
      <w:pPr>
        <w:pStyle w:val="BodyText"/>
      </w:pPr>
      <w:r>
        <w:t xml:space="preserve">The following comprehensive matrix maps security control domains to specific risks, mitigation strategies, applicable agent types, and implementation approaches for both Build and Buy Agents. This version includes expanded operational risk controls covering all aspects identified in the operational risk assessment framework.</w:t>
      </w:r>
    </w:p>
    <w:p>
      <w:pPr>
        <w:spacing w:before="24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Implementation: Build vs Buy</w:t>
            </w:r>
          </w:p>
        </w:tc>
      </w:tr>
      <w:tr>
        <w:tc>
          <w:tcPr>
            <w:tcW w:type="dxa" w:w="1700"/>
            <w:vMerge w:val="restart"/>
            <w:tcBorders>
              <w:top w:val="single" w:color="CCCCCC" w:sz="1"/>
              <w:left w:val="single" w:color="CCCCCC" w:sz="1"/>
              <w:bottom w:val="single" w:color="CCCCCC" w:sz="1"/>
              <w:right w:val="single" w:color="CCCCCC" w:sz="1"/>
            </w:tcBorders>
            <w:shd w:fill="E8F0F8" w:val="clear"/>
          </w:tcPr>
          <w:p>
            <w:pPr>
              <w:jc w:val="center"/>
            </w:pPr>
            <w:r>
              <w:rPr>
                <w:b/>
                <w:bCs/>
                <w:sz w:val="19"/>
                <w:szCs w:val="19"/>
              </w:rPr>
              <w:t xml:space="preserve">Agentic Identity &amp; Access Management</w:t>
            </w:r>
          </w:p>
        </w:tc>
        <w:tc>
          <w:tcPr>
            <w:tcW w:type="dxa" w:w="2100"/>
            <w:tcBorders>
              <w:top w:val="single" w:color="CCCCCC" w:sz="1"/>
              <w:left w:val="single" w:color="CCCCCC" w:sz="1"/>
              <w:bottom w:val="single" w:color="CCCCCC" w:sz="1"/>
              <w:right w:val="single" w:color="CCCCCC" w:sz="1"/>
            </w:tcBorders>
          </w:tcPr>
          <w:p>
            <w:r>
              <w:rPr>
                <w:sz w:val="19"/>
                <w:szCs w:val="19"/>
              </w:rPr>
              <w:t xml:space="preserve">Excessive or unintended access to corporate systems and data, potentially compromising confidentiality, integrity, or availability.</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Policy-Based Access Control (PBAC) with fine-grained permissions. Enforce least-privilege principles with regular access reviews. Deploy just-in-time access provisioning.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PBAC in code, direct IAM integration</w:t>
            </w:r>
          </w:p>
          <w:p>
            <w:r>
              <w:rPr>
                <w:b/>
                <w:bCs/>
                <w:sz w:val="19"/>
                <w:szCs w:val="19"/>
              </w:rPr>
              <w:t xml:space="preserve">Buy: </w:t>
            </w:r>
            <w:r>
              <w:rPr>
                <w:sz w:val="19"/>
                <w:szCs w:val="19"/>
              </w:rPr>
              <w:t xml:space="preserve">Platform RBAC config, admin controls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Agents do not securely store or transmit credentials, potentially enabling credential theft and impersonation attacks.</w:t>
            </w:r>
          </w:p>
        </w:tc>
        <w:tc>
          <w:tcPr>
            <w:tcW w:type="dxa" w:w="2400"/>
            <w:tcBorders>
              <w:top w:val="single" w:color="CCCCCC" w:sz="1"/>
              <w:left w:val="single" w:color="CCCCCC" w:sz="1"/>
              <w:bottom w:val="single" w:color="CCCCCC" w:sz="1"/>
              <w:right w:val="single" w:color="CCCCCC" w:sz="1"/>
            </w:tcBorders>
          </w:tcPr>
          <w:p>
            <w:r>
              <w:rPr>
                <w:sz w:val="19"/>
                <w:szCs w:val="19"/>
              </w:rPr>
              <w:t xml:space="preserve">Utilize federated identity (OAuth 2.0, OIDC, SAML). Implement automated credential provisioning and rotation. Enforce TLS 1.3+ encryption. Deploy credential vaulting with HSM.</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Vault, AWS Secrets, custom rotation</w:t>
            </w:r>
          </w:p>
          <w:p>
            <w:r>
              <w:rPr>
                <w:b/>
                <w:bCs/>
                <w:sz w:val="19"/>
                <w:szCs w:val="19"/>
              </w:rPr>
              <w:t xml:space="preserve">Buy: </w:t>
            </w:r>
            <w:r>
              <w:rPr>
                <w:sz w:val="19"/>
                <w:szCs w:val="19"/>
              </w:rPr>
              <w:t xml:space="preserve">Platform OAuth, vendor credential mgmt</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Downstream consumers gain unauthorized access through agents, bypassing organizational controls.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PBAC for agent consumers with authentication checks. Deploy content filtering and DLP. Enforce user-context passthrough. Implement query logging and anomaly detection.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App-level auth, custom DLP, SIEM</w:t>
            </w:r>
          </w:p>
          <w:p>
            <w:r>
              <w:rPr>
                <w:b/>
                <w:bCs/>
                <w:sz w:val="19"/>
                <w:szCs w:val="19"/>
              </w:rPr>
              <w:t xml:space="preserve">Buy: </w:t>
            </w:r>
            <w:r>
              <w:rPr>
                <w:sz w:val="19"/>
                <w:szCs w:val="19"/>
              </w:rPr>
              <w:t xml:space="preserve">Platform permissions, external DLP, audit logs</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Agent &amp; Use Case Inventory</w:t>
            </w:r>
          </w:p>
        </w:tc>
        <w:tc>
          <w:tcPr>
            <w:tcW w:type="dxa" w:w="2100"/>
            <w:tcBorders>
              <w:top w:val="single" w:color="CCCCCC" w:sz="1"/>
              <w:left w:val="single" w:color="CCCCCC" w:sz="1"/>
              <w:bottom w:val="single" w:color="CCCCCC" w:sz="1"/>
              <w:right w:val="single" w:color="CCCCCC" w:sz="1"/>
            </w:tcBorders>
          </w:tcPr>
          <w:p>
            <w:r>
              <w:rPr>
                <w:sz w:val="19"/>
                <w:szCs w:val="19"/>
              </w:rPr>
              <w:t xml:space="preserve">Incomplete inventory of agents causing controls to be omitted, creating blind spots in security posture.</w:t>
            </w:r>
          </w:p>
        </w:tc>
        <w:tc>
          <w:tcPr>
            <w:tcW w:type="dxa" w:w="2400"/>
            <w:tcBorders>
              <w:top w:val="single" w:color="CCCCCC" w:sz="1"/>
              <w:left w:val="single" w:color="CCCCCC" w:sz="1"/>
              <w:bottom w:val="single" w:color="CCCCCC" w:sz="1"/>
              <w:right w:val="single" w:color="CCCCCC" w:sz="1"/>
            </w:tcBorders>
          </w:tcPr>
          <w:p>
            <w:r>
              <w:rPr>
                <w:sz w:val="19"/>
                <w:szCs w:val="19"/>
              </w:rPr>
              <w:t xml:space="preserve">Maintain centralized agent registry with metadata. Implement automated discovery and registration. Enforce mandatory registration before deployment with approval workflows.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CMDB integration, pipeline gates</w:t>
            </w:r>
          </w:p>
          <w:p>
            <w:r>
              <w:rPr>
                <w:b/>
                <w:bCs/>
                <w:sz w:val="19"/>
                <w:szCs w:val="19"/>
              </w:rPr>
              <w:t xml:space="preserve">Buy: </w:t>
            </w:r>
            <w:r>
              <w:rPr>
                <w:sz w:val="19"/>
                <w:szCs w:val="19"/>
              </w:rPr>
              <w:t xml:space="preserve">Platform APIs, manual registry</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Incomplete inventory of use cases causing agents to operate outside approved boundaries.</w:t>
            </w:r>
          </w:p>
        </w:tc>
        <w:tc>
          <w:tcPr>
            <w:tcW w:type="dxa" w:w="2400"/>
            <w:tcBorders>
              <w:top w:val="single" w:color="CCCCCC" w:sz="1"/>
              <w:left w:val="single" w:color="CCCCCC" w:sz="1"/>
              <w:bottom w:val="single" w:color="CCCCCC" w:sz="1"/>
              <w:right w:val="single" w:color="CCCCCC" w:sz="1"/>
            </w:tcBorders>
          </w:tcPr>
          <w:p>
            <w:r>
              <w:rPr>
                <w:sz w:val="19"/>
                <w:szCs w:val="19"/>
              </w:rPr>
              <w:t xml:space="preserve">Document central inventory of approved use cases with constraints. Implement runtime enforcement through policy engines. Conduct regular reviews and recertification.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constraints, policy engine</w:t>
            </w:r>
          </w:p>
          <w:p>
            <w:r>
              <w:rPr>
                <w:b/>
                <w:bCs/>
                <w:sz w:val="19"/>
                <w:szCs w:val="19"/>
              </w:rPr>
              <w:t xml:space="preserve">Buy: </w:t>
            </w:r>
            <w:r>
              <w:rPr>
                <w:sz w:val="19"/>
                <w:szCs w:val="19"/>
              </w:rPr>
              <w:t xml:space="preserve">Platform config limits, guidelines</w:t>
            </w:r>
          </w:p>
        </w:tc>
      </w:tr>
      <w:tr>
        <w:tc>
          <w:tcPr>
            <w:tcW w:type="dxa" w:w="1700"/>
            <w:tcBorders>
              <w:top w:val="single" w:color="CCCCCC" w:sz="1"/>
              <w:left w:val="single" w:color="CCCCCC" w:sz="1"/>
              <w:bottom w:val="single" w:color="CCCCCC" w:sz="1"/>
              <w:right w:val="single" w:color="CCCCCC" w:sz="1"/>
            </w:tcBorders>
            <w:shd w:fill="FFE6E6" w:val="clear"/>
          </w:tcPr>
          <w:p>
            <w:pPr>
              <w:jc w:val="center"/>
            </w:pPr>
            <w:r>
              <w:rPr>
                <w:b/>
                <w:bCs/>
                <w:sz w:val="19"/>
                <w:szCs w:val="19"/>
              </w:rPr>
              <w:t xml:space="preserve">No Human in the Loop</w:t>
            </w:r>
          </w:p>
        </w:tc>
        <w:tc>
          <w:tcPr>
            <w:tcW w:type="dxa" w:w="2100"/>
            <w:tcBorders>
              <w:top w:val="single" w:color="CCCCCC" w:sz="1"/>
              <w:left w:val="single" w:color="CCCCCC" w:sz="1"/>
              <w:bottom w:val="single" w:color="CCCCCC" w:sz="1"/>
              <w:right w:val="single" w:color="CCCCCC" w:sz="1"/>
            </w:tcBorders>
          </w:tcPr>
          <w:p>
            <w:r>
              <w:rPr>
                <w:sz w:val="19"/>
                <w:szCs w:val="19"/>
              </w:rPr>
              <w:t xml:space="preserve">Agents acting autonomously produce inaccurate outputs or hallucinations, causing operational disruption or financial losses.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large-sample outcome-based testing. Deploy runtime anomaly detection. Implement confidence scoring with escalation. Use multi-agent validation. Deploy circuit breakers.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testing, code-level breakers</w:t>
            </w:r>
          </w:p>
          <w:p>
            <w:r>
              <w:rPr>
                <w:b/>
                <w:bCs/>
                <w:sz w:val="19"/>
                <w:szCs w:val="19"/>
              </w:rPr>
              <w:t xml:space="preserve">Buy: </w:t>
            </w:r>
            <w:r>
              <w:rPr>
                <w:sz w:val="19"/>
                <w:szCs w:val="19"/>
              </w:rPr>
              <w:t xml:space="preserve">Platform testing, external monitoring</w:t>
            </w:r>
          </w:p>
        </w:tc>
      </w:tr>
      <w:tr>
        <w:tc>
          <w:tcPr>
            <w:tcW w:type="dxa" w:w="1700"/>
            <w:tcBorders>
              <w:top w:val="single" w:color="CCCCCC" w:sz="1"/>
              <w:left w:val="single" w:color="CCCCCC" w:sz="1"/>
              <w:bottom w:val="single" w:color="CCCCCC" w:sz="1"/>
              <w:right w:val="single" w:color="CCCCCC" w:sz="1"/>
            </w:tcBorders>
            <w:shd w:fill="E6F7FF" w:val="clear"/>
          </w:tcPr>
          <w:p>
            <w:pPr>
              <w:jc w:val="center"/>
            </w:pPr>
            <w:r>
              <w:rPr>
                <w:b/>
                <w:bCs/>
                <w:sz w:val="19"/>
                <w:szCs w:val="19"/>
              </w:rPr>
              <w:t xml:space="preserve">Inter-connectivity</w:t>
            </w:r>
          </w:p>
        </w:tc>
        <w:tc>
          <w:tcPr>
            <w:tcW w:type="dxa" w:w="2100"/>
            <w:tcBorders>
              <w:top w:val="single" w:color="CCCCCC" w:sz="1"/>
              <w:left w:val="single" w:color="CCCCCC" w:sz="1"/>
              <w:bottom w:val="single" w:color="CCCCCC" w:sz="1"/>
              <w:right w:val="single" w:color="CCCCCC" w:sz="1"/>
            </w:tcBorders>
          </w:tcPr>
          <w:p>
            <w:r>
              <w:rPr>
                <w:sz w:val="19"/>
                <w:szCs w:val="19"/>
              </w:rPr>
              <w:t xml:space="preserve">Interconnecting many systems creates large blast radius where compromise spills over into other systems.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network segmentation (macro/micro). Deploy zero-trust architecture. Use API gateways with rate limiting. Deploy agent sandboxing. Enforce least connectivity.</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VPC segmentation, service mesh</w:t>
            </w:r>
          </w:p>
          <w:p>
            <w:r>
              <w:rPr>
                <w:b/>
                <w:bCs/>
                <w:sz w:val="19"/>
                <w:szCs w:val="19"/>
              </w:rPr>
              <w:t xml:space="preserve">Buy: </w:t>
            </w:r>
            <w:r>
              <w:rPr>
                <w:sz w:val="19"/>
                <w:szCs w:val="19"/>
              </w:rPr>
              <w:t xml:space="preserve">Platform connectors, external gateway</w:t>
            </w:r>
          </w:p>
        </w:tc>
      </w:tr>
    </w:tbl>
    <w:p>
      <w:r>
        <w:br w:type="page"/>
      </w:r>
    </w:p>
    <w:p>
      <w:pPr>
        <w:pStyle w:val="Heading2"/>
      </w:pPr>
      <w:r>
        <w:t xml:space="preserve">3.1 Operational Risk Controls - Cybersecurity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Implementation: Build vs Buy</w:t>
            </w:r>
          </w:p>
        </w:tc>
      </w:tr>
      <w:tr>
        <w:tc>
          <w:tcPr>
            <w:tcW w:type="dxa" w:w="1700"/>
            <w:vMerge w:val="restart"/>
            <w:tcBorders>
              <w:top w:val="single" w:color="CCCCCC" w:sz="1"/>
              <w:left w:val="single" w:color="CCCCCC" w:sz="1"/>
              <w:bottom w:val="single" w:color="CCCCCC" w:sz="1"/>
              <w:right w:val="single" w:color="CCCCCC" w:sz="1"/>
            </w:tcBorders>
            <w:shd w:fill="FFE6E6" w:val="clear"/>
          </w:tcPr>
          <w:p>
            <w:pPr>
              <w:jc w:val="center"/>
            </w:pPr>
            <w:r>
              <w:rPr>
                <w:b/>
                <w:bCs/>
                <w:sz w:val="19"/>
                <w:szCs w:val="19"/>
              </w:rPr>
              <w:t xml:space="preserve">Cybersecurity</w:t>
            </w:r>
          </w:p>
        </w:tc>
        <w:tc>
          <w:tcPr>
            <w:tcW w:type="dxa" w:w="2100"/>
            <w:tcBorders>
              <w:top w:val="single" w:color="CCCCCC" w:sz="1"/>
              <w:left w:val="single" w:color="CCCCCC" w:sz="1"/>
              <w:bottom w:val="single" w:color="CCCCCC" w:sz="1"/>
              <w:right w:val="single" w:color="CCCCCC" w:sz="1"/>
            </w:tcBorders>
          </w:tcPr>
          <w:p>
            <w:r>
              <w:rPr>
                <w:sz w:val="19"/>
                <w:szCs w:val="19"/>
              </w:rPr>
              <w:t xml:space="preserve">Direct prompt injection attacks where malicious actors craft inputs to manipulate agent behavior, bypass security controls, or extract sensitive information.</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input validation and sanitization. Deploy prompt injection detection using pattern matching. Use structured prompting with clear separation. Implement constitutional AI with hard-coded safety rules.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validators, code-level templates, proprietary detection</w:t>
            </w:r>
          </w:p>
          <w:p>
            <w:r>
              <w:rPr>
                <w:b/>
                <w:bCs/>
                <w:sz w:val="19"/>
                <w:szCs w:val="19"/>
              </w:rPr>
              <w:t xml:space="preserve">Buy: </w:t>
            </w:r>
            <w:r>
              <w:rPr>
                <w:sz w:val="19"/>
                <w:szCs w:val="19"/>
              </w:rPr>
              <w:t xml:space="preserve">Rely on vendor protections, configure safety settings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Indirect prompt injection through poisoned data sources, malicious emails, or compromised documents that agents process.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data source validation and sanitization. Deploy content security scanning on ingested documents. Use sandboxing for untrusted data processing. Implement behavioral monitoring for anomalous agent actions.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content scanning, sandboxed processing environments</w:t>
            </w:r>
          </w:p>
          <w:p>
            <w:r>
              <w:rPr>
                <w:b/>
                <w:bCs/>
                <w:sz w:val="19"/>
                <w:szCs w:val="19"/>
              </w:rPr>
              <w:t xml:space="preserve">Buy: </w:t>
            </w:r>
            <w:r>
              <w:rPr>
                <w:sz w:val="19"/>
                <w:szCs w:val="19"/>
              </w:rPr>
              <w:t xml:space="preserve">Platform content filters, external scanning tools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Unauthorized access to agent infrastructure enabling compromise of operations or use as attack vectors. Vulnerability exploitation in runtime environments.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vulnerability management with regular patching. Deploy RASP. Use container security and orchestration hardening. Implement agent isolation. Deploy SIEM integration. Conduct penetration testing.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infrastructure control, custom security tools, direct patching</w:t>
            </w:r>
          </w:p>
          <w:p>
            <w:r>
              <w:rPr>
                <w:b/>
                <w:bCs/>
                <w:sz w:val="19"/>
                <w:szCs w:val="19"/>
              </w:rPr>
              <w:t xml:space="preserve">Buy: </w:t>
            </w:r>
            <w:r>
              <w:rPr>
                <w:sz w:val="19"/>
                <w:szCs w:val="19"/>
              </w:rPr>
              <w:t xml:space="preserve">Validate vendor certifications, monitor advisories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Configuration and extensions vulnerabilities where insecure agent configurations, plugins, or extensions create security exposures.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secure configuration baselines. Deploy configuration scanning and drift detection. Establish extension/plugin approval process with security review. Implement runtime configuration monitoring. Use least-privilege for extensions.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IaC security scanning, custom config validators, code review for extensions</w:t>
            </w:r>
          </w:p>
          <w:p>
            <w:r>
              <w:rPr>
                <w:b/>
                <w:bCs/>
                <w:sz w:val="19"/>
                <w:szCs w:val="19"/>
              </w:rPr>
              <w:t xml:space="preserve">Buy: </w:t>
            </w:r>
            <w:r>
              <w:rPr>
                <w:sz w:val="19"/>
                <w:szCs w:val="19"/>
              </w:rPr>
              <w:t xml:space="preserve">Platform config audits, marketplace extension vetting, permission reviews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Supply chain attacks targeting dependencies, libraries, or third-party components. Compromised agent marketplaces or malicious extensions.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marketplace vetting with code review. Deploy SCA for dependencies. Use cryptographic signing and verification. Implement runtime integrity monitoring. Establish secure development lifecycle.</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SCA tools (Snyk, Sonatype), SBOM generation, internal review</w:t>
            </w:r>
          </w:p>
          <w:p>
            <w:r>
              <w:rPr>
                <w:b/>
                <w:bCs/>
                <w:sz w:val="19"/>
                <w:szCs w:val="19"/>
              </w:rPr>
              <w:t xml:space="preserve">Buy: </w:t>
            </w:r>
            <w:r>
              <w:rPr>
                <w:sz w:val="19"/>
                <w:szCs w:val="19"/>
              </w:rPr>
              <w:t xml:space="preserve">Vet platform marketplace, review configs, monitor behavior</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Denial of service attacks or resource exhaustion causing business disruption and availability impacts.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rate limiting and throttling at multiple layers. Deploy resource quotas and circuit breakers. Use auto-scaling with max limits. Implement request prioritization. Deploy DDoS protection. Monitor resource consumption.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rate limiters, K8s resource limits, CloudFlare/AWS Shield</w:t>
            </w:r>
          </w:p>
          <w:p>
            <w:r>
              <w:rPr>
                <w:b/>
                <w:bCs/>
                <w:sz w:val="19"/>
                <w:szCs w:val="19"/>
              </w:rPr>
              <w:t xml:space="preserve">Buy: </w:t>
            </w:r>
            <w:r>
              <w:rPr>
                <w:sz w:val="19"/>
                <w:szCs w:val="19"/>
              </w:rPr>
              <w:t xml:space="preserve">Configure platform rate limits, monitor quotas, vendor DDoS protection</w:t>
            </w:r>
          </w:p>
        </w:tc>
      </w:tr>
    </w:tbl>
    <w:p>
      <w:r>
        <w:br w:type="page"/>
      </w:r>
    </w:p>
    <w:p>
      <w:pPr>
        <w:pStyle w:val="Heading2"/>
      </w:pPr>
      <w:r>
        <w:t xml:space="preserve">3.2 Operational Risk Controls - Data Management (Expanded)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Implementation: Build vs Buy</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Data Management</w:t>
            </w:r>
          </w:p>
        </w:tc>
        <w:tc>
          <w:tcPr>
            <w:tcW w:type="dxa" w:w="2100"/>
            <w:tcBorders>
              <w:top w:val="single" w:color="CCCCCC" w:sz="1"/>
              <w:left w:val="single" w:color="CCCCCC" w:sz="1"/>
              <w:bottom w:val="single" w:color="CCCCCC" w:sz="1"/>
              <w:right w:val="single" w:color="CCCCCC" w:sz="1"/>
            </w:tcBorders>
          </w:tcPr>
          <w:p>
            <w:r>
              <w:rPr>
                <w:sz w:val="19"/>
                <w:szCs w:val="19"/>
              </w:rPr>
              <w:t xml:space="preserve">Prompt and response retention issues where agent interactions are not properly logged, retained, or purged per policy, creating compliance and auditability risks.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comprehensive logging of all prompts and responses. Deploy retention policies aligned with regulatory requirements. Implement secure storage with encryption at rest. Deploy automated purge after retention period. Ensure audit trail immutability.</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logging infrastructure, direct database control, automated purge jobs</w:t>
            </w:r>
          </w:p>
          <w:p>
            <w:r>
              <w:rPr>
                <w:b/>
                <w:bCs/>
                <w:sz w:val="19"/>
                <w:szCs w:val="19"/>
              </w:rPr>
              <w:t xml:space="preserve">Buy: </w:t>
            </w:r>
            <w:r>
              <w:rPr>
                <w:sz w:val="19"/>
                <w:szCs w:val="19"/>
              </w:rPr>
              <w:t xml:space="preserve">Configure platform retention settings, export logs to SIEM, rely on vendor compliance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Unstructured data usage and consistency issues where agents process documents, emails, or other unstructured data with inconsistent quality or governance.</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data classification for all unstructured data sources. Deploy content scanning and DLP on unstructured data. Establish data quality standards. Implement metadata tagging for provenance. Deploy structured data extraction pipelines.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parsers, ETL pipelines, data quality frameworks</w:t>
            </w:r>
          </w:p>
          <w:p>
            <w:r>
              <w:rPr>
                <w:b/>
                <w:bCs/>
                <w:sz w:val="19"/>
                <w:szCs w:val="19"/>
              </w:rPr>
              <w:t xml:space="preserve">Buy: </w:t>
            </w:r>
            <w:r>
              <w:rPr>
                <w:sz w:val="19"/>
                <w:szCs w:val="19"/>
              </w:rPr>
              <w:t xml:space="preserve">Platform document processing, configure DLP, external quality checks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data retention controls and excessive data aggregation creating privacy risks and regulatory non-compliance.</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data retention policies at agent access layer. Deploy automated lifecycle management with retention enforcement. Implement data minimization. Use purpose limitation controls. Deploy data lineage tracking. Implement privacy-preserving techniques.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retention logic, direct database controls, custom lineage tracking</w:t>
            </w:r>
          </w:p>
          <w:p>
            <w:r>
              <w:rPr>
                <w:b/>
                <w:bCs/>
                <w:sz w:val="19"/>
                <w:szCs w:val="19"/>
              </w:rPr>
              <w:t xml:space="preserve">Buy: </w:t>
            </w:r>
            <w:r>
              <w:rPr>
                <w:sz w:val="19"/>
                <w:szCs w:val="19"/>
              </w:rPr>
              <w:t xml:space="preserve">Configure platform retention, data residency settings, vendor compliance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Data privacy violations where agents process personal information in violation of regulations (GDPR, CCPA, etc.).</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privacy by design principles. Deploy data classification and handling controls. Use data masking and tokenization for non-essential PII. Implement consent management integration. Deploy PIAs for new use cases. Ensure data subject rights support.</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PII detection, application-level masking, direct consent integration</w:t>
            </w:r>
          </w:p>
          <w:p>
            <w:r>
              <w:rPr>
                <w:b/>
                <w:bCs/>
                <w:sz w:val="19"/>
                <w:szCs w:val="19"/>
              </w:rPr>
              <w:t xml:space="preserve">Buy: </w:t>
            </w:r>
            <w:r>
              <w:rPr>
                <w:sz w:val="19"/>
                <w:szCs w:val="19"/>
              </w:rPr>
              <w:t xml:space="preserve">Platform data controls, validate vendor DPA, rely on GDPR compliance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Unstructured data quality issues and hallucinations leading to poor decisions or error propagation. Training data poisoning.</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data quality validation at ingestion and processing. Deploy hallucination detection through fact-checking. Use data provenance tracking with source verification. Implement adversarial data detection. Use RAG with verified knowledge bases.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validation logic, internal knowledge base, model fine-tuning control</w:t>
            </w:r>
          </w:p>
          <w:p>
            <w:r>
              <w:rPr>
                <w:b/>
                <w:bCs/>
                <w:sz w:val="19"/>
                <w:szCs w:val="19"/>
              </w:rPr>
              <w:t xml:space="preserve">Buy: </w:t>
            </w:r>
            <w:r>
              <w:rPr>
                <w:sz w:val="19"/>
                <w:szCs w:val="19"/>
              </w:rPr>
              <w:t xml:space="preserve">Configure platform RAG, curated knowledge bases, vendor model quality</w:t>
            </w:r>
          </w:p>
        </w:tc>
      </w:tr>
    </w:tbl>
    <w:p>
      <w:r>
        <w:br w:type="page"/>
      </w:r>
    </w:p>
    <w:p>
      <w:pPr>
        <w:pStyle w:val="Heading2"/>
      </w:pPr>
      <w:r>
        <w:t xml:space="preserve">3.3 Operational Risk Controls - Technology &amp; Business Resiliency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Implementation: Build vs Buy</w:t>
            </w:r>
          </w:p>
        </w:tc>
      </w:tr>
      <w:tr>
        <w:tc>
          <w:tcPr>
            <w:tcW w:type="dxa" w:w="1700"/>
            <w:vMerge w:val="restart"/>
            <w:tcBorders>
              <w:top w:val="single" w:color="CCCCCC" w:sz="1"/>
              <w:left w:val="single" w:color="CCCCCC" w:sz="1"/>
              <w:bottom w:val="single" w:color="CCCCCC" w:sz="1"/>
              <w:right w:val="single" w:color="CCCCCC" w:sz="1"/>
            </w:tcBorders>
            <w:shd w:fill="E6F7FF" w:val="clear"/>
          </w:tcPr>
          <w:p>
            <w:pPr>
              <w:jc w:val="center"/>
            </w:pPr>
            <w:r>
              <w:rPr>
                <w:b/>
                <w:bCs/>
                <w:sz w:val="19"/>
                <w:szCs w:val="19"/>
              </w:rPr>
              <w:t xml:space="preserve">Technology Infrastructure</w:t>
            </w: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architecture and design creating security vulnerabilities, performance bottlenecks, or cross-agent data leakage. Insufficient isolation between agents.</w:t>
            </w:r>
          </w:p>
        </w:tc>
        <w:tc>
          <w:tcPr>
            <w:tcW w:type="dxa" w:w="2400"/>
            <w:tcBorders>
              <w:top w:val="single" w:color="CCCCCC" w:sz="1"/>
              <w:left w:val="single" w:color="CCCCCC" w:sz="1"/>
              <w:bottom w:val="single" w:color="CCCCCC" w:sz="1"/>
              <w:right w:val="single" w:color="CCCCCC" w:sz="1"/>
            </w:tcBorders>
          </w:tcPr>
          <w:p>
            <w:r>
              <w:rPr>
                <w:sz w:val="19"/>
                <w:szCs w:val="19"/>
              </w:rPr>
              <w:t xml:space="preserve">Conduct comprehensive architecture review. Implement multi-tenant isolation with dedicated resources for high-sensitivity agents. Deploy memory and state isolation. Use containerization with resource limits. Regular security architecture assessments.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architecture design, namespace isolation, K8s network policies</w:t>
            </w:r>
          </w:p>
          <w:p>
            <w:r>
              <w:rPr>
                <w:b/>
                <w:bCs/>
                <w:sz w:val="19"/>
                <w:szCs w:val="19"/>
              </w:rPr>
              <w:t xml:space="preserve">Buy: </w:t>
            </w:r>
            <w:r>
              <w:rPr>
                <w:sz w:val="19"/>
                <w:szCs w:val="19"/>
              </w:rPr>
              <w:t xml:space="preserve">Review vendor architecture, configure platform isolation features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non-functional testing (performance, scalability, reliability) leading to production issues or failures under load.</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comprehensive non-functional testing including load testing, stress testing, endurance testing, and scalability testing. Deploy performance monitoring and profiling. Conduct chaos engineering experiments. Establish performance baselines and SLOs.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JMeter, Gatling, custom test frameworks, observability stack</w:t>
            </w:r>
          </w:p>
          <w:p>
            <w:r>
              <w:rPr>
                <w:b/>
                <w:bCs/>
                <w:sz w:val="19"/>
                <w:szCs w:val="19"/>
              </w:rPr>
              <w:t xml:space="preserve">Buy: </w:t>
            </w:r>
            <w:r>
              <w:rPr>
                <w:sz w:val="19"/>
                <w:szCs w:val="19"/>
              </w:rPr>
              <w:t xml:space="preserve">Platform load testing tools, monitor vendor SLAs, external monitoring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support readiness leading to inability to rapidly respond to incidents or agent failures. Lack of rollback capabilities.</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support readiness with runbooks and escalation procedures. Implement automated rollback capabilities. Deploy canary releases and blue-green deployments. Deploy synthetic monitoring. Conduct regular disaster recovery drills and tabletop exercises.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runbooks, automated rollback scripts, PagerDuty/Opsgenie integration</w:t>
            </w:r>
          </w:p>
          <w:p>
            <w:r>
              <w:rPr>
                <w:b/>
                <w:bCs/>
                <w:sz w:val="19"/>
                <w:szCs w:val="19"/>
              </w:rPr>
              <w:t xml:space="preserve">Buy: </w:t>
            </w:r>
            <w:r>
              <w:rPr>
                <w:sz w:val="19"/>
                <w:szCs w:val="19"/>
              </w:rPr>
              <w:t xml:space="preserve">Platform support channels, vendor SLAs, external incident management</w:t>
            </w:r>
          </w:p>
        </w:tc>
      </w:tr>
      <w:tr>
        <w:tc>
          <w:tcPr>
            <w:tcW w:type="dxa" w:w="1700"/>
            <w:vMerge w:val="restart"/>
            <w:tcBorders>
              <w:top w:val="single" w:color="CCCCCC" w:sz="1"/>
              <w:left w:val="single" w:color="CCCCCC" w:sz="1"/>
              <w:bottom w:val="single" w:color="CCCCCC" w:sz="1"/>
              <w:right w:val="single" w:color="CCCCCC" w:sz="1"/>
            </w:tcBorders>
            <w:shd w:fill="E8F0F8" w:val="clear"/>
          </w:tcPr>
          <w:p>
            <w:pPr>
              <w:jc w:val="center"/>
            </w:pPr>
            <w:r>
              <w:rPr>
                <w:b/>
                <w:bCs/>
                <w:sz w:val="19"/>
                <w:szCs w:val="19"/>
              </w:rPr>
              <w:t xml:space="preserve">Business Resiliency &amp; Transaction Processing</w:t>
            </w:r>
          </w:p>
        </w:tc>
        <w:tc>
          <w:tcPr>
            <w:tcW w:type="dxa" w:w="2100"/>
            <w:tcBorders>
              <w:top w:val="single" w:color="CCCCCC" w:sz="1"/>
              <w:left w:val="single" w:color="CCCCCC" w:sz="1"/>
              <w:bottom w:val="single" w:color="CCCCCC" w:sz="1"/>
              <w:right w:val="single" w:color="CCCCCC" w:sz="1"/>
            </w:tcBorders>
          </w:tcPr>
          <w:p>
            <w:r>
              <w:rPr>
                <w:sz w:val="19"/>
                <w:szCs w:val="19"/>
              </w:rPr>
              <w:t xml:space="preserve">Agent-induced process disruption or operational outages due to failures or cascading errors causing business continuity impacts.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business continuity and disaster recovery planning. Deploy redundant instances with load balancing. Implement transaction logging and rollback. Use chaos engineering. Deploy cascade failure detection. Implement fallback to manual processes.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Multi-region deployment, active-active setup, custom DR procedures</w:t>
            </w:r>
          </w:p>
          <w:p>
            <w:r>
              <w:rPr>
                <w:b/>
                <w:bCs/>
                <w:sz w:val="19"/>
                <w:szCs w:val="19"/>
              </w:rPr>
              <w:t xml:space="preserve">Buy: </w:t>
            </w:r>
            <w:r>
              <w:rPr>
                <w:sz w:val="19"/>
                <w:szCs w:val="19"/>
              </w:rPr>
              <w:t xml:space="preserve">Rely on vendor HA, configure platform redundancy, backup agents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Infrastructure disruption affecting agent operations including compute, storage, or network failures.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infrastructure redundancy across availability zones and regions. Deploy auto-scaling and self-healing capabilities. Implement health checks and automatic failover. Deploy infrastructure monitoring. Maintain infrastructure disaster recovery plans.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Multi-AZ deployment, K8s self-healing, infrastructure as code</w:t>
            </w:r>
          </w:p>
          <w:p>
            <w:r>
              <w:rPr>
                <w:b/>
                <w:bCs/>
                <w:sz w:val="19"/>
                <w:szCs w:val="19"/>
              </w:rPr>
              <w:t xml:space="preserve">Buy: </w:t>
            </w:r>
            <w:r>
              <w:rPr>
                <w:sz w:val="19"/>
                <w:szCs w:val="19"/>
              </w:rPr>
              <w:t xml:space="preserve">Vendor infrastructure resilience, review vendor SLAs, multi-region configs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skills and talent (DevOps, AI/ML, Security) to develop, deploy, and maintain agentic AI systems securely.</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comprehensive training programs for developers and operators. Implement hiring strategy for specialized AI/ML security skills. Deploy knowledge sharing and documentation practices. Establish communities of practice. Consider managed services or consulting partnerships.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CRITICAL - Requires AI/ML, DevOps, security expertise in-house</w:t>
            </w:r>
          </w:p>
          <w:p>
            <w:r>
              <w:rPr>
                <w:b/>
                <w:bCs/>
                <w:sz w:val="19"/>
                <w:szCs w:val="19"/>
              </w:rPr>
              <w:t xml:space="preserve">Buy: </w:t>
            </w:r>
            <w:r>
              <w:rPr>
                <w:sz w:val="19"/>
                <w:szCs w:val="19"/>
              </w:rPr>
              <w:t xml:space="preserve">Lower technical bar, focus on configuration and governance skills</w:t>
            </w:r>
          </w:p>
        </w:tc>
      </w:tr>
    </w:tbl>
    <w:p>
      <w:r>
        <w:br w:type="page"/>
      </w:r>
    </w:p>
    <w:p>
      <w:pPr>
        <w:pStyle w:val="Heading2"/>
      </w:pPr>
      <w:r>
        <w:t xml:space="preserve">3.4 Third-Party, Model Lifecycle &amp; Fraud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Implementation: Build vs Buy</w:t>
            </w:r>
          </w:p>
        </w:tc>
      </w:tr>
      <w:tr>
        <w:tc>
          <w:tcPr>
            <w:tcW w:type="dxa" w:w="1700"/>
            <w:vMerge w:val="restart"/>
            <w:tcBorders>
              <w:top w:val="single" w:color="CCCCCC" w:sz="1"/>
              <w:left w:val="single" w:color="CCCCCC" w:sz="1"/>
              <w:bottom w:val="single" w:color="CCCCCC" w:sz="1"/>
              <w:right w:val="single" w:color="CCCCCC" w:sz="1"/>
            </w:tcBorders>
            <w:shd w:fill="FFE6F2" w:val="clear"/>
          </w:tcPr>
          <w:p>
            <w:pPr>
              <w:jc w:val="center"/>
            </w:pPr>
            <w:r>
              <w:rPr>
                <w:b/>
                <w:bCs/>
                <w:sz w:val="19"/>
                <w:szCs w:val="19"/>
              </w:rPr>
              <w:t xml:space="preserve">Third-Party Risk</w:t>
            </w:r>
          </w:p>
        </w:tc>
        <w:tc>
          <w:tcPr>
            <w:tcW w:type="dxa" w:w="2100"/>
            <w:tcBorders>
              <w:top w:val="single" w:color="CCCCCC" w:sz="1"/>
              <w:left w:val="single" w:color="CCCCCC" w:sz="1"/>
              <w:bottom w:val="single" w:color="CCCCCC" w:sz="1"/>
              <w:right w:val="single" w:color="CCCCCC" w:sz="1"/>
            </w:tcBorders>
          </w:tcPr>
          <w:p>
            <w:r>
              <w:rPr>
                <w:sz w:val="19"/>
                <w:szCs w:val="19"/>
              </w:rPr>
              <w:t xml:space="preserve">Model version upgrades introducing breaking changes, security vulnerabilities, or degraded performance without proper testing and rollback.</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model versioning strategy with pinned versions. Deploy comprehensive testing before upgrades. Implement canary deployments for model changes. Maintain rollback capability. Monitor performance and accuracy post-upgrade. Establish change control process.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version control, custom upgrade testing, rollback scripts</w:t>
            </w:r>
          </w:p>
          <w:p>
            <w:r>
              <w:rPr>
                <w:b/>
                <w:bCs/>
                <w:sz w:val="19"/>
                <w:szCs w:val="19"/>
              </w:rPr>
              <w:t xml:space="preserve">Buy: </w:t>
            </w:r>
            <w:r>
              <w:rPr>
                <w:sz w:val="19"/>
                <w:szCs w:val="19"/>
              </w:rPr>
              <w:t xml:space="preserve">Monitor vendor releases, configure version pinning if available, test before enabling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version deprecation where vendors sunset model versions forcing migrations that may disrupt operations or introduce risks.</w:t>
            </w:r>
          </w:p>
        </w:tc>
        <w:tc>
          <w:tcPr>
            <w:tcW w:type="dxa" w:w="2400"/>
            <w:tcBorders>
              <w:top w:val="single" w:color="CCCCCC" w:sz="1"/>
              <w:left w:val="single" w:color="CCCCCC" w:sz="1"/>
              <w:bottom w:val="single" w:color="CCCCCC" w:sz="1"/>
              <w:right w:val="single" w:color="CCCCCC" w:sz="1"/>
            </w:tcBorders>
          </w:tcPr>
          <w:p>
            <w:r>
              <w:rPr>
                <w:sz w:val="19"/>
                <w:szCs w:val="19"/>
              </w:rPr>
              <w:t xml:space="preserve">Monitor vendor deprecation announcements. Establish migration plans well before deprecation dates. Test replacement models thoroughly. Document model dependencies. Implement graceful degradation strategies. Maintain buffer time for emergency migrations.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Control own model lifecycle, can maintain old versions longer</w:t>
            </w:r>
          </w:p>
          <w:p>
            <w:r>
              <w:rPr>
                <w:b/>
                <w:bCs/>
                <w:sz w:val="19"/>
                <w:szCs w:val="19"/>
              </w:rPr>
              <w:t xml:space="preserve">Buy: </w:t>
            </w:r>
            <w:r>
              <w:rPr>
                <w:sz w:val="19"/>
                <w:szCs w:val="19"/>
              </w:rPr>
              <w:t xml:space="preserve">CRITICAL RISK - Forced to migrate on vendor timeline, limited options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Vendor resilience risks where vendor outages, security incidents, or business failures disrupt agent operations.</w:t>
            </w:r>
          </w:p>
        </w:tc>
        <w:tc>
          <w:tcPr>
            <w:tcW w:type="dxa" w:w="2400"/>
            <w:tcBorders>
              <w:top w:val="single" w:color="CCCCCC" w:sz="1"/>
              <w:left w:val="single" w:color="CCCCCC" w:sz="1"/>
              <w:bottom w:val="single" w:color="CCCCCC" w:sz="1"/>
              <w:right w:val="single" w:color="CCCCCC" w:sz="1"/>
            </w:tcBorders>
          </w:tcPr>
          <w:p>
            <w:r>
              <w:rPr>
                <w:sz w:val="19"/>
                <w:szCs w:val="19"/>
              </w:rPr>
              <w:t xml:space="preserve">Assess vendor financial stability and operational resilience. Establish multi-vendor strategy where feasible. Implement failover to alternative providers. Monitor vendor health and incidents. Maintain backup plans for critical agents. Include SLA penalties in contracts.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Less dependent on single vendor, can switch model providers</w:t>
            </w:r>
          </w:p>
          <w:p>
            <w:r>
              <w:rPr>
                <w:b/>
                <w:bCs/>
                <w:sz w:val="19"/>
                <w:szCs w:val="19"/>
              </w:rPr>
              <w:t xml:space="preserve">Buy: </w:t>
            </w:r>
            <w:r>
              <w:rPr>
                <w:sz w:val="19"/>
                <w:szCs w:val="19"/>
              </w:rPr>
              <w:t xml:space="preserve">HIGH RISK - Platform outage affects all agents, limited alternatives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Need to update standards for third parties that provide or use agentic AI. Contractual gaps in security and liability.</w:t>
            </w:r>
          </w:p>
        </w:tc>
        <w:tc>
          <w:tcPr>
            <w:tcW w:type="dxa" w:w="2400"/>
            <w:tcBorders>
              <w:top w:val="single" w:color="CCCCCC" w:sz="1"/>
              <w:left w:val="single" w:color="CCCCCC" w:sz="1"/>
              <w:bottom w:val="single" w:color="CCCCCC" w:sz="1"/>
              <w:right w:val="single" w:color="CCCCCC" w:sz="1"/>
            </w:tcBorders>
          </w:tcPr>
          <w:p>
            <w:r>
              <w:rPr>
                <w:sz w:val="19"/>
                <w:szCs w:val="19"/>
              </w:rPr>
              <w:t xml:space="preserve">Update procurement standards for agentic AI. Establish security, privacy, and operational requirements. Define incident notification obligations. Implement liability clauses. Require approval processes. Establish audit rights. Define data ownership.</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Contracts for LLM API providers, model hosting vendors</w:t>
            </w:r>
          </w:p>
          <w:p>
            <w:r>
              <w:rPr>
                <w:b/>
                <w:bCs/>
                <w:sz w:val="19"/>
                <w:szCs w:val="19"/>
              </w:rPr>
              <w:t xml:space="preserve">Buy: </w:t>
            </w:r>
            <w:r>
              <w:rPr>
                <w:sz w:val="19"/>
                <w:szCs w:val="19"/>
              </w:rPr>
              <w:t xml:space="preserve">Master agreements with platforms, DPAs, SLAs, liability limits</w:t>
            </w:r>
          </w:p>
        </w:tc>
      </w:tr>
      <w:tr>
        <w:tc>
          <w:tcPr>
            <w:tcW w:type="dxa" w:w="1700"/>
            <w:vMerge w:val="restart"/>
            <w:tcBorders>
              <w:top w:val="single" w:color="CCCCCC" w:sz="1"/>
              <w:left w:val="single" w:color="CCCCCC" w:sz="1"/>
              <w:bottom w:val="single" w:color="CCCCCC" w:sz="1"/>
              <w:right w:val="single" w:color="CCCCCC" w:sz="1"/>
            </w:tcBorders>
            <w:shd w:fill="FFF0E6" w:val="clear"/>
          </w:tcPr>
          <w:p>
            <w:pPr>
              <w:jc w:val="center"/>
            </w:pPr>
            <w:r>
              <w:rPr>
                <w:b/>
                <w:bCs/>
                <w:sz w:val="19"/>
                <w:szCs w:val="19"/>
              </w:rPr>
              <w:t xml:space="preserve">Fraud &amp; Impersonation</w:t>
            </w:r>
          </w:p>
        </w:tc>
        <w:tc>
          <w:tcPr>
            <w:tcW w:type="dxa" w:w="2100"/>
            <w:tcBorders>
              <w:top w:val="single" w:color="CCCCCC" w:sz="1"/>
              <w:left w:val="single" w:color="CCCCCC" w:sz="1"/>
              <w:bottom w:val="single" w:color="CCCCCC" w:sz="1"/>
              <w:right w:val="single" w:color="CCCCCC" w:sz="1"/>
            </w:tcBorders>
          </w:tcPr>
          <w:p>
            <w:r>
              <w:rPr>
                <w:sz w:val="19"/>
                <w:szCs w:val="19"/>
              </w:rPr>
              <w:t xml:space="preserve">Deepfakes and sophisticated impersonation attacks using agentic AI to impersonate individuals for social engineering or fraud.</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deepfake detection capabilities. Deploy MFA with out-of-band verification for high-risk transactions. Establish verification protocols for unusual requests. Deploy behavioral biometrics. User awareness training on AI-enabled fraud.</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deepfake detection, integrated verification workflows</w:t>
            </w:r>
          </w:p>
          <w:p>
            <w:r>
              <w:rPr>
                <w:b/>
                <w:bCs/>
                <w:sz w:val="19"/>
                <w:szCs w:val="19"/>
              </w:rPr>
              <w:t xml:space="preserve">Buy: </w:t>
            </w:r>
            <w:r>
              <w:rPr>
                <w:sz w:val="19"/>
                <w:szCs w:val="19"/>
              </w:rPr>
              <w:t xml:space="preserve">Rely on platform safety features, external fraud detection tools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Fraudulent documentation generation where agents create fake bank statements, identity documents, or other materials for fraudulent purposes.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document verification and authenticity checking. Deploy watermarking and provenance tracking for agent-generated documents. Implement usage policies prohibiting fraudulent document creation. Deploy monitoring for suspicious document generation patterns.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restrictions, custom watermarking, usage monitoring</w:t>
            </w:r>
          </w:p>
          <w:p>
            <w:r>
              <w:rPr>
                <w:b/>
                <w:bCs/>
                <w:sz w:val="19"/>
                <w:szCs w:val="19"/>
              </w:rPr>
              <w:t xml:space="preserve">Buy: </w:t>
            </w:r>
            <w:r>
              <w:rPr>
                <w:sz w:val="19"/>
                <w:szCs w:val="19"/>
              </w:rPr>
              <w:t xml:space="preserve">Platform usage policies, external monitoring, user training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Fraudulent agent actions where compromised or malicious agents perform unauthorized transactions or manipulate data for fraudulent purposes.</w:t>
            </w:r>
          </w:p>
        </w:tc>
        <w:tc>
          <w:tcPr>
            <w:tcW w:type="dxa" w:w="2400"/>
            <w:tcBorders>
              <w:top w:val="single" w:color="CCCCCC" w:sz="1"/>
              <w:left w:val="single" w:color="CCCCCC" w:sz="1"/>
              <w:bottom w:val="single" w:color="CCCCCC" w:sz="1"/>
              <w:right w:val="single" w:color="CCCCCC" w:sz="1"/>
            </w:tcBorders>
          </w:tcPr>
          <w:p>
            <w:r>
              <w:rPr>
                <w:sz w:val="19"/>
                <w:szCs w:val="19"/>
              </w:rPr>
              <w:t xml:space="preserve">Deploy comprehensive fraud detection systems analyzing agent behavior patterns. Implement real-time fraud scoring. Use ML models for anomaly detection. Deploy transaction limits and velocity controls. Multi-agent consensus for high-value transactions.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fraud detection, integrated transaction controls</w:t>
            </w:r>
          </w:p>
          <w:p>
            <w:r>
              <w:rPr>
                <w:b/>
                <w:bCs/>
                <w:sz w:val="19"/>
                <w:szCs w:val="19"/>
              </w:rPr>
              <w:t xml:space="preserve">Buy: </w:t>
            </w:r>
            <w:r>
              <w:rPr>
                <w:sz w:val="19"/>
                <w:szCs w:val="19"/>
              </w:rPr>
              <w:t xml:space="preserve">Platform fraud features, external fraud detection services</w:t>
            </w:r>
          </w:p>
        </w:tc>
      </w:tr>
      <w:tr>
        <w:tc>
          <w:tcPr>
            <w:tcW w:type="dxa" w:w="1700"/>
            <w:vMerge w:val="restart"/>
            <w:tcBorders>
              <w:top w:val="single" w:color="CCCCCC" w:sz="1"/>
              <w:left w:val="single" w:color="CCCCCC" w:sz="1"/>
              <w:bottom w:val="single" w:color="CCCCCC" w:sz="1"/>
              <w:right w:val="single" w:color="CCCCCC" w:sz="1"/>
            </w:tcBorders>
            <w:shd w:fill="E8F0F8" w:val="clear"/>
          </w:tcPr>
          <w:p>
            <w:pPr>
              <w:jc w:val="center"/>
            </w:pPr>
            <w:r>
              <w:rPr>
                <w:b/>
                <w:bCs/>
                <w:sz w:val="19"/>
                <w:szCs w:val="19"/>
              </w:rPr>
              <w:t xml:space="preserve">Model Risk</w:t>
            </w:r>
          </w:p>
        </w:tc>
        <w:tc>
          <w:tcPr>
            <w:tcW w:type="dxa" w:w="2100"/>
            <w:tcBorders>
              <w:top w:val="single" w:color="CCCCCC" w:sz="1"/>
              <w:left w:val="single" w:color="CCCCCC" w:sz="1"/>
              <w:bottom w:val="single" w:color="CCCCCC" w:sz="1"/>
              <w:right w:val="single" w:color="CCCCCC" w:sz="1"/>
            </w:tcBorders>
          </w:tcPr>
          <w:p>
            <w:r>
              <w:rPr>
                <w:sz w:val="19"/>
                <w:szCs w:val="19"/>
              </w:rPr>
              <w:t xml:space="preserve">Lack of explainability preventing effective audit and accountability. Inability to understand agent decisions in complex multi-step reasoning.</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explainable AI techniques with rationale generation. Deploy chain-of-thought logging. Use attention mechanisms and decision tracing. Implement model cards. Deploy interpretability dashboards. Require human-understandable explanations for critical decisions.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logging, SHAP/LIME integration, proprietary interpretability</w:t>
            </w:r>
          </w:p>
          <w:p>
            <w:r>
              <w:rPr>
                <w:b/>
                <w:bCs/>
                <w:sz w:val="19"/>
                <w:szCs w:val="19"/>
              </w:rPr>
              <w:t xml:space="preserve">Buy: </w:t>
            </w:r>
            <w:r>
              <w:rPr>
                <w:sz w:val="19"/>
                <w:szCs w:val="19"/>
              </w:rPr>
              <w:t xml:space="preserve">Use platform explainability features, limited visibility, external tools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change management issues where model updates, retraining, or replacements are not properly controlled, tested, or documented.</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formal model change management process with approval gates. Deploy comprehensive testing for model changes. Maintain model version control and change documentation. Implement A/B testing for model updates. Require impact assessments before changes.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control, Git-based versioning, custom CM processes</w:t>
            </w:r>
          </w:p>
          <w:p>
            <w:r>
              <w:rPr>
                <w:b/>
                <w:bCs/>
                <w:sz w:val="19"/>
                <w:szCs w:val="19"/>
              </w:rPr>
              <w:t xml:space="preserve">Buy: </w:t>
            </w:r>
            <w:r>
              <w:rPr>
                <w:sz w:val="19"/>
                <w:szCs w:val="19"/>
              </w:rPr>
              <w:t xml:space="preserve">Limited control, document vendor changes, test after updates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misuse where agents are used for purposes beyond their intended and validated use cases, leading to inaccurate or harmful outputs.</w:t>
            </w:r>
          </w:p>
        </w:tc>
        <w:tc>
          <w:tcPr>
            <w:tcW w:type="dxa" w:w="2400"/>
            <w:tcBorders>
              <w:top w:val="single" w:color="CCCCCC" w:sz="1"/>
              <w:left w:val="single" w:color="CCCCCC" w:sz="1"/>
              <w:bottom w:val="single" w:color="CCCCCC" w:sz="1"/>
              <w:right w:val="single" w:color="CCCCCC" w:sz="1"/>
            </w:tcBorders>
          </w:tcPr>
          <w:p>
            <w:r>
              <w:rPr>
                <w:sz w:val="19"/>
                <w:szCs w:val="19"/>
              </w:rPr>
              <w:t xml:space="preserve">Document and enforce approved use cases. Implement runtime use case validation. Deploy monitoring for out-of-scope usage patterns. Provide clear guidance on appropriate vs inappropriate uses. Implement approval workflows for new use cases.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use case restrictions, application context validation</w:t>
            </w:r>
          </w:p>
          <w:p>
            <w:r>
              <w:rPr>
                <w:b/>
                <w:bCs/>
                <w:sz w:val="19"/>
                <w:szCs w:val="19"/>
              </w:rPr>
              <w:t xml:space="preserve">Buy: </w:t>
            </w:r>
            <w:r>
              <w:rPr>
                <w:sz w:val="19"/>
                <w:szCs w:val="19"/>
              </w:rPr>
              <w:t xml:space="preserve">User training, usage policies, monitoring for policy violations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accuracy degradation, bias propagation, or concept drift leading to incorrect agent behaviors over time.</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continuous model performance monitoring with drift detection. Deploy bias detection and fairness metrics. Conduct regular model retraining and validation. Implement model governance framework with version control and approval processes.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model control, custom monitoring, own retraining cycles</w:t>
            </w:r>
          </w:p>
          <w:p>
            <w:r>
              <w:rPr>
                <w:b/>
                <w:bCs/>
                <w:sz w:val="19"/>
                <w:szCs w:val="19"/>
              </w:rPr>
              <w:t xml:space="preserve">Buy: </w:t>
            </w:r>
            <w:r>
              <w:rPr>
                <w:sz w:val="19"/>
                <w:szCs w:val="19"/>
              </w:rPr>
              <w:t xml:space="preserve">Monitor outputs only, rely on vendor model updates, limited control</w:t>
            </w:r>
          </w:p>
        </w:tc>
      </w:tr>
    </w:tbl>
    <w:p>
      <w:r>
        <w:br w:type="page"/>
      </w:r>
    </w:p>
    <w:p>
      <w:pPr>
        <w:pStyle w:val="Heading2"/>
      </w:pPr>
      <w:r>
        <w:t xml:space="preserve">3.5 Compliance, Legal &amp; Reputational Risk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Implementation: Build vs Buy</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Compliance &amp; Legal</w:t>
            </w: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copyright and IP protections. Agents generating content that infringes copyrights or violates IP rights.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content filtering to prevent infringement. Use licensed training data. Deploy plagiarism detection. Implement content provenance tracking. Establish terms of use. Deploy watermarking for agent-generated content. Conduct regular IP risk assessments.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content filters, control training data, watermarking</w:t>
            </w:r>
          </w:p>
          <w:p>
            <w:r>
              <w:rPr>
                <w:b/>
                <w:bCs/>
                <w:sz w:val="19"/>
                <w:szCs w:val="19"/>
              </w:rPr>
              <w:t xml:space="preserve">Buy: </w:t>
            </w:r>
            <w:r>
              <w:rPr>
                <w:sz w:val="19"/>
                <w:szCs w:val="19"/>
              </w:rPr>
              <w:t xml:space="preserve">Rely on vendor IP protections, review indemnification, usage policies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End user training deficiencies where users lack knowledge to use agents safely and responsibly, leading to policy violations or security incidents.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mandatory user training programs covering appropriate agent usage, security awareness, privacy requirements, and incident reporting. Deploy ongoing education and awareness campaigns. Implement certification for high-risk agent access. Track training completion.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Internal training programs, application-specific guidance</w:t>
            </w:r>
          </w:p>
          <w:p>
            <w:r>
              <w:rPr>
                <w:b/>
                <w:bCs/>
                <w:sz w:val="19"/>
                <w:szCs w:val="19"/>
              </w:rPr>
              <w:t xml:space="preserve">Buy: </w:t>
            </w:r>
            <w:r>
              <w:rPr>
                <w:sz w:val="19"/>
                <w:szCs w:val="19"/>
              </w:rPr>
              <w:t xml:space="preserve">CRITICAL - Platform training for all users, ongoing awareness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Policy and charter alignment gaps where agent operations conflict with organizational policies, values, or regulatory requirements.</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AI ethics policy and responsible AI framework. Conduct policy alignment reviews for new agents. Implement value alignment techniques. Deploy policy enforcement mechanisms. Establish ethics review boards. Conduct regular policy compliance assessments.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policy enforcement, custom alignment techniques</w:t>
            </w:r>
          </w:p>
          <w:p>
            <w:r>
              <w:rPr>
                <w:b/>
                <w:bCs/>
                <w:sz w:val="19"/>
                <w:szCs w:val="19"/>
              </w:rPr>
              <w:t xml:space="preserve">Buy: </w:t>
            </w:r>
            <w:r>
              <w:rPr>
                <w:sz w:val="19"/>
                <w:szCs w:val="19"/>
              </w:rPr>
              <w:t xml:space="preserve">Configure platform policies, governance workflows, user policies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governance frameworks, accountability structures, and audit trails for regulatory compliance.</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comprehensive AI governance framework. Develop and enforce usage policies aligned with regulations. Implement mandatory training. Establish accountability structures. Deploy comprehensive audit logging. Implement policy enforcement. Conduct regular compliance assessments.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audit control, custom governance tools, detailed logging</w:t>
            </w:r>
          </w:p>
          <w:p>
            <w:r>
              <w:rPr>
                <w:b/>
                <w:bCs/>
                <w:sz w:val="19"/>
                <w:szCs w:val="19"/>
              </w:rPr>
              <w:t xml:space="preserve">Buy: </w:t>
            </w:r>
            <w:r>
              <w:rPr>
                <w:sz w:val="19"/>
                <w:szCs w:val="19"/>
              </w:rPr>
              <w:t xml:space="preserve">Platform audit logs via API, admin console governance, user training</w:t>
            </w:r>
          </w:p>
        </w:tc>
      </w:tr>
      <w:tr>
        <w:tc>
          <w:tcPr>
            <w:tcW w:type="dxa" w:w="1700"/>
            <w:vMerge w:val="restart"/>
            <w:tcBorders>
              <w:top w:val="single" w:color="CCCCCC" w:sz="1"/>
              <w:left w:val="single" w:color="CCCCCC" w:sz="1"/>
              <w:bottom w:val="single" w:color="CCCCCC" w:sz="1"/>
              <w:right w:val="single" w:color="CCCCCC" w:sz="1"/>
            </w:tcBorders>
            <w:shd w:fill="FFE6E6" w:val="clear"/>
          </w:tcPr>
          <w:p>
            <w:pPr>
              <w:jc w:val="center"/>
            </w:pPr>
            <w:r>
              <w:rPr>
                <w:b/>
                <w:bCs/>
                <w:sz w:val="19"/>
                <w:szCs w:val="19"/>
              </w:rPr>
              <w:t xml:space="preserve">Reputational Risk</w:t>
            </w:r>
          </w:p>
        </w:tc>
        <w:tc>
          <w:tcPr>
            <w:tcW w:type="dxa" w:w="2100"/>
            <w:tcBorders>
              <w:top w:val="single" w:color="CCCCCC" w:sz="1"/>
              <w:left w:val="single" w:color="CCCCCC" w:sz="1"/>
              <w:bottom w:val="single" w:color="CCCCCC" w:sz="1"/>
              <w:right w:val="single" w:color="CCCCCC" w:sz="1"/>
            </w:tcBorders>
          </w:tcPr>
          <w:p>
            <w:r>
              <w:rPr>
                <w:sz w:val="19"/>
                <w:szCs w:val="19"/>
              </w:rPr>
              <w:t xml:space="preserve">Ethical violations or harmful outcomes from agent actions including bias, discrimination, or decisions conflicting with organizational values.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ethical AI principles and responsible AI framework. Deploy bias detection and mitigation. Establish ethics review boards. Implement value alignment techniques. Deploy transparency reporting. Establish incident response for ethical violations.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bias detection, code-level value alignment</w:t>
            </w:r>
          </w:p>
          <w:p>
            <w:r>
              <w:rPr>
                <w:b/>
                <w:bCs/>
                <w:sz w:val="19"/>
                <w:szCs w:val="19"/>
              </w:rPr>
              <w:t xml:space="preserve">Buy: </w:t>
            </w:r>
            <w:r>
              <w:rPr>
                <w:sz w:val="19"/>
                <w:szCs w:val="19"/>
              </w:rPr>
              <w:t xml:space="preserve">Configure platform ethics features, external monitoring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Reputational damage from internal or customer perception of irresponsible deployment, creating concerns about privacy, job displacement, or inadequate safeguards.</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transparent communication about strategy and safeguards. Implement stakeholder engagement programs. Deploy human-centered design emphasizing augmentation. Establish feedback mechanisms. Implement clear escalation to human oversight. Publish responsible AI principles.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control over transparency communications</w:t>
            </w:r>
          </w:p>
          <w:p>
            <w:r>
              <w:rPr>
                <w:b/>
                <w:bCs/>
                <w:sz w:val="19"/>
                <w:szCs w:val="19"/>
              </w:rPr>
              <w:t xml:space="preserve">Buy: </w:t>
            </w:r>
            <w:r>
              <w:rPr>
                <w:sz w:val="19"/>
                <w:szCs w:val="19"/>
              </w:rPr>
              <w:t xml:space="preserve">Leverage vendor transparency, supplement with org communications</w:t>
            </w:r>
          </w:p>
        </w:tc>
      </w:tr>
    </w:tbl>
    <w:p>
      <w:r>
        <w:br w:type="page"/>
      </w:r>
    </w:p>
    <w:p>
      <w:pPr>
        <w:pStyle w:val="Heading1"/>
      </w:pPr>
      <w:r>
        <w:t xml:space="preserve">4. Implementation Roadmap and Considerations</w:t>
      </w:r>
    </w:p>
    <w:p>
      <w:pPr>
        <w:pStyle w:val="BodyText"/>
      </w:pPr>
      <w:r>
        <w:t xml:space="preserve">Organizations must adopt phased implementation approaches that balance innovation velocity with comprehensive risk management. The expanded control framework in this version addresses all critical operational risks including data management, technology infrastructure, model lifecycle, fraud prevention, skills management, and compliance requirements across both Build and Buy deployment models.</w:t>
      </w:r>
    </w:p>
    <w:p>
      <w:pPr>
        <w:pStyle w:val="BodyText"/>
      </w:pPr>
      <w:r>
        <w:t xml:space="preserve">For Build Agents, organizations must establish comprehensive development and deployment frameworks integrating security controls at the code level, infrastructure level, and operational level. Critical considerations include secure configuration management, non-functional testing frameworks, support readiness with rollback capabilities, and building internal AI/ML security expertise. For Buy Agents, organizations must focus on vendor selection and assessment, configuration management within platform constraints, compensating controls for platform limitations, and comprehensive user training programs.</w:t>
      </w:r>
    </w:p>
    <w:p>
      <w:pPr>
        <w:pStyle w:val="BodyText"/>
      </w:pPr>
      <w:r>
        <w:t xml:space="preserve">Hybrid deployment strategies require unified governance frameworks that span both models while acknowledging implementation differences. Organizations should establish centralized agent registries tracking both Build and Buy agents, unified monitoring and alerting systems, common incident response procedures, and consistent risk classification processes. The Build versus Buy decision framework should consider use case sensitivity, required customization depth, integration complexity, regulatory requirements, organizational capabilities, and long-term strategic alignment.</w:t>
      </w:r>
    </w:p>
    <w:p>
      <w:pPr>
        <w:pStyle w:val="Heading1"/>
      </w:pPr>
      <w:r>
        <w:t xml:space="preserve">5. Governance and Oversight Framework</w:t>
      </w:r>
    </w:p>
    <w:p>
      <w:pPr>
        <w:pStyle w:val="BodyText"/>
      </w:pPr>
      <w:r>
        <w:t xml:space="preserve">Effective governance requires organizational structures spanning strategic, tactical, and operational levels with clear accountability for both Build and Buy deployments. The AI Steering Committee establishes organizational policies, the Agentic AI Governance Council manages day-to-day governance processes, and Agent Product Owners ensure specific implementations meet security requirements and operate within approved boundaries. Continuous monitoring frameworks must cover both deployment models with unified observability, anomaly detection, and regular governance reviews driving continuous improvement.</w:t>
      </w:r>
    </w:p>
    <w:p>
      <w:r>
        <w:br w:type="page"/>
      </w:r>
    </w:p>
    <w:p>
      <w:pPr>
        <w:pStyle w:val="Heading1"/>
      </w:pPr>
      <w:r>
        <w:t xml:space="preserve">6. Conclusion</w:t>
      </w:r>
    </w:p>
    <w:p>
      <w:pPr>
        <w:pStyle w:val="BodyText"/>
      </w:pPr>
      <w:r>
        <w:t xml:space="preserve">This comprehensive framework establishes security requirements and controls addressing all critical operational risk dimensions for agentic AI systems. Version 3.0 provides expanded coverage of data management challenges including prompt/response retention and unstructured data handling, technology infrastructure requirements including non-functional testing and configuration security, model lifecycle management addressing version upgrades and deprecation, fraud prevention across multiple attack vectors including fraudulent documentation, and skills management recognizing the critical talent requirements for secure agentic AI operations.</w:t>
      </w:r>
    </w:p>
    <w:p>
      <w:pPr>
        <w:pStyle w:val="BodyText"/>
      </w:pPr>
      <w:r>
        <w:t xml:space="preserve">Organizations deploying both Build and Buy Agents must implement tailored controls while maintaining consistent security outcomes. Build Agents offer maximum control with full responsibility for implementation, while Buy Agents enable rapid deployment with vendor dependency trade-offs. Success requires mature governance spanning both models, specialized capabilities and tooling, cross-functional collaboration, informed Build-versus-Buy decisions, and organizational commitment to responsible AI deployment. By implementing this comprehensive framework, organizations can harness agentic AI's transformative capabilities while protecting stakeholder interests and maintaining public trust.</w:t>
      </w:r>
    </w:p>
    <w:p>
      <w:r>
        <w:br w:type="page"/>
      </w:r>
    </w:p>
    <w:p>
      <w:pPr>
        <w:pStyle w:val="Heading1"/>
      </w:pPr>
      <w:r>
        <w:t xml:space="preserve">Appendix: Quick Reference Guides</w:t>
      </w:r>
    </w:p>
    <w:p>
      <w:pPr>
        <w:pStyle w:val="Heading2"/>
      </w:pPr>
      <w:r>
        <w:t xml:space="preserve">A.1 Build vs Buy Agent Comparison</w:t>
      </w:r>
    </w:p>
    <w:p>
      <w:pPr>
        <w:spacing w:before="12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3510"/>
        <w:gridCol w:w="3510"/>
      </w:tblGrid>
      <w:tr>
        <w:trPr>
          <w:tblHeader/>
        </w:trPr>
        <w:tc>
          <w:tcPr>
            <w:tcW w:type="dxa" w:w="234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Characteristic</w:t>
            </w:r>
          </w:p>
        </w:tc>
        <w:tc>
          <w:tcPr>
            <w:tcW w:type="dxa" w:w="351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Build Agents</w:t>
            </w:r>
          </w:p>
        </w:tc>
        <w:tc>
          <w:tcPr>
            <w:tcW w:type="dxa" w:w="351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Buy Agents</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Infrastructure</w:t>
            </w:r>
          </w:p>
        </w:tc>
        <w:tc>
          <w:tcPr>
            <w:tcW w:type="dxa" w:w="3510"/>
            <w:tcBorders>
              <w:top w:val="single" w:color="CCCCCC" w:sz="1"/>
              <w:left w:val="single" w:color="CCCCCC" w:sz="1"/>
              <w:bottom w:val="single" w:color="CCCCCC" w:sz="1"/>
              <w:right w:val="single" w:color="CCCCCC" w:sz="1"/>
            </w:tcBorders>
          </w:tcPr>
          <w:p>
            <w:r>
              <w:rPr>
                <w:sz w:val="20"/>
                <w:szCs w:val="20"/>
              </w:rPr>
              <w:t xml:space="preserve">Company-owned servers (on-prem or cloud)</w:t>
            </w:r>
          </w:p>
        </w:tc>
        <w:tc>
          <w:tcPr>
            <w:tcW w:type="dxa" w:w="3510"/>
            <w:tcBorders>
              <w:top w:val="single" w:color="CCCCCC" w:sz="1"/>
              <w:left w:val="single" w:color="CCCCCC" w:sz="1"/>
              <w:bottom w:val="single" w:color="CCCCCC" w:sz="1"/>
              <w:right w:val="single" w:color="CCCCCC" w:sz="1"/>
            </w:tcBorders>
          </w:tcPr>
          <w:p>
            <w:r>
              <w:rPr>
                <w:sz w:val="20"/>
                <w:szCs w:val="20"/>
              </w:rPr>
              <w:t xml:space="preserve">Vendor SaaS platforms (ChatGPT, Copilot)</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Control Level</w:t>
            </w:r>
          </w:p>
        </w:tc>
        <w:tc>
          <w:tcPr>
            <w:tcW w:type="dxa" w:w="3510"/>
            <w:tcBorders>
              <w:top w:val="single" w:color="CCCCCC" w:sz="1"/>
              <w:left w:val="single" w:color="CCCCCC" w:sz="1"/>
              <w:bottom w:val="single" w:color="CCCCCC" w:sz="1"/>
              <w:right w:val="single" w:color="CCCCCC" w:sz="1"/>
            </w:tcBorders>
          </w:tcPr>
          <w:p>
            <w:r>
              <w:rPr>
                <w:sz w:val="20"/>
                <w:szCs w:val="20"/>
              </w:rPr>
              <w:t xml:space="preserve">Full control over code, data, security</w:t>
            </w:r>
          </w:p>
        </w:tc>
        <w:tc>
          <w:tcPr>
            <w:tcW w:type="dxa" w:w="3510"/>
            <w:tcBorders>
              <w:top w:val="single" w:color="CCCCCC" w:sz="1"/>
              <w:left w:val="single" w:color="CCCCCC" w:sz="1"/>
              <w:bottom w:val="single" w:color="CCCCCC" w:sz="1"/>
              <w:right w:val="single" w:color="CCCCCC" w:sz="1"/>
            </w:tcBorders>
          </w:tcPr>
          <w:p>
            <w:r>
              <w:rPr>
                <w:sz w:val="20"/>
                <w:szCs w:val="20"/>
              </w:rPr>
              <w:t xml:space="preserve">Limited to platform configuration options</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Skills Required</w:t>
            </w:r>
          </w:p>
        </w:tc>
        <w:tc>
          <w:tcPr>
            <w:tcW w:type="dxa" w:w="3510"/>
            <w:tcBorders>
              <w:top w:val="single" w:color="CCCCCC" w:sz="1"/>
              <w:left w:val="single" w:color="CCCCCC" w:sz="1"/>
              <w:bottom w:val="single" w:color="CCCCCC" w:sz="1"/>
              <w:right w:val="single" w:color="CCCCCC" w:sz="1"/>
            </w:tcBorders>
          </w:tcPr>
          <w:p>
            <w:r>
              <w:rPr>
                <w:sz w:val="20"/>
                <w:szCs w:val="20"/>
              </w:rPr>
              <w:t xml:space="preserve">AI/ML, DevOps, Security, Infrastructure expertise</w:t>
            </w:r>
          </w:p>
        </w:tc>
        <w:tc>
          <w:tcPr>
            <w:tcW w:type="dxa" w:w="3510"/>
            <w:tcBorders>
              <w:top w:val="single" w:color="CCCCCC" w:sz="1"/>
              <w:left w:val="single" w:color="CCCCCC" w:sz="1"/>
              <w:bottom w:val="single" w:color="CCCCCC" w:sz="1"/>
              <w:right w:val="single" w:color="CCCCCC" w:sz="1"/>
            </w:tcBorders>
          </w:tcPr>
          <w:p>
            <w:r>
              <w:rPr>
                <w:sz w:val="20"/>
                <w:szCs w:val="20"/>
              </w:rPr>
              <w:t xml:space="preserve">Configuration, governance, user training focus</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Best For</w:t>
            </w:r>
          </w:p>
        </w:tc>
        <w:tc>
          <w:tcPr>
            <w:tcW w:type="dxa" w:w="3510"/>
            <w:tcBorders>
              <w:top w:val="single" w:color="CCCCCC" w:sz="1"/>
              <w:left w:val="single" w:color="CCCCCC" w:sz="1"/>
              <w:bottom w:val="single" w:color="CCCCCC" w:sz="1"/>
              <w:right w:val="single" w:color="CCCCCC" w:sz="1"/>
            </w:tcBorders>
          </w:tcPr>
          <w:p>
            <w:r>
              <w:rPr>
                <w:sz w:val="20"/>
                <w:szCs w:val="20"/>
              </w:rPr>
              <w:t xml:space="preserve">High-sensitivity, deep integration, regulatory requirements</w:t>
            </w:r>
          </w:p>
        </w:tc>
        <w:tc>
          <w:tcPr>
            <w:tcW w:type="dxa" w:w="3510"/>
            <w:tcBorders>
              <w:top w:val="single" w:color="CCCCCC" w:sz="1"/>
              <w:left w:val="single" w:color="CCCCCC" w:sz="1"/>
              <w:bottom w:val="single" w:color="CCCCCC" w:sz="1"/>
              <w:right w:val="single" w:color="CCCCCC" w:sz="1"/>
            </w:tcBorders>
          </w:tcPr>
          <w:p>
            <w:r>
              <w:rPr>
                <w:sz w:val="20"/>
                <w:szCs w:val="20"/>
              </w:rPr>
              <w:t xml:space="preserve">Rapid deployment, standard use cases, lower sensitivity</w:t>
            </w:r>
          </w:p>
        </w:tc>
      </w:tr>
    </w:tbl>
    <w:p>
      <w:pPr>
        <w:spacing w:before="360"/>
      </w:pPr>
    </w:p>
    <w:p>
      <w:pPr>
        <w:pStyle w:val="Heading2"/>
      </w:pPr>
      <w:r>
        <w:t xml:space="preserve">Document Information</w:t>
      </w:r>
    </w:p>
    <w:p>
      <w:pPr>
        <w:pStyle w:val="BodyText"/>
      </w:pPr>
      <w:r>
        <w:rPr>
          <w:b/>
          <w:bCs/>
          <w:sz w:val="20"/>
          <w:szCs w:val="20"/>
        </w:rPr>
        <w:t xml:space="preserve">Document Version: 3.0 (Complete Operational Risk Edition)</w:t>
      </w:r>
    </w:p>
    <w:p>
      <w:pPr>
        <w:pStyle w:val="BodyText"/>
      </w:pPr>
      <w:r>
        <w:rPr>
          <w:sz w:val="20"/>
          <w:szCs w:val="20"/>
        </w:rPr>
        <w:t xml:space="preserve">Publication Date: November 2025</w:t>
      </w:r>
    </w:p>
    <w:p>
      <w:pPr>
        <w:pStyle w:val="BodyText"/>
      </w:pPr>
      <w:r>
        <w:rPr>
          <w:sz w:val="20"/>
          <w:szCs w:val="20"/>
        </w:rPr>
        <w:t xml:space="preserve">Classification: Internal Use - Confidential</w:t>
      </w:r>
    </w:p>
    <w:p>
      <w:pPr>
        <w:pStyle w:val="BodyText"/>
      </w:pPr>
      <w:r>
        <w:rPr>
          <w:i/>
          <w:iCs/>
          <w:sz w:val="19"/>
          <w:szCs w:val="19"/>
        </w:rPr>
        <w:t xml:space="preserve">Changes from v2.0: Added comprehensive operational risk controls for prompt/response retention, unstructured data management, configuration security, non-functional testing, support readiness, model version management, model deprecation, vendor resilience, fraudulent documentation, model change management, model misuse, skills/talent requirements, end user training, and policy alignment.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Arial" w:cs="Arial" w:eastAsia="Arial" w:hAnsi="Arial"/>
      <w:b/>
      <w:bCs/>
      <w:color w:val="2E5090"/>
      <w:sz w:val="56"/>
      <w:szCs w:val="56"/>
    </w:rPr>
  </w:style>
  <w:style w:type="paragraph" w:styleId="Subtitle">
    <w:name w:val="Subtitle"/>
    <w:basedOn w:val="Normal"/>
    <w:pPr>
      <w:spacing w:before="120" w:after="360"/>
      <w:jc w:val="center"/>
    </w:pPr>
    <w:rPr>
      <w:rFonts w:ascii="Arial" w:cs="Arial" w:eastAsia="Arial" w:hAnsi="Arial"/>
      <w:color w:val="4A4A4A"/>
      <w:sz w:val="32"/>
      <w:szCs w:val="32"/>
    </w:rPr>
  </w:style>
  <w:style w:type="paragraph" w:styleId="Heading1">
    <w:name w:val="Heading 1"/>
    <w:basedOn w:val="Normal"/>
    <w:next w:val="Normal"/>
    <w:qFormat/>
    <w:pPr>
      <w:spacing w:before="36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 w:type="paragraph" w:styleId="BodyText">
    <w:name w:val="Body Text"/>
    <w:basedOn w:val="Normal"/>
    <w:pPr>
      <w:spacing w:after="160"/>
      <w:jc w:val="both"/>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2025-11-18T04:16:58.673Z</dcterms:created>
  <dcterms:modified xsi:type="dcterms:W3CDTF">2025-11-18T04:16:58.674Z</dcterms:modified>
</cp:coreProperties>
</file>

<file path=docProps/custom.xml><?xml version="1.0" encoding="utf-8"?>
<Properties xmlns="http://schemas.openxmlformats.org/officeDocument/2006/custom-properties" xmlns:vt="http://schemas.openxmlformats.org/officeDocument/2006/docPropsVTypes"/>
</file>