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br/>
        <w:t>Architecture Design Document:</w:t>
        <w:br/>
        <w:t>Cyber-Autonomous Intelligence Platform (CAIP)</w:t>
        <w:br/>
      </w:r>
    </w:p>
    <w:p>
      <w:pPr>
        <w:jc w:val="center"/>
      </w:pPr>
      <w:r>
        <w:rPr>
          <w:i/>
          <w:sz w:val="28"/>
        </w:rPr>
        <w:t>Project Chrysalis: Establishing a Sovereign Adversarial AI Research Environment</w:t>
        <w:br/>
      </w:r>
    </w:p>
    <w:p/>
    <w:p/>
    <w:p/>
    <w:p/>
    <w:p/>
    <w:tbl>
      <w:tblPr>
        <w:tblW w:type="auto" w:w="0"/>
        <w:tblLayout w:type="fixed"/>
        <w:tblLook w:firstColumn="1" w:firstRow="1" w:lastColumn="0" w:lastRow="0" w:noHBand="0" w:noVBand="1" w:val="04A0"/>
      </w:tblPr>
      <w:tblGrid>
        <w:gridCol w:w="2880"/>
        <w:gridCol w:w="5760"/>
      </w:tblGrid>
      <w:tr>
        <w:tc>
          <w:tcPr>
            <w:tcW w:type="dxa" w:w="4320"/>
          </w:tcPr>
          <w:p>
            <w:r>
              <w:rPr>
                <w:b/>
              </w:rPr>
              <w:t>Author:</w:t>
            </w:r>
          </w:p>
        </w:tc>
        <w:tc>
          <w:tcPr>
            <w:tcW w:type="dxa" w:w="4320"/>
          </w:tcPr>
          <w:p>
            <w:r>
              <w:t>Cyber Defense Architecture Team</w:t>
            </w:r>
          </w:p>
        </w:tc>
      </w:tr>
      <w:tr>
        <w:tc>
          <w:tcPr>
            <w:tcW w:type="dxa" w:w="4320"/>
          </w:tcPr>
          <w:p>
            <w:r>
              <w:rPr>
                <w:b/>
              </w:rPr>
              <w:t>Version:</w:t>
            </w:r>
          </w:p>
        </w:tc>
        <w:tc>
          <w:tcPr>
            <w:tcW w:type="dxa" w:w="4320"/>
          </w:tcPr>
          <w:p>
            <w:r>
              <w:t>1.0.1 (Final Review)</w:t>
            </w:r>
          </w:p>
        </w:tc>
      </w:tr>
      <w:tr>
        <w:tc>
          <w:tcPr>
            <w:tcW w:type="dxa" w:w="4320"/>
          </w:tcPr>
          <w:p>
            <w:r>
              <w:rPr>
                <w:b/>
              </w:rPr>
              <w:t>Target Audience:</w:t>
            </w:r>
          </w:p>
        </w:tc>
        <w:tc>
          <w:tcPr>
            <w:tcW w:type="dxa" w:w="4320"/>
          </w:tcPr>
          <w:p>
            <w:r>
              <w:t>Architecture Review Board, CISO, Cloud Platform Leads</w:t>
            </w:r>
          </w:p>
        </w:tc>
      </w:tr>
      <w:tr>
        <w:tc>
          <w:tcPr>
            <w:tcW w:type="dxa" w:w="4320"/>
          </w:tcPr>
          <w:p>
            <w:r>
              <w:rPr>
                <w:b/>
              </w:rPr>
              <w:t>Date:</w:t>
            </w:r>
          </w:p>
        </w:tc>
        <w:tc>
          <w:tcPr>
            <w:tcW w:type="dxa" w:w="4320"/>
          </w:tcPr>
          <w:p>
            <w:r>
              <w:t>April 26, 2026</w:t>
            </w:r>
          </w:p>
        </w:tc>
      </w:tr>
      <w:tr>
        <w:tc>
          <w:tcPr>
            <w:tcW w:type="dxa" w:w="4320"/>
          </w:tcPr>
          <w:p>
            <w:r>
              <w:rPr>
                <w:b/>
              </w:rPr>
              <w:t>Classification:</w:t>
            </w:r>
          </w:p>
        </w:tc>
        <w:tc>
          <w:tcPr>
            <w:tcW w:type="dxa" w:w="4320"/>
          </w:tcPr>
          <w:p>
            <w:r>
              <w:t>Internal - Highly Confidential</w:t>
            </w:r>
          </w:p>
        </w:tc>
      </w:tr>
    </w:tbl>
    <w:p>
      <w:r>
        <w:br w:type="page"/>
      </w:r>
    </w:p>
    <w:p>
      <w:pPr>
        <w:pStyle w:val="Heading1"/>
      </w:pPr>
      <w:r>
        <w:t>1. Executive Summary</w:t>
      </w:r>
    </w:p>
    <w:p>
      <w:r>
        <w:t>As the enterprise transitions toward Agentic AI and integrates high-tier models like Claude Mythos, GPT-5.4 Cyber, and Claude Opus 4.7, the centralized LLM Gateway (Apigee/Portkey) has surfaced as a critical technical bottleneck for InfoSec operations. Standard infrastructure is designed for business-logic payloads, not the heavy, high-entropy data processed by security scanners.</w:t>
      </w:r>
    </w:p>
    <w:p>
      <w:r>
        <w:t>The Cyber-Autonomous Intelligence Platform (CAIP), established under Project Chrysalis, provides a hardened, sovereign AWS environment. By bypassing the enterprise gateway and utilizing direct VPC endpoints to Amazon Bedrock, CAIP enables the security team to execute adversarial simulations, binary deconstruction, and massive batch inference jobs that are currently preclude by existing architectural constraints.</w:t>
      </w:r>
    </w:p>
    <w:p>
      <w:pPr>
        <w:pStyle w:val="Heading1"/>
      </w:pPr>
      <w:r>
        <w:t>2. Analysis of the Existing LLM Gateway Constraints</w:t>
      </w:r>
    </w:p>
    <w:p>
      <w:pPr>
        <w:pStyle w:val="Heading2"/>
      </w:pPr>
      <w:r>
        <w:t>2.1 Payload and Buffer Thresholds</w:t>
      </w:r>
    </w:p>
    <w:p>
      <w:r>
        <w:t>The current enterprise LLM routing path utilizes Apigee as a mediation layer. While effective for rate-limiting and centralized billing, Apigee enforces a strict maximum payload size (typically 10MB-30MB). InfoSec workloads, such as vulnerability scans from Mythos or large-scale Nessus exports, routinely generate prompt envelopes exceeding 50MB. Under the current architecture, these requests are truncated or rejected at the gateway, rendering our AI-driven scanning tools ineffective.</w:t>
      </w:r>
    </w:p>
    <w:p>
      <w:pPr>
        <w:pStyle w:val="Heading2"/>
      </w:pPr>
      <w:r>
        <w:t>2.2 The Tokenizer Challenge (Opus 4.7 Expansion)</w:t>
      </w:r>
    </w:p>
    <w:p>
      <w:r>
        <w:t>The release of Claude Opus 4.7 introduced a high-fidelity tokenizer capable of handling a 1M token context window. Empirical testing indicates a 35% increase in token density compared to previous iterations. This expansion means that security logs previously within 'safe' limits now trigger overflow errors at the Portkey layer. CAIP's direct-to-Bedrock architecture removes this mediation layer, allowing for raw, unbuffered throughput.</w:t>
      </w:r>
    </w:p>
    <w:p>
      <w:pPr>
        <w:pStyle w:val="Heading2"/>
      </w:pPr>
      <w:r>
        <w:t>2.3 Over-Indexed Safety Refusals</w:t>
      </w:r>
    </w:p>
    <w:p>
      <w:r>
        <w:t>General-purpose enterprise filters are tuned to prevent 'jailbreaking' and malicious content generation. However, for a Cyber Security Architect, analyzing malware samples or exploit code is a standard operational requirement. Models like GPT-5.4 Cyber and Claude Mythos are designed with 'Cyber-Permissive' reasoning, but these capabilities are often neutralized by the generic guardrails applied at the central LLM Gateway. CAIP allows InfoSec to apply its own context-aware screening libraries that distinguish between 'malicious intent' and 'defensive research'.</w:t>
      </w:r>
    </w:p>
    <w:p>
      <w:pPr>
        <w:pStyle w:val="Heading1"/>
      </w:pPr>
      <w:r>
        <w:t>3. Proposed Architecture: Project Chrysalis</w:t>
      </w:r>
    </w:p>
    <w:p>
      <w:r>
        <w:t>Project Chrysalis follows a 'Sovereign Account' pattern, where the security environment is logically and physically separated from production application traffic.</w:t>
      </w:r>
    </w:p>
    <w:p>
      <w:pPr>
        <w:pStyle w:val="Heading2"/>
      </w:pPr>
      <w:r>
        <w:t>3.1 Networking and VPC Design</w:t>
      </w:r>
    </w:p>
    <w:p>
      <w:r>
        <w:t>To ensure maximum security and minimum latency, CAIP utilizes AWS PrivateLink for all Bedrock interactions. Traffic never traverses the public internet or the shared corporate gateway. Instead, Interface VPC Endpoints allow security runners (EKS/Lambda) to communicate directly with model endpoints within the AWS backbone.</w:t>
      </w:r>
    </w:p>
    <w:p>
      <w:pPr>
        <w:pStyle w:val="Heading2"/>
      </w:pPr>
      <w:r>
        <w:t>3.2 The MatricX MCP Server</w:t>
      </w:r>
    </w:p>
    <w:p>
      <w:r>
        <w:t>A cornerstone of the CAIP architecture is the proprietary MatricX Model Context Protocol (MCP) server. This custom-developed component serves as the 'knowledge bridge,' providing the models with internal infrastructure metadata, security policies, and historical vulnerability context. By hosting this server locally within the CAIP account, we ensure that sensitive architectural metadata is never exposed to third-party providers or centralized logging systems.</w:t>
      </w:r>
    </w:p>
    <w:p>
      <w:pPr>
        <w:pStyle w:val="Heading2"/>
      </w:pPr>
      <w:r>
        <w:t>3.3 SageMaker and Hub Integration</w:t>
      </w:r>
    </w:p>
    <w:p>
      <w:r>
        <w:t>For specialized model fine-tuning and the use of SageMaker JumpStart, the architecture adopts the most recent AWS IAM schemas. Specifically, we utilize the 'ImportHubContent' permission (overriding the legacy 'CreateHubContentReference' nomenclature) to manage model assets securely. This ensures that our automation scripts remain compliant with AWS’s evolving security standards.</w:t>
      </w:r>
    </w:p>
    <w:p>
      <w:pPr>
        <w:pStyle w:val="Heading1"/>
      </w:pPr>
      <w:r>
        <w:t>4. Security Controls and Identity Management</w:t>
      </w:r>
    </w:p>
    <w:p>
      <w:pPr>
        <w:pStyle w:val="Heading2"/>
      </w:pPr>
      <w:r>
        <w:t>4.1 Authentication vs. Authorization</w:t>
      </w:r>
    </w:p>
    <w:p>
      <w:r>
        <w:t>The platform distinguishes strictly between identity and access. All requests must be authenticated via OIDC-compliant ID Tokens, which carry the user's profile and department claims. This allows for high-fidelity auditing—mapping every 'adversarial' query back to a specific researcher. Access Tokens are used solely for scoping the API's permissions within a session.</w:t>
      </w:r>
    </w:p>
    <w:p>
      <w:pPr>
        <w:pStyle w:val="Heading2"/>
      </w:pPr>
      <w:r>
        <w:t>4.2 S3-Backed Batch Inference</w:t>
      </w:r>
    </w:p>
    <w:p>
      <w:r>
        <w:t>To handle 'crazy things' in security AI—like scanning thousands of binaries simultaneously—CAIP implements an asynchronous processing model. Large payloads are dropped into a hardened S3 bucket, which triggers a batch inference job. Results are encrypted at rest and logged to an immutable S3-based audit trail, bypassing the synchronous timeout limits of Portkey.</w:t>
      </w:r>
    </w:p>
    <w:p>
      <w:pPr>
        <w:pStyle w:val="Heading1"/>
      </w:pPr>
      <w:r>
        <w:t>5. Strategic Importance: Offensive AI as Defensive Necessity</w:t>
      </w:r>
    </w:p>
    <w:p>
      <w:r>
        <w:t>In the modern threat landscape, the distinction between offensive and defensive AI is a matter of intent, not toolset. To defend against automated 0-day exploits, we must be able to discover them first. Models like Claude Mythos (Project Glasswing) provide reasoning capabilities that traditional SAST/DAST tools cannot match. Without CAIP, the enterprise is effectively 'blind' to the sophisticated logic flaws that next-generation attackers will target.</w:t>
      </w:r>
    </w:p>
    <w:p>
      <w:pPr>
        <w:pStyle w:val="Heading2"/>
      </w:pPr>
      <w:r>
        <w:t>5.1 Implementation Roadmap</w:t>
      </w:r>
    </w:p>
    <w:p>
      <w:pPr>
        <w:pStyle w:val="ListNumber"/>
      </w:pPr>
      <w:r>
        <w:t>Phase 1 (Setup): Provisioning of the sovereign AWS account via Control Tower, establishment of VPC Endpoints, and deployment of the MatricX MCP Server.</w:t>
      </w:r>
    </w:p>
    <w:p>
      <w:pPr>
        <w:pStyle w:val="ListNumber"/>
      </w:pPr>
      <w:r>
        <w:t>Phase 2 (Onboarding): Integrating Mythos and GPT-5.4 Cyber endpoints; configuring S3 batch inference pipelines for Nessus/VM outputs.</w:t>
      </w:r>
    </w:p>
    <w:p>
      <w:pPr>
        <w:pStyle w:val="ListNumber"/>
      </w:pPr>
      <w:r>
        <w:t>Phase 3 (Operationalization): Migration of the security red-team workloads and binary analysis agents into the CAIP environment.</w:t>
      </w:r>
    </w:p>
    <w:p>
      <w:pPr>
        <w:pStyle w:val="Heading1"/>
      </w:pPr>
      <w:r>
        <w:t>6. Conclusion</w:t>
      </w:r>
    </w:p>
    <w:p>
      <w:r>
        <w:t>The establishment of CAIP is not a luxury, but a requirement for the continued security of the MatricX enterprise. By resolving the technical friction of the LLM Gateway and providing direct, unmediated access to frontier models, Project Chrysalis ensures that our security team remains ahead of the adversarial curve.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