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Supplementary Materials</w:t>
      </w:r>
    </w:p>
    <w:p>
      <w:pPr>
        <w:spacing w:after="120"/>
      </w:pPr>
      <w:r>
        <w:rPr>
          <w:i/>
        </w:rPr>
        <w:t>Priced out of the formal market: A housing affordability index for Greater Kampala, Uganda, from online listings and spatial machine learning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12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listings_pari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1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Figure S1.</w:t>
      </w:r>
      <w:r>
        <w:rPr>
          <w:sz w:val="18"/>
        </w:rPr>
        <w:t xml:space="preserve"> Listings located in each parish (1–2 bedroom rentals and house/apartment sales). Listings are geocoded to neighbourhoods, so parish assignment is only as precise as the neighbourhood point.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12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rai_par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1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Figure S2.</w:t>
      </w:r>
      <w:r>
        <w:rPr>
          <w:sz w:val="18"/>
        </w:rPr>
        <w:t xml:space="preserve"> Rental Affordability Index by parish, for parishes with at least 20 rental listings (indicative; the sub-county maps are the primary results).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1122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oai_pari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1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Figure S3.</w:t>
      </w:r>
      <w:r>
        <w:rPr>
          <w:sz w:val="18"/>
        </w:rPr>
        <w:t xml:space="preserve"> Ownership Affordability Index by parish, for parishes with at least 20 sale listings (indicative).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72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precision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Figure S4.</w:t>
      </w:r>
      <w:r>
        <w:rPr>
          <w:sz w:val="18"/>
        </w:rPr>
        <w:t xml:space="preserve"> Precision of area medians by number of listings: 95% bootstrap interval half-width as a share of the median, from subsamples of sub-counties with at least 60 listings (30 draws × 500 resamples per size).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234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>Figure S5.</w:t>
      </w:r>
      <w:r>
        <w:rPr>
          <w:sz w:val="18"/>
        </w:rPr>
        <w:t xml:space="preserve"> Stability of the affordability index as the sample grows: mean over 20 random subsamples of 50–90% of listings, with ±1.96 s.d.</w:t>
      </w:r>
    </w:p>
    <w:p>
      <w:pPr>
        <w:spacing w:after="120"/>
      </w:pPr>
      <w:r>
        <w:rPr>
          <w:b/>
        </w:rPr>
        <w:t>Table S1. Ownership Affordability Index under alternative mortgage terms.</w:t>
      </w:r>
      <w:r>
        <w:t xml:space="preserve"> Base: BoU 12-month mean lending rate (18.3%), 30% deposit, 20 years, 35% repayment cap; each column changes one term.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Area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Base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Rate 16%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Rate 22%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Deposit 20%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Deposit 50%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15 years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25 years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Cap 30%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GKMA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4.2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5.2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3.2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Kampala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4.1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2.5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Wakiso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4.5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6.2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4.3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4.5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3.8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Mukono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6.2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7.0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5.2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5.4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8.7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5.9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6.3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5.3</w:t>
            </w:r>
          </w:p>
        </w:tc>
      </w:tr>
    </w:tbl>
    <w:p/>
    <w:p>
      <w:pPr>
        <w:spacing w:after="120"/>
      </w:pPr>
      <w:r>
        <w:rPr>
          <w:b/>
        </w:rPr>
        <w:t>Table S2. Robustness of key results to the sample.</w:t>
      </w:r>
      <w:r>
        <w:t xml:space="preserve"> Hedonic coefficients; * p &lt; 0.05.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Sample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Listings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GKMA RAI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GKMA OAI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Wealth (sale)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ln plot size (sale)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Title stated (sale)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ln dist. Expressway (sale)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ln dist. CBD (rent)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Full sample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10,643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18.2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0.533*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0.511*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0.120*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-0.221*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-0.396*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Neighbourhood-level locations only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9,381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18.2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0.435*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0.514*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0.108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-0.162*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-0.652*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Without Jiji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6,907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18.2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0.441*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0.468*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0.122*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-0.210*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-0.162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Without RED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4,614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16.7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0.604*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0.058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0.024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-0.403*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Without Uganda Property Centre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9,765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18.2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3.9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0.508*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0.512*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0.104*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-0.185*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-0.661*</w:t>
            </w:r>
          </w:p>
        </w:tc>
      </w:tr>
    </w:tbl>
    <w:p/>
    <w:p>
      <w:pPr>
        <w:spacing w:after="120"/>
      </w:pPr>
      <w:r>
        <w:rPr>
          <w:b/>
        </w:rPr>
        <w:t>Table S3. Listing-based hedonic index and the UBOS Residential Property Price Index.</w:t>
      </w:r>
      <w:r>
        <w:t xml:space="preserve"> Reported for completeness; most quarters rest on fewer than 20 listings and are not interpreted.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Area</w:t>
            </w:r>
          </w:p>
        </w:tc>
        <w:tc>
          <w:tcPr>
            <w:tcW w:type="dxa" w:w="194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Quarter start</w:t>
            </w:r>
          </w:p>
        </w:tc>
        <w:tc>
          <w:tcPr>
            <w:tcW w:type="dxa" w:w="194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Listings</w:t>
            </w:r>
          </w:p>
        </w:tc>
        <w:tc>
          <w:tcPr>
            <w:tcW w:type="dxa" w:w="194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Listing index</w:t>
            </w:r>
          </w:p>
        </w:tc>
        <w:tc>
          <w:tcPr>
            <w:tcW w:type="dxa" w:w="1949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UBOS RPPI (rebased)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Wakiso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2022-10-01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100.0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Wakiso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2025-01-01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105.9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Wakiso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2025-04-01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113.2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Wakiso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2025-07-01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523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121.4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Wakiso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2025-10-01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121.6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Wakiso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2026-01-01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119.5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Wakiso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2026-04-01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117.1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6"/>
              </w:rPr>
              <w:t>Wakiso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2026-07-01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964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sz w:val="16"/>
              </w:rPr>
              <w:t>—</w:t>
            </w:r>
          </w:p>
        </w:tc>
      </w:tr>
    </w:tbl>
    <w:p/>
    <w:p>
      <w:pPr>
        <w:spacing w:after="120"/>
      </w:pPr>
      <w:r>
        <w:rPr>
          <w:b/>
        </w:rPr>
        <w:t>Table S4. Share of households priced out (%) across burden thresholds of 10–80% of income.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Burden threshold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GKMA: rent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Kampala: rent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Wakiso: rent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Mukono: rent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GKMA: own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Kampala: own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Wakiso: own</w:t>
            </w:r>
          </w:p>
        </w:tc>
        <w:tc>
          <w:tcPr>
            <w:tcW w:type="dxa" w:w="108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4"/>
              </w:rPr>
              <w:t>Mukono: own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10%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20%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97.9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93.9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30%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97.5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98.9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94.1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86.6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99.9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35%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96.2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98.0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91.8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82.7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99.9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40%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94.6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96.8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89.2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78.8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99.8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50%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91.0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93.6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83.8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71.3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99.6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60%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87.0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89.5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78.3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64.4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99.2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70%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82.7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84.6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72.8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58.2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99.9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98.8</w:t>
            </w:r>
          </w:p>
        </w:tc>
      </w:tr>
      <w:tr>
        <w:tc>
          <w:tcPr>
            <w:tcW w:type="dxa" w:w="1083"/>
          </w:tcPr>
          <w:p>
            <w:r/>
            <w:r>
              <w:rPr>
                <w:sz w:val="14"/>
              </w:rPr>
              <w:t>80%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78.4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79.4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67.6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52.7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99.8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100.0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99.5</w:t>
            </w:r>
          </w:p>
        </w:tc>
        <w:tc>
          <w:tcPr>
            <w:tcW w:type="dxa" w:w="1083"/>
          </w:tcPr>
          <w:p>
            <w:r/>
            <w:r>
              <w:rPr>
                <w:sz w:val="14"/>
              </w:rPr>
              <w:t>98.2</w:t>
            </w:r>
          </w:p>
        </w:tc>
      </w:tr>
    </w:tbl>
    <w:p/>
    <w:p>
      <w:pPr>
        <w:spacing w:after="120"/>
      </w:pPr>
      <w:r>
        <w:rPr>
          <w:b/>
        </w:rPr>
        <w:t>Table S5. Cleaning log.</w:t>
      </w:r>
      <w:r>
        <w:t xml:space="preserve"> Location methods among resolved records: gazetteer exact 8,393; gazetteer contained name 2,568; district-level label 467; OpenStreetMap 342; sub-county 264; fuzzy 219; UBOS parish name 58.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Step</w:t>
            </w:r>
          </w:p>
        </w:tc>
        <w:tc>
          <w:tcPr>
            <w:tcW w:type="dxa" w:w="4873"/>
            <w:shd w:val="clear" w:color="auto" w:fill="E8EEF4"/>
          </w:tcPr>
          <w:p>
            <w:r>
              <w:rPr>
                <w:b/>
              </w:rPr>
            </w:r>
            <w:r>
              <w:rPr>
                <w:b/>
                <w:sz w:val="16"/>
              </w:rPr>
              <w:t>Records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raw records (all snapshots)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13424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parsed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13424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drop short-stay / nightly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13424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drop missing price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13418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drop listing_type unknown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13418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location resolved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12311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after de-duplication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10823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inside GKMA study area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10823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drop price outliers (flagged)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10749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drop commercial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10643</w:t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alatino Linotype" w:hAnsi="Palatino Linoty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